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49,557.0497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28.38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49,079.0497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66,926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were vested on the transaction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reflects adjustment of outstanding awards as a result of the spin-off of Versant Media Group, Inc.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2026-01-22T18:56:29Z</dcterms:created>
  <dcterms:modified xsi:type="dcterms:W3CDTF">2026-01-22T18:56:29Z</dcterms:modified>
</cp:coreProperties>
</file>