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340" w:right="760" w:hanging="8"/>
        <w:spacing w:after="0" w:line="280" w:lineRule="auto"/>
        <w:rPr>
          <w:sz w:val="20"/>
          <w:szCs w:val="20"/>
          <w:color w:val="auto"/>
        </w:rPr>
      </w:pPr>
      <w:r>
        <w:rPr>
          <w:rFonts w:ascii="Arial" w:cs="Arial" w:eastAsia="Arial" w:hAnsi="Arial"/>
          <w:sz w:val="21"/>
          <w:szCs w:val="21"/>
          <w:b w:val="1"/>
          <w:bCs w:val="1"/>
          <w:color w:val="auto"/>
        </w:rPr>
        <w:t>FOR ANNUAL REPORTS OF EMPLOYEE STOCK PURCHASE, SAVINGS AND SIMILAR PLANS PURSUANT TO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302895</wp:posOffset>
            </wp:positionV>
            <wp:extent cx="3009900"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-10160</wp:posOffset>
            </wp:positionV>
            <wp:extent cx="817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 Full title of the plan and the address of the plan, if different from that of the issuer named below:</w:t>
      </w:r>
    </w:p>
    <w:p>
      <w:pPr>
        <w:spacing w:after="0" w:line="17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COMCAST SPECTACOR 401(k) PLAN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 Name of issuer of the securities held pursuant to the plan and the address of its principal executive office:</w:t>
      </w:r>
    </w:p>
    <w:p>
      <w:pPr>
        <w:spacing w:after="0" w:line="17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30" w:right="7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SPECTACOR 401(k) PLAN</w:t>
      </w:r>
    </w:p>
    <w:p>
      <w:pPr>
        <w:spacing w:after="0" w:line="96" w:lineRule="exact"/>
        <w:rPr>
          <w:sz w:val="20"/>
          <w:szCs w:val="20"/>
          <w:color w:val="auto"/>
        </w:rPr>
      </w:pPr>
    </w:p>
    <w:p>
      <w:pPr>
        <w:ind w:right="3119"/>
        <w:spacing w:after="0" w:line="254" w:lineRule="auto"/>
        <w:rPr>
          <w:sz w:val="20"/>
          <w:szCs w:val="20"/>
          <w:color w:val="auto"/>
        </w:rPr>
      </w:pPr>
      <w:r>
        <w:rPr>
          <w:rFonts w:ascii="Arial" w:cs="Arial" w:eastAsia="Arial" w:hAnsi="Arial"/>
          <w:sz w:val="18"/>
          <w:szCs w:val="18"/>
          <w:color w:val="auto"/>
        </w:rPr>
        <w:t>Financial Statements as of December 31, 2010 and 2009 and for the Year Ended December 31, 2010; Supplemental Schedules as of December 31, 2010;</w:t>
      </w:r>
    </w:p>
    <w:p>
      <w:pPr>
        <w:spacing w:after="0"/>
        <w:rPr>
          <w:sz w:val="20"/>
          <w:szCs w:val="20"/>
          <w:color w:val="auto"/>
        </w:rPr>
      </w:pPr>
      <w:r>
        <w:rPr>
          <w:rFonts w:ascii="Arial" w:cs="Arial" w:eastAsia="Arial" w:hAnsi="Arial"/>
          <w:sz w:val="18"/>
          <w:szCs w:val="18"/>
          <w:color w:val="auto"/>
        </w:rPr>
        <w:t>and Report of Independent Registered Public 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1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20" w:type="dxa"/>
            <w:vAlign w:val="bottom"/>
            <w:gridSpan w:val="10"/>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536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2010 and 2009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as of December 31, 2010 and 2009 and for the Year Ended December 31, 2010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1020" w:type="dxa"/>
            <w:vAlign w:val="bottom"/>
            <w:gridSpan w:val="10"/>
          </w:tcPr>
          <w:p>
            <w:pPr>
              <w:spacing w:after="0"/>
              <w:rPr>
                <w:sz w:val="20"/>
                <w:szCs w:val="20"/>
                <w:color w:val="auto"/>
              </w:rPr>
            </w:pPr>
            <w:r>
              <w:rPr>
                <w:rFonts w:ascii="Arial" w:cs="Arial" w:eastAsia="Arial" w:hAnsi="Arial"/>
                <w:sz w:val="18"/>
                <w:szCs w:val="18"/>
                <w:color w:val="auto"/>
              </w:rPr>
              <w:t>SUPPLEMENTAL SCHEDULE -</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80" w:type="dxa"/>
            <w:vAlign w:val="bottom"/>
            <w:gridSpan w:val="9"/>
          </w:tcPr>
          <w:p>
            <w:pPr>
              <w:spacing w:after="0" w:line="184" w:lineRule="exact"/>
              <w:rPr>
                <w:rFonts w:ascii="Arial" w:cs="Arial" w:eastAsia="Arial" w:hAnsi="Arial"/>
                <w:sz w:val="18"/>
                <w:szCs w:val="18"/>
                <w:color w:val="0000EE"/>
              </w:rPr>
            </w:pPr>
            <w:hyperlink w:anchor="page12">
              <w:r>
                <w:rPr>
                  <w:rFonts w:ascii="Arial" w:cs="Arial" w:eastAsia="Arial" w:hAnsi="Arial"/>
                  <w:sz w:val="18"/>
                  <w:szCs w:val="18"/>
                  <w:color w:val="0000EE"/>
                </w:rPr>
                <w:t>Form 5500, Schedule H—Part IV, Line 4i—Schedule of Assets (Held at End of Year) as of December 31, 2010</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8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Form 5500, Schedule H—Part IV, Line 4a—Schedule of Delinquent Participant Contributions for years ended December 31, 2010 and 2009</w:t>
              </w:r>
            </w:hyperlink>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CONSENT OF INDEPENDENT REGISTERED PUBLIC ACCOUNTING FIRM</w:t>
              </w:r>
            </w:hyperlink>
          </w:p>
        </w:tc>
        <w:tc>
          <w:tcPr>
            <w:tcW w:w="52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02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SIGNATURE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500" w:right="1400"/>
        <w:spacing w:after="0" w:line="259"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2010 and 2009, and the related statement of changes in net assets available for benefits for the year ended December 31, 2010.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2010 and 2009, and the changes in net assets available for benefits for the year ended December 31, 2010 in conformity with accounting principles generally accepted in the United States of America</w:t>
      </w:r>
      <w:r>
        <w:rPr>
          <w:rFonts w:ascii="Arial" w:cs="Arial" w:eastAsia="Arial" w:hAnsi="Arial"/>
          <w:sz w:val="18"/>
          <w:szCs w:val="18"/>
          <w:i w:val="1"/>
          <w:iCs w:val="1"/>
          <w:color w:val="auto"/>
        </w:rPr>
        <w:t>.</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audits were conducted for the purpose of forming an opinion on the basic financial statements taken as a whole. The supplemental schedules of (1) assets (held at year end) as of December 31, 2010 and (2) delinquent participant contributions for the years ended December 31, 2010 and 2009,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schedules are the responsibility of the Plan's management. These schedules have been subjected to the auditing procedures applied in our audits of the basic financial statements and, in our opinion, are fairly stated in all material respects when considered in relation to the basic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440"/>
              <w:spacing w:after="0"/>
              <w:rPr>
                <w:sz w:val="20"/>
                <w:szCs w:val="20"/>
                <w:color w:val="auto"/>
              </w:rPr>
            </w:pPr>
            <w:r>
              <w:rPr>
                <w:rFonts w:ascii="Arial" w:cs="Arial" w:eastAsia="Arial" w:hAnsi="Arial"/>
                <w:sz w:val="18"/>
                <w:szCs w:val="18"/>
                <w:color w:val="auto"/>
              </w:rPr>
              <w:t>Participant-directed investments, at fair value</w:t>
            </w:r>
          </w:p>
        </w:tc>
        <w:tc>
          <w:tcPr>
            <w:tcW w:w="5600" w:type="dxa"/>
            <w:vAlign w:val="bottom"/>
            <w:gridSpan w:val="3"/>
          </w:tcPr>
          <w:p>
            <w:pPr>
              <w:jc w:val="right"/>
              <w:ind w:right="420"/>
              <w:spacing w:after="0"/>
              <w:rPr>
                <w:sz w:val="20"/>
                <w:szCs w:val="20"/>
                <w:color w:val="auto"/>
              </w:rPr>
            </w:pPr>
            <w:r>
              <w:rPr>
                <w:rFonts w:ascii="Arial" w:cs="Arial" w:eastAsia="Arial" w:hAnsi="Arial"/>
                <w:sz w:val="18"/>
                <w:szCs w:val="18"/>
                <w:color w:val="auto"/>
              </w:rPr>
              <w:t>$ 56,170,440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$ 42,125,755</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4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Notes receivable from participants</w:t>
            </w:r>
          </w:p>
        </w:tc>
        <w:tc>
          <w:tcPr>
            <w:tcW w:w="5600" w:type="dxa"/>
            <w:vAlign w:val="bottom"/>
            <w:gridSpan w:val="3"/>
          </w:tcPr>
          <w:p>
            <w:pPr>
              <w:jc w:val="right"/>
              <w:ind w:right="420"/>
              <w:spacing w:after="0"/>
              <w:rPr>
                <w:sz w:val="20"/>
                <w:szCs w:val="20"/>
                <w:color w:val="auto"/>
              </w:rPr>
            </w:pPr>
            <w:r>
              <w:rPr>
                <w:rFonts w:ascii="Arial" w:cs="Arial" w:eastAsia="Arial" w:hAnsi="Arial"/>
                <w:sz w:val="18"/>
                <w:szCs w:val="18"/>
                <w:color w:val="auto"/>
              </w:rPr>
              <w:t>1,322,136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917,857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Contributions receivable from participants</w:t>
            </w:r>
          </w:p>
        </w:tc>
        <w:tc>
          <w:tcPr>
            <w:tcW w:w="5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177,697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142,551</w:t>
            </w:r>
          </w:p>
        </w:tc>
        <w:tc>
          <w:tcPr>
            <w:tcW w:w="0" w:type="dxa"/>
            <w:vAlign w:val="bottom"/>
          </w:tcPr>
          <w:p>
            <w:pPr>
              <w:spacing w:after="0"/>
              <w:rPr>
                <w:sz w:val="1"/>
                <w:szCs w:val="1"/>
                <w:color w:val="auto"/>
              </w:rPr>
            </w:pPr>
          </w:p>
        </w:tc>
      </w:tr>
      <w:tr>
        <w:trPr>
          <w:trHeight w:val="223"/>
        </w:trPr>
        <w:tc>
          <w:tcPr>
            <w:tcW w:w="4760" w:type="dxa"/>
            <w:vAlign w:val="bottom"/>
          </w:tcPr>
          <w:p>
            <w:pPr>
              <w:ind w:left="880"/>
              <w:spacing w:after="0"/>
              <w:rPr>
                <w:sz w:val="20"/>
                <w:szCs w:val="20"/>
                <w:color w:val="auto"/>
              </w:rPr>
            </w:pPr>
            <w:r>
              <w:rPr>
                <w:rFonts w:ascii="Arial" w:cs="Arial" w:eastAsia="Arial" w:hAnsi="Arial"/>
                <w:sz w:val="18"/>
                <w:szCs w:val="18"/>
                <w:color w:val="auto"/>
              </w:rPr>
              <w:t>Contributions receivable from employer</w:t>
            </w:r>
          </w:p>
        </w:tc>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123,937</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1,623,770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1,169,601</w:t>
            </w:r>
          </w:p>
        </w:tc>
        <w:tc>
          <w:tcPr>
            <w:tcW w:w="0" w:type="dxa"/>
            <w:vAlign w:val="bottom"/>
          </w:tcPr>
          <w:p>
            <w:pPr>
              <w:spacing w:after="0"/>
              <w:rPr>
                <w:sz w:val="1"/>
                <w:szCs w:val="1"/>
                <w:color w:val="auto"/>
              </w:rPr>
            </w:pPr>
          </w:p>
        </w:tc>
      </w:tr>
      <w:tr>
        <w:trPr>
          <w:trHeight w:val="322"/>
        </w:trPr>
        <w:tc>
          <w:tcPr>
            <w:tcW w:w="47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5600" w:type="dxa"/>
            <w:vAlign w:val="bottom"/>
            <w:gridSpan w:val="3"/>
          </w:tcPr>
          <w:p>
            <w:pPr>
              <w:jc w:val="right"/>
              <w:ind w:right="420"/>
              <w:spacing w:after="0"/>
              <w:rPr>
                <w:sz w:val="20"/>
                <w:szCs w:val="20"/>
                <w:color w:val="auto"/>
              </w:rPr>
            </w:pPr>
            <w:r>
              <w:rPr>
                <w:rFonts w:ascii="Arial" w:cs="Arial" w:eastAsia="Arial" w:hAnsi="Arial"/>
                <w:sz w:val="18"/>
                <w:szCs w:val="18"/>
                <w:color w:val="auto"/>
              </w:rPr>
              <w:t>$ 57,794,210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$ 43,295,356</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4260" w:type="dxa"/>
            <w:vAlign w:val="bottom"/>
          </w:tcPr>
          <w:p>
            <w:pPr>
              <w:jc w:val="right"/>
              <w:ind w:right="3172"/>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6,119,774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Dividends</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investment income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6,964,399</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Employer</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3,542,010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60" w:type="dxa"/>
            <w:vAlign w:val="bottom"/>
          </w:tcPr>
          <w:p>
            <w:pPr>
              <w:ind w:left="1280"/>
              <w:spacing w:after="0"/>
              <w:rPr>
                <w:sz w:val="20"/>
                <w:szCs w:val="20"/>
                <w:color w:val="auto"/>
              </w:rPr>
            </w:pPr>
            <w:r>
              <w:rPr>
                <w:rFonts w:ascii="Arial" w:cs="Arial" w:eastAsia="Arial" w:hAnsi="Arial"/>
                <w:sz w:val="18"/>
                <w:szCs w:val="18"/>
                <w:color w:val="auto"/>
              </w:rPr>
              <w:t>Total contributions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11,888,165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75,185</w:t>
            </w:r>
          </w:p>
        </w:tc>
        <w:tc>
          <w:tcPr>
            <w:tcW w:w="0" w:type="dxa"/>
            <w:vAlign w:val="bottom"/>
          </w:tcPr>
          <w:p>
            <w:pPr>
              <w:spacing w:after="0"/>
              <w:rPr>
                <w:sz w:val="1"/>
                <w:szCs w:val="1"/>
                <w:color w:val="auto"/>
              </w:rPr>
            </w:pPr>
          </w:p>
        </w:tc>
      </w:tr>
      <w:tr>
        <w:trPr>
          <w:trHeight w:val="430"/>
        </w:trPr>
        <w:tc>
          <w:tcPr>
            <w:tcW w:w="7280" w:type="dxa"/>
            <w:vAlign w:val="bottom"/>
            <w:gridSpan w:val="2"/>
          </w:tcPr>
          <w:p>
            <w:pPr>
              <w:spacing w:after="0"/>
              <w:rPr>
                <w:sz w:val="20"/>
                <w:szCs w:val="20"/>
                <w:color w:val="auto"/>
              </w:rPr>
            </w:pPr>
            <w:r>
              <w:rPr>
                <w:rFonts w:ascii="Arial" w:cs="Arial" w:eastAsia="Arial" w:hAnsi="Arial"/>
                <w:sz w:val="18"/>
                <w:szCs w:val="18"/>
                <w:color w:val="auto"/>
              </w:rPr>
              <w:t>Total additions</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18,927,749</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to affiliated Plan</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Administrative expenses</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728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14,498,854</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43,295,356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57,794,210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460" w:right="920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1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following description of the Comcast Spectacor 401(k) Plan (the “Plan”) provides only general information. Plan participants should refer to the Plan document for a complete description of the Plan’s provisions.</w:t>
      </w:r>
    </w:p>
    <w:p>
      <w:pPr>
        <w:spacing w:after="0" w:line="50" w:lineRule="exact"/>
        <w:rPr>
          <w:rFonts w:ascii="Arial" w:cs="Arial" w:eastAsia="Arial" w:hAnsi="Arial"/>
          <w:sz w:val="16"/>
          <w:szCs w:val="16"/>
          <w:b w:val="1"/>
          <w:bCs w:val="1"/>
          <w:color w:val="auto"/>
        </w:rPr>
      </w:pPr>
    </w:p>
    <w:p>
      <w:pPr>
        <w:ind w:left="460" w:right="1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(“ERISA”). The Plan covers “eligible employees,” who have completed the requisite hours of service, as defined in the Plan document, and have attained age 21. The following entities participate in the Plan, referred to collectively as “the Company”:</w:t>
      </w:r>
    </w:p>
    <w:p>
      <w:pPr>
        <w:spacing w:after="0" w:line="25" w:lineRule="exact"/>
        <w:rPr>
          <w:rFonts w:ascii="Arial" w:cs="Arial" w:eastAsia="Arial" w:hAnsi="Arial"/>
          <w:sz w:val="16"/>
          <w:szCs w:val="16"/>
          <w:b w:val="1"/>
          <w:bCs w:val="1"/>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Spectacor, L.P. (Plan Sponsor or Plan Administrator)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FPS Rink,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Disson Skating,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Pilots,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Ed Snider Youth Hockey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Front Row Marketing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Paciolan, Inc.</w:t>
      </w:r>
    </w:p>
    <w:p>
      <w:pPr>
        <w:spacing w:after="0" w:line="9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w:t>
      </w:r>
    </w:p>
    <w:p>
      <w:pPr>
        <w:spacing w:after="0" w:line="51"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 There were no such contributions for the 2010 Plan year.</w:t>
      </w:r>
    </w:p>
    <w:p>
      <w:pPr>
        <w:spacing w:after="0" w:line="90" w:lineRule="exact"/>
        <w:rPr>
          <w:sz w:val="20"/>
          <w:szCs w:val="20"/>
          <w:color w:val="auto"/>
        </w:rPr>
      </w:pPr>
    </w:p>
    <w:p>
      <w:pPr>
        <w:jc w:val="both"/>
        <w:ind w:left="460" w:right="34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Upon enrollment, or as requested from the Plan Administrator, participants can receive a description of each investment fund in the Plan Enrollment Guide.</w:t>
      </w:r>
    </w:p>
    <w:p>
      <w:pPr>
        <w:spacing w:after="0" w:line="62"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Participants are immediately vested in their elective deferral contributions plus actual earnings thereon. Participants have a fully (100%) vested and non-forfeitable interest in Company matching contributions for Plan years beginning on or after January 1, 2005. Matching contributions attributable to periods prior to January 1, 2005 will continue to vest according to their original schedule based on years of service. A participant is 100% vested after five years of credited service. Vesting can be accelerated under certain other conditions defined in the Plan document. In the event of whole or partial termination of the Plan, there will be full and immediate vesting of each affected employee’s account balance.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Trustee may make loans from the Plan to participants in accordance with the Plan document. Interest accrues at the rate of prime plus 2% as of the month the loan application is approved and all loans are to be repaid within five years unless the loan is used to acquire a principal residence, in which case the term may be longer.</w:t>
      </w:r>
    </w:p>
    <w:p>
      <w:pPr>
        <w:spacing w:after="0" w:line="5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 Forfeitures applied to reduce Plan administrative expenses for the year ended December 31, 2010 amounted to $32,742. There were no forfeitures pending application as of December 31, 2010.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w:t>
      </w:r>
    </w:p>
    <w:p>
      <w:pPr>
        <w:spacing w:after="0" w:line="90"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The Trustee for the Comcast stock held in the Plan is Benefit Trust Company. The Trustee for all other investment options is Reliance Trust Company (the “Trustee”). The Record-keeper for the Plan is ING Institutional Plan Services, LLC. Generally, all costs associated with administering the Plan are paid by the Plan administrator.</w:t>
      </w:r>
    </w:p>
    <w:p>
      <w:pPr>
        <w:spacing w:after="0" w:line="25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The Plan’s investments are stated at fair value. Shares of mutual funds are valued at the net asset value of shares held by the Plan at year-end. The value of the Comcast Stock Fund, which includes shares of Comcast Corporation Class A common stock (CMCSA) and a mutual fund account, is based on the fair market value of the stock held in the fund as well as the market value of the mutual fund on the last trading day of the Plan year. Notes receivable from participants are measured at their unpaid principal balance plus any accrued but unpaid interest.</w:t>
      </w:r>
    </w:p>
    <w:p>
      <w:pPr>
        <w:spacing w:after="0" w:line="61"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change in fair value of assets during the year is measured by the difference between the fair value at year-end and the fair value at the beginning of the year and the impact of any purchases and/or sales during the year and is reflected in the Statement of Changes in Net Assets Available for Benefits as net appreciation in fair value of investments. Purchases and sales of securities are recorded on a trade-date basis. Dividends are recorded on the ex-dividend date. Benefits are recorded when paid.</w:t>
      </w:r>
    </w:p>
    <w:p>
      <w:pPr>
        <w:spacing w:after="0" w:line="62"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9"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59" w:lineRule="exact"/>
        <w:rPr>
          <w:rFonts w:ascii="Arial" w:cs="Arial" w:eastAsia="Arial" w:hAnsi="Arial"/>
          <w:sz w:val="18"/>
          <w:szCs w:val="18"/>
          <w:b w:val="1"/>
          <w:bCs w:val="1"/>
          <w:color w:val="auto"/>
        </w:rPr>
      </w:pPr>
    </w:p>
    <w:p>
      <w:pPr>
        <w:ind w:left="4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In January 2010, the Financial Accounting Standards Board (FASB) issued Accounting Standards Update (ASU) No. 2010-06,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which amends ASC 820,</w:t>
      </w:r>
      <w:r>
        <w:rPr>
          <w:rFonts w:ascii="Arial" w:cs="Arial" w:eastAsia="Arial" w:hAnsi="Arial"/>
          <w:sz w:val="16"/>
          <w:szCs w:val="16"/>
          <w:i w:val="1"/>
          <w:iCs w:val="1"/>
          <w:color w:val="auto"/>
        </w:rPr>
        <w:t xml:space="preserve"> Fair Value Measurements and Disclosures</w:t>
      </w:r>
      <w:r>
        <w:rPr>
          <w:rFonts w:ascii="Arial" w:cs="Arial" w:eastAsia="Arial" w:hAnsi="Arial"/>
          <w:sz w:val="16"/>
          <w:szCs w:val="16"/>
          <w:color w:val="auto"/>
        </w:rPr>
        <w:t>, adding new disclosure requirements for Levels 1 and 2,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of purchases, sales, issuances, and settlements relating to Level 3 measurements and clarification of existing fair value disclosures. ASU No. 2010-06 is effective for periods beginning after December 15, 2009, except for the requirement to provide Level 3 activity of purchases, sales, issuances, and settlements on a gross basis, which will be effective for fiscal years beginning after December 15, 2010. The Plan prospectively adopted the new guidance in 2010, except for the Level 3 reconciliation disclosures, which are required in 2011. The adoption in 2010 did not affect, and the future adoption is not expected to affect, the Plan’s financial statements.</w:t>
      </w:r>
    </w:p>
    <w:p>
      <w:pPr>
        <w:spacing w:after="0" w:line="37" w:lineRule="exact"/>
        <w:rPr>
          <w:rFonts w:ascii="Arial" w:cs="Arial" w:eastAsia="Arial" w:hAnsi="Arial"/>
          <w:sz w:val="18"/>
          <w:szCs w:val="18"/>
          <w:b w:val="1"/>
          <w:bCs w:val="1"/>
          <w:color w:val="auto"/>
        </w:rPr>
      </w:pPr>
    </w:p>
    <w:p>
      <w:pPr>
        <w:ind w:left="46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In September 2010, the FASB issued ASU No. 2010-25, </w:t>
      </w:r>
      <w:r>
        <w:rPr>
          <w:rFonts w:ascii="Arial" w:cs="Arial" w:eastAsia="Arial" w:hAnsi="Arial"/>
          <w:sz w:val="18"/>
          <w:szCs w:val="18"/>
          <w:i w:val="1"/>
          <w:iCs w:val="1"/>
          <w:color w:val="auto"/>
        </w:rPr>
        <w:t>Reporting Loans to Participants by Defined Contribution Pension Plans</w:t>
      </w:r>
      <w:r>
        <w:rPr>
          <w:rFonts w:ascii="Arial" w:cs="Arial" w:eastAsia="Arial" w:hAnsi="Arial"/>
          <w:sz w:val="18"/>
          <w:szCs w:val="18"/>
          <w:color w:val="auto"/>
        </w:rPr>
        <w:t>. The ASU requires that participant loans be classified as notes receivable rather than a plan investment and measured at unpaid principal balance plus accrued but unpaid interest rather than fair value. The Plan retrospectively adopted the new accounting in 2010. The adoption did not have a material effect on the Plan’s financial statements. As a result, the Statement of Net Assets Available for Benefits at December 31, 2009 was not restated; however, we removed the participant loans from the ASC 820 Fair Value Measurements tabular footnote disclosure for the year ended December 31, 2009 to be consistent with the current year presentation.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8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Comcast Stock Fund</w:t>
            </w:r>
          </w:p>
        </w:tc>
        <w:tc>
          <w:tcPr>
            <w:tcW w:w="2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$ 4,102,719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$ 3,486,716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Mutual Funds:</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EuroPacific Growth Fund—F Share</w:t>
            </w:r>
          </w:p>
        </w:tc>
        <w:tc>
          <w:tcPr>
            <w:tcW w:w="3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5,212,875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3,586,006</w:t>
            </w: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Washington Mutual Investors Fund—F Share</w:t>
            </w:r>
          </w:p>
        </w:tc>
        <w:tc>
          <w:tcPr>
            <w:tcW w:w="3260" w:type="dxa"/>
            <w:vAlign w:val="bottom"/>
            <w:gridSpan w:val="3"/>
          </w:tcPr>
          <w:p>
            <w:pPr>
              <w:jc w:val="right"/>
              <w:ind w:right="220"/>
              <w:spacing w:after="0"/>
              <w:rPr>
                <w:sz w:val="20"/>
                <w:szCs w:val="20"/>
                <w:color w:val="auto"/>
              </w:rPr>
            </w:pPr>
            <w:r>
              <w:rPr>
                <w:rFonts w:ascii="Arial" w:cs="Arial" w:eastAsia="Arial" w:hAnsi="Arial"/>
                <w:sz w:val="18"/>
                <w:szCs w:val="18"/>
                <w:color w:val="auto"/>
              </w:rPr>
              <w:t>6,597,285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5,397,883</w:t>
            </w: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Growth Fund of America—F Share</w:t>
            </w:r>
          </w:p>
        </w:tc>
        <w:tc>
          <w:tcPr>
            <w:tcW w:w="3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8,777,110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6,403,133</w:t>
            </w: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Dreyfus Premier Emerging Markets Fund</w:t>
            </w:r>
          </w:p>
        </w:tc>
        <w:tc>
          <w:tcPr>
            <w:tcW w:w="3260" w:type="dxa"/>
            <w:vAlign w:val="bottom"/>
            <w:gridSpan w:val="3"/>
          </w:tcPr>
          <w:p>
            <w:pPr>
              <w:jc w:val="right"/>
              <w:ind w:right="220"/>
              <w:spacing w:after="0"/>
              <w:rPr>
                <w:sz w:val="20"/>
                <w:szCs w:val="20"/>
                <w:color w:val="auto"/>
              </w:rPr>
            </w:pPr>
            <w:r>
              <w:rPr>
                <w:rFonts w:ascii="Arial" w:cs="Arial" w:eastAsia="Arial" w:hAnsi="Arial"/>
                <w:sz w:val="18"/>
                <w:szCs w:val="18"/>
                <w:color w:val="auto"/>
              </w:rPr>
              <w:t>6,676,654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4,459,224</w:t>
            </w: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Baron Growth Fund</w:t>
            </w:r>
          </w:p>
        </w:tc>
        <w:tc>
          <w:tcPr>
            <w:tcW w:w="3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4,142,352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3,142,293</w:t>
            </w: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Janus Balanced Fund</w:t>
            </w:r>
          </w:p>
        </w:tc>
        <w:tc>
          <w:tcPr>
            <w:tcW w:w="3260" w:type="dxa"/>
            <w:vAlign w:val="bottom"/>
            <w:gridSpan w:val="3"/>
          </w:tcPr>
          <w:p>
            <w:pPr>
              <w:jc w:val="right"/>
              <w:ind w:right="220"/>
              <w:spacing w:after="0"/>
              <w:rPr>
                <w:sz w:val="20"/>
                <w:szCs w:val="20"/>
                <w:color w:val="auto"/>
              </w:rPr>
            </w:pPr>
            <w:r>
              <w:rPr>
                <w:rFonts w:ascii="Arial" w:cs="Arial" w:eastAsia="Arial" w:hAnsi="Arial"/>
                <w:sz w:val="18"/>
                <w:szCs w:val="18"/>
                <w:color w:val="auto"/>
              </w:rPr>
              <w:t>4,282,732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3,638,887</w:t>
            </w: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Wells Fargo Advantage Government Securities Fund</w:t>
            </w:r>
          </w:p>
        </w:tc>
        <w:tc>
          <w:tcPr>
            <w:tcW w:w="3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3,446,246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2,627,904</w:t>
            </w: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Royce Total Return Fund</w:t>
            </w:r>
          </w:p>
        </w:tc>
        <w:tc>
          <w:tcPr>
            <w:tcW w:w="3260" w:type="dxa"/>
            <w:vAlign w:val="bottom"/>
            <w:gridSpan w:val="3"/>
          </w:tcPr>
          <w:p>
            <w:pPr>
              <w:jc w:val="right"/>
              <w:ind w:right="220"/>
              <w:spacing w:after="0"/>
              <w:rPr>
                <w:sz w:val="20"/>
                <w:szCs w:val="20"/>
                <w:color w:val="auto"/>
              </w:rPr>
            </w:pPr>
            <w:r>
              <w:rPr>
                <w:rFonts w:ascii="Arial" w:cs="Arial" w:eastAsia="Arial" w:hAnsi="Arial"/>
                <w:sz w:val="18"/>
                <w:szCs w:val="18"/>
                <w:color w:val="auto"/>
              </w:rPr>
              <w:t>3,108,326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2,674,517</w:t>
            </w: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Western Asset Government Money Market Exchange Class A</w:t>
            </w:r>
          </w:p>
        </w:tc>
        <w:tc>
          <w:tcPr>
            <w:tcW w:w="3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2,995,819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2,229,457</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2010, the Plan’s investments, including investments purchased and sold, as well as held during the year, appreciated in fair value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6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$ 1,180,431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Mutual Funds:</w:t>
            </w:r>
          </w:p>
        </w:tc>
        <w:tc>
          <w:tcPr>
            <w:tcW w:w="5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6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895,796</w:t>
            </w: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6800" w:type="dxa"/>
            <w:vAlign w:val="bottom"/>
            <w:gridSpan w:val="3"/>
          </w:tcPr>
          <w:p>
            <w:pPr>
              <w:jc w:val="right"/>
              <w:ind w:right="100"/>
              <w:spacing w:after="0"/>
              <w:rPr>
                <w:sz w:val="20"/>
                <w:szCs w:val="20"/>
                <w:color w:val="auto"/>
              </w:rPr>
            </w:pPr>
            <w:r>
              <w:rPr>
                <w:rFonts w:ascii="Arial" w:cs="Arial" w:eastAsia="Arial" w:hAnsi="Arial"/>
                <w:sz w:val="18"/>
                <w:szCs w:val="18"/>
                <w:color w:val="auto"/>
              </w:rPr>
              <w:t>3,961,509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Fund</w:t>
            </w:r>
          </w:p>
        </w:tc>
        <w:tc>
          <w:tcPr>
            <w:tcW w:w="58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6800" w:type="dxa"/>
            <w:vAlign w:val="bottom"/>
            <w:gridSpan w:val="3"/>
          </w:tcPr>
          <w:p>
            <w:pPr>
              <w:jc w:val="right"/>
              <w:ind w:right="100"/>
              <w:spacing w:after="0"/>
              <w:rPr>
                <w:sz w:val="20"/>
                <w:szCs w:val="20"/>
                <w:color w:val="auto"/>
              </w:rPr>
            </w:pPr>
            <w:r>
              <w:rPr>
                <w:rFonts w:ascii="Arial" w:cs="Arial" w:eastAsia="Arial" w:hAnsi="Arial"/>
                <w:sz w:val="18"/>
                <w:szCs w:val="18"/>
                <w:color w:val="auto"/>
              </w:rPr>
              <w:t>$ 6,119,774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40" w:type="dxa"/>
            <w:vAlign w:val="bottom"/>
            <w:vMerge w:val="restart"/>
          </w:tcPr>
          <w:p>
            <w:pPr>
              <w:jc w:val="right"/>
              <w:ind w:right="4152"/>
              <w:spacing w:after="0"/>
              <w:rPr>
                <w:sz w:val="20"/>
                <w:szCs w:val="20"/>
                <w:color w:val="auto"/>
              </w:rPr>
            </w:pPr>
            <w:r>
              <w:rPr>
                <w:rFonts w:ascii="Arial" w:cs="Arial" w:eastAsia="Arial" w:hAnsi="Arial"/>
                <w:sz w:val="18"/>
                <w:szCs w:val="18"/>
                <w:color w:val="auto"/>
              </w:rPr>
              <w:t>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51" w:lineRule="exact"/>
        <w:rPr>
          <w:sz w:val="20"/>
          <w:szCs w:val="20"/>
          <w:color w:val="auto"/>
        </w:rPr>
      </w:pPr>
    </w:p>
    <w:p>
      <w:pPr>
        <w:ind w:left="1960" w:right="1120" w:hanging="1039"/>
        <w:spacing w:after="0" w:line="268" w:lineRule="auto"/>
        <w:tabs>
          <w:tab w:leader="none" w:pos="1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Consists of financial instruments whose values are based on quoted market prices for identical financial instruments in an active market.</w:t>
      </w:r>
    </w:p>
    <w:p>
      <w:pPr>
        <w:spacing w:after="0" w:line="78" w:lineRule="exact"/>
        <w:rPr>
          <w:sz w:val="20"/>
          <w:szCs w:val="20"/>
          <w:color w:val="auto"/>
        </w:rPr>
      </w:pPr>
    </w:p>
    <w:p>
      <w:pPr>
        <w:ind w:left="1960" w:right="1380" w:hanging="1039"/>
        <w:spacing w:after="0" w:line="268" w:lineRule="auto"/>
        <w:tabs>
          <w:tab w:leader="none" w:pos="1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78" w:lineRule="exact"/>
        <w:rPr>
          <w:sz w:val="20"/>
          <w:szCs w:val="20"/>
          <w:color w:val="auto"/>
        </w:rPr>
      </w:pPr>
    </w:p>
    <w:p>
      <w:pPr>
        <w:ind w:left="2660" w:hanging="397"/>
        <w:spacing w:after="0"/>
        <w:tabs>
          <w:tab w:leader="none" w:pos="2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2660" w:hanging="397"/>
        <w:spacing w:after="0"/>
        <w:tabs>
          <w:tab w:leader="none" w:pos="2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17" w:lineRule="exact"/>
        <w:rPr>
          <w:rFonts w:ascii="Arial" w:cs="Arial" w:eastAsia="Arial" w:hAnsi="Arial"/>
          <w:sz w:val="18"/>
          <w:szCs w:val="18"/>
          <w:color w:val="auto"/>
        </w:rPr>
      </w:pPr>
    </w:p>
    <w:p>
      <w:pPr>
        <w:ind w:left="2660" w:hanging="397"/>
        <w:spacing w:after="0"/>
        <w:tabs>
          <w:tab w:leader="none" w:pos="2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117" w:lineRule="exact"/>
        <w:rPr>
          <w:rFonts w:ascii="Arial" w:cs="Arial" w:eastAsia="Arial" w:hAnsi="Arial"/>
          <w:sz w:val="18"/>
          <w:szCs w:val="18"/>
          <w:color w:val="auto"/>
        </w:rPr>
      </w:pPr>
    </w:p>
    <w:p>
      <w:pPr>
        <w:ind w:left="2660" w:right="1100" w:hanging="397"/>
        <w:spacing w:after="0" w:line="268" w:lineRule="auto"/>
        <w:tabs>
          <w:tab w:leader="none" w:pos="2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78" w:lineRule="exact"/>
        <w:rPr>
          <w:sz w:val="20"/>
          <w:szCs w:val="20"/>
          <w:color w:val="auto"/>
        </w:rPr>
      </w:pPr>
    </w:p>
    <w:p>
      <w:pPr>
        <w:ind w:left="1960" w:right="940" w:hanging="1039"/>
        <w:spacing w:after="0" w:line="268" w:lineRule="auto"/>
        <w:tabs>
          <w:tab w:leader="none" w:pos="1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utilize significant inputs that are primarily unobservable and significant to the fair value measurement.</w:t>
      </w:r>
    </w:p>
    <w:p>
      <w:pPr>
        <w:spacing w:after="0" w:line="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Mutual funds: Valued at the net asset value of shares held by the Plan at year end.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Common stock fund: Valued at the market value of the CMCSA stock and the market value of the short-term investments at year end.</w:t>
      </w:r>
    </w:p>
    <w:p>
      <w:pPr>
        <w:spacing w:after="0" w:line="113" w:lineRule="exact"/>
        <w:rPr>
          <w:sz w:val="20"/>
          <w:szCs w:val="20"/>
          <w:color w:val="auto"/>
        </w:rPr>
      </w:pPr>
    </w:p>
    <w:p>
      <w:pPr>
        <w:ind w:left="460" w:right="20"/>
        <w:spacing w:after="0" w:line="335" w:lineRule="auto"/>
        <w:rPr>
          <w:sz w:val="20"/>
          <w:szCs w:val="20"/>
          <w:color w:val="auto"/>
        </w:rPr>
      </w:pPr>
      <w:r>
        <w:rPr>
          <w:rFonts w:ascii="Arial" w:cs="Arial" w:eastAsia="Arial" w:hAnsi="Arial"/>
          <w:sz w:val="15"/>
          <w:szCs w:val="15"/>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2010 and 2009:</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Assets at Fair Value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86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Level 2</w:t>
            </w:r>
          </w:p>
        </w:tc>
        <w:tc>
          <w:tcPr>
            <w:tcW w:w="4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440" w:type="dxa"/>
            <w:vAlign w:val="bottom"/>
          </w:tcPr>
          <w:p>
            <w:pPr>
              <w:spacing w:after="0"/>
              <w:rPr>
                <w:sz w:val="14"/>
                <w:szCs w:val="14"/>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7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$39,783,361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$39,783,361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4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6,676,654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Bond Fund</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5,607,706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5,607,706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3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4,102,719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4,102,719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investments at fair value</w:t>
            </w:r>
          </w:p>
        </w:tc>
        <w:tc>
          <w:tcPr>
            <w:tcW w:w="3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48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52,067,721</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4,102,719</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56,170,440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rPr>
              <w:t>Assets at Fair Value as of December 31, 2009</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Level 2</w:t>
            </w:r>
          </w:p>
        </w:tc>
        <w:tc>
          <w:tcPr>
            <w:tcW w:w="4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44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7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$ 31,551,911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$ 31,551,911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4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4,459,224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4,459,224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Bond Fund</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2,627,904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2,627,904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3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3,486,716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3,486,716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investments at fair value</w:t>
            </w:r>
          </w:p>
        </w:tc>
        <w:tc>
          <w:tcPr>
            <w:tcW w:w="3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48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38,639,039</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3,486,716</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42,125,755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760" w:type="dxa"/>
            <w:vAlign w:val="bottom"/>
            <w:vMerge w:val="restart"/>
          </w:tcPr>
          <w:p>
            <w:pPr>
              <w:jc w:val="right"/>
              <w:ind w:right="1194"/>
              <w:spacing w:after="0"/>
              <w:rPr>
                <w:sz w:val="20"/>
                <w:szCs w:val="20"/>
                <w:color w:val="auto"/>
              </w:rPr>
            </w:pPr>
            <w:r>
              <w:rPr>
                <w:rFonts w:ascii="Arial" w:cs="Arial" w:eastAsia="Arial" w:hAnsi="Arial"/>
                <w:sz w:val="18"/>
                <w:szCs w:val="18"/>
                <w:color w:val="auto"/>
              </w:rPr>
              <w:t>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Although no participating employer has expressed any intent to do so, each participating employer has the right under the Plan to discontinue its contributions and to terminate the Plan subject to the provisions of ERISA. Additionally, Comcast Spectacor, L.P. has the right to terminate the Plan. In the event of Plan termination, participants will become 100% vested in their accounts.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ind w:left="1480" w:right="100" w:hanging="567"/>
        <w:spacing w:after="0" w:line="294"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 In June 2009 the Plan received a determination letter from the IRS stating that the Plan is qualified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401(a) of the Internal Revenue Code (the “Code”) subject to the adoption of an amendment which was adopted on August 14, 2009 and effective January 1, 2007. As a result, the Plan remains exempt from taxation. The Plan is required to operate in conformity with the Code to maintain its qualified status. The Plan Administrator believes the Plan is being operated in compliance with the applicable requirements of the Code and no provision for income taxes has been included in the Plan’s financial statements.</w:t>
      </w:r>
    </w:p>
    <w:p>
      <w:pPr>
        <w:spacing w:after="0" w:line="34" w:lineRule="exact"/>
        <w:rPr>
          <w:rFonts w:ascii="Arial" w:cs="Arial" w:eastAsia="Arial" w:hAnsi="Arial"/>
          <w:sz w:val="16"/>
          <w:szCs w:val="16"/>
          <w:color w:val="auto"/>
        </w:rPr>
      </w:pPr>
    </w:p>
    <w:p>
      <w:pPr>
        <w:ind w:left="148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59" w:lineRule="exact"/>
        <w:rPr>
          <w:rFonts w:ascii="Arial" w:cs="Arial" w:eastAsia="Arial" w:hAnsi="Arial"/>
          <w:sz w:val="18"/>
          <w:szCs w:val="18"/>
          <w:color w:val="auto"/>
        </w:rPr>
      </w:pPr>
    </w:p>
    <w:p>
      <w:pPr>
        <w:ind w:left="1480" w:right="20" w:hanging="567"/>
        <w:spacing w:after="0" w:line="294"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w:t>
      </w:r>
      <w:r>
        <w:rPr>
          <w:rFonts w:ascii="Arial" w:cs="Arial" w:eastAsia="Arial" w:hAnsi="Arial"/>
          <w:sz w:val="16"/>
          <w:szCs w:val="16"/>
          <w:color w:val="auto"/>
        </w:rPr>
        <w:t>— In accordance with Accounting Standards Codification (ASC) 740-10-50-15 c – e, the Plan Administrator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analyzed the tax positions taken by the Plan and has concluded that as of December 31, 2010,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2007.</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NON EXEMPT PARTY IN INTEREST TRANSACTIONS</w:t>
      </w:r>
    </w:p>
    <w:p>
      <w:pPr>
        <w:spacing w:after="0" w:line="96" w:lineRule="exact"/>
        <w:rPr>
          <w:rFonts w:ascii="Arial" w:cs="Arial" w:eastAsia="Arial" w:hAnsi="Arial"/>
          <w:sz w:val="18"/>
          <w:szCs w:val="18"/>
          <w:b w:val="1"/>
          <w:bCs w:val="1"/>
          <w:color w:val="auto"/>
        </w:rPr>
      </w:pPr>
    </w:p>
    <w:p>
      <w:pPr>
        <w:ind w:left="460" w:right="20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For the Plan years 2010 and 2009, the Company has not remitted certain participant contributions and loan repayments to the Trustee in a timely manner based on when the participant contributions and loan repayments were withheld from participant paychecks as required under Department of Labor Regulation §2510.3-102. The Company is in the process of filing IRS Form 5330 to report and pay an excise tax with respect to the late remittances as required pursuant to Section 4975 of the Code. In addition, participant accounts will be credited with the amount of investment income that would have been earned had the participant contributions been remitted on a timely basis. Such amounts are not material to the Plan’s financial statements.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H—PART IV—LINE 4i-SCHEDULE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0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1"/>
              </w:rPr>
              <w:t>EIN 23-2303756</w:t>
            </w:r>
          </w:p>
        </w:tc>
      </w:tr>
      <w:tr>
        <w:trPr>
          <w:trHeight w:val="228"/>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PLAN #004</w:t>
            </w:r>
          </w:p>
        </w:tc>
      </w:tr>
      <w:tr>
        <w:trPr>
          <w:trHeight w:val="340"/>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6"/>
              </w:rPr>
              <w:t>(c) Description of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Investment,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Including Maturity Date,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Rate of Interest, Collateral,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 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75"/>
        </w:trPr>
        <w:tc>
          <w:tcPr>
            <w:tcW w:w="680" w:type="dxa"/>
            <w:vAlign w:val="bottom"/>
          </w:tcPr>
          <w:p>
            <w:pPr>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Value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00" w:type="dxa"/>
            <w:vAlign w:val="bottom"/>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EuroPacific Growth Fund - F Share</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5,212,875</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Washington Mutual Investors Fund - F Share</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6,597,285</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The Growth Fund of America - F Share</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8,777,110</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Baron Growth Fund</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4,142,352</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Cohen and Steers Realty Shares</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1,309,232</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Dreyfus Appreciation Fund</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1,125,773</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ING GNMA Income Fund</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1,338,485</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Dreyfus US Treasury Long Term Fund</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1,133,957</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Dreyfus Premier Emerging Markets Fund</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6,676,654</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Janus Balanced Fund</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4,282,732</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Wells Fargo Advantage Government Securities Fund</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3,446,246</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Royce Total Return Fund</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3,108,326</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Western Asset Government Money Market Exchange Class A</w:t>
            </w: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Money Market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2,995,819</w:t>
            </w:r>
          </w:p>
        </w:tc>
        <w:tc>
          <w:tcPr>
            <w:tcW w:w="1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International Bond Advisor</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1,027,503</w:t>
            </w:r>
          </w:p>
        </w:tc>
        <w:tc>
          <w:tcPr>
            <w:tcW w:w="100" w:type="dxa"/>
            <w:vAlign w:val="bottom"/>
            <w:shd w:val="clear" w:color="auto" w:fill="CCEEFF"/>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American Century Vista Advisors</w:t>
            </w:r>
          </w:p>
        </w:tc>
        <w:tc>
          <w:tcPr>
            <w:tcW w:w="2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Mutual fund</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893,372</w:t>
            </w:r>
          </w:p>
        </w:tc>
        <w:tc>
          <w:tcPr>
            <w:tcW w:w="100" w:type="dxa"/>
            <w:vAlign w:val="bottom"/>
          </w:tcPr>
          <w:p>
            <w:pPr>
              <w:spacing w:after="0"/>
              <w:rPr>
                <w:sz w:val="19"/>
                <w:szCs w:val="19"/>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52,067,721</w:t>
            </w:r>
          </w:p>
        </w:tc>
        <w:tc>
          <w:tcPr>
            <w:tcW w:w="100" w:type="dxa"/>
            <w:vAlign w:val="bottom"/>
            <w:shd w:val="clear" w:color="auto" w:fill="CCEEFF"/>
          </w:tcPr>
          <w:p>
            <w:pPr>
              <w:spacing w:after="0"/>
              <w:rPr>
                <w:sz w:val="18"/>
                <w:szCs w:val="18"/>
                <w:color w:val="auto"/>
              </w:rPr>
            </w:pPr>
          </w:p>
        </w:tc>
      </w:tr>
      <w:tr>
        <w:trPr>
          <w:trHeight w:val="322"/>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Comcast Stock Fund</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Unitized stock fund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4,102,719</w:t>
            </w:r>
          </w:p>
        </w:tc>
        <w:tc>
          <w:tcPr>
            <w:tcW w:w="100" w:type="dxa"/>
            <w:vAlign w:val="bottom"/>
          </w:tcPr>
          <w:p>
            <w:pPr>
              <w:spacing w:after="0"/>
              <w:rPr>
                <w:sz w:val="24"/>
                <w:szCs w:val="24"/>
                <w:color w:val="auto"/>
              </w:rPr>
            </w:pPr>
          </w:p>
        </w:tc>
      </w:tr>
      <w:tr>
        <w:trPr>
          <w:trHeight w:val="110"/>
        </w:trPr>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receivable from participants</w:t>
            </w:r>
          </w:p>
        </w:tc>
        <w:tc>
          <w:tcPr>
            <w:tcW w:w="20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rates from 4.25%-10.25%;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balance plus accrued but unpaid interest)</w:t>
            </w:r>
          </w:p>
        </w:tc>
        <w:tc>
          <w:tcPr>
            <w:tcW w:w="200" w:type="dxa"/>
            <w:vAlign w:val="bottom"/>
            <w:shd w:val="clear" w:color="auto" w:fill="CCEEFF"/>
          </w:tcPr>
          <w:p>
            <w:pPr>
              <w:spacing w:after="0"/>
              <w:rPr>
                <w:sz w:val="20"/>
                <w:szCs w:val="20"/>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maturities from 2011-2038</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1,322,136</w:t>
            </w:r>
          </w:p>
        </w:tc>
        <w:tc>
          <w:tcPr>
            <w:tcW w:w="100" w:type="dxa"/>
            <w:vAlign w:val="bottom"/>
            <w:shd w:val="clear" w:color="auto" w:fill="CCEEFF"/>
          </w:tcPr>
          <w:p>
            <w:pPr>
              <w:spacing w:after="0"/>
              <w:rPr>
                <w:sz w:val="20"/>
                <w:szCs w:val="20"/>
                <w:color w:val="auto"/>
              </w:rPr>
            </w:pP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57,492,576</w:t>
            </w:r>
          </w:p>
        </w:tc>
        <w:tc>
          <w:tcPr>
            <w:tcW w:w="10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b w:val="1"/>
          <w:bCs w:val="1"/>
          <w:color w:val="auto"/>
        </w:rPr>
        <w:t>SCHEDULE H—PART IV—LINE 4a—SCHEDULE OF DELINQUENT PARTICIPANT CONTRIBUTIONS FOR THE YEARS ENDED DECEMBER 31,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w:t>
      </w:r>
    </w:p>
    <w:p>
      <w:pPr>
        <w:spacing w:after="0" w:line="15" w:lineRule="exact"/>
        <w:rPr>
          <w:sz w:val="20"/>
          <w:szCs w:val="20"/>
          <w:color w:val="auto"/>
        </w:rPr>
      </w:pPr>
    </w:p>
    <w:p>
      <w:pPr>
        <w:ind w:right="1300"/>
        <w:spacing w:after="0" w:line="261" w:lineRule="auto"/>
        <w:rPr>
          <w:sz w:val="20"/>
          <w:szCs w:val="20"/>
          <w:color w:val="auto"/>
        </w:rPr>
      </w:pPr>
      <w:r>
        <w:rPr>
          <w:rFonts w:ascii="Arial" w:cs="Arial" w:eastAsia="Arial" w:hAnsi="Arial"/>
          <w:sz w:val="18"/>
          <w:szCs w:val="18"/>
          <w:color w:val="auto"/>
        </w:rPr>
        <w:t>Transferred Late to Plan for year ended 12/31/2010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w:t>
      </w:r>
    </w:p>
    <w:p>
      <w:pPr>
        <w:spacing w:after="0" w:line="15" w:lineRule="exact"/>
        <w:rPr>
          <w:sz w:val="20"/>
          <w:szCs w:val="20"/>
          <w:color w:val="auto"/>
        </w:rPr>
      </w:pPr>
    </w:p>
    <w:p>
      <w:pPr>
        <w:ind w:right="1300"/>
        <w:spacing w:after="0" w:line="261" w:lineRule="auto"/>
        <w:rPr>
          <w:sz w:val="20"/>
          <w:szCs w:val="20"/>
          <w:color w:val="auto"/>
        </w:rPr>
      </w:pPr>
      <w:r>
        <w:rPr>
          <w:rFonts w:ascii="Arial" w:cs="Arial" w:eastAsia="Arial" w:hAnsi="Arial"/>
          <w:sz w:val="18"/>
          <w:szCs w:val="18"/>
          <w:color w:val="auto"/>
        </w:rPr>
        <w:t>Transferred Late to Plan for year ended 12/31/2009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40" w:type="dxa"/>
            <w:vAlign w:val="bottom"/>
            <w:gridSpan w:val="7"/>
          </w:tcPr>
          <w:p>
            <w:pPr>
              <w:jc w:val="center"/>
              <w:spacing w:after="0"/>
              <w:rPr>
                <w:sz w:val="20"/>
                <w:szCs w:val="20"/>
                <w:color w:val="auto"/>
              </w:rPr>
            </w:pPr>
            <w:r>
              <w:rPr>
                <w:rFonts w:ascii="Arial" w:cs="Arial" w:eastAsia="Arial" w:hAnsi="Arial"/>
                <w:sz w:val="18"/>
                <w:szCs w:val="18"/>
                <w:color w:val="auto"/>
                <w:w w:val="88"/>
              </w:rPr>
              <w:t>Total that Constitute Nonexempt Prohibited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Transactions</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0"/>
              </w:rPr>
              <w:t>Contributions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2"/>
              <w:spacing w:after="0" w:line="203" w:lineRule="exact"/>
              <w:rPr>
                <w:sz w:val="20"/>
                <w:szCs w:val="20"/>
                <w:color w:val="auto"/>
              </w:rPr>
            </w:pPr>
            <w:r>
              <w:rPr>
                <w:rFonts w:ascii="Arial" w:cs="Arial" w:eastAsia="Arial" w:hAnsi="Arial"/>
                <w:sz w:val="18"/>
                <w:szCs w:val="18"/>
                <w:color w:val="auto"/>
                <w:w w:val="91"/>
              </w:rPr>
              <w:t>Total Fully</w:t>
            </w: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Contributions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7"/>
              </w:rPr>
              <w:t>Pending</w:t>
            </w:r>
          </w:p>
        </w:tc>
        <w:tc>
          <w:tcPr>
            <w:tcW w:w="1980" w:type="dxa"/>
            <w:vAlign w:val="bottom"/>
            <w:gridSpan w:val="3"/>
          </w:tcPr>
          <w:p>
            <w:pPr>
              <w:jc w:val="center"/>
              <w:ind w:left="732"/>
              <w:spacing w:after="0"/>
              <w:rPr>
                <w:sz w:val="20"/>
                <w:szCs w:val="20"/>
                <w:color w:val="auto"/>
              </w:rPr>
            </w:pPr>
            <w:r>
              <w:rPr>
                <w:rFonts w:ascii="Arial" w:cs="Arial" w:eastAsia="Arial" w:hAnsi="Arial"/>
                <w:sz w:val="18"/>
                <w:szCs w:val="18"/>
                <w:color w:val="auto"/>
                <w:w w:val="87"/>
              </w:rPr>
              <w:t>Corrected Under</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Contributions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Corrected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9"/>
              </w:rPr>
              <w:t>Correction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2"/>
              <w:spacing w:after="0"/>
              <w:rPr>
                <w:sz w:val="20"/>
                <w:szCs w:val="20"/>
                <w:color w:val="auto"/>
              </w:rPr>
            </w:pPr>
            <w:r>
              <w:rPr>
                <w:rFonts w:ascii="Arial" w:cs="Arial" w:eastAsia="Arial" w:hAnsi="Arial"/>
                <w:sz w:val="18"/>
                <w:szCs w:val="18"/>
                <w:color w:val="auto"/>
                <w:w w:val="86"/>
              </w:rPr>
              <w:t>VFCP and</w:t>
            </w:r>
          </w:p>
        </w:tc>
      </w:tr>
      <w:tr>
        <w:trPr>
          <w:trHeight w:val="223"/>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Not Corrected</w:t>
            </w:r>
          </w:p>
        </w:tc>
        <w:tc>
          <w:tcPr>
            <w:tcW w:w="72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Outside VFCP</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2"/>
              </w:rPr>
              <w:t>in VFCP</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PTE 2002-51</w:t>
            </w:r>
          </w:p>
        </w:tc>
      </w:tr>
      <w:tr>
        <w:trPr>
          <w:trHeight w:val="76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$48,218</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77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$22,137</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65"/>
        </w:trPr>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-1138555</wp:posOffset>
            </wp:positionV>
            <wp:extent cx="724662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ectPr>
          <w:pgSz w:w="11900" w:h="16838" w:orient="portrait"/>
          <w:cols w:equalWidth="0" w:num="2">
            <w:col w:w="4080" w:space="720"/>
            <w:col w:w="6520"/>
          </w:cols>
          <w:pgMar w:left="240" w:top="459"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 333-101295 of Comcast Corporation on Form S-8 of our report dated June 28, 2011, relating to the statements of net assets available for benefits as of December 31, 2010 and 2009, the related statement of changes in net assets available for benefits for the year ended December 31, 2010 and the related supplemental Schedule H—Part IV, Line 4i—Schedule of Assets (Held at End of Year) as of December 31, 2010 and Schedule H—Line 4a—Schedule of Delinquent Participant Contributions for the years ended December 31, 2010 and 2009, which report appears in the December 31, 2010 Annual Report on Form 11-K of the Comcast Spectacor 401(k)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COMCAST SPECTACOR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2011</w:t>
      </w:r>
    </w:p>
    <w:p>
      <w:pPr>
        <w:spacing w:after="0" w:line="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6985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Controller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2019-12-10T22:45:30Z</dcterms:created>
  <dcterms:modified xsi:type="dcterms:W3CDTF">2019-12-10T22:45:30Z</dcterms:modified>
</cp:coreProperties>
</file>