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-744855</wp:posOffset>
            </wp:positionV>
            <wp:extent cx="6732905" cy="4469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46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0" w:num="1">
            <w:col w:w="10560"/>
          </w:cols>
          <w:pgMar w:left="660" w:top="556" w:right="680" w:bottom="1440" w:gutter="0" w:footer="0" w:header="0"/>
        </w:sectPr>
      </w:pP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vertAlign w:val="superscript"/>
              </w:rPr>
              <w:t>*</w:t>
            </w:r>
          </w:p>
        </w:tc>
        <w:tc>
          <w:tcPr>
            <w:tcW w:w="1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  <w:w w:val="99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  <w:w w:val="99"/>
                </w:rPr>
                <w:t>COMCAST CORP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Versant Media Group,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VSNT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4640" w:space="160"/>
            <w:col w:w="5760"/>
          </w:cols>
          <w:pgMar w:left="660" w:top="556" w:right="680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1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COMCAST CENTER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4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19103-2838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220" w:firstLine="7"/>
        <w:spacing w:after="0" w:line="303" w:lineRule="auto"/>
        <w:tabs>
          <w:tab w:leader="none" w:pos="12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13"/>
        <w:spacing w:after="0"/>
        <w:tabs>
          <w:tab w:leader="none" w:pos="16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4300" cy="95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2"/>
          <w:szCs w:val="12"/>
          <w:color w:val="auto"/>
        </w:rPr>
        <w:t xml:space="preserve">   10% Owner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19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4" w:right="520" w:firstLine="4"/>
        <w:spacing w:after="0" w:line="307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If Amendment, Date of Original Filed (Month/Day/Year)</w:t>
      </w:r>
    </w:p>
    <w:p>
      <w:pPr>
        <w:spacing w:after="0" w:line="79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-4" w:right="440" w:firstLine="4"/>
        <w:spacing w:after="0" w:line="307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Individual or Joint/Group Filing (Check Applicable 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" w:right="64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4087" w:space="720"/>
            <w:col w:w="2753" w:space="404"/>
            <w:col w:w="2596"/>
          </w:cols>
          <w:pgMar w:left="660" w:top="556" w:right="680" w:bottom="1440" w:gutter="0" w:footer="0" w:header="0"/>
          <w:type w:val="continuous"/>
        </w:sectPr>
      </w:pP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100" w:val="left"/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4700" w:val="left"/>
          <w:tab w:leader="none" w:pos="6700" w:val="left"/>
          <w:tab w:leader="none" w:pos="7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1. Title of Security (Instr. 4)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2. Amount of Securities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3. Ownership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4. Nature of Indirect Beneficial Ownership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720"/>
        <w:spacing w:after="0"/>
        <w:tabs>
          <w:tab w:leader="none" w:pos="6700" w:val="left"/>
          <w:tab w:leader="none" w:pos="7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Beneficially Owned (Instr. 4)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Form: Direct 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(Instr. 5)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or Indirect (I)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(Instr. 5)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</w:t>
            </w: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Elizabeth Wideman,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authorized signatory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5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11" Type="http://schemas.openxmlformats.org/officeDocument/2006/relationships/image" Target="media/image2.jpeg"/><Relationship Id="rId9" Type="http://schemas.openxmlformats.org/officeDocument/2006/relationships/hyperlink" Target="http://www.sec.gov/cgi-bin/browse-edgar?action=getcompany&amp;CIK=0001166691" TargetMode="External"/><Relationship Id="rId10" Type="http://schemas.openxmlformats.org/officeDocument/2006/relationships/hyperlink" Target="http://www.sec.gov/cgi-bin/browse-edgar?action=getcompany&amp;CIK=0002067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2025-12-08T15:28:33Z</dcterms:created>
  <dcterms:modified xsi:type="dcterms:W3CDTF">2025-12-08T15:28:33Z</dcterms:modified>
</cp:coreProperties>
</file>