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7"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00" w:lineRule="exact"/>
        <w:rPr>
          <w:sz w:val="24"/>
          <w:szCs w:val="24"/>
          <w:color w:val="auto"/>
        </w:rPr>
      </w:pPr>
    </w:p>
    <w:p>
      <w:pPr>
        <w:spacing w:after="0" w:line="28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communication was made available by a blog post on Comcast’s website:</w:t>
      </w:r>
    </w:p>
    <w:p>
      <w:pPr>
        <w:spacing w:after="0" w:line="217" w:lineRule="exact"/>
        <w:rPr>
          <w:sz w:val="24"/>
          <w:szCs w:val="24"/>
          <w:color w:val="auto"/>
        </w:rPr>
      </w:pPr>
    </w:p>
    <w:p>
      <w:pPr>
        <w:ind w:right="40"/>
        <w:spacing w:after="0" w:line="271" w:lineRule="auto"/>
        <w:rPr>
          <w:sz w:val="20"/>
          <w:szCs w:val="20"/>
          <w:color w:val="auto"/>
        </w:rPr>
      </w:pPr>
      <w:r>
        <w:rPr>
          <w:rFonts w:ascii="Arial" w:cs="Arial" w:eastAsia="Arial" w:hAnsi="Arial"/>
          <w:sz w:val="18"/>
          <w:szCs w:val="18"/>
          <w:b w:val="1"/>
          <w:bCs w:val="1"/>
          <w:color w:val="auto"/>
        </w:rPr>
        <w:t>Comcast Reaches Agreement with Charter to Divest 3.9 Million Customers Marking an Important Milestone toward Comcast’s Merger with Time Warner Cable</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By David L. Cohen, Executive Vice President, Comcast Corporation</w:t>
      </w:r>
    </w:p>
    <w:p>
      <w:pPr>
        <w:spacing w:after="0" w:line="198" w:lineRule="exact"/>
        <w:rPr>
          <w:sz w:val="24"/>
          <w:szCs w:val="24"/>
          <w:color w:val="auto"/>
        </w:rPr>
      </w:pPr>
    </w:p>
    <w:p>
      <w:pPr>
        <w:ind w:right="420"/>
        <w:spacing w:after="0" w:line="246" w:lineRule="auto"/>
        <w:rPr>
          <w:sz w:val="20"/>
          <w:szCs w:val="20"/>
          <w:color w:val="auto"/>
        </w:rPr>
      </w:pPr>
      <w:r>
        <w:rPr>
          <w:rFonts w:ascii="Arial" w:cs="Arial" w:eastAsia="Arial" w:hAnsi="Arial"/>
          <w:sz w:val="18"/>
          <w:szCs w:val="18"/>
          <w:color w:val="auto"/>
        </w:rPr>
        <w:t>In February, we announced our intention to acquire Time Warner Cable as we continue on our path to create a world-class technology and media company. At that time, we also said that we were prepared to divest about three million customers.</w:t>
      </w:r>
    </w:p>
    <w:p>
      <w:pPr>
        <w:spacing w:after="0" w:line="224" w:lineRule="exact"/>
        <w:rPr>
          <w:sz w:val="24"/>
          <w:szCs w:val="24"/>
          <w:color w:val="auto"/>
        </w:rPr>
      </w:pPr>
    </w:p>
    <w:p>
      <w:pPr>
        <w:ind w:right="20"/>
        <w:spacing w:after="0" w:line="239" w:lineRule="auto"/>
        <w:rPr>
          <w:sz w:val="20"/>
          <w:szCs w:val="20"/>
          <w:color w:val="auto"/>
        </w:rPr>
      </w:pPr>
      <w:r>
        <w:rPr>
          <w:rFonts w:ascii="Arial" w:cs="Arial" w:eastAsia="Arial" w:hAnsi="Arial"/>
          <w:sz w:val="18"/>
          <w:szCs w:val="18"/>
          <w:color w:val="auto"/>
        </w:rPr>
        <w:t>Today, in a joint announcement with Charter Communications, we announced that we will divest approximately 3.9 million residential video customers following the close of the Comcast-Time Warner Cable merger, which will reduce our post-transaction managed residential customer total to less than 30 percent of the total number of MVPD customers in the United States, while maintaining the compelling strategic and financial rationale of the merger with Time Warner Cable.</w:t>
      </w:r>
    </w:p>
    <w:p>
      <w:pPr>
        <w:spacing w:after="0" w:line="229" w:lineRule="exact"/>
        <w:rPr>
          <w:sz w:val="24"/>
          <w:szCs w:val="24"/>
          <w:color w:val="auto"/>
        </w:rPr>
      </w:pPr>
    </w:p>
    <w:p>
      <w:pPr>
        <w:ind w:right="380"/>
        <w:spacing w:after="0"/>
        <w:rPr>
          <w:sz w:val="20"/>
          <w:szCs w:val="20"/>
          <w:color w:val="auto"/>
        </w:rPr>
      </w:pPr>
      <w:r>
        <w:rPr>
          <w:rFonts w:ascii="Arial" w:cs="Arial" w:eastAsia="Arial" w:hAnsi="Arial"/>
          <w:sz w:val="18"/>
          <w:szCs w:val="18"/>
          <w:color w:val="auto"/>
        </w:rPr>
        <w:t>These transactions will enhance Comcast’s ability to serve consumers and businesses by improving our geographic presence, leading to greater operational efficiencies, improved technology deployment, and enhanced customer service. These divestitures will also strengthen Charter and create a new, vibrant cable provider. They also will enable us to deliver meaningful value to our shareholders.</w:t>
      </w:r>
    </w:p>
    <w:p>
      <w:pPr>
        <w:spacing w:after="0" w:line="189" w:lineRule="exact"/>
        <w:rPr>
          <w:sz w:val="24"/>
          <w:szCs w:val="24"/>
          <w:color w:val="auto"/>
        </w:rPr>
      </w:pPr>
    </w:p>
    <w:p>
      <w:pPr>
        <w:ind w:right="60"/>
        <w:spacing w:after="0"/>
        <w:rPr>
          <w:sz w:val="20"/>
          <w:szCs w:val="20"/>
          <w:color w:val="auto"/>
        </w:rPr>
      </w:pPr>
      <w:r>
        <w:rPr>
          <w:rFonts w:ascii="Arial" w:cs="Arial" w:eastAsia="Arial" w:hAnsi="Arial"/>
          <w:sz w:val="18"/>
          <w:szCs w:val="18"/>
          <w:color w:val="auto"/>
        </w:rPr>
        <w:t>These transactions also mark an important step in Comcast’s merger with Time Warner Cable. We believe today’s announcement will facilitate the regulatory review process, as there is now a firm commitment regarding divestitures, relatively early in the process, and the divestiture transactions can be reviewed at the same time as our merger with Time Warner Cable.</w:t>
      </w:r>
    </w:p>
    <w:p>
      <w:pPr>
        <w:spacing w:after="0" w:line="189" w:lineRule="exact"/>
        <w:rPr>
          <w:sz w:val="24"/>
          <w:szCs w:val="24"/>
          <w:color w:val="auto"/>
        </w:rPr>
      </w:pPr>
    </w:p>
    <w:p>
      <w:pPr>
        <w:ind w:right="220"/>
        <w:spacing w:after="0" w:line="246" w:lineRule="auto"/>
        <w:rPr>
          <w:sz w:val="20"/>
          <w:szCs w:val="20"/>
          <w:color w:val="auto"/>
        </w:rPr>
      </w:pPr>
      <w:r>
        <w:rPr>
          <w:rFonts w:ascii="Arial" w:cs="Arial" w:eastAsia="Arial" w:hAnsi="Arial"/>
          <w:sz w:val="18"/>
          <w:szCs w:val="18"/>
          <w:color w:val="auto"/>
        </w:rPr>
        <w:t>The divestiture will be executed through three separate transactions, which will follow and are subject to the completion of the Comcast-Time Warner Cable merger:</w:t>
      </w:r>
    </w:p>
    <w:p>
      <w:pPr>
        <w:spacing w:after="0" w:line="183" w:lineRule="exact"/>
        <w:rPr>
          <w:sz w:val="24"/>
          <w:szCs w:val="24"/>
          <w:color w:val="auto"/>
        </w:rPr>
      </w:pPr>
    </w:p>
    <w:p>
      <w:pPr>
        <w:ind w:left="660" w:right="300" w:hanging="328"/>
        <w:spacing w:after="0" w:line="24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Comcast will divest Time Warner Cable systems serving approximately 1.4 million existing Time Warner Cable customers directly to Charter for cash.</w:t>
      </w:r>
    </w:p>
    <w:p>
      <w:pPr>
        <w:spacing w:after="0" w:line="183" w:lineRule="exact"/>
        <w:rPr>
          <w:rFonts w:ascii="Arial" w:cs="Arial" w:eastAsia="Arial" w:hAnsi="Arial"/>
          <w:sz w:val="18"/>
          <w:szCs w:val="18"/>
          <w:color w:val="auto"/>
        </w:rPr>
      </w:pPr>
    </w:p>
    <w:p>
      <w:pPr>
        <w:ind w:left="660" w:right="24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Comcast and Charter will transfer assets serving approximately 1.6 million existing Time Warner Cable and Charter customers each, improving the geographic presence of both companies, which will lead to greater operational efficiencies, improved technology deployment, and enhanced customer service.</w:t>
      </w:r>
    </w:p>
    <w:p>
      <w:pPr>
        <w:spacing w:after="0" w:line="229" w:lineRule="exact"/>
        <w:rPr>
          <w:rFonts w:ascii="Arial" w:cs="Arial" w:eastAsia="Arial" w:hAnsi="Arial"/>
          <w:sz w:val="18"/>
          <w:szCs w:val="18"/>
          <w:color w:val="auto"/>
        </w:rPr>
      </w:pPr>
    </w:p>
    <w:p>
      <w:pPr>
        <w:ind w:left="660" w:right="180" w:hanging="328"/>
        <w:spacing w:after="0" w:line="23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Comcast will form and then spin off to its shareholders a new, independent, publicly-traded company (“SpinCo”) that will operate systems serving approximately 2.5 million existing Comcast customers. SpinCo will be a vibrant new MVPD provider in the Midwest and South that will continue to provide top-quality video, broadband, and voice services to its customers and have substantial growth potential for the future. It will have a nine-member Board of Directors that will include six independent directors and three directors appointed by Charter. Charter will provide operational support for the SpinCo systems under a services agreement, although SpinCo will have its own independent management team.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532130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ind w:right="160"/>
        <w:spacing w:after="0"/>
        <w:rPr>
          <w:sz w:val="20"/>
          <w:szCs w:val="20"/>
          <w:color w:val="auto"/>
        </w:rPr>
      </w:pPr>
      <w:r>
        <w:rPr>
          <w:rFonts w:ascii="Arial" w:cs="Arial" w:eastAsia="Arial" w:hAnsi="Arial"/>
          <w:sz w:val="18"/>
          <w:szCs w:val="18"/>
          <w:color w:val="auto"/>
        </w:rPr>
        <w:t>We understand that whenever big mergers are presented they raise questions. We of course will continue to work with regulators and legislators to address their questions and we expect a thorough review of all of these transactions. We continue to believe the Comcast-Time Warner Cable transaction is, and will be determined to be, pro-consumer, pro-competitive, and strongly in the public interest.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3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in connection with the proposed transaction between Comcast and Time Warner Cable Inc. (“Time Warner Cable”), on March 20, 2014, Comcast filed with the SEC a registration statement on 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3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556260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2" w:name="page3"/>
    <w:bookmarkEnd w:id="2"/>
    <w:p>
      <w:pPr>
        <w:ind w:right="20"/>
        <w:spacing w:after="0" w:line="235"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and its preliminary proxy statement for its 2014 annual meeting of stockholders, which was filed with the SEC on April 8, 2014. Information about the directors and executive officers of Comcast is set forth in its Annual Report on Form 10-K for the year ended December 31, 2013, which was filed with the SEC on February 12, 2014, and its proxy statement for its 2014 annual meeting of stockholders, which was filed with the SEC on April 11, 2014. Information about the directors and executive officers of Charter is set forth in its Annual Report on Form 10-K for the year ended December 31, 2013, which was filed with the SEC on February 21, 2014, and its proxy statement for its 2014 annual meeting of stockholders, which was filed with the SEC on March 27,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53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2019-12-16T12:40:39Z</dcterms:created>
  <dcterms:modified xsi:type="dcterms:W3CDTF">2019-12-16T12:40:39Z</dcterms:modified>
</cp:coreProperties>
</file>