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145415</wp:posOffset>
            </wp:positionH>
            <wp:positionV relativeFrom="page">
              <wp:posOffset>145415</wp:posOffset>
            </wp:positionV>
            <wp:extent cx="727075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28575"/>
                    </a:xfrm>
                    <a:prstGeom prst="rect">
                      <a:avLst/>
                    </a:prstGeom>
                    <a:noFill/>
                  </pic:spPr>
                </pic:pic>
              </a:graphicData>
            </a:graphic>
          </wp:anchor>
        </w:drawing>
        <w:drawing>
          <wp:anchor simplePos="0" relativeHeight="251657728" behindDoc="1" locked="0" layoutInCell="0" allowOverlap="1">
            <wp:simplePos x="0" y="0"/>
            <wp:positionH relativeFrom="page">
              <wp:posOffset>145415</wp:posOffset>
            </wp:positionH>
            <wp:positionV relativeFrom="page">
              <wp:posOffset>187960</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164465</wp:posOffset>
            </wp:positionV>
            <wp:extent cx="155321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3210" cy="1968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FORM 8-K</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CURRENT REPORT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13 Or 15(d) of</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 February 2, 2006</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(Exact Name of Registrant as Specified in Charter)</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Pennsylvania</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165" w:lineRule="exact"/>
        <w:rPr>
          <w:sz w:val="24"/>
          <w:szCs w:val="24"/>
          <w:color w:val="auto"/>
        </w:rPr>
      </w:pPr>
    </w:p>
    <w:tbl>
      <w:tblPr>
        <w:tblLayout w:type="fixed"/>
        <w:tblInd w:w="1920" w:type="dxa"/>
        <w:tblCellMar>
          <w:top w:w="0" w:type="dxa"/>
          <w:left w:w="0" w:type="dxa"/>
          <w:bottom w:w="0" w:type="dxa"/>
          <w:right w:w="0" w:type="dxa"/>
        </w:tblCellMar>
      </w:tblPr>
      <w:tr>
        <w:trPr>
          <w:trHeight w:val="178"/>
        </w:trPr>
        <w:tc>
          <w:tcPr>
            <w:tcW w:w="3880" w:type="dxa"/>
            <w:vAlign w:val="bottom"/>
          </w:tcPr>
          <w:p>
            <w:pPr>
              <w:jc w:val="center"/>
              <w:ind w:right="1914"/>
              <w:spacing w:after="0"/>
              <w:rPr>
                <w:sz w:val="20"/>
                <w:szCs w:val="20"/>
                <w:color w:val="auto"/>
              </w:rPr>
            </w:pPr>
            <w:r>
              <w:rPr>
                <w:rFonts w:ascii="Arial" w:cs="Arial" w:eastAsia="Arial" w:hAnsi="Arial"/>
                <w:sz w:val="14"/>
                <w:szCs w:val="14"/>
                <w:b w:val="1"/>
                <w:bCs w:val="1"/>
                <w:color w:val="auto"/>
                <w:w w:val="92"/>
              </w:rPr>
              <w:t>000-50093</w:t>
            </w:r>
          </w:p>
        </w:tc>
        <w:tc>
          <w:tcPr>
            <w:tcW w:w="3600" w:type="dxa"/>
            <w:vAlign w:val="bottom"/>
          </w:tcPr>
          <w:p>
            <w:pPr>
              <w:jc w:val="center"/>
              <w:ind w:left="1916"/>
              <w:spacing w:after="0"/>
              <w:rPr>
                <w:sz w:val="20"/>
                <w:szCs w:val="20"/>
                <w:color w:val="auto"/>
              </w:rPr>
            </w:pPr>
            <w:r>
              <w:rPr>
                <w:rFonts w:ascii="Arial" w:cs="Arial" w:eastAsia="Arial" w:hAnsi="Arial"/>
                <w:sz w:val="14"/>
                <w:szCs w:val="14"/>
                <w:b w:val="1"/>
                <w:bCs w:val="1"/>
                <w:color w:val="auto"/>
                <w:w w:val="93"/>
              </w:rPr>
              <w:t>27-0000798</w:t>
            </w:r>
          </w:p>
        </w:tc>
      </w:tr>
      <w:tr>
        <w:trPr>
          <w:trHeight w:val="143"/>
        </w:trPr>
        <w:tc>
          <w:tcPr>
            <w:tcW w:w="3880" w:type="dxa"/>
            <w:vAlign w:val="bottom"/>
          </w:tcPr>
          <w:p>
            <w:pPr>
              <w:jc w:val="center"/>
              <w:ind w:right="1914"/>
              <w:spacing w:after="0"/>
              <w:rPr>
                <w:sz w:val="20"/>
                <w:szCs w:val="20"/>
                <w:color w:val="auto"/>
              </w:rPr>
            </w:pPr>
            <w:r>
              <w:rPr>
                <w:rFonts w:ascii="Arial" w:cs="Arial" w:eastAsia="Arial" w:hAnsi="Arial"/>
                <w:sz w:val="11"/>
                <w:szCs w:val="11"/>
                <w:b w:val="1"/>
                <w:bCs w:val="1"/>
                <w:color w:val="auto"/>
                <w:w w:val="92"/>
              </w:rPr>
              <w:t>(Commission File Number)</w:t>
            </w:r>
          </w:p>
        </w:tc>
        <w:tc>
          <w:tcPr>
            <w:tcW w:w="3600" w:type="dxa"/>
            <w:vAlign w:val="bottom"/>
          </w:tcPr>
          <w:p>
            <w:pPr>
              <w:jc w:val="center"/>
              <w:ind w:left="1916"/>
              <w:spacing w:after="0"/>
              <w:rPr>
                <w:sz w:val="20"/>
                <w:szCs w:val="20"/>
                <w:color w:val="auto"/>
              </w:rPr>
            </w:pPr>
            <w:r>
              <w:rPr>
                <w:rFonts w:ascii="Arial" w:cs="Arial" w:eastAsia="Arial" w:hAnsi="Arial"/>
                <w:sz w:val="11"/>
                <w:szCs w:val="11"/>
                <w:b w:val="1"/>
                <w:bCs w:val="1"/>
                <w:color w:val="auto"/>
                <w:w w:val="94"/>
              </w:rPr>
              <w:t>(IRS Employer Identification No.)</w:t>
            </w:r>
          </w:p>
        </w:tc>
      </w:tr>
      <w:tr>
        <w:trPr>
          <w:trHeight w:val="344"/>
        </w:trPr>
        <w:tc>
          <w:tcPr>
            <w:tcW w:w="3880" w:type="dxa"/>
            <w:vAlign w:val="bottom"/>
          </w:tcPr>
          <w:p>
            <w:pPr>
              <w:jc w:val="center"/>
              <w:ind w:right="1894"/>
              <w:spacing w:after="0"/>
              <w:rPr>
                <w:sz w:val="20"/>
                <w:szCs w:val="20"/>
                <w:color w:val="auto"/>
              </w:rPr>
            </w:pPr>
            <w:r>
              <w:rPr>
                <w:rFonts w:ascii="Arial" w:cs="Arial" w:eastAsia="Arial" w:hAnsi="Arial"/>
                <w:sz w:val="14"/>
                <w:szCs w:val="14"/>
                <w:b w:val="1"/>
                <w:bCs w:val="1"/>
                <w:color w:val="auto"/>
                <w:w w:val="96"/>
              </w:rPr>
              <w:t>1500 Market Street</w:t>
            </w:r>
          </w:p>
        </w:tc>
        <w:tc>
          <w:tcPr>
            <w:tcW w:w="3600" w:type="dxa"/>
            <w:vAlign w:val="bottom"/>
          </w:tcPr>
          <w:p>
            <w:pPr>
              <w:spacing w:after="0"/>
              <w:rPr>
                <w:sz w:val="24"/>
                <w:szCs w:val="24"/>
                <w:color w:val="auto"/>
              </w:rPr>
            </w:pPr>
          </w:p>
        </w:tc>
      </w:tr>
      <w:tr>
        <w:trPr>
          <w:trHeight w:val="192"/>
        </w:trPr>
        <w:tc>
          <w:tcPr>
            <w:tcW w:w="3880" w:type="dxa"/>
            <w:vAlign w:val="bottom"/>
          </w:tcPr>
          <w:p>
            <w:pPr>
              <w:jc w:val="center"/>
              <w:ind w:right="1894"/>
              <w:spacing w:after="0"/>
              <w:rPr>
                <w:sz w:val="20"/>
                <w:szCs w:val="20"/>
                <w:color w:val="auto"/>
              </w:rPr>
            </w:pPr>
            <w:r>
              <w:rPr>
                <w:rFonts w:ascii="Arial" w:cs="Arial" w:eastAsia="Arial" w:hAnsi="Arial"/>
                <w:sz w:val="14"/>
                <w:szCs w:val="14"/>
                <w:b w:val="1"/>
                <w:bCs w:val="1"/>
                <w:color w:val="auto"/>
                <w:w w:val="94"/>
              </w:rPr>
              <w:t>Philadelphia, PA</w:t>
            </w:r>
          </w:p>
        </w:tc>
        <w:tc>
          <w:tcPr>
            <w:tcW w:w="3600" w:type="dxa"/>
            <w:vAlign w:val="bottom"/>
          </w:tcPr>
          <w:p>
            <w:pPr>
              <w:jc w:val="center"/>
              <w:ind w:left="1916"/>
              <w:spacing w:after="0"/>
              <w:rPr>
                <w:sz w:val="20"/>
                <w:szCs w:val="20"/>
                <w:color w:val="auto"/>
              </w:rPr>
            </w:pPr>
            <w:r>
              <w:rPr>
                <w:rFonts w:ascii="Arial" w:cs="Arial" w:eastAsia="Arial" w:hAnsi="Arial"/>
                <w:sz w:val="14"/>
                <w:szCs w:val="14"/>
                <w:b w:val="1"/>
                <w:bCs w:val="1"/>
                <w:color w:val="auto"/>
                <w:w w:val="93"/>
              </w:rPr>
              <w:t>19102-2148</w:t>
            </w:r>
          </w:p>
        </w:tc>
      </w:tr>
      <w:tr>
        <w:trPr>
          <w:trHeight w:val="143"/>
        </w:trPr>
        <w:tc>
          <w:tcPr>
            <w:tcW w:w="3880" w:type="dxa"/>
            <w:vAlign w:val="bottom"/>
          </w:tcPr>
          <w:p>
            <w:pPr>
              <w:jc w:val="center"/>
              <w:ind w:right="1914"/>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3600" w:type="dxa"/>
            <w:vAlign w:val="bottom"/>
          </w:tcPr>
          <w:p>
            <w:pPr>
              <w:jc w:val="center"/>
              <w:ind w:left="1936"/>
              <w:spacing w:after="0"/>
              <w:rPr>
                <w:sz w:val="20"/>
                <w:szCs w:val="20"/>
                <w:color w:val="auto"/>
              </w:rPr>
            </w:pPr>
            <w:r>
              <w:rPr>
                <w:rFonts w:ascii="Arial" w:cs="Arial" w:eastAsia="Arial" w:hAnsi="Arial"/>
                <w:sz w:val="11"/>
                <w:szCs w:val="11"/>
                <w:b w:val="1"/>
                <w:bCs w:val="1"/>
                <w:color w:val="auto"/>
                <w:w w:val="95"/>
              </w:rPr>
              <w:t>(Zip Code)</w:t>
            </w:r>
          </w:p>
        </w:tc>
      </w:tr>
    </w:tbl>
    <w:p>
      <w:pPr>
        <w:spacing w:after="0" w:line="15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(215) 665-1700</w:t>
      </w: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171450</wp:posOffset>
            </wp:positionV>
            <wp:extent cx="155321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3210" cy="1968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90" w:lineRule="exact"/>
        <w:rPr>
          <w:sz w:val="24"/>
          <w:szCs w:val="24"/>
          <w:color w:val="auto"/>
        </w:rPr>
      </w:pPr>
    </w:p>
    <w:p>
      <w:pPr>
        <w:ind w:left="580"/>
        <w:spacing w:after="0"/>
        <w:rPr>
          <w:sz w:val="20"/>
          <w:szCs w:val="20"/>
          <w:color w:val="auto"/>
        </w:rPr>
      </w:pPr>
      <w:r>
        <w:rPr>
          <w:rFonts w:ascii="Arial" w:cs="Arial" w:eastAsia="Arial" w:hAnsi="Arial"/>
          <w:sz w:val="14"/>
          <w:szCs w:val="14"/>
          <w:color w:val="auto"/>
        </w:rPr>
        <w:t>Written communications pursuant to Rule 425 under the Securities Act (17 CFR 230.425)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85090" cy="8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090" cy="85090"/>
                    </a:xfrm>
                    <a:prstGeom prst="rect">
                      <a:avLst/>
                    </a:prstGeom>
                    <a:noFill/>
                  </pic:spPr>
                </pic:pic>
              </a:graphicData>
            </a:graphic>
          </wp:anchor>
        </w:drawing>
      </w:r>
    </w:p>
    <w:p>
      <w:pPr>
        <w:spacing w:after="0" w:line="175" w:lineRule="exact"/>
        <w:rPr>
          <w:sz w:val="24"/>
          <w:szCs w:val="24"/>
          <w:color w:val="auto"/>
        </w:rPr>
      </w:pPr>
    </w:p>
    <w:p>
      <w:pPr>
        <w:ind w:left="580"/>
        <w:spacing w:after="0"/>
        <w:rPr>
          <w:sz w:val="20"/>
          <w:szCs w:val="20"/>
          <w:color w:val="auto"/>
        </w:rPr>
      </w:pPr>
      <w:r>
        <w:rPr>
          <w:rFonts w:ascii="Arial" w:cs="Arial" w:eastAsia="Arial" w:hAnsi="Arial"/>
          <w:sz w:val="14"/>
          <w:szCs w:val="14"/>
          <w:color w:val="auto"/>
        </w:rPr>
        <w:t>Soliciting material pursuant to Rule 14a-12(b) under the Exchange Act (17 CFR 240.14a-12(b))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85090" cy="8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090" cy="85090"/>
                    </a:xfrm>
                    <a:prstGeom prst="rect">
                      <a:avLst/>
                    </a:prstGeom>
                    <a:noFill/>
                  </pic:spPr>
                </pic:pic>
              </a:graphicData>
            </a:graphic>
          </wp:anchor>
        </w:drawing>
      </w:r>
    </w:p>
    <w:p>
      <w:pPr>
        <w:spacing w:after="0" w:line="175" w:lineRule="exact"/>
        <w:rPr>
          <w:sz w:val="24"/>
          <w:szCs w:val="24"/>
          <w:color w:val="auto"/>
        </w:rPr>
      </w:pPr>
    </w:p>
    <w:p>
      <w:pPr>
        <w:ind w:left="580"/>
        <w:spacing w:after="0"/>
        <w:rPr>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85090" cy="8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090" cy="85090"/>
                    </a:xfrm>
                    <a:prstGeom prst="rect">
                      <a:avLst/>
                    </a:prstGeom>
                    <a:noFill/>
                  </pic:spPr>
                </pic:pic>
              </a:graphicData>
            </a:graphic>
          </wp:anchor>
        </w:drawing>
      </w:r>
    </w:p>
    <w:p>
      <w:pPr>
        <w:spacing w:after="0" w:line="175" w:lineRule="exact"/>
        <w:rPr>
          <w:sz w:val="24"/>
          <w:szCs w:val="24"/>
          <w:color w:val="auto"/>
        </w:rPr>
      </w:pPr>
    </w:p>
    <w:p>
      <w:pPr>
        <w:ind w:left="580"/>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72707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149860</wp:posOffset>
            </wp:positionV>
            <wp:extent cx="727075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285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-97155</wp:posOffset>
            </wp:positionV>
            <wp:extent cx="85090" cy="8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090" cy="85090"/>
                    </a:xfrm>
                    <a:prstGeom prst="rect">
                      <a:avLst/>
                    </a:prstGeom>
                    <a:noFill/>
                  </pic:spPr>
                </pic:pic>
              </a:graphicData>
            </a:graphic>
          </wp:anchor>
        </w:drawing>
      </w:r>
    </w:p>
    <w:p>
      <w:pPr>
        <w:sectPr>
          <w:pgSz w:w="11900" w:h="16838" w:orient="portrait"/>
          <w:cols w:equalWidth="0" w:num="1">
            <w:col w:w="11440"/>
          </w:cols>
          <w:pgMar w:left="220" w:top="462" w:right="2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99"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On February 2, 2006, Comcast Corporation (“Comcast”) issued a press release reporting the results of its operations for the three months and twelve months ended December 31, 2005.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47"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 xml:space="preserve">In the press release, Comcast presented non-GAAP financial measures, as defined in Regulation G and Item 10(e) of Regulation S-K promulgated by the Securities and Exchange Commission, as well as other financial measures. Non-GAAP financial measures differ from financial measures reported in conformity with U.S. generally accepted accounting principles (“GAAP”). Comcast provided reconciliations of the non-GAAP financial measures to the most directly comparable financial GAAP measures in the tables accompanying the press release. In addition, in Table 7, entitled </w:t>
      </w:r>
      <w:r>
        <w:rPr>
          <w:rFonts w:ascii="Arial" w:cs="Arial" w:eastAsia="Arial" w:hAnsi="Arial"/>
          <w:sz w:val="14"/>
          <w:szCs w:val="14"/>
          <w:i w:val="1"/>
          <w:iCs w:val="1"/>
          <w:color w:val="auto"/>
        </w:rPr>
        <w:t>Non-GAAP and Other Financial Measures</w:t>
      </w:r>
      <w:r>
        <w:rPr>
          <w:rFonts w:ascii="Arial" w:cs="Arial" w:eastAsia="Arial" w:hAnsi="Arial"/>
          <w:sz w:val="14"/>
          <w:szCs w:val="14"/>
          <w:color w:val="auto"/>
        </w:rPr>
        <w:t>, Comcast disclosed why management believes the presentation of the non-GAAP financial measures it customarily presents provided useful information to investors in understanding Comcast’s financial condition and results of operations as well as any additional purposes for which Comcast’s management uses these as performance measures.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In the press release, Comcast provided three additional non-GAAP financial measures to those described in Table 7, along with reconciliations of these measures in Table 7B:</w:t>
      </w:r>
    </w:p>
    <w:p>
      <w:pPr>
        <w:spacing w:after="0" w:line="195" w:lineRule="exact"/>
        <w:rPr>
          <w:sz w:val="20"/>
          <w:szCs w:val="20"/>
          <w:color w:val="auto"/>
        </w:rPr>
      </w:pPr>
    </w:p>
    <w:p>
      <w:pPr>
        <w:ind w:left="1160" w:right="20" w:hanging="572"/>
        <w:spacing w:after="0" w:line="298" w:lineRule="auto"/>
        <w:tabs>
          <w:tab w:leader="none" w:pos="1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Net Income adjusted to eliminate the effect of investment income and other income, on an after tax basis, and the effect of a refinement in the fourth quarter of the 2005 effective tax rate;</w:t>
      </w:r>
    </w:p>
    <w:p>
      <w:pPr>
        <w:spacing w:after="0" w:line="134" w:lineRule="exact"/>
        <w:rPr>
          <w:rFonts w:ascii="Arial" w:cs="Arial" w:eastAsia="Arial" w:hAnsi="Arial"/>
          <w:sz w:val="14"/>
          <w:szCs w:val="14"/>
          <w:color w:val="auto"/>
        </w:rPr>
      </w:pPr>
    </w:p>
    <w:p>
      <w:pPr>
        <w:ind w:left="1160" w:hanging="572"/>
        <w:spacing w:after="0"/>
        <w:tabs>
          <w:tab w:leader="none" w:pos="1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Content segment operating cash flow to eliminate the effect of coverage of National Hockey League games beginning in the fourth quarter 2005; and</w:t>
      </w:r>
    </w:p>
    <w:p>
      <w:pPr>
        <w:spacing w:after="0" w:line="195" w:lineRule="exact"/>
        <w:rPr>
          <w:rFonts w:ascii="Arial" w:cs="Arial" w:eastAsia="Arial" w:hAnsi="Arial"/>
          <w:sz w:val="14"/>
          <w:szCs w:val="14"/>
          <w:color w:val="auto"/>
        </w:rPr>
      </w:pPr>
    </w:p>
    <w:p>
      <w:pPr>
        <w:ind w:left="1160" w:hanging="572"/>
        <w:spacing w:after="0"/>
        <w:tabs>
          <w:tab w:leader="none" w:pos="1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Cable segment operating cash flow excluding the impact of hurricanes during 2005 and 2004.</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Comcast believes these non-GAAP measures provide useful information to investors. Among other things, they may help investors evaluate Comcast’s ongoing operations, can assist in making meaningful period-over-period comparisons and can help identify operating trends that could otherwise be masked or distorted by the excluded items. In particular, net income in 2004 includes significant non-operating investment income and other income that did not occur in 2005, the fourth quarter of 2005 includes a refinement to the effective income tax rate which did not occur in the fourth quarter of 2004, the new NHL coverage significantly increased fourth quarter 2005 programming rights expense and production costs over the fourth quarter of 2004 and, while some hurricane related expense is a normal part of Comcast’s operations, the hurricane effects for 2005 were significantly higher than historical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29043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685"/>
                    </a:xfrm>
                    <a:prstGeom prst="rect">
                      <a:avLst/>
                    </a:prstGeom>
                    <a:noFill/>
                  </pic:spPr>
                </pic:pic>
              </a:graphicData>
            </a:graphic>
          </wp:anchor>
        </w:drawing>
      </w:r>
    </w:p>
    <w:p>
      <w:pPr>
        <w:sectPr>
          <w:pgSz w:w="11900" w:h="16838" w:orient="portrait"/>
          <w:cols w:equalWidth="0" w:num="1">
            <w:col w:w="11440"/>
          </w:cols>
          <w:pgMar w:left="220" w:top="306"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9.01. Exhibits</w:t>
      </w:r>
    </w:p>
    <w:p>
      <w:pPr>
        <w:spacing w:after="0" w:line="199"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Exhibit 99.1</w:t>
      </w:r>
      <w:r>
        <w:rPr>
          <w:sz w:val="20"/>
          <w:szCs w:val="20"/>
          <w:color w:val="auto"/>
        </w:rPr>
        <w:tab/>
      </w:r>
      <w:r>
        <w:rPr>
          <w:rFonts w:ascii="Arial" w:cs="Arial" w:eastAsia="Arial" w:hAnsi="Arial"/>
          <w:sz w:val="12"/>
          <w:szCs w:val="12"/>
          <w:color w:val="auto"/>
        </w:rPr>
        <w:t>Comcast Corporation press release dated February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9043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685"/>
                    </a:xfrm>
                    <a:prstGeom prst="rect">
                      <a:avLst/>
                    </a:prstGeom>
                    <a:noFill/>
                  </pic:spPr>
                </pic:pic>
              </a:graphicData>
            </a:graphic>
          </wp:anchor>
        </w:drawing>
      </w:r>
    </w:p>
    <w:p>
      <w:pPr>
        <w:sectPr>
          <w:pgSz w:w="11900" w:h="16838" w:orient="portrait"/>
          <w:cols w:equalWidth="0" w:num="1">
            <w:col w:w="10239"/>
          </w:cols>
          <w:pgMar w:left="220" w:top="306" w:right="1440" w:bottom="1440" w:gutter="0" w:footer="0" w:header="0"/>
        </w:sectPr>
      </w:pPr>
    </w:p>
    <w:bookmarkStart w:id="3" w:name="page4"/>
    <w:bookmarkEnd w:id="3"/>
    <w:p>
      <w:pPr>
        <w:ind w:left="5300"/>
        <w:spacing w:after="0"/>
        <w:rPr>
          <w:sz w:val="20"/>
          <w:szCs w:val="20"/>
          <w:color w:val="auto"/>
        </w:rPr>
      </w:pPr>
      <w:r>
        <w:rPr>
          <w:rFonts w:ascii="Arial" w:cs="Arial" w:eastAsia="Arial" w:hAnsi="Arial"/>
          <w:sz w:val="14"/>
          <w:szCs w:val="14"/>
          <w:color w:val="auto"/>
        </w:rPr>
        <w:t>SIGNATURES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660"/>
          </w:cols>
          <w:pgMar w:left="220" w:top="310" w:right="101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Dated: February 2, 2006</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COMCAST CORPORATION</w:t>
      </w:r>
    </w:p>
    <w:p>
      <w:pPr>
        <w:spacing w:after="0" w:line="200" w:lineRule="exact"/>
        <w:rPr>
          <w:sz w:val="20"/>
          <w:szCs w:val="20"/>
          <w:color w:val="auto"/>
        </w:rPr>
      </w:pPr>
    </w:p>
    <w:p>
      <w:pPr>
        <w:sectPr>
          <w:pgSz w:w="11900" w:h="16838" w:orient="portrait"/>
          <w:cols w:equalWidth="0" w:num="2">
            <w:col w:w="6160" w:space="720"/>
            <w:col w:w="3780"/>
          </w:cols>
          <w:pgMar w:left="220" w:top="310" w:right="1019" w:bottom="1440" w:gutter="0" w:footer="0" w:header="0"/>
          <w:type w:val="continuous"/>
        </w:sectPr>
      </w:pPr>
    </w:p>
    <w:p>
      <w:pPr>
        <w:spacing w:after="0" w:line="18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26142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100" w:space="240"/>
            <w:col w:w="3320"/>
          </w:cols>
          <w:pgMar w:left="220" w:top="310" w:right="1019" w:bottom="1440" w:gutter="0" w:footer="0" w:header="0"/>
          <w:type w:val="continuous"/>
        </w:sectPr>
      </w:pPr>
    </w:p>
    <w:p>
      <w:pPr>
        <w:spacing w:after="0" w:line="6"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Lawrence J. Salva</w:t>
      </w:r>
    </w:p>
    <w:p>
      <w:pPr>
        <w:spacing w:after="0" w:line="22"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Senior Vice President,</w:t>
      </w:r>
    </w:p>
    <w:p>
      <w:pPr>
        <w:spacing w:after="0" w:line="17" w:lineRule="exact"/>
        <w:rPr>
          <w:sz w:val="20"/>
          <w:szCs w:val="20"/>
          <w:color w:val="auto"/>
        </w:rPr>
      </w:pPr>
    </w:p>
    <w:p>
      <w:pPr>
        <w:ind w:left="7340"/>
        <w:spacing w:after="0"/>
        <w:rPr>
          <w:sz w:val="20"/>
          <w:szCs w:val="20"/>
          <w:color w:val="auto"/>
        </w:rPr>
      </w:pPr>
      <w:r>
        <w:rPr>
          <w:rFonts w:ascii="Arial" w:cs="Arial" w:eastAsia="Arial" w:hAnsi="Arial"/>
          <w:sz w:val="13"/>
          <w:szCs w:val="13"/>
          <w:color w:val="auto"/>
        </w:rPr>
        <w:t>Chief Accounting Officer and Controller</w:t>
      </w:r>
    </w:p>
    <w:p>
      <w:pPr>
        <w:spacing w:after="0" w:line="29"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9043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685"/>
                    </a:xfrm>
                    <a:prstGeom prst="rect">
                      <a:avLst/>
                    </a:prstGeom>
                    <a:noFill/>
                  </pic:spPr>
                </pic:pic>
              </a:graphicData>
            </a:graphic>
          </wp:anchor>
        </w:drawing>
      </w:r>
    </w:p>
    <w:p>
      <w:pPr>
        <w:sectPr>
          <w:pgSz w:w="11900" w:h="16838" w:orient="portrait"/>
          <w:cols w:equalWidth="0" w:num="1">
            <w:col w:w="10660"/>
          </w:cols>
          <w:pgMar w:left="220" w:top="310" w:right="1019" w:bottom="1440" w:gutter="0" w:footer="0" w:header="0"/>
          <w:type w:val="continuous"/>
        </w:sectPr>
      </w:pPr>
    </w:p>
    <w:bookmarkStart w:id="4" w:name="page5"/>
    <w:bookmarkEnd w:id="4"/>
    <w:p>
      <w:pPr>
        <w:spacing w:after="0"/>
        <w:tabs>
          <w:tab w:leader="none" w:pos="5800" w:val="left"/>
        </w:tabs>
        <w:rPr>
          <w:sz w:val="20"/>
          <w:szCs w:val="20"/>
          <w:color w:val="auto"/>
        </w:rPr>
      </w:pPr>
      <w:r>
        <w:rPr>
          <w:rFonts w:ascii="Courier New" w:cs="Courier New" w:eastAsia="Courier New" w:hAnsi="Courier New"/>
          <w:sz w:val="14"/>
          <w:szCs w:val="14"/>
          <w:color w:val="auto"/>
        </w:rPr>
        <w:t>[LOGO OF COMCAST(R)]</w:t>
      </w:r>
      <w:r>
        <w:rPr>
          <w:sz w:val="20"/>
          <w:szCs w:val="20"/>
          <w:color w:val="auto"/>
        </w:rPr>
        <w:tab/>
      </w:r>
      <w:r>
        <w:rPr>
          <w:rFonts w:ascii="Courier New" w:cs="Courier New" w:eastAsia="Courier New" w:hAnsi="Courier New"/>
          <w:sz w:val="14"/>
          <w:szCs w:val="14"/>
          <w:color w:val="auto"/>
        </w:rPr>
        <w:t>PRESS RELEASE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INVESTOR CONTACTS: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PRESS CONTACTS: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Marlene S. Dooner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981-7392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D'Arcy Rudnay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981-8582</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Leslie A. Arena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981-8511</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Tim Fitzpatrick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981-8515</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Daniel J. Goodwin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981-7518</w:t>
            </w: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4"/>
        </w:trPr>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COMCAST REPORTS</w:t>
            </w:r>
          </w:p>
        </w:tc>
        <w:tc>
          <w:tcPr>
            <w:tcW w:w="40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FOURTH QUARTER AND YEAR END 2005 RESULTS</w:t>
            </w:r>
          </w:p>
        </w:tc>
      </w:tr>
      <w:tr>
        <w:trPr>
          <w:trHeight w:val="334"/>
        </w:trPr>
        <w:tc>
          <w:tcPr>
            <w:tcW w:w="1840" w:type="dxa"/>
            <w:vAlign w:val="bottom"/>
          </w:tcPr>
          <w:p>
            <w:pPr>
              <w:spacing w:after="0"/>
              <w:rPr>
                <w:sz w:val="24"/>
                <w:szCs w:val="24"/>
                <w:color w:val="auto"/>
              </w:rPr>
            </w:pPr>
          </w:p>
        </w:tc>
        <w:tc>
          <w:tcPr>
            <w:tcW w:w="338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Cable Revenue Increased 9.5% and</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1840" w:type="dxa"/>
            <w:vAlign w:val="bottom"/>
          </w:tcPr>
          <w:p>
            <w:pPr>
              <w:ind w:left="1400"/>
              <w:spacing w:after="0"/>
              <w:rPr>
                <w:sz w:val="20"/>
                <w:szCs w:val="20"/>
                <w:color w:val="auto"/>
              </w:rPr>
            </w:pPr>
            <w:r>
              <w:rPr>
                <w:rFonts w:ascii="Courier New" w:cs="Courier New" w:eastAsia="Courier New" w:hAnsi="Courier New"/>
                <w:sz w:val="14"/>
                <w:szCs w:val="14"/>
                <w:color w:val="auto"/>
                <w:w w:val="99"/>
              </w:rPr>
              <w:t>Cable</w:t>
            </w:r>
          </w:p>
        </w:tc>
        <w:tc>
          <w:tcPr>
            <w:tcW w:w="3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Operating Cash Flow Increased 13.2% in 2005</w:t>
            </w:r>
          </w:p>
        </w:tc>
        <w:tc>
          <w:tcPr>
            <w:tcW w:w="740" w:type="dxa"/>
            <w:vAlign w:val="bottom"/>
          </w:tcPr>
          <w:p>
            <w:pPr>
              <w:spacing w:after="0"/>
              <w:rPr>
                <w:sz w:val="14"/>
                <w:szCs w:val="14"/>
                <w:color w:val="auto"/>
              </w:rPr>
            </w:pPr>
          </w:p>
        </w:tc>
      </w:tr>
      <w:tr>
        <w:trPr>
          <w:trHeight w:val="334"/>
        </w:trPr>
        <w:tc>
          <w:tcPr>
            <w:tcW w:w="1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Strong</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Growth in New Products Continues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4"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Added 2.6 Million New Revenue Generating Units in 2005</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Operating Income in 2005 Increased 26.9% to $3.7 Billion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Comcast Provides Strong Outlook for Growth in 2006</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Repurchased $901 Million or 34 Million Comcast Shares in Fourth Quarter 2005</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$2.5 Billion Investment in Company Stock in 2005</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Board of Directors Authorizes Additional $5 Billion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Stock Repurchase Program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Philadelphia, PA - February 2, 2006...Comcast Corporation (Nasdaq: CMCSA, CMCSK) today reported results for the quarter and year ended December 31, 2005. Comcast will discuss its 2005 results and 2006 outlook on a conference call and webcast today at 8:30 AM Eastern Time. A live broadcast of the conference call will be available at our investor relations website at www.cmcsa.com and www.cmcsk.com.</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Brian L. Roberts, Chairman and CEO of Comcast Corporation said, "Our operational and financial achievements in 2005, which included delivering near double-digit revenue and double-digit Operating Cash Flow growth, were driven by terrific consumer demand for our new products and significant growth in our high-speed and digital businesses. These results reinforce the value of the investments we have already made in content and technology and demonstrate that our strategy of offering our customers innovative, differentiated products is working. Importantly, as our financial outlook suggests, we expect many of the positive trends we reported in 2005 to continue in 2006. Additionally, our Board of Directors has once again demonstrated its confidence in our underlying business and its commitment to shareholder value by authorizing an additional $5 billion to our repurchase program, giving us $5.2 billion of repurchase capacity.</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have also made great strides in building the foundation that will significantly accelerate our Comcast Digital Voice business in 2006. This in turn will allow us to fully market a bundled offering of voice, video and high-speed Internet products. In 2006 we expect to add at least 3.5 million new revenue generating units, a 35% increase over 2005, including 1 million new Comcast Digital Voice customers.</w:t>
      </w:r>
    </w:p>
    <w:p>
      <w:pPr>
        <w:sectPr>
          <w:pgSz w:w="11900" w:h="16838" w:orient="portrait"/>
          <w:cols w:equalWidth="0" w:num="1">
            <w:col w:w="10239"/>
          </w:cols>
          <w:pgMar w:left="220" w:top="475" w:right="1440" w:bottom="1440" w:gutter="0" w:footer="0" w:header="0"/>
        </w:sectPr>
      </w:pPr>
    </w:p>
    <w:bookmarkStart w:id="5" w:name="page6"/>
    <w:bookmarkEnd w:id="5"/>
    <w:p>
      <w:pPr>
        <w:ind w:right="3279"/>
        <w:spacing w:after="0" w:line="254" w:lineRule="auto"/>
        <w:rPr>
          <w:sz w:val="20"/>
          <w:szCs w:val="20"/>
          <w:color w:val="auto"/>
        </w:rPr>
      </w:pPr>
      <w:r>
        <w:rPr>
          <w:rFonts w:ascii="Courier New" w:cs="Courier New" w:eastAsia="Courier New" w:hAnsi="Courier New"/>
          <w:sz w:val="14"/>
          <w:szCs w:val="14"/>
          <w:color w:val="auto"/>
        </w:rPr>
        <w:t>"Our customers are using our products more frequently than ever and in ways that were unimaginable a short time ago. In 2005, Comcast digital customers watched 1.4 billion programs on demand - reaching a viewing rate of up to 30 programs in December. Comcast ON DEMAND continues to lead the dramatic changes in how consumers watch television.</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continue to drive product innovation and differentiation in every area of our business. On the programming side, we remain focused on creating value by building and investing in our own networks, by establishing unique partnerships with great brands like the NHL, the PGA TOUR and CBS, as well as investing in new networks like PBS Kids Sprout.</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we continue to invest in our business for future growth, we are also continuing to invest in our stock. In the last two years, we have invested $5 billion in our stock and related securities resulting in 174 million or 7.5% fewer shares outstanding.</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are integrating entertainment and communication services and delivering a unique experience to Comcast customers. We have a superior platform in place today that reaches more than 41 million homes. Our goal is to continue to expand our competitive advantage while continuing to build value for our customers and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Segment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results are presented on a pro forma basis. Pro forma cable results adjust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only for certain acquisitions and dispositions and are presented as if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dispositions were effective on January 1, 2004. Please refer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7-A for a reconciliation of pro forma data.</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year ended December 31, 2005, Comcast Cable reported revenue of $21.2 billion, a 9.5% increase from the same period in 2004. Video revenue increased 5.7% during the year, driven by higher monthly revenue per basic subscriber and a 1.1 million or 13.1% increase in the number of digital customers, the highest rate of digital subscriber additions in 3 years. Comcast Cable ended the year with 9.8 million digital cable subscribers and digital cable penetration reached 45.6% of basic subscribers. Basic subscribers declined 0.5% to 21.4 million at December 31, 2005.</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Growth in video revenue and digital cable subscribers reflects increasing consumer demand for new digital features, including Comcast ON DEMAND, high-definition television (HDTV) programming and digital video recorders (DVRs). During 2005, Comcast Digital customers watched 1.4 billion programs on demand; reaching 30 programs a month in December with an average viewing time of almost 30 minutes. Pay-per-view revenues increased 16.4% from 2004 driven by movie and event purchases through the Comcast ON DEMAND service, representing the second consecutive year of pay-per-view revenue growth of more than 15%. During the year, Comcast Cable deployed 1.5 million advanced set-top boxes with DVR and/or HDTV programming capability. At December 31, 2005, 25.2% of digital customers have one or more advanced set-top boxes compared to 13.1% at the end of 2004.</w:t>
      </w:r>
    </w:p>
    <w:p>
      <w:pPr>
        <w:spacing w:after="0" w:line="33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Comcast High-Speed Internet service revenues increased 27.6% to $4.0 billion in 2005, reflecting a 1.5 million or 21.8% increase in subscribers with stable average monthly revenue per subscriber of $42.82. Comcast Cable ended 2005 with more than 8.5 million high-speed Internet subscribers or 20.7% of available homes. Strong subscriber growth and average monthly revenue per subscriber reflect the success of Comcast's strategy of differentiation, providing more features to our subscribers. In 2005, Comcast high-speed Internet increased the speed of its two service tiers to 6 and 8 megabits per second, added new features like Internet security and increased the amount of video streaming through the Comcast.net portal, including exclusive streaming of National Hockey League games.</w:t>
      </w:r>
    </w:p>
    <w:p>
      <w:pPr>
        <w:spacing w:after="0" w:line="331" w:lineRule="exact"/>
        <w:rPr>
          <w:sz w:val="20"/>
          <w:szCs w:val="20"/>
          <w:color w:val="auto"/>
        </w:rPr>
      </w:pPr>
    </w:p>
    <w:p>
      <w:pPr>
        <w:jc w:val="both"/>
        <w:ind w:right="3799"/>
        <w:spacing w:after="0" w:line="255" w:lineRule="auto"/>
        <w:rPr>
          <w:sz w:val="20"/>
          <w:szCs w:val="20"/>
          <w:color w:val="auto"/>
        </w:rPr>
      </w:pPr>
      <w:r>
        <w:rPr>
          <w:rFonts w:ascii="Courier New" w:cs="Courier New" w:eastAsia="Courier New" w:hAnsi="Courier New"/>
          <w:sz w:val="14"/>
          <w:szCs w:val="14"/>
          <w:color w:val="auto"/>
        </w:rPr>
        <w:t>Comcast Cable added 202,000 Comcast Digital Voice (CDV) customers in 2005, reflecting the rollout of CDV to 25 new markets including Boston, Chicago, Seattle and Atlanta. At year-end 2005,</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6" w:name="page7"/>
    <w:bookmarkEnd w:id="6"/>
    <w:p>
      <w:pPr>
        <w:ind w:right="3279"/>
        <w:spacing w:after="0" w:line="253" w:lineRule="auto"/>
        <w:rPr>
          <w:sz w:val="20"/>
          <w:szCs w:val="20"/>
          <w:color w:val="auto"/>
        </w:rPr>
      </w:pPr>
      <w:r>
        <w:rPr>
          <w:rFonts w:ascii="Courier New" w:cs="Courier New" w:eastAsia="Courier New" w:hAnsi="Courier New"/>
          <w:sz w:val="14"/>
          <w:szCs w:val="14"/>
          <w:color w:val="auto"/>
        </w:rPr>
        <w:t>CDV was being marketed to 16 million homes in our footprint. As expected, CDV customer additions were offset by a decline in the number of Comcast's circuit-switched telephone customers as Comcast transitions to Comcast Digital Voice. As a result, Comcast Cable reported 98,000 net new phone customers in 2005 compared to a loss of 43,000 in 2004. Cable phone revenue remained relatively unchanged from the prior year at $687 million which includes the increase in revenue associated with the addition of CDV customers during the year offset by the loss of circuit-switched customers and a 4.0% decline in average monthly revenue per subscriber to $45.02. The decline in average monthly revenue per subscriber was due in part to the all distance service and other features that are included in the flat rate pricing of CDV.</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2005, Comcast Cable added a total of 2.6 million new revenue generating units. Revenue generating units (RGU) include the sum of analog and digital cable subscribers, high-speed Internet subscribers and phone customers. As of December 31, 2005, Comcast reported 41 million revenue generating units, a 6.9% increase from 2004. In addition, Comcast had more than 2.7 million advanced set-top boxes with DVR and/or HDTV programming capability in digital customers' homes, driving growth in video revenue per subscriber.</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Advertising revenue increased 5.5% to $1.4 billion in 2005 when compared to 2004, reflecting growth of 4.9% in local advertising and growth of 9.7% in regional/national advertising. The growth in advertising revenue during the year was partially offset by an anticipated decline in political advertising when compared to the 2004 election year.</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Cable Operating Cash Flow (as defined in Table 7) grew 13.2% to $8.5 billion in 2005. Operating Cash Flow margin increased to 40.0% in 2005 from 38.7% in 2004 reflecting strong revenue growth and our continuing success in controlling the growth of certain operating costs including programming expense, which increased 5.4% to $4.4 billion. A number of major hurricanes impacted Comcast systems serving the southeastern U.S. in the third and fourth quarters of 2005 and 2004. Operating Cash Flow has been reduced by $60 million and $20 million related to these hurricanes in 2005 and 2004, respectively. Excluding the hurricane-related impact, Operating Cash Flow grew 13.7% in 2005.</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Cable capital expenditures in 2005 remained relatively unchanged at $3.6 billion when compared to one year ago. Expenditures for 2005 reflect increased purchases of digital set-top boxes to meet strong demand for HDTV and DVR digital services, costs associated with readiness and deployment of CDV and the impact of hurricane related reconstruction costs, offset by declines in plant upgrade spending. The hurricane-related costs included in capital expenditures for 2005 were $25 million. Upgrade capital in 2005 declined $637 million or 70.7% to $265 million. In 2005, 76.1% of cable capital expenditures were variable and directly associated with new product deployment and consumer demand for our products, as compared to 58.1% in 2004.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2005</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 the quarter ended December 31, 2005, Comcast Cable reported revenue of $5.4 billion, representing an 8.4% increase from the fourth quarter of 2004. Video revenue increased 5.7% during the period, driven by higher monthly revenue per basic subscriber and a 13.1% increase in the number of digital customers. Comcast Cable added 342,000 digital cable subscribers and 40,000 basic cable subscribers during the fourth quarter of 2005. Basic subscriber additions were net of an estimated loss of 20,000 subscribers due to the hurricanes.</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Comcast Cable added 378,000 High-Speed Internet subscribers during the fourth quarter of 2005. Revenues for this service increased 23.9% from the prior year to $1.1 billion, reflecting strong year-over-year subscriber growth and stable average monthly revenue per subscriber. Cable phone revenue, in the fourth quarter of 2005, remained relatively unchanged from the prior year at $173 million which includes the increase in revenue associated with the addition of 134,000</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7" w:name="page8"/>
    <w:bookmarkEnd w:id="7"/>
    <w:p>
      <w:pPr>
        <w:ind w:right="3379"/>
        <w:spacing w:after="0" w:line="254" w:lineRule="auto"/>
        <w:rPr>
          <w:sz w:val="20"/>
          <w:szCs w:val="20"/>
          <w:color w:val="auto"/>
        </w:rPr>
      </w:pPr>
      <w:r>
        <w:rPr>
          <w:rFonts w:ascii="Courier New" w:cs="Courier New" w:eastAsia="Courier New" w:hAnsi="Courier New"/>
          <w:sz w:val="14"/>
          <w:szCs w:val="14"/>
          <w:color w:val="auto"/>
        </w:rPr>
        <w:t>CDV customers during the quarter offset by the loss of 55,000 circuit-switched customers which, as described above, generate higher monthly revenue per customer. Comcast Cable added 79,000 phone subscribers in the fourth quarter of 2005 compared to 10,000 subscribers in the fourth quarter of 2004.</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Operating Cash Flow grew 10.1% during the fourth quarter of 2005 to $2.2 billion when compared to the same period of 2004, reflecting strong revenue growth and the Company's success in controlling the growth of operating costs. Excluding the hurricane impacts of $48 million and $9 million in the fourth quarters of 2005 and 2004, respectively, Operating Cash Flow growth was 11.9%. Operating Cash Flow margin for the fourth quarter of 2005 increased to 40.2% from 39.6% when compared to the same quarter last year. Comcast Cable capital expenditures were $849 million for the fourth quarter of 2005 compared to $1.0 billion last year. The decline in capital expenditures was due primarily to a $119 million or 72.5% decline in plant upgrade spending in the fourth quarter of 2005.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Content Segment Results</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Comcast's Content segment consists of our national networks E! Entertainment Television and Style Network (E! Networks), The Golf Channel, OLN, G4 and AZN Television.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Content segment reported 2005 revenue of $919 million, a 16.7% increase from 2004 reflecting increases in network ratings and advertising revenue for all the networks. Operating Cash Flow increased 7.0% to $283 million in 2005, primarily reflecting programming and production expenses related to OLN's coverage of the National Hockey League (NHL) beginning in the fourth quarter of 2005. Excluding the impact of OLN coverage of the NHL, Content Segment Operating Cash Flow increased 15.3%.</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For the quarter ended December 31, 2005, Comcast's Content segment reported revenue of $235 million, a 14.2% increase, compared to the prior year and Operating Cash Flow of $35 million, a decline of 37.9% from the same period last year. Results include the fourth quarter impact of the items described above.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Other</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Corporate and Other includes Comcast-Spectacor, corporate overhead and other operations and eliminations between Comcast's businesses. In 2005, Comcast reported Corporate and Other revenue of $178 million and an Operating Cash Flow loss of $248 million, as compared to revenue of $204 million and an Operating Cash Flow loss of $205 million in 2004.</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the quarter ended December 31, 2005, Corporate and Other revenue increased to $73 million from the $43 million reported in 2004. The Operating Cash Flow loss for the fourth quarter of 2005 was $52 million compared to $45 million in 2004. Results for the fourth quarter of 2005 were impacted by the resumption of National Hockey League games, offset by transaction and other corporate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Consolidated Results</w:t>
            </w:r>
          </w:p>
        </w:tc>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Comcast delivered solid consolidated results as</w:t>
            </w:r>
          </w:p>
        </w:tc>
        <w:tc>
          <w:tcPr>
            <w:tcW w:w="2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compared to guidance in 2005:</w:t>
            </w:r>
          </w:p>
        </w:tc>
      </w:tr>
      <w:tr>
        <w:trPr>
          <w:trHeight w:val="334"/>
        </w:trPr>
        <w:tc>
          <w:tcPr>
            <w:tcW w:w="2400" w:type="dxa"/>
            <w:vAlign w:val="bottom"/>
          </w:tcPr>
          <w:p>
            <w:pPr>
              <w:spacing w:after="0"/>
              <w:rPr>
                <w:sz w:val="24"/>
                <w:szCs w:val="24"/>
                <w:color w:val="auto"/>
              </w:rPr>
            </w:pPr>
          </w:p>
        </w:tc>
        <w:tc>
          <w:tcPr>
            <w:tcW w:w="174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GUIDANCE</w:t>
            </w:r>
          </w:p>
        </w:tc>
        <w:tc>
          <w:tcPr>
            <w:tcW w:w="780" w:type="dxa"/>
            <w:vAlign w:val="bottom"/>
          </w:tcPr>
          <w:p>
            <w:pPr>
              <w:spacing w:after="0"/>
              <w:rPr>
                <w:sz w:val="24"/>
                <w:szCs w:val="24"/>
                <w:color w:val="auto"/>
              </w:rPr>
            </w:pPr>
          </w:p>
        </w:tc>
        <w:tc>
          <w:tcPr>
            <w:tcW w:w="17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RESULTS</w:t>
            </w:r>
          </w:p>
        </w:tc>
      </w:tr>
      <w:tr>
        <w:trPr>
          <w:trHeight w:val="167"/>
        </w:trPr>
        <w:tc>
          <w:tcPr>
            <w:tcW w:w="2400" w:type="dxa"/>
            <w:vAlign w:val="bottom"/>
          </w:tcPr>
          <w:p>
            <w:pPr>
              <w:spacing w:after="0"/>
              <w:rPr>
                <w:sz w:val="14"/>
                <w:szCs w:val="14"/>
                <w:color w:val="auto"/>
              </w:rPr>
            </w:pPr>
          </w:p>
        </w:tc>
        <w:tc>
          <w:tcPr>
            <w:tcW w:w="174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Revenue growth</w:t>
            </w: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Approximately 10%</w:t>
            </w:r>
          </w:p>
        </w:tc>
        <w:tc>
          <w:tcPr>
            <w:tcW w:w="48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9.6%</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Operating Cash Flow growth</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Approximately</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12.8%</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Cable RGU additions</w:t>
            </w:r>
          </w:p>
        </w:tc>
        <w:tc>
          <w:tcPr>
            <w:tcW w:w="25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At least 2.5 million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million</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Approximately $3.5</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billion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billion</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Free Cash Flow growth</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Approximately</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48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32.5%</w:t>
            </w:r>
          </w:p>
        </w:tc>
      </w:tr>
    </w:tbl>
    <w:p>
      <w:pPr>
        <w:spacing w:after="0" w:line="171"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For 2005, the Company reported consolidated revenues of $22.3 billion, a 9.6% increase from the $20.3 billion reported in 2004. Consolidated Operating Cash Flow increased to $8.5 billion</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8" w:name="page9"/>
    <w:bookmarkEnd w:id="8"/>
    <w:p>
      <w:pPr>
        <w:ind w:right="3279"/>
        <w:spacing w:after="0" w:line="254" w:lineRule="auto"/>
        <w:rPr>
          <w:sz w:val="20"/>
          <w:szCs w:val="20"/>
          <w:color w:val="auto"/>
        </w:rPr>
      </w:pPr>
      <w:r>
        <w:rPr>
          <w:rFonts w:ascii="Courier New" w:cs="Courier New" w:eastAsia="Courier New" w:hAnsi="Courier New"/>
          <w:sz w:val="14"/>
          <w:szCs w:val="14"/>
          <w:color w:val="auto"/>
        </w:rPr>
        <w:t>or 12.8%, in 2005, from the $7.5 billion reported in the prior year. Consolidated operating income increased 26.9% to $3.7 billion, in 2005, compared to consolidated operating income of $2.9 billion in 2004. Excluding the hurricane-related impact on our Cable division, as described above, consolidated Operating Cash Flow grew 13.2% in 2005.</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reported net income of $928 million or $0.42 per share, in 2005, compared to net income of $970 million or $0.43 per share in 2004. The decrease in net income of $42 million was due primarily to growth in consolidated operating income of $782 million driven by strong growth in Cable Operating Cash Flow, as described above, offset by declines in investment income and other income of $833 million. On a combined basis, investment and other income declined to $33 million in 2005 from $866 million in 2004. This decline is due primarily to the net effects of changes in the fair value of the Company's 2.0% Exchangeable Subordinated Debentures (ZONES) and the underlying Sprint Nextel common stock as well as litigation settlements in the first quarter of 2005 and the fourth quarter of 2004. Excluding the items described above, and reconciled in Table 7-B, Adjusted Net Income for 2005 would be $908 million or $0.41 per share compared to $450 million or $0.20 per share in 2004.</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Free Cash Flow (described further on Table 4) increased 32.5% to $2.6 billion in 2005 compared to $1.9 billion reported in 2004, due primarily to increases in consolidated Operating Cash Flow offset in part by a $448 million increase in cash paid for income taxes.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quarter ended December 31, 2005, consolidated revenue increased 9.2% to $5.7 billion from the $5.2 billion reported in the same period of 2004. Consolidated Operating Cash Flow for the fourth quarter of 2005 was $2.2 billion, an increase of 8.5% when compared to $2.0 billion in 2004. Consolidated operating income increased 25.6% to $893 million in the fourth quarter of 2005 compared to consolidated operating income of $711 million during 2004. Excluding the hurricane-related impact on our Cable division, as described above, consolidated Operating Cash Flow grew 10.3% in the fourth quarter of 2005.</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quarter ended December 31, 2005, the Company reported net income of $133 million or $0.06 per share compared to net income of $423 million or $0.19 per share in 2004, a decline of $290 million. Net income reflects growth in consolidated operating income of $182 million driven by strong growth in Cable division Operating Cash Flow, as described above, offset by declines in investment and other income and an increase in the effective tax rate. On a combined basis, investment and other income for the fourth quarter of 2005 declined to $58 million from $553 million in the same quarter of 2004. The $495 million decline was driven by a lower level of unrealized gains in our investment portfolio in the fourth quarter of 2005 and the positive impact of the settlement of certain litigation included in the fourth quarter of 2004.. Excluding the items described above, and reconciled in Table 7-B, Adjusted Net Income for the fourth quarter of 2005 would be $186 million or $0.09 per share when compared to $91 million or $0.04 per share in the fourth quarter of 2004.</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Free Cash Flow was $699 million during the fourth quarter of 2005, a 39.9% increase when compared to the same period of the prior year due primarily to the increase in consolidated Operating Cash Flow and lower capital expenditures offset in part by an increase in cash paid for income taxes.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Repurchase Program</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Comcast repurchased $901 million of its Class A Special Common Stock, or 34 million shares during the fourth quarter of 2005.</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2005, the Company repurchased $2.3 billion, or 79 million shares, of its common stock under its stock repurchase program. Including the $253 million paid in cash to redeem debt exchangeable into 8.4 million shares of Comcast common stock, Comcast invested $2.5 billion in its common stock and related securities during the year.</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9" w:name="page10"/>
    <w:bookmarkEnd w:id="9"/>
    <w:p>
      <w:pPr>
        <w:ind w:right="3279"/>
        <w:spacing w:after="0" w:line="254" w:lineRule="auto"/>
        <w:rPr>
          <w:sz w:val="20"/>
          <w:szCs w:val="20"/>
          <w:color w:val="auto"/>
        </w:rPr>
      </w:pPr>
      <w:r>
        <w:rPr>
          <w:rFonts w:ascii="Courier New" w:cs="Courier New" w:eastAsia="Courier New" w:hAnsi="Courier New"/>
          <w:sz w:val="14"/>
          <w:szCs w:val="14"/>
          <w:color w:val="auto"/>
        </w:rPr>
        <w:t>Comcast's Board of Directors has authorized a $5 billion addition to the existing stock repurchase program. As a result, availability under the Company's stock repurchase program is $5.2 billion. Comcast expects such repurchases to occur from time to time in the open market or in private transactions, subject to market conditions.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Since the inception of the repurchase program in December 2003, the Company has invested $5 billion in its common stock and related securities. These investments include repurchasing $3.6 billion or 127 million shares of its common stock and paying $1.4 billion to redeem several debt issues exchangeable into 47 million shares of Comcast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2006 Financial Outlook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2006, excluding pending transactions with Adelphia, Time Warner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Susquehanna Communications, Comcast expects:</w:t>
      </w:r>
    </w:p>
    <w:p>
      <w:pPr>
        <w:spacing w:after="0" w:line="175" w:lineRule="exact"/>
        <w:rPr>
          <w:sz w:val="20"/>
          <w:szCs w:val="20"/>
          <w:color w:val="auto"/>
        </w:rPr>
      </w:pPr>
    </w:p>
    <w:p>
      <w:pPr>
        <w:ind w:left="880" w:hanging="437"/>
        <w:spacing w:after="0"/>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and consolidated revenue growth between 9 - 10%</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Operating Cash Flow growth between 10 - 11%*</w:t>
      </w:r>
    </w:p>
    <w:p>
      <w:pPr>
        <w:spacing w:after="0" w:line="175" w:lineRule="exact"/>
        <w:rPr>
          <w:rFonts w:ascii="Courier New" w:cs="Courier New" w:eastAsia="Courier New" w:hAnsi="Courier New"/>
          <w:sz w:val="14"/>
          <w:szCs w:val="14"/>
          <w:color w:val="auto"/>
        </w:rPr>
      </w:pPr>
    </w:p>
    <w:p>
      <w:pPr>
        <w:ind w:left="880" w:right="3279" w:hanging="437"/>
        <w:spacing w:after="0" w:line="258" w:lineRule="auto"/>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capital expenditures to be consistent with 2005 at approximately $165 per basic cable subscriber</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 Generating Unit additions of at least 3.5 million</w:t>
      </w:r>
    </w:p>
    <w:p>
      <w:pPr>
        <w:spacing w:after="0" w:line="175" w:lineRule="exact"/>
        <w:rPr>
          <w:rFonts w:ascii="Courier New" w:cs="Courier New" w:eastAsia="Courier New" w:hAnsi="Courier New"/>
          <w:sz w:val="14"/>
          <w:szCs w:val="14"/>
          <w:color w:val="auto"/>
        </w:rPr>
      </w:pPr>
    </w:p>
    <w:p>
      <w:pPr>
        <w:ind w:left="880" w:right="4159" w:hanging="437"/>
        <w:spacing w:after="0" w:line="258" w:lineRule="auto"/>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Operating Cash Flow growth of between 9 - 10%*, reflecting continuing investment in our Content businesses</w:t>
      </w:r>
    </w:p>
    <w:p>
      <w:pPr>
        <w:spacing w:after="0" w:line="159" w:lineRule="exact"/>
        <w:rPr>
          <w:rFonts w:ascii="Courier New" w:cs="Courier New" w:eastAsia="Courier New" w:hAnsi="Courier New"/>
          <w:sz w:val="14"/>
          <w:szCs w:val="14"/>
          <w:color w:val="auto"/>
        </w:rPr>
      </w:pPr>
    </w:p>
    <w:p>
      <w:pPr>
        <w:ind w:left="880" w:right="3639" w:hanging="437"/>
        <w:spacing w:after="0" w:line="258" w:lineRule="auto"/>
        <w:tabs>
          <w:tab w:leader="none" w:pos="8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between 25 - 30% of consolidated Operating Cash Flow into Free Cash Flow**</w:t>
      </w:r>
    </w:p>
    <w:p>
      <w:pPr>
        <w:spacing w:after="0" w:line="159" w:lineRule="exact"/>
        <w:rPr>
          <w:rFonts w:ascii="Courier New" w:cs="Courier New" w:eastAsia="Courier New" w:hAnsi="Courier New"/>
          <w:sz w:val="14"/>
          <w:szCs w:val="14"/>
          <w:color w:val="auto"/>
        </w:rPr>
      </w:pPr>
    </w:p>
    <w:p>
      <w:pPr>
        <w:ind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Includes the impact of expensing stock options in 2005 and 2006. The impact on Operating Cash Flow for 2005 had we expensed stock options would have been an incremental expense of approximately $166 million, including $117 million at Comcast Cable (see Table 7-A).</w:t>
      </w:r>
    </w:p>
    <w:p>
      <w:pPr>
        <w:spacing w:after="0" w:line="163" w:lineRule="exact"/>
        <w:rPr>
          <w:rFonts w:ascii="Courier New" w:cs="Courier New" w:eastAsia="Courier New" w:hAnsi="Courier New"/>
          <w:sz w:val="14"/>
          <w:szCs w:val="14"/>
          <w:color w:val="auto"/>
        </w:rPr>
      </w:pPr>
    </w:p>
    <w:p>
      <w:pPr>
        <w:ind w:right="3379" w:firstLine="9"/>
        <w:spacing w:after="0" w:line="253"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in 2006, we are changing the definition of Free Cash Flow to mean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 Please see Table 7-A for further details.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for a description of such risks and uncertainties.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7 of this release. All percentages are calculated based on actual amounts. Minor differences may exist due to rounding.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Comcast Corporation will host a conference call with the financial community today February 2, 2006 at 8:30 a.m. Eastern Time (ET). The conference call will be broadcast live on the Company's Investor Relations website at www.cmcsa.com or www.cmcsk.com. A recording of the call will be available on the Investor Relations website starting at 12:30 p.m. ET on February 2, 2006. Those parties interested in participating via telephone should dial (800) 263-8495 with the conference ID number 4216292. A telephone replay will begin immediately following the call until February 3, 2006 at midnight ET. To access the rebroadcast, please dial (800) 642-1687 and enter passcode number 4216292. To automatically receive Comcast financial news by email, please visit www.cmcsa.com or www.cmcsk.com and subscribe to e-mail alerts.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About Comcast: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Comcast Corporation (Nasdaq: CMCSA, CMCSK) (www.comcast.com) is the nation's leading provider of cable, entertainment and communications products and services. With 21.4 million cable customers, 8.5 million high-speed Internet customers, and 1.3 million voice customers, Comcast is principally involved in the development, management and operation of broadband cable systems and in the delivery of programming content.</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content networks and investments include E! Entertainment Television, Style Network, The Golf Channel, OLN, G4, AZN Television, PBS KIDS Sprout, TV One and four regional Comcast SportsNets. The Company also has a majority ownership in Comcast-Spectacor,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0" w:gutter="0" w:footer="0" w:header="0"/>
        </w:sectPr>
      </w:pPr>
    </w:p>
    <w:bookmarkStart w:id="10" w:name="page11"/>
    <w:bookmarkEnd w:id="10"/>
    <w:p>
      <w:pPr>
        <w:jc w:val="center"/>
        <w:ind w:right="3199"/>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TABLE 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Condensed Consolidated Statement of Operations (Unaudited)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c>
          <w:tcPr>
            <w:tcW w:w="200" w:type="dxa"/>
            <w:vAlign w:val="bottom"/>
          </w:tcPr>
          <w:p>
            <w:pPr>
              <w:spacing w:after="0"/>
              <w:rPr>
                <w:sz w:val="14"/>
                <w:szCs w:val="14"/>
                <w:color w:val="auto"/>
              </w:rPr>
            </w:pPr>
          </w:p>
        </w:tc>
        <w:tc>
          <w:tcPr>
            <w:tcW w:w="19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Twelve Months Ended</w:t>
            </w:r>
          </w:p>
        </w:tc>
      </w:tr>
      <w:tr>
        <w:trPr>
          <w:trHeight w:val="167"/>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December 31,</w:t>
            </w:r>
          </w:p>
        </w:tc>
        <w:tc>
          <w:tcPr>
            <w:tcW w:w="200" w:type="dxa"/>
            <w:vAlign w:val="bottom"/>
          </w:tcPr>
          <w:p>
            <w:pPr>
              <w:spacing w:after="0"/>
              <w:rPr>
                <w:sz w:val="14"/>
                <w:szCs w:val="14"/>
                <w:color w:val="auto"/>
              </w:rPr>
            </w:pPr>
          </w:p>
        </w:tc>
        <w:tc>
          <w:tcPr>
            <w:tcW w:w="19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400" w:type="dxa"/>
            <w:vAlign w:val="bottom"/>
          </w:tcPr>
          <w:p>
            <w:pPr>
              <w:spacing w:after="0"/>
              <w:rPr>
                <w:sz w:val="14"/>
                <w:szCs w:val="14"/>
                <w:color w:val="auto"/>
              </w:rPr>
            </w:pPr>
          </w:p>
        </w:tc>
        <w:tc>
          <w:tcPr>
            <w:tcW w:w="23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2005</w:t>
            </w:r>
          </w:p>
        </w:tc>
        <w:tc>
          <w:tcPr>
            <w:tcW w:w="2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2004</w:t>
            </w:r>
          </w:p>
        </w:tc>
        <w:tc>
          <w:tcPr>
            <w:tcW w:w="20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2005</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40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5,716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22,255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20,307</w:t>
            </w:r>
          </w:p>
        </w:tc>
      </w:tr>
      <w:tr>
        <w:trPr>
          <w:trHeight w:val="334"/>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2,061</w:t>
            </w: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1,962</w:t>
            </w:r>
          </w:p>
        </w:tc>
        <w:tc>
          <w:tcPr>
            <w:tcW w:w="2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7,969</w:t>
            </w:r>
          </w:p>
        </w:tc>
        <w:tc>
          <w:tcPr>
            <w:tcW w:w="2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7,462</w:t>
            </w:r>
          </w:p>
        </w:tc>
      </w:tr>
      <w:tr>
        <w:trPr>
          <w:trHeight w:val="167"/>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1,287</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5,314</w:t>
            </w:r>
          </w:p>
        </w:tc>
      </w:tr>
      <w:tr>
        <w:trPr>
          <w:trHeight w:val="167"/>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3,561</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3,249</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13,762</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12,776</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2,155</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1,986</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7,531</w:t>
            </w:r>
          </w:p>
        </w:tc>
      </w:tr>
      <w:tr>
        <w:trPr>
          <w:trHeight w:val="334"/>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Depreciation expense</w:t>
            </w:r>
          </w:p>
        </w:tc>
        <w:tc>
          <w:tcPr>
            <w:tcW w:w="2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w:t>
            </w:r>
          </w:p>
        </w:tc>
        <w:tc>
          <w:tcPr>
            <w:tcW w:w="2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3,630</w:t>
            </w:r>
          </w:p>
        </w:tc>
        <w:tc>
          <w:tcPr>
            <w:tcW w:w="2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3,420</w:t>
            </w:r>
          </w:p>
        </w:tc>
      </w:tr>
      <w:tr>
        <w:trPr>
          <w:trHeight w:val="167"/>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Amortization expense</w:t>
            </w: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w:t>
            </w:r>
          </w:p>
        </w:tc>
      </w:tr>
      <w:tr>
        <w:trPr>
          <w:trHeight w:val="167"/>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1,262</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893</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711</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2,908</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w:t>
            </w:r>
          </w:p>
        </w:tc>
        <w:tc>
          <w:tcPr>
            <w:tcW w:w="2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(1,796)</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(1,876)</w:t>
            </w:r>
          </w:p>
        </w:tc>
      </w:tr>
      <w:tr>
        <w:trPr>
          <w:trHeight w:val="167"/>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Investment income, net</w:t>
            </w: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r>
      <w:tr>
        <w:trPr>
          <w:trHeight w:val="167"/>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Equity in net losses of affiliates</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2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7"/>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w:t>
            </w:r>
          </w:p>
        </w:tc>
        <w:tc>
          <w:tcPr>
            <w:tcW w:w="2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w:t>
            </w:r>
          </w:p>
        </w:tc>
      </w:tr>
      <w:tr>
        <w:trPr>
          <w:trHeight w:val="167"/>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2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and Minority Interest</w:t>
            </w:r>
          </w:p>
        </w:tc>
        <w:tc>
          <w:tcPr>
            <w:tcW w:w="2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464</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785</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1,810</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(360)</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(826)</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w:t>
            </w:r>
          </w:p>
        </w:tc>
        <w:tc>
          <w:tcPr>
            <w:tcW w:w="2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w:t>
            </w: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w:t>
            </w:r>
          </w:p>
        </w:tc>
        <w:tc>
          <w:tcPr>
            <w:tcW w:w="2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947</w:t>
            </w:r>
          </w:p>
        </w:tc>
        <w:tc>
          <w:tcPr>
            <w:tcW w:w="2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w:t>
            </w:r>
          </w:p>
        </w:tc>
      </w:tr>
      <w:tr>
        <w:trPr>
          <w:trHeight w:val="334"/>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Net Income per common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0.43</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common shares</w:t>
            </w:r>
          </w:p>
        </w:tc>
        <w:tc>
          <w:tcPr>
            <w:tcW w:w="2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2,169</w:t>
            </w: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2,218</w:t>
            </w:r>
          </w:p>
        </w:tc>
        <w:tc>
          <w:tcPr>
            <w:tcW w:w="2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2,197</w:t>
            </w:r>
          </w:p>
        </w:tc>
        <w:tc>
          <w:tcPr>
            <w:tcW w:w="2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2,240</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common shares</w:t>
            </w:r>
          </w:p>
        </w:tc>
        <w:tc>
          <w:tcPr>
            <w:tcW w:w="2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2,179</w:t>
            </w: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2,229</w:t>
            </w:r>
          </w:p>
        </w:tc>
        <w:tc>
          <w:tcPr>
            <w:tcW w:w="2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2,208</w:t>
            </w:r>
          </w:p>
        </w:tc>
        <w:tc>
          <w:tcPr>
            <w:tcW w:w="2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w:t>
            </w:r>
          </w:p>
        </w:tc>
      </w:tr>
      <w:tr>
        <w:trPr>
          <w:trHeight w:val="501"/>
        </w:trPr>
        <w:tc>
          <w:tcPr>
            <w:tcW w:w="4400" w:type="dxa"/>
            <w:vAlign w:val="bottom"/>
          </w:tcPr>
          <w:p>
            <w:pPr>
              <w:ind w:left="3480"/>
              <w:spacing w:after="0"/>
              <w:rPr>
                <w:sz w:val="20"/>
                <w:szCs w:val="20"/>
                <w:color w:val="auto"/>
              </w:rPr>
            </w:pPr>
            <w:r>
              <w:rPr>
                <w:rFonts w:ascii="Courier New" w:cs="Courier New" w:eastAsia="Courier New" w:hAnsi="Courier New"/>
                <w:sz w:val="14"/>
                <w:szCs w:val="14"/>
                <w:color w:val="auto"/>
              </w:rPr>
              <w:t>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1" w:name="page12"/>
    <w:bookmarkEnd w:id="11"/>
    <w:p>
      <w:pPr>
        <w:jc w:val="center"/>
        <w:ind w:right="3199"/>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TABLE 2</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Condensed Consolidated Balance Sheet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ind w:left="2620"/>
              <w:spacing w:after="0"/>
              <w:rPr>
                <w:sz w:val="20"/>
                <w:szCs w:val="20"/>
                <w:color w:val="auto"/>
              </w:rPr>
            </w:pPr>
            <w:r>
              <w:rPr>
                <w:rFonts w:ascii="Courier New" w:cs="Courier New" w:eastAsia="Courier New" w:hAnsi="Courier New"/>
                <w:sz w:val="14"/>
                <w:szCs w:val="14"/>
                <w:color w:val="auto"/>
              </w:rPr>
              <w:t>(dollars in millions)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63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31,</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6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CURRENT ASSETS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Cash and cash equivalents</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693</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Investments</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1,555</w:t>
            </w: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Accounts receivable, net</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Other current assets</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693</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r>
      <w:tr>
        <w:trPr>
          <w:trHeight w:val="167"/>
        </w:trPr>
        <w:tc>
          <w:tcPr>
            <w:tcW w:w="6380" w:type="dxa"/>
            <w:vAlign w:val="bottom"/>
          </w:tcPr>
          <w:p>
            <w:pPr>
              <w:ind w:left="1060"/>
              <w:spacing w:after="0"/>
              <w:rPr>
                <w:sz w:val="20"/>
                <w:szCs w:val="20"/>
                <w:color w:val="auto"/>
              </w:rPr>
            </w:pPr>
            <w:r>
              <w:rPr>
                <w:rFonts w:ascii="Courier New" w:cs="Courier New" w:eastAsia="Courier New" w:hAnsi="Courier New"/>
                <w:sz w:val="14"/>
                <w:szCs w:val="14"/>
                <w:color w:val="auto"/>
              </w:rPr>
              <w:t>Total current assets</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3,535</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12,682</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12,812</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PROPERTY AND EQUIPMENT, net</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18,769</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18,711</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FRANCHISE RIGHTS</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51,090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51,071</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GOODWILL</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14,218</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14,020</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OTHER INTANGIBLE ASSETS, net</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3,851</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OTHER NONCURRENT ASSETS, net</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633</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694</w:t>
            </w:r>
          </w:p>
        </w:tc>
      </w:tr>
      <w:tr>
        <w:trPr>
          <w:trHeight w:val="167"/>
        </w:trPr>
        <w:tc>
          <w:tcPr>
            <w:tcW w:w="638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103,146</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104,694</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CURRENT LIABILITIES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Accounts payable and accrued expenses related to trade creditors</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2,033</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2,041</w:t>
            </w: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2,545</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2,735</w:t>
            </w: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Deferred income taxes</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7"/>
        </w:trPr>
        <w:tc>
          <w:tcPr>
            <w:tcW w:w="6380" w:type="dxa"/>
            <w:vAlign w:val="bottom"/>
          </w:tcPr>
          <w:p>
            <w:pPr>
              <w:ind w:left="700"/>
              <w:spacing w:after="0"/>
              <w:rPr>
                <w:sz w:val="20"/>
                <w:szCs w:val="20"/>
                <w:color w:val="auto"/>
              </w:rPr>
            </w:pPr>
            <w:r>
              <w:rPr>
                <w:rFonts w:ascii="Courier New" w:cs="Courier New" w:eastAsia="Courier New" w:hAnsi="Courier New"/>
                <w:sz w:val="14"/>
                <w:szCs w:val="14"/>
                <w:color w:val="auto"/>
              </w:rPr>
              <w:t>Current portion of long-term debt</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3,499</w:t>
            </w:r>
          </w:p>
        </w:tc>
      </w:tr>
      <w:tr>
        <w:trPr>
          <w:trHeight w:val="167"/>
        </w:trPr>
        <w:tc>
          <w:tcPr>
            <w:tcW w:w="6380" w:type="dxa"/>
            <w:vAlign w:val="bottom"/>
          </w:tcPr>
          <w:p>
            <w:pPr>
              <w:ind w:left="1060"/>
              <w:spacing w:after="0"/>
              <w:rPr>
                <w:sz w:val="20"/>
                <w:szCs w:val="20"/>
                <w:color w:val="auto"/>
              </w:rPr>
            </w:pPr>
            <w:r>
              <w:rPr>
                <w:rFonts w:ascii="Courier New" w:cs="Courier New" w:eastAsia="Courier New" w:hAnsi="Courier New"/>
                <w:sz w:val="14"/>
                <w:szCs w:val="14"/>
                <w:color w:val="auto"/>
              </w:rPr>
              <w:t>Total current liabilities</w:t>
            </w:r>
          </w:p>
        </w:tc>
        <w:tc>
          <w:tcPr>
            <w:tcW w:w="3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8,635</w:t>
            </w:r>
          </w:p>
        </w:tc>
      </w:tr>
      <w:tr>
        <w:trPr>
          <w:trHeight w:val="334"/>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LONG-TERM DEBT, less current portion</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21,682</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20,093</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27,370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26,815</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OTHER NONCURRENT LIABILITIES</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6,949</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7,261</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657</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r>
        <w:trPr>
          <w:trHeight w:val="334"/>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3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40,219</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41,422</w:t>
            </w:r>
          </w:p>
        </w:tc>
      </w:tr>
      <w:tr>
        <w:trPr>
          <w:trHeight w:val="167"/>
        </w:trPr>
        <w:tc>
          <w:tcPr>
            <w:tcW w:w="638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103,146</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104,694</w:t>
            </w:r>
          </w:p>
        </w:tc>
      </w:tr>
      <w:tr>
        <w:trPr>
          <w:trHeight w:val="501"/>
        </w:trPr>
        <w:tc>
          <w:tcPr>
            <w:tcW w:w="6380" w:type="dxa"/>
            <w:vAlign w:val="bottom"/>
          </w:tcPr>
          <w:p>
            <w:pPr>
              <w:ind w:left="3480"/>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2" w:name="page13"/>
    <w:bookmarkEnd w:id="12"/>
    <w:p>
      <w:pPr>
        <w:jc w:val="center"/>
        <w:ind w:right="3300"/>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TABLE 3</w:t>
      </w:r>
    </w:p>
    <w:p>
      <w:pPr>
        <w:spacing w:after="0" w:line="8"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Condensed Consolidated Statement of Cash Flows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jc w:val="center"/>
              <w:ind w:left="1028"/>
              <w:spacing w:after="0"/>
              <w:rPr>
                <w:sz w:val="20"/>
                <w:szCs w:val="20"/>
                <w:color w:val="auto"/>
              </w:rPr>
            </w:pPr>
            <w:r>
              <w:rPr>
                <w:rFonts w:ascii="Courier New" w:cs="Courier New" w:eastAsia="Courier New" w:hAnsi="Courier New"/>
                <w:sz w:val="14"/>
                <w:szCs w:val="14"/>
                <w:color w:val="auto"/>
              </w:rPr>
              <w:t>(dollars in millions)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5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Twelve Months Ended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December 31,</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4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520" w:type="dxa"/>
            <w:vAlign w:val="bottom"/>
          </w:tcPr>
          <w:p>
            <w:pPr>
              <w:spacing w:after="0"/>
              <w:rPr>
                <w:sz w:val="14"/>
                <w:szCs w:val="14"/>
                <w:color w:val="auto"/>
              </w:rPr>
            </w:pPr>
          </w:p>
        </w:tc>
        <w:tc>
          <w:tcPr>
            <w:tcW w:w="12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$4,922</w:t>
            </w:r>
          </w:p>
        </w:tc>
        <w:tc>
          <w:tcPr>
            <w:tcW w:w="520" w:type="dxa"/>
            <w:vAlign w:val="bottom"/>
          </w:tcPr>
          <w:p>
            <w:pPr>
              <w:spacing w:after="0"/>
              <w:rPr>
                <w:sz w:val="14"/>
                <w:szCs w:val="14"/>
                <w:color w:val="auto"/>
              </w:rPr>
            </w:pPr>
          </w:p>
        </w:tc>
        <w:tc>
          <w:tcPr>
            <w:tcW w:w="12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$5,930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Proceeds from borrowings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3,978</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1,030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Retirements and repayments of debt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(2,706)</w:t>
            </w:r>
          </w:p>
        </w:tc>
        <w:tc>
          <w:tcPr>
            <w:tcW w:w="520" w:type="dxa"/>
            <w:vAlign w:val="bottom"/>
          </w:tcPr>
          <w:p>
            <w:pPr>
              <w:spacing w:after="0"/>
              <w:rPr>
                <w:sz w:val="14"/>
                <w:szCs w:val="1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(2,323)</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Repurchases of common stock and stock options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(2,313)</w:t>
            </w:r>
          </w:p>
        </w:tc>
        <w:tc>
          <w:tcPr>
            <w:tcW w:w="520" w:type="dxa"/>
            <w:vAlign w:val="bottom"/>
          </w:tcPr>
          <w:p>
            <w:pPr>
              <w:spacing w:after="0"/>
              <w:rPr>
                <w:sz w:val="14"/>
                <w:szCs w:val="1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(1,361)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Issuances of common stock</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Other, net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Net cash used in financing activities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(933)</w:t>
            </w:r>
          </w:p>
        </w:tc>
        <w:tc>
          <w:tcPr>
            <w:tcW w:w="520" w:type="dxa"/>
            <w:vAlign w:val="bottom"/>
          </w:tcPr>
          <w:p>
            <w:pPr>
              <w:spacing w:after="0"/>
              <w:rPr>
                <w:sz w:val="14"/>
                <w:szCs w:val="1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(2,516)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Capital expenditures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(3,621)</w:t>
            </w:r>
          </w:p>
        </w:tc>
        <w:tc>
          <w:tcPr>
            <w:tcW w:w="520" w:type="dxa"/>
            <w:vAlign w:val="bottom"/>
          </w:tcPr>
          <w:p>
            <w:pPr>
              <w:spacing w:after="0"/>
              <w:rPr>
                <w:sz w:val="14"/>
                <w:szCs w:val="1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(3,660)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Proceeds from sales and restructuring of investments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Purchases of investments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Acquisitions, net of cash acquired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Cash paid for intangible assets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Purchases of short-term investments, net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Proceeds from settlement of contract of acquired company</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Other, net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Net cash used in investing activities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(3,748)</w:t>
            </w:r>
          </w:p>
        </w:tc>
        <w:tc>
          <w:tcPr>
            <w:tcW w:w="520" w:type="dxa"/>
            <w:vAlign w:val="bottom"/>
          </w:tcPr>
          <w:p>
            <w:pPr>
              <w:spacing w:after="0"/>
              <w:rPr>
                <w:sz w:val="14"/>
                <w:szCs w:val="1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(4,512)</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c>
          <w:tcPr>
            <w:tcW w:w="520" w:type="dxa"/>
            <w:vAlign w:val="bottom"/>
          </w:tcPr>
          <w:p>
            <w:pPr>
              <w:spacing w:after="0"/>
              <w:rPr>
                <w:sz w:val="24"/>
                <w:szCs w:val="2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(1,098)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1,550</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$452</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1"/>
        </w:trPr>
        <w:tc>
          <w:tcPr>
            <w:tcW w:w="5960" w:type="dxa"/>
            <w:vAlign w:val="bottom"/>
          </w:tcPr>
          <w:p>
            <w:pPr>
              <w:jc w:val="center"/>
              <w:ind w:left="1008"/>
              <w:spacing w:after="0"/>
              <w:rPr>
                <w:sz w:val="20"/>
                <w:szCs w:val="20"/>
                <w:color w:val="auto"/>
              </w:rPr>
            </w:pPr>
            <w:r>
              <w:rPr>
                <w:rFonts w:ascii="Courier New" w:cs="Courier New" w:eastAsia="Courier New" w:hAnsi="Courier New"/>
                <w:sz w:val="14"/>
                <w:szCs w:val="14"/>
                <w:color w:val="auto"/>
              </w:rPr>
              <w:t>TABLE 4</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960" w:type="dxa"/>
            <w:vAlign w:val="bottom"/>
          </w:tcPr>
          <w:p>
            <w:pPr>
              <w:jc w:val="center"/>
              <w:ind w:left="1028"/>
              <w:spacing w:after="0"/>
              <w:rPr>
                <w:sz w:val="20"/>
                <w:szCs w:val="20"/>
                <w:color w:val="auto"/>
              </w:rPr>
            </w:pPr>
            <w:r>
              <w:rPr>
                <w:rFonts w:ascii="Courier New" w:cs="Courier New" w:eastAsia="Courier New" w:hAnsi="Courier New"/>
                <w:sz w:val="14"/>
                <w:szCs w:val="14"/>
                <w:color w:val="auto"/>
              </w:rPr>
              <w:t>Calculation of Free Cash Flow (Unaudited) (1)</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960" w:type="dxa"/>
            <w:vAlign w:val="bottom"/>
          </w:tcPr>
          <w:p>
            <w:pPr>
              <w:jc w:val="center"/>
              <w:ind w:left="1028"/>
              <w:spacing w:after="0"/>
              <w:rPr>
                <w:sz w:val="20"/>
                <w:szCs w:val="20"/>
                <w:color w:val="auto"/>
              </w:rPr>
            </w:pPr>
            <w:r>
              <w:rPr>
                <w:rFonts w:ascii="Courier New" w:cs="Courier New" w:eastAsia="Courier New" w:hAnsi="Courier New"/>
                <w:sz w:val="14"/>
                <w:szCs w:val="14"/>
                <w:color w:val="auto"/>
              </w:rPr>
              <w:t>(dollars in millions)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5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24"/>
                <w:szCs w:val="24"/>
                <w:color w:val="auto"/>
              </w:rPr>
            </w:pPr>
          </w:p>
        </w:tc>
        <w:tc>
          <w:tcPr>
            <w:tcW w:w="19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Twelve Months Ended</w:t>
            </w: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96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5"/>
              </w:rPr>
              <w:t>-----------------------</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2005</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596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2,155</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7,531</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Interest, Net (2)</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6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1,729</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Paid for Income Taxes (3)</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c>
          <w:tcPr>
            <w:tcW w:w="6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w:t>
            </w:r>
          </w:p>
        </w:tc>
        <w:tc>
          <w:tcPr>
            <w:tcW w:w="6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1,050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3,621</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3,660</w:t>
            </w:r>
          </w:p>
        </w:tc>
      </w:tr>
      <w:tr>
        <w:trPr>
          <w:trHeight w:val="167"/>
        </w:trPr>
        <w:tc>
          <w:tcPr>
            <w:tcW w:w="596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FREE CASH FLOW</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1,937</w:t>
            </w:r>
          </w:p>
        </w:tc>
      </w:tr>
      <w:tr>
        <w:trPr>
          <w:trHeight w:val="167"/>
        </w:trPr>
        <w:tc>
          <w:tcPr>
            <w:tcW w:w="596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Changes in Working Capital and Other Items (4)</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26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333</w:t>
            </w:r>
          </w:p>
        </w:tc>
      </w:tr>
      <w:tr>
        <w:trPr>
          <w:trHeight w:val="167"/>
        </w:trPr>
        <w:tc>
          <w:tcPr>
            <w:tcW w:w="596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 Less Capital Expenditures</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2,270</w:t>
            </w:r>
          </w:p>
        </w:tc>
      </w:tr>
      <w:tr>
        <w:trPr>
          <w:trHeight w:val="167"/>
        </w:trPr>
        <w:tc>
          <w:tcPr>
            <w:tcW w:w="596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340"/>
          </w:cols>
          <w:pgMar w:left="220" w:top="620" w:right="1339" w:bottom="1440" w:gutter="0" w:footer="0" w:header="0"/>
        </w:sectPr>
      </w:pPr>
    </w:p>
    <w:bookmarkStart w:id="13" w:name="page14"/>
    <w:bookmarkEnd w:id="13"/>
    <w:p>
      <w:pPr>
        <w:ind w:left="-9" w:right="3279" w:firstLine="9"/>
        <w:spacing w:after="0" w:line="252" w:lineRule="auto"/>
        <w:tabs>
          <w:tab w:leader="none" w:pos="33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Cash Flow (as presented above) is defined as Operating Cash Flow less net interest, cash paid for income taxes, and capital expenditures. It is unaffected by fluctuations in working capital levels from period to period and cash payments associated with intangible and other noncurrent assets, acquisitions and investments. Cash payments for intangible assets include long-term technology license agreements including computer software and long-term contract rights to service multi-dwelling properties. For the twelve months ended December 31, 2005, cash payments for intangible assets of $281 million included licenses and software intangibles of $174 million and multiple dwelling unit contracts of $68 million. For the twelve months ended December 31, 2004, cash payments for intangible assets of $615 million included a long-term strategic license agreement with Gemstar of approximately $250 million, other licenses and software intangibles of $161 million and multiple dwelling unit contracts of $177 million. For the twelve months ended December 31, 2005, cash payments for acquisitions and investments totaling $505 million included MGM Inc., Liberate Technologies, and MetaTV. In 2004, cash payments for acquisitions and investments totaling $452 million primarily related to the acquisition of TechTV.</w:t>
      </w:r>
    </w:p>
    <w:p>
      <w:pPr>
        <w:spacing w:after="0" w:line="340" w:lineRule="exact"/>
        <w:rPr>
          <w:rFonts w:ascii="Courier New" w:cs="Courier New" w:eastAsia="Courier New" w:hAnsi="Courier New"/>
          <w:sz w:val="14"/>
          <w:szCs w:val="14"/>
          <w:color w:val="auto"/>
        </w:rPr>
      </w:pPr>
    </w:p>
    <w:p>
      <w:pPr>
        <w:ind w:left="-9" w:right="3799" w:firstLine="9"/>
        <w:spacing w:after="0" w:line="258" w:lineRule="auto"/>
        <w:tabs>
          <w:tab w:leader="none" w:pos="33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expense net of interest income and excludes non-cash interest and subsidiary preferred dividends.</w:t>
      </w:r>
    </w:p>
    <w:p>
      <w:pPr>
        <w:spacing w:after="0" w:line="159" w:lineRule="exact"/>
        <w:rPr>
          <w:rFonts w:ascii="Courier New" w:cs="Courier New" w:eastAsia="Courier New" w:hAnsi="Courier New"/>
          <w:sz w:val="14"/>
          <w:szCs w:val="14"/>
          <w:color w:val="auto"/>
        </w:rPr>
      </w:pPr>
    </w:p>
    <w:p>
      <w:pPr>
        <w:ind w:left="-9" w:right="3459" w:firstLine="9"/>
        <w:spacing w:after="0" w:line="258" w:lineRule="auto"/>
        <w:tabs>
          <w:tab w:leader="none" w:pos="33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paid for income taxes excludes $490 million related to AT&amp;T Broadband income taxes and related interest, net of estimated tax benefit.</w:t>
      </w:r>
    </w:p>
    <w:p>
      <w:pPr>
        <w:spacing w:after="0" w:line="159" w:lineRule="exact"/>
        <w:rPr>
          <w:rFonts w:ascii="Courier New" w:cs="Courier New" w:eastAsia="Courier New" w:hAnsi="Courier New"/>
          <w:sz w:val="14"/>
          <w:szCs w:val="14"/>
          <w:color w:val="auto"/>
        </w:rPr>
      </w:pPr>
    </w:p>
    <w:p>
      <w:pPr>
        <w:ind w:left="-9" w:right="3279" w:firstLine="9"/>
        <w:spacing w:after="0" w:line="252" w:lineRule="auto"/>
        <w:tabs>
          <w:tab w:leader="none" w:pos="33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Cash Flow excludes amounts necessary to reconcile Free Cash Flow to "Net Cash Provided by Operating Activities Less Capital Expenditures." For the twelve months ended December 31, 2005, this amount includes $994 million in cash payments for liabilities incurred as part of the acquisition of AT&amp;T Broadband, including $220 million in payments representing our share of the settlement payments related to certain AT&amp;T litigation and $557 million related to AT&amp;T Broadband income tax related payments. For the twelve months ended December 31, 2004, this amount includes proceeds of $680 million related to the exchange/sale of Liberty Media and Liberty Media International stock and income tax refunds of $591 million offset by $515 million in cash payments for liabilities recorded as part of the acquisition of AT&amp;T Broadband. For the three months ended December 31, 2005, this amount includes $576 million in cash payments for liabilities incurred as part of the acquisition of AT&amp;T Broadband including $557 million related to AT&amp;T Broadband income tax related payments. For the three months ended December 31, 2004, this amount includes $244 million in cash payments for liabilities recorded as part of the acquisition of AT&amp;T Broadband.</w:t>
      </w:r>
    </w:p>
    <w:p>
      <w:pPr>
        <w:spacing w:after="0" w:line="173"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0"/>
          </w:cols>
          <w:pgMar w:left="229" w:top="62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COMCAST CORPORATION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28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TABLE 5</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700" w:type="dxa"/>
            <w:vAlign w:val="bottom"/>
          </w:tcPr>
          <w:p>
            <w:pPr>
              <w:ind w:left="880"/>
              <w:spacing w:after="0"/>
              <w:rPr>
                <w:sz w:val="20"/>
                <w:szCs w:val="20"/>
                <w:color w:val="auto"/>
              </w:rPr>
            </w:pPr>
            <w:r>
              <w:rPr>
                <w:rFonts w:ascii="Courier New" w:cs="Courier New" w:eastAsia="Courier New" w:hAnsi="Courier New"/>
                <w:sz w:val="14"/>
                <w:szCs w:val="14"/>
                <w:color w:val="auto"/>
              </w:rPr>
              <w:t>Pro Forma</w:t>
            </w:r>
          </w:p>
        </w:tc>
        <w:tc>
          <w:tcPr>
            <w:tcW w:w="3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Data by Business Segment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(Unaudited) (1)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2820" w:type="dxa"/>
            <w:vAlign w:val="bottom"/>
          </w:tcPr>
          <w:p>
            <w:pPr>
              <w:jc w:val="center"/>
              <w:ind w:left="768"/>
              <w:spacing w:after="0"/>
              <w:rPr>
                <w:sz w:val="20"/>
                <w:szCs w:val="20"/>
                <w:color w:val="auto"/>
              </w:rPr>
            </w:pPr>
            <w:r>
              <w:rPr>
                <w:rFonts w:ascii="Courier New" w:cs="Courier New" w:eastAsia="Courier New" w:hAnsi="Courier New"/>
                <w:sz w:val="14"/>
                <w:szCs w:val="14"/>
                <w:color w:val="auto"/>
              </w:rPr>
              <w:t>(dollars in millions)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Corporate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Cable (2)</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Content (3)</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(4)</w:t>
            </w: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 December 31, 2005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5,408</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5,716</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2,155</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967</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Margin</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NM</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37.7%</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849</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w:t>
            </w: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 December 31, 2004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4,987</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5,235</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1,986</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771</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711</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Margin</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NM</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Twelve Months Ended</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December 31, 2005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21,158</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22,255</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8,458</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8,493</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3,860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Margin</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NM</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3,567</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3,621</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Twelve Months Ended</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December 31, 2004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19,321</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20,312</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7,533</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3,098</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Margin</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NM</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3,660</w:t>
            </w:r>
          </w:p>
        </w:tc>
      </w:tr>
    </w:tbl>
    <w:p>
      <w:pPr>
        <w:spacing w:after="0" w:line="338" w:lineRule="exact"/>
        <w:rPr>
          <w:sz w:val="20"/>
          <w:szCs w:val="20"/>
          <w:color w:val="auto"/>
        </w:rPr>
      </w:pPr>
    </w:p>
    <w:p>
      <w:pPr>
        <w:ind w:right="3379" w:firstLine="9"/>
        <w:spacing w:after="0" w:line="254"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7. Historical financial data by business segment, as required under generally accepted accounting principles, is available in the Company's annual report on Form 10-K. All percentages are calculated based on actual amounts. Minor differences may exist due to rounding.</w:t>
      </w:r>
    </w:p>
    <w:p>
      <w:pPr>
        <w:spacing w:after="0" w:line="162" w:lineRule="exact"/>
        <w:rPr>
          <w:rFonts w:ascii="Courier New" w:cs="Courier New" w:eastAsia="Courier New" w:hAnsi="Courier New"/>
          <w:sz w:val="14"/>
          <w:szCs w:val="14"/>
          <w:color w:val="auto"/>
        </w:rPr>
      </w:pPr>
    </w:p>
    <w:p>
      <w:pPr>
        <w:ind w:right="4239" w:firstLine="9"/>
        <w:spacing w:after="0" w:line="258"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includes the results of the 30,000 cable subscribers acquired from US Coastal Cable in April 2004.</w:t>
      </w:r>
    </w:p>
    <w:p>
      <w:pPr>
        <w:spacing w:after="0" w:line="159" w:lineRule="exact"/>
        <w:rPr>
          <w:rFonts w:ascii="Courier New" w:cs="Courier New" w:eastAsia="Courier New" w:hAnsi="Courier New"/>
          <w:sz w:val="14"/>
          <w:szCs w:val="14"/>
          <w:color w:val="auto"/>
        </w:rPr>
      </w:pPr>
    </w:p>
    <w:p>
      <w:pPr>
        <w:ind w:right="3279" w:firstLine="9"/>
        <w:spacing w:after="0" w:line="258"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includes our national networks E! Entertainment Television and Style Network (E! Networks), The Golf Channel, OLN, G4 and AZN Television.</w:t>
      </w:r>
    </w:p>
    <w:p>
      <w:pPr>
        <w:spacing w:after="0" w:line="159" w:lineRule="exact"/>
        <w:rPr>
          <w:rFonts w:ascii="Courier New" w:cs="Courier New" w:eastAsia="Courier New" w:hAnsi="Courier New"/>
          <w:sz w:val="14"/>
          <w:szCs w:val="14"/>
          <w:color w:val="auto"/>
        </w:rPr>
      </w:pPr>
    </w:p>
    <w:p>
      <w:pPr>
        <w:ind w:right="3279" w:firstLine="9"/>
        <w:spacing w:after="0" w:line="254"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and Other includes Comcast-Spectacor, Corporate activities and all other businesses not presented in the Cable or Content segments and elimination entries. Beginning in the third quarter of 2004, Comcast-Spectacor includes the operating results of its investment in a sports-event related business.</w:t>
      </w:r>
    </w:p>
    <w:p>
      <w:pPr>
        <w:spacing w:after="0" w:line="163" w:lineRule="exact"/>
        <w:rPr>
          <w:rFonts w:ascii="Courier New" w:cs="Courier New" w:eastAsia="Courier New" w:hAnsi="Courier New"/>
          <w:sz w:val="14"/>
          <w:szCs w:val="14"/>
          <w:color w:val="auto"/>
        </w:rPr>
      </w:pPr>
    </w:p>
    <w:p>
      <w:pPr>
        <w:ind w:right="3719" w:firstLine="9"/>
        <w:spacing w:after="0" w:line="258"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Cable segment's capital expenditures are comprised of the following categories: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FY</w:t>
            </w:r>
          </w:p>
        </w:tc>
        <w:tc>
          <w:tcPr>
            <w:tcW w:w="36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FY</w:t>
            </w:r>
          </w:p>
        </w:tc>
      </w:tr>
      <w:tr>
        <w:trPr>
          <w:trHeight w:val="167"/>
        </w:trPr>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4Q05</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4Q04</w:t>
            </w:r>
          </w:p>
        </w:tc>
        <w:tc>
          <w:tcPr>
            <w:tcW w:w="34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36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880" w:type="dxa"/>
            <w:vAlign w:val="bottom"/>
          </w:tcPr>
          <w:p>
            <w:pPr>
              <w:spacing w:after="0"/>
              <w:rPr>
                <w:sz w:val="14"/>
                <w:szCs w:val="14"/>
                <w:color w:val="auto"/>
              </w:rPr>
            </w:pP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New Service Offerings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Customer Premise Equipment (CPE)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1,876</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1,545</w:t>
            </w:r>
          </w:p>
        </w:tc>
      </w:tr>
      <w:tr>
        <w:trPr>
          <w:trHeight w:val="167"/>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Scalable Infrastructure</w:t>
            </w:r>
          </w:p>
        </w:tc>
        <w:tc>
          <w:tcPr>
            <w:tcW w:w="9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837</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561</w:t>
            </w:r>
          </w:p>
        </w:tc>
      </w:tr>
      <w:tr>
        <w:trPr>
          <w:trHeight w:val="167"/>
        </w:trPr>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657</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701</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2,713</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2,106</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Recurring Capital Projects</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Line Extensions</w:t>
            </w:r>
          </w:p>
        </w:tc>
        <w:tc>
          <w:tcPr>
            <w:tcW w:w="9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r>
      <w:tr>
        <w:trPr>
          <w:trHeight w:val="167"/>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Support Capital</w:t>
            </w:r>
          </w:p>
        </w:tc>
        <w:tc>
          <w:tcPr>
            <w:tcW w:w="9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286</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7"/>
        </w:trPr>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589</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614</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Upgrades</w:t>
            </w:r>
          </w:p>
        </w:tc>
        <w:tc>
          <w:tcPr>
            <w:tcW w:w="94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3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w:t>
            </w:r>
          </w:p>
        </w:tc>
        <w:tc>
          <w:tcPr>
            <w:tcW w:w="34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3,567</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3,622</w:t>
            </w:r>
          </w:p>
        </w:tc>
      </w:tr>
    </w:tbl>
    <w:p>
      <w:pPr>
        <w:spacing w:after="0" w:line="33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39" w:gutter="0" w:footer="0" w:header="0"/>
        </w:sectPr>
      </w:pPr>
    </w:p>
    <w:bookmarkStart w:id="15" w:name="page16"/>
    <w:bookmarkEnd w:id="15"/>
    <w:p>
      <w:pPr>
        <w:jc w:val="center"/>
        <w:ind w:right="3199"/>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TABLE 6</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 Forma Data - Cable Segment Components (Unaudited) (1) (2)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gridSpan w:val="4"/>
          </w:tcPr>
          <w:p>
            <w:pPr>
              <w:ind w:left="800"/>
              <w:spacing w:after="0"/>
              <w:rPr>
                <w:sz w:val="20"/>
                <w:szCs w:val="20"/>
                <w:color w:val="auto"/>
              </w:rPr>
            </w:pPr>
            <w:r>
              <w:rPr>
                <w:rFonts w:ascii="Courier New" w:cs="Courier New" w:eastAsia="Courier New" w:hAnsi="Courier New"/>
                <w:sz w:val="14"/>
                <w:szCs w:val="14"/>
                <w:color w:val="auto"/>
              </w:rPr>
              <w:t>(dollars in millions, except per subscriber and per unit data)</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24"/>
                <w:szCs w:val="24"/>
                <w:color w:val="auto"/>
              </w:rPr>
            </w:pPr>
          </w:p>
        </w:tc>
        <w:tc>
          <w:tcPr>
            <w:tcW w:w="22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Twelve Months Ended</w:t>
            </w:r>
          </w:p>
        </w:tc>
      </w:tr>
      <w:tr>
        <w:trPr>
          <w:trHeight w:val="167"/>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December 31,</w:t>
            </w:r>
          </w:p>
        </w:tc>
        <w:tc>
          <w:tcPr>
            <w:tcW w:w="300" w:type="dxa"/>
            <w:vAlign w:val="bottom"/>
          </w:tcPr>
          <w:p>
            <w:pPr>
              <w:spacing w:after="0"/>
              <w:rPr>
                <w:sz w:val="14"/>
                <w:szCs w:val="14"/>
                <w:color w:val="auto"/>
              </w:rPr>
            </w:pPr>
          </w:p>
        </w:tc>
        <w:tc>
          <w:tcPr>
            <w:tcW w:w="22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480" w:type="dxa"/>
            <w:vAlign w:val="bottom"/>
          </w:tcPr>
          <w:p>
            <w:pPr>
              <w:spacing w:after="0"/>
              <w:rPr>
                <w:sz w:val="14"/>
                <w:szCs w:val="14"/>
                <w:color w:val="auto"/>
              </w:rPr>
            </w:pPr>
          </w:p>
        </w:tc>
        <w:tc>
          <w:tcPr>
            <w:tcW w:w="264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2005</w:t>
            </w:r>
          </w:p>
        </w:tc>
        <w:tc>
          <w:tcPr>
            <w:tcW w:w="40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2005</w:t>
            </w:r>
          </w:p>
        </w:tc>
        <w:tc>
          <w:tcPr>
            <w:tcW w:w="32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48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Video (3)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3,426</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3,242</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13,635</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12,897</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High-Speed Internet</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1,059</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855</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3,986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3,124</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Advertising</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369</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(4)</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Franchise Fees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5,408</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21,158</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19,321</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Programming Expense</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4,371</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4,149</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2,172</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1,974</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8,458</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7,473</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967</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771</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3,860</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3,098</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w:t>
            </w:r>
          </w:p>
        </w:tc>
        <w:tc>
          <w:tcPr>
            <w:tcW w:w="4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38.7%</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849</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1,044</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3,567</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3,622</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Cash Flow, Net of Capital Expenditures</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1,323</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4,891</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3,851</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Capital Expenditures per Basic Subscriber</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Capital Expenditures per Revenue Generating Unit</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835"/>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4Q05</w:t>
            </w:r>
          </w:p>
        </w:tc>
        <w:tc>
          <w:tcPr>
            <w:tcW w:w="400" w:type="dxa"/>
            <w:vAlign w:val="bottom"/>
          </w:tcPr>
          <w:p>
            <w:pPr>
              <w:spacing w:after="0"/>
              <w:rPr>
                <w:sz w:val="24"/>
                <w:szCs w:val="2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4Q04</w:t>
            </w:r>
          </w:p>
        </w:tc>
        <w:tc>
          <w:tcPr>
            <w:tcW w:w="3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3Q05</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Homes Passed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41,600</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40,800</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41,400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Basic Subscribers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21,449</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21,561</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21,409</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Basic Penetration</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w:t>
            </w:r>
          </w:p>
        </w:tc>
        <w:tc>
          <w:tcPr>
            <w:tcW w:w="4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Quarterly Net Basic Subscriber Additions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Digital Subscribers (000's)</w:t>
            </w:r>
          </w:p>
        </w:tc>
        <w:tc>
          <w:tcPr>
            <w:tcW w:w="3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9,789</w:t>
            </w:r>
          </w:p>
        </w:tc>
        <w:tc>
          <w:tcPr>
            <w:tcW w:w="40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8,656</w:t>
            </w:r>
          </w:p>
        </w:tc>
        <w:tc>
          <w:tcPr>
            <w:tcW w:w="30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9,447</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Digital Penetration</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w:t>
            </w:r>
          </w:p>
        </w:tc>
        <w:tc>
          <w:tcPr>
            <w:tcW w:w="4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Quarterly Net Digital Subscriber Additions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Digital Set-Top Boxes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15,052</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12,960</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14,398</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Monthly Average Video Revenue per Basic Subscriber</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53.29</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50.19</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52.98</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Monthly Average Total Revenue per Basic Subscriber</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84.12</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77.24</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82.70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High-Speed Internet</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"Available" Homes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41,249</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40,010</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40,980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Subscribers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8,520</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6,994</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8,142</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c>
          <w:tcPr>
            <w:tcW w:w="4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42.39</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42.88</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"Available" Homes (000's) (5)</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21,378</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10,437</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16,524</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Subscribers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1,321</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1,223</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4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45.19</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46.03</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Revenue Generating Units (000's) (6)</w:t>
            </w:r>
          </w:p>
        </w:tc>
        <w:tc>
          <w:tcPr>
            <w:tcW w:w="3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41,079</w:t>
            </w:r>
          </w:p>
        </w:tc>
        <w:tc>
          <w:tcPr>
            <w:tcW w:w="40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38,434</w:t>
            </w:r>
          </w:p>
        </w:tc>
        <w:tc>
          <w:tcPr>
            <w:tcW w:w="30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40,240</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Quarterly Net Additions</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839</w:t>
            </w:r>
          </w:p>
        </w:tc>
        <w:tc>
          <w:tcPr>
            <w:tcW w:w="4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759</w:t>
            </w:r>
          </w:p>
        </w:tc>
        <w:tc>
          <w:tcPr>
            <w:tcW w:w="3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38" w:lineRule="exact"/>
        <w:rPr>
          <w:sz w:val="20"/>
          <w:szCs w:val="20"/>
          <w:color w:val="auto"/>
        </w:rPr>
      </w:pPr>
    </w:p>
    <w:p>
      <w:pPr>
        <w:ind w:right="3279" w:firstLine="9"/>
        <w:spacing w:after="0" w:line="258"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7. All percentages are calculated based on actual amounts. Minor differences may exist due to rounding.</w:t>
      </w:r>
    </w:p>
    <w:p>
      <w:pPr>
        <w:spacing w:after="0" w:line="159" w:lineRule="exact"/>
        <w:rPr>
          <w:rFonts w:ascii="Courier New" w:cs="Courier New" w:eastAsia="Courier New" w:hAnsi="Courier New"/>
          <w:sz w:val="14"/>
          <w:szCs w:val="14"/>
          <w:color w:val="auto"/>
        </w:rPr>
      </w:pPr>
    </w:p>
    <w:p>
      <w:pPr>
        <w:ind w:right="3459" w:firstLine="9"/>
        <w:spacing w:after="0" w:line="254"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and subscriber data includes the results of the 30,000 cable subscribers acquired from US Coastal Cable in April 2004. Pro forma subscriber data also includes 85,000 subscribers acquired in various small acquisitions during the periods presented. The impact of these acquisitions on our segment operating results was not material.</w:t>
      </w:r>
    </w:p>
    <w:p>
      <w:pPr>
        <w:spacing w:after="0" w:line="162" w:lineRule="exact"/>
        <w:rPr>
          <w:rFonts w:ascii="Courier New" w:cs="Courier New" w:eastAsia="Courier New" w:hAnsi="Courier New"/>
          <w:sz w:val="14"/>
          <w:szCs w:val="14"/>
          <w:color w:val="auto"/>
        </w:rPr>
      </w:pPr>
    </w:p>
    <w:p>
      <w:pPr>
        <w:ind w:right="3379" w:firstLine="9"/>
        <w:spacing w:after="0" w:line="258"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Video revenues consist of our basic, expanded basic, premium, pay-per-view, equipment and digital services.</w:t>
      </w:r>
    </w:p>
    <w:p>
      <w:pPr>
        <w:spacing w:after="0" w:line="159" w:lineRule="exact"/>
        <w:rPr>
          <w:rFonts w:ascii="Courier New" w:cs="Courier New" w:eastAsia="Courier New" w:hAnsi="Courier New"/>
          <w:sz w:val="14"/>
          <w:szCs w:val="14"/>
          <w:color w:val="auto"/>
        </w:rPr>
      </w:pPr>
    </w:p>
    <w:p>
      <w:pPr>
        <w:ind w:right="3279" w:firstLine="9"/>
        <w:spacing w:after="0" w:line="255"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 homes includes circuit switched and Comcast Digital Voice homes.</w:t>
      </w:r>
    </w:p>
    <w:p>
      <w:pPr>
        <w:spacing w:after="0" w:line="175" w:lineRule="exact"/>
        <w:rPr>
          <w:rFonts w:ascii="Courier New" w:cs="Courier New" w:eastAsia="Courier New" w:hAnsi="Courier New"/>
          <w:sz w:val="14"/>
          <w:szCs w:val="14"/>
          <w:color w:val="auto"/>
        </w:rPr>
      </w:pPr>
    </w:p>
    <w:p>
      <w:pPr>
        <w:ind w:right="3639" w:firstLine="9"/>
        <w:spacing w:after="0" w:line="258"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total of all basic video, digital video, high-speed Internet and phone subscribers, excluding additional outlets.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306" w:gutter="0" w:footer="0" w:header="0"/>
        </w:sectPr>
      </w:pPr>
    </w:p>
    <w:bookmarkStart w:id="16" w:name="page17"/>
    <w:bookmarkEnd w:id="16"/>
    <w:p>
      <w:pPr>
        <w:jc w:val="center"/>
        <w:ind w:right="3179"/>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TABLE 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and Other Financial Measures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6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7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 GAAP financial measure" as contemplated by Regulation G adopted by the Securities and Exchange Commission. Consolidated Operating Cash Flow is a non-GAAP financial measure.</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Free Cash Flow, which is a non-GAAP financial measure, has been defined as Operating Cash Flow less net interest, cash paid for income taxes, and capital expenditures. As such, it is unaffected by fluctuations in working capital levels from period to period and cash payments associated with intangible and other non-current assets which are detailed in our quarterly and annual reports on Forms 10Q/K.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 Beginning in 2006, we are changing the definition of Free Cash Flow to mean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w:t>
      </w:r>
    </w:p>
    <w:p>
      <w:pPr>
        <w:spacing w:after="0" w:line="17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7" w:name="page18"/>
    <w:bookmarkEnd w:id="17"/>
    <w:p>
      <w:pPr>
        <w:jc w:val="center"/>
        <w:ind w:right="450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TABLE 7-A</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Reconciliation of Historical and Pro Forma Data by Business Segment</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(Unaudited) (1)</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Historical</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Adjustments</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Courier New" w:cs="Courier New" w:eastAsia="Courier New" w:hAnsi="Courier New"/>
                <w:sz w:val="1"/>
                <w:szCs w:val="1"/>
                <w:color w:val="auto"/>
                <w:w w:val="83"/>
              </w:rPr>
              <w: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Corporate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Corporate</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Cable</w:t>
            </w: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Content</w:t>
            </w:r>
          </w:p>
        </w:tc>
        <w:tc>
          <w:tcPr>
            <w:tcW w:w="2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and Other</w:t>
            </w:r>
          </w:p>
        </w:tc>
        <w:tc>
          <w:tcPr>
            <w:tcW w:w="300" w:type="dxa"/>
            <w:vAlign w:val="bottom"/>
          </w:tcPr>
          <w:p>
            <w:pPr>
              <w:spacing w:after="0"/>
              <w:rPr>
                <w:sz w:val="14"/>
                <w:szCs w:val="14"/>
                <w:color w:val="auto"/>
              </w:rPr>
            </w:pPr>
          </w:p>
        </w:tc>
        <w:tc>
          <w:tcPr>
            <w:tcW w:w="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Cable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Other</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8"/>
          </w:tcPr>
          <w:p>
            <w:pPr>
              <w:jc w:val="center"/>
              <w:ind w:left="8"/>
              <w:spacing w:after="0"/>
              <w:rPr>
                <w:sz w:val="20"/>
                <w:szCs w:val="20"/>
                <w:color w:val="auto"/>
              </w:rPr>
            </w:pPr>
            <w:r>
              <w:rPr>
                <w:rFonts w:ascii="Courier New" w:cs="Courier New" w:eastAsia="Courier New" w:hAnsi="Courier New"/>
                <w:sz w:val="14"/>
                <w:szCs w:val="14"/>
                <w:color w:val="auto"/>
              </w:rPr>
              <w:t>----------   ---------   --------</w:t>
            </w:r>
          </w:p>
        </w:tc>
        <w:tc>
          <w:tcPr>
            <w:tcW w:w="1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6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4,987</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5,235</w:t>
            </w:r>
          </w:p>
        </w:tc>
        <w:tc>
          <w:tcPr>
            <w:tcW w:w="7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5,235</w:t>
            </w:r>
          </w:p>
        </w:tc>
      </w:tr>
      <w:tr>
        <w:trPr>
          <w:trHeight w:val="167"/>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Operating Expenses (excluding depreciation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and amortization)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3,013</w:t>
            </w:r>
          </w:p>
        </w:tc>
        <w:tc>
          <w:tcPr>
            <w:tcW w:w="1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3,249</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3,249</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1,974</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(45)</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1,986</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1,203</w:t>
            </w:r>
          </w:p>
        </w:tc>
        <w:tc>
          <w:tcPr>
            <w:tcW w:w="1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1,275</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6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(71)</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711</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711</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1,050</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1,050</w:t>
            </w:r>
          </w:p>
        </w:tc>
      </w:tr>
      <w:tr>
        <w:trPr>
          <w:trHeight w:val="835"/>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Corporate</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Corporate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Twleve Months Ended December 31, 2004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Cable</w:t>
            </w: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Content</w:t>
            </w:r>
          </w:p>
        </w:tc>
        <w:tc>
          <w:tcPr>
            <w:tcW w:w="2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and Other</w:t>
            </w:r>
          </w:p>
        </w:tc>
        <w:tc>
          <w:tcPr>
            <w:tcW w:w="300" w:type="dxa"/>
            <w:vAlign w:val="bottom"/>
          </w:tcPr>
          <w:p>
            <w:pPr>
              <w:spacing w:after="0"/>
              <w:rPr>
                <w:sz w:val="14"/>
                <w:szCs w:val="14"/>
                <w:color w:val="auto"/>
              </w:rPr>
            </w:pPr>
          </w:p>
        </w:tc>
        <w:tc>
          <w:tcPr>
            <w:tcW w:w="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Cable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Other</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8"/>
          </w:tcPr>
          <w:p>
            <w:pPr>
              <w:jc w:val="center"/>
              <w:ind w:left="8"/>
              <w:spacing w:after="0"/>
              <w:rPr>
                <w:sz w:val="20"/>
                <w:szCs w:val="20"/>
                <w:color w:val="auto"/>
              </w:rPr>
            </w:pPr>
            <w:r>
              <w:rPr>
                <w:rFonts w:ascii="Courier New" w:cs="Courier New" w:eastAsia="Courier New" w:hAnsi="Courier New"/>
                <w:sz w:val="14"/>
                <w:szCs w:val="14"/>
                <w:color w:val="auto"/>
              </w:rPr>
              <w:t>----------   ---------   --------</w:t>
            </w:r>
          </w:p>
        </w:tc>
        <w:tc>
          <w:tcPr>
            <w:tcW w:w="1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6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19,316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204</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20,307</w:t>
            </w: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20,312</w:t>
            </w:r>
          </w:p>
        </w:tc>
      </w:tr>
      <w:tr>
        <w:trPr>
          <w:trHeight w:val="167"/>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Operating expenses (excluding depreciation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and amortization)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11,845</w:t>
            </w:r>
          </w:p>
        </w:tc>
        <w:tc>
          <w:tcPr>
            <w:tcW w:w="1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409</w:t>
            </w:r>
          </w:p>
        </w:tc>
        <w:tc>
          <w:tcPr>
            <w:tcW w:w="3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12,776</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12,779</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7,471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(205)</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7,531</w:t>
            </w: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7,533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4,375</w:t>
            </w:r>
          </w:p>
        </w:tc>
        <w:tc>
          <w:tcPr>
            <w:tcW w:w="1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4,623</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4,623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6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2,908</w:t>
            </w: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3,622</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3,660</w:t>
            </w: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3,660</w:t>
            </w:r>
          </w:p>
        </w:tc>
      </w:tr>
      <w:tr>
        <w:trPr>
          <w:trHeight w:val="501"/>
        </w:trPr>
        <w:tc>
          <w:tcPr>
            <w:tcW w:w="6440" w:type="dxa"/>
            <w:vAlign w:val="bottom"/>
            <w:gridSpan w:val="8"/>
          </w:tcPr>
          <w:p>
            <w:pPr>
              <w:ind w:left="620"/>
              <w:spacing w:after="0"/>
              <w:rPr>
                <w:sz w:val="20"/>
                <w:szCs w:val="20"/>
                <w:color w:val="auto"/>
              </w:rPr>
            </w:pPr>
            <w:r>
              <w:rPr>
                <w:rFonts w:ascii="Courier New" w:cs="Courier New" w:eastAsia="Courier New" w:hAnsi="Courier New"/>
                <w:sz w:val="14"/>
                <w:szCs w:val="14"/>
                <w:color w:val="auto"/>
              </w:rPr>
              <w:t>Reconciliation of Operating Cash Flow to Free Cash Flow (Unaudited)</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180" w:type="dxa"/>
            <w:vAlign w:val="bottom"/>
            <w:gridSpan w:val="5"/>
          </w:tcPr>
          <w:p>
            <w:pPr>
              <w:ind w:left="2620"/>
              <w:spacing w:after="0"/>
              <w:rPr>
                <w:sz w:val="20"/>
                <w:szCs w:val="20"/>
                <w:color w:val="auto"/>
              </w:rPr>
            </w:pPr>
            <w:r>
              <w:rPr>
                <w:rFonts w:ascii="Courier New" w:cs="Courier New" w:eastAsia="Courier New" w:hAnsi="Courier New"/>
                <w:sz w:val="14"/>
                <w:szCs w:val="14"/>
                <w:color w:val="auto"/>
              </w:rPr>
              <w:t>(dollars in millions)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108"/>
              <w:spacing w:after="0"/>
              <w:rPr>
                <w:sz w:val="20"/>
                <w:szCs w:val="20"/>
                <w:color w:val="auto"/>
              </w:rPr>
            </w:pPr>
            <w:r>
              <w:rPr>
                <w:rFonts w:ascii="Courier New" w:cs="Courier New" w:eastAsia="Courier New" w:hAnsi="Courier New"/>
                <w:sz w:val="14"/>
                <w:szCs w:val="14"/>
                <w:color w:val="auto"/>
              </w:rPr>
              <w:t>Twelve Months Ended</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December 31,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December 31,</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5"/>
                <w:szCs w:val="5"/>
                <w:color w:val="auto"/>
                <w:w w:val="76"/>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1"/>
                <w:szCs w:val="11"/>
                <w:color w:val="auto"/>
                <w:w w:val="74"/>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5"/>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92"/>
              <w:spacing w:after="0"/>
              <w:rPr>
                <w:sz w:val="20"/>
                <w:szCs w:val="20"/>
                <w:color w:val="auto"/>
              </w:rPr>
            </w:pPr>
            <w:r>
              <w:rPr>
                <w:rFonts w:ascii="Courier New" w:cs="Courier New" w:eastAsia="Courier New" w:hAnsi="Courier New"/>
                <w:sz w:val="14"/>
                <w:szCs w:val="14"/>
                <w:color w:val="auto"/>
                <w:w w:val="99"/>
              </w:rPr>
              <w:t>2,155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2,155</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1,986</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1,986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8,493</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8,493</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7,531</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7,531</w:t>
            </w:r>
          </w:p>
        </w:tc>
        <w:tc>
          <w:tcPr>
            <w:tcW w:w="86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Interest, net (2)</w:t>
            </w:r>
          </w:p>
        </w:tc>
        <w:tc>
          <w:tcPr>
            <w:tcW w:w="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(410)</w:t>
            </w: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w:t>
            </w: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c>
          <w:tcPr>
            <w:tcW w:w="340" w:type="dxa"/>
            <w:vAlign w:val="bottom"/>
          </w:tcPr>
          <w:p>
            <w:pPr>
              <w:spacing w:after="0"/>
              <w:rPr>
                <w:sz w:val="14"/>
                <w:szCs w:val="14"/>
                <w:color w:val="auto"/>
              </w:rPr>
            </w:pPr>
          </w:p>
        </w:tc>
        <w:tc>
          <w:tcPr>
            <w:tcW w:w="9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w w:val="98"/>
              </w:rPr>
              <w:t>(1,653)</w:t>
            </w: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(1,653)</w:t>
            </w:r>
          </w:p>
        </w:tc>
        <w:tc>
          <w:tcPr>
            <w:tcW w:w="160" w:type="dxa"/>
            <w:vAlign w:val="bottom"/>
          </w:tcPr>
          <w:p>
            <w:pPr>
              <w:spacing w:after="0"/>
              <w:rPr>
                <w:sz w:val="14"/>
                <w:szCs w:val="14"/>
                <w:color w:val="auto"/>
              </w:rPr>
            </w:pP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(1,729)</w:t>
            </w:r>
          </w:p>
        </w:tc>
        <w:tc>
          <w:tcPr>
            <w:tcW w:w="15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(1,729)</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Cash Paid for Income Taxes</w:t>
            </w:r>
          </w:p>
        </w:tc>
        <w:tc>
          <w:tcPr>
            <w:tcW w:w="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(178)</w:t>
            </w: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w:t>
            </w: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14"/>
                <w:szCs w:val="14"/>
                <w:color w:val="auto"/>
              </w:rPr>
            </w:pPr>
          </w:p>
        </w:tc>
        <w:tc>
          <w:tcPr>
            <w:tcW w:w="9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(653)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(205)</w:t>
            </w:r>
          </w:p>
        </w:tc>
        <w:tc>
          <w:tcPr>
            <w:tcW w:w="260" w:type="dxa"/>
            <w:vAlign w:val="bottom"/>
          </w:tcPr>
          <w:p>
            <w:pPr>
              <w:spacing w:after="0"/>
              <w:rPr>
                <w:sz w:val="14"/>
                <w:szCs w:val="14"/>
                <w:color w:val="auto"/>
              </w:rPr>
            </w:pPr>
          </w:p>
        </w:tc>
        <w:tc>
          <w:tcPr>
            <w:tcW w:w="12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(205)</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Change in Operating Assets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Liabilities, net of acquisitions</w:t>
            </w:r>
          </w:p>
        </w:tc>
        <w:tc>
          <w:tcPr>
            <w:tcW w:w="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(693)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w w:val="98"/>
              </w:rPr>
              <w:t>(1,022)</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(331)</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Other (3)</w:t>
            </w:r>
          </w:p>
        </w:tc>
        <w:tc>
          <w:tcPr>
            <w:tcW w:w="26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108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(243)</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664</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982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1,495</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4,922</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5,930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Less: Capital Expenditures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(868)</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(1,050)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(3,621)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(3,660)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Free Cash Flow</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2,566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1,937</w:t>
            </w:r>
          </w:p>
        </w:tc>
        <w:tc>
          <w:tcPr>
            <w:tcW w:w="860" w:type="dxa"/>
            <w:vAlign w:val="bottom"/>
          </w:tcPr>
          <w:p>
            <w:pPr>
              <w:spacing w:after="0"/>
              <w:rPr>
                <w:sz w:val="14"/>
                <w:szCs w:val="14"/>
                <w:color w:val="auto"/>
              </w:rPr>
            </w:pPr>
          </w:p>
        </w:tc>
      </w:tr>
    </w:tbl>
    <w:p>
      <w:pPr>
        <w:sectPr>
          <w:pgSz w:w="11900" w:h="16838" w:orient="portrait"/>
          <w:cols w:equalWidth="0" w:num="1">
            <w:col w:w="11540"/>
          </w:cols>
          <w:pgMar w:left="220" w:top="620" w:right="139" w:bottom="1440" w:gutter="0" w:footer="0" w:header="0"/>
        </w:sectPr>
      </w:pPr>
    </w:p>
    <w:bookmarkStart w:id="18" w:name="page19"/>
    <w:bookmarkEnd w:id="18"/>
    <w:p>
      <w:pPr>
        <w:ind w:left="1660"/>
        <w:spacing w:after="0"/>
        <w:rPr>
          <w:sz w:val="20"/>
          <w:szCs w:val="20"/>
          <w:color w:val="auto"/>
        </w:rPr>
      </w:pPr>
      <w:r>
        <w:rPr>
          <w:rFonts w:ascii="Courier New" w:cs="Courier New" w:eastAsia="Courier New" w:hAnsi="Courier New"/>
          <w:sz w:val="14"/>
          <w:szCs w:val="14"/>
          <w:color w:val="auto"/>
        </w:rPr>
        <w:t>Reconciliation of 2006 Outlook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4"/>
                <w:szCs w:val="14"/>
                <w:color w:val="auto"/>
              </w:rPr>
              <w:t>(dollars in millions)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668"/>
        </w:trPr>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20" w:type="dxa"/>
            <w:vAlign w:val="bottom"/>
            <w:gridSpan w:val="10"/>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w:t>
            </w:r>
          </w:p>
        </w:tc>
        <w:tc>
          <w:tcPr>
            <w:tcW w:w="2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December 31, 2005</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FAS123R (4)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Adjusted</w:t>
            </w: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Outlook</w:t>
            </w: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2"/>
              </w:rPr>
              <w:t>-----------------</w:t>
            </w:r>
          </w:p>
        </w:tc>
        <w:tc>
          <w:tcPr>
            <w:tcW w:w="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Reconciliation of Operating Income to</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3,690</w:t>
            </w:r>
          </w:p>
        </w:tc>
        <w:tc>
          <w:tcPr>
            <w:tcW w:w="220" w:type="dxa"/>
            <w:vAlign w:val="bottom"/>
          </w:tcPr>
          <w:p>
            <w:pPr>
              <w:spacing w:after="0"/>
              <w:rPr>
                <w:sz w:val="14"/>
                <w:szCs w:val="14"/>
                <w:color w:val="auto"/>
              </w:rPr>
            </w:pP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3,524</w:t>
            </w: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4,803</w:t>
            </w: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14"/>
                <w:szCs w:val="14"/>
                <w:color w:val="auto"/>
              </w:rPr>
            </w:pPr>
          </w:p>
        </w:tc>
        <w:tc>
          <w:tcPr>
            <w:tcW w:w="1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8,493</w:t>
            </w:r>
          </w:p>
        </w:tc>
        <w:tc>
          <w:tcPr>
            <w:tcW w:w="220" w:type="dxa"/>
            <w:vAlign w:val="bottom"/>
          </w:tcPr>
          <w:p>
            <w:pPr>
              <w:spacing w:after="0"/>
              <w:rPr>
                <w:sz w:val="14"/>
                <w:szCs w:val="14"/>
                <w:color w:val="auto"/>
              </w:rPr>
            </w:pP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8,327</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Growth between 9 - 10%</w:t>
            </w:r>
          </w:p>
        </w:tc>
      </w:tr>
      <w:tr>
        <w:trPr>
          <w:trHeight w:val="334"/>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Reconciliation of Net Cash Provided by</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Operating Activities to Free Cash Flow</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60" w:type="dxa"/>
            <w:vAlign w:val="bottom"/>
          </w:tcPr>
          <w:p>
            <w:pPr>
              <w:spacing w:after="0"/>
              <w:rPr>
                <w:sz w:val="14"/>
                <w:szCs w:val="14"/>
                <w:color w:val="auto"/>
              </w:rPr>
            </w:pPr>
          </w:p>
        </w:tc>
        <w:tc>
          <w:tcPr>
            <w:tcW w:w="1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(3,621)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Cash Paid for Intangible Assets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Payments related to AT&amp;T Broadband litigation</w:t>
            </w:r>
          </w:p>
        </w:tc>
        <w:tc>
          <w:tcPr>
            <w:tcW w:w="260" w:type="dxa"/>
            <w:vAlign w:val="bottom"/>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220</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Income Tax Payments related to AT&amp;T Broadband</w:t>
            </w:r>
          </w:p>
        </w:tc>
        <w:tc>
          <w:tcPr>
            <w:tcW w:w="260" w:type="dxa"/>
            <w:vAlign w:val="bottom"/>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557</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Tax Payments on Investment Sales</w:t>
            </w:r>
          </w:p>
        </w:tc>
        <w:tc>
          <w:tcPr>
            <w:tcW w:w="260" w:type="dxa"/>
            <w:vAlign w:val="bottom"/>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431</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Less:</w:t>
            </w:r>
          </w:p>
        </w:tc>
        <w:tc>
          <w:tcPr>
            <w:tcW w:w="3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Tax Benefit</w:t>
            </w:r>
          </w:p>
        </w:tc>
        <w:tc>
          <w:tcPr>
            <w:tcW w:w="26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(146)</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Non-Operating Items, net of tax</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Free Cash Flow</w:t>
            </w:r>
          </w:p>
        </w:tc>
        <w:tc>
          <w:tcPr>
            <w:tcW w:w="2860" w:type="dxa"/>
            <w:vAlign w:val="bottom"/>
          </w:tcPr>
          <w:p>
            <w:pPr>
              <w:jc w:val="right"/>
              <w:ind w:right="2708"/>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1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2,082</w:t>
            </w:r>
          </w:p>
        </w:tc>
        <w:tc>
          <w:tcPr>
            <w:tcW w:w="4640" w:type="dxa"/>
            <w:vAlign w:val="bottom"/>
            <w:gridSpan w:val="7"/>
          </w:tcPr>
          <w:p>
            <w:pPr>
              <w:jc w:val="right"/>
              <w:ind w:right="608"/>
              <w:spacing w:after="0"/>
              <w:rPr>
                <w:sz w:val="20"/>
                <w:szCs w:val="20"/>
                <w:color w:val="auto"/>
              </w:rPr>
            </w:pPr>
            <w:r>
              <w:rPr>
                <w:rFonts w:ascii="Courier New" w:cs="Courier New" w:eastAsia="Courier New" w:hAnsi="Courier New"/>
                <w:sz w:val="14"/>
                <w:szCs w:val="14"/>
                <w:color w:val="auto"/>
              </w:rPr>
              <w:t>Conversion of between 25% to 30% of Operating</w:t>
            </w: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jc w:val="center"/>
              <w:ind w:right="548"/>
              <w:spacing w:after="0"/>
              <w:rPr>
                <w:sz w:val="20"/>
                <w:szCs w:val="20"/>
                <w:color w:val="auto"/>
              </w:rPr>
            </w:pPr>
            <w:r>
              <w:rPr>
                <w:rFonts w:ascii="Courier New" w:cs="Courier New" w:eastAsia="Courier New" w:hAnsi="Courier New"/>
                <w:sz w:val="14"/>
                <w:szCs w:val="14"/>
                <w:color w:val="auto"/>
              </w:rPr>
              <w:t>Cash Flow</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501"/>
        </w:trPr>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CABLE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20" w:type="dxa"/>
            <w:vAlign w:val="bottom"/>
            <w:gridSpan w:val="10"/>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As</w:t>
            </w:r>
          </w:p>
        </w:tc>
        <w:tc>
          <w:tcPr>
            <w:tcW w:w="2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2005</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FAS123R (4)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Adjusted</w:t>
            </w: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Outlook</w:t>
            </w:r>
          </w:p>
        </w:tc>
      </w:tr>
      <w:tr>
        <w:trPr>
          <w:trHeight w:val="167"/>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Reconciliation of Operating Income to</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28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780"/>
              <w:spacing w:after="0"/>
              <w:rPr>
                <w:sz w:val="20"/>
                <w:szCs w:val="20"/>
                <w:color w:val="auto"/>
              </w:rPr>
            </w:pPr>
            <w:r>
              <w:rPr>
                <w:rFonts w:ascii="Courier New" w:cs="Courier New" w:eastAsia="Courier New" w:hAnsi="Courier New"/>
                <w:sz w:val="14"/>
                <w:szCs w:val="14"/>
                <w:color w:val="auto"/>
              </w:rPr>
              <w:t>3,860</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3,743</w:t>
            </w: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1480" w:type="dxa"/>
            <w:vAlign w:val="bottom"/>
          </w:tcPr>
          <w:p>
            <w:pPr>
              <w:ind w:left="780"/>
              <w:spacing w:after="0"/>
              <w:rPr>
                <w:sz w:val="20"/>
                <w:szCs w:val="20"/>
                <w:color w:val="auto"/>
              </w:rPr>
            </w:pPr>
            <w:r>
              <w:rPr>
                <w:rFonts w:ascii="Courier New" w:cs="Courier New" w:eastAsia="Courier New" w:hAnsi="Courier New"/>
                <w:sz w:val="14"/>
                <w:szCs w:val="14"/>
                <w:color w:val="auto"/>
              </w:rPr>
              <w:t>4,598</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4,598</w:t>
            </w: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Operating Cash Flow</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780"/>
              <w:spacing w:after="0"/>
              <w:rPr>
                <w:sz w:val="20"/>
                <w:szCs w:val="20"/>
                <w:color w:val="auto"/>
              </w:rPr>
            </w:pPr>
            <w:r>
              <w:rPr>
                <w:rFonts w:ascii="Courier New" w:cs="Courier New" w:eastAsia="Courier New" w:hAnsi="Courier New"/>
                <w:sz w:val="14"/>
                <w:szCs w:val="14"/>
                <w:color w:val="auto"/>
              </w:rPr>
              <w:t>8,458</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8,341</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Growth between 10 - 11%</w:t>
            </w:r>
          </w:p>
        </w:tc>
      </w:tr>
      <w:tr>
        <w:trPr>
          <w:trHeight w:val="334"/>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Reconciliation of Net Cash Provided by</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Operating Activities to Free Cash Flow</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Cash Paid for Intangible Assets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Payments related to AT&amp;T Broadband litigation</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Income Tax Payments related to AT&amp;T Broadband</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Tax Payments on Investment Sales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Less:</w:t>
            </w:r>
          </w:p>
        </w:tc>
        <w:tc>
          <w:tcPr>
            <w:tcW w:w="3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Tax Benefit</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4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Non-Operating Items, net of tax</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Free Cash Flow</w:t>
            </w:r>
          </w:p>
        </w:tc>
        <w:tc>
          <w:tcPr>
            <w:tcW w:w="2860" w:type="dxa"/>
            <w:vAlign w:val="bottom"/>
          </w:tcPr>
          <w:p>
            <w:pPr>
              <w:jc w:val="right"/>
              <w:ind w:right="2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338" w:lineRule="exact"/>
        <w:rPr>
          <w:sz w:val="20"/>
          <w:szCs w:val="20"/>
          <w:color w:val="auto"/>
        </w:rPr>
      </w:pPr>
    </w:p>
    <w:p>
      <w:pPr>
        <w:ind w:left="360" w:hanging="351"/>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Cash Flow Definition Beginning in 2006 (see table 7)</w:t>
      </w:r>
    </w:p>
    <w:p>
      <w:pPr>
        <w:spacing w:after="0" w:line="175" w:lineRule="exact"/>
        <w:rPr>
          <w:sz w:val="20"/>
          <w:szCs w:val="20"/>
          <w:color w:val="auto"/>
        </w:rPr>
      </w:pPr>
    </w:p>
    <w:p>
      <w:pPr>
        <w:ind w:left="360" w:right="4600" w:hanging="351"/>
        <w:spacing w:after="0" w:line="253"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only adjusted for timing of the acquisitions (or dispositions) and does not include adjustments for costs related to integration activities, cost savings or synergies that have been or may be achieved by the combined businesses. There were no pro forma adjustments to the three and twelve months ending December 31, 2005. Minor differences may exist due to rounding.</w:t>
      </w:r>
    </w:p>
    <w:p>
      <w:pPr>
        <w:spacing w:after="0" w:line="165" w:lineRule="exact"/>
        <w:rPr>
          <w:rFonts w:ascii="Courier New" w:cs="Courier New" w:eastAsia="Courier New" w:hAnsi="Courier New"/>
          <w:sz w:val="14"/>
          <w:szCs w:val="14"/>
          <w:color w:val="auto"/>
        </w:rPr>
      </w:pPr>
    </w:p>
    <w:p>
      <w:pPr>
        <w:ind w:left="360" w:right="5020" w:hanging="351"/>
        <w:spacing w:after="0" w:line="258"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expense net of interest income and excludes non-cash interest and subsidiary preferred dividends.</w:t>
      </w:r>
    </w:p>
    <w:p>
      <w:pPr>
        <w:spacing w:after="0" w:line="159" w:lineRule="exact"/>
        <w:rPr>
          <w:rFonts w:ascii="Courier New" w:cs="Courier New" w:eastAsia="Courier New" w:hAnsi="Courier New"/>
          <w:sz w:val="14"/>
          <w:szCs w:val="14"/>
          <w:color w:val="auto"/>
        </w:rPr>
      </w:pPr>
    </w:p>
    <w:p>
      <w:pPr>
        <w:ind w:left="360" w:right="4600" w:hanging="351"/>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non-cash interest expense included in Operating Cash Flow, cash related to other (income) expense, dividends, and the net effect of changes in accrued income taxes.</w:t>
      </w:r>
    </w:p>
    <w:p>
      <w:pPr>
        <w:spacing w:after="0" w:line="162" w:lineRule="exact"/>
        <w:rPr>
          <w:rFonts w:ascii="Courier New" w:cs="Courier New" w:eastAsia="Courier New" w:hAnsi="Courier New"/>
          <w:sz w:val="14"/>
          <w:szCs w:val="14"/>
          <w:color w:val="auto"/>
        </w:rPr>
      </w:pPr>
    </w:p>
    <w:p>
      <w:pPr>
        <w:ind w:left="360" w:right="4500" w:hanging="351"/>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on Operating Cash Flow for 2005, under the provisions of SFAS No. 123 (predecessor to SFAS No. 123R), is an incremental expense of approximately $166 million, including $117 million at Comcast Cable.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460"/>
          </w:cols>
          <w:pgMar w:left="220" w:top="620" w:right="219" w:bottom="1440" w:gutter="0" w:footer="0" w:header="0"/>
        </w:sectPr>
      </w:pPr>
    </w:p>
    <w:bookmarkStart w:id="19" w:name="page20"/>
    <w:bookmarkEnd w:id="19"/>
    <w:p>
      <w:pPr>
        <w:jc w:val="center"/>
        <w:ind w:right="408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4"/>
          <w:szCs w:val="14"/>
          <w:color w:val="auto"/>
        </w:rPr>
        <w:t>TABLE 7-B</w:t>
      </w:r>
    </w:p>
    <w:p>
      <w:pPr>
        <w:spacing w:after="0" w:line="8"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4"/>
          <w:szCs w:val="14"/>
          <w:color w:val="auto"/>
        </w:rPr>
        <w:t>Reconciliation of Net Income to Adjusted Net Income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5"/>
          </w:tcPr>
          <w:p>
            <w:pPr>
              <w:jc w:val="right"/>
              <w:ind w:right="48"/>
              <w:spacing w:after="0"/>
              <w:rPr>
                <w:sz w:val="20"/>
                <w:szCs w:val="20"/>
                <w:color w:val="auto"/>
              </w:rPr>
            </w:pPr>
            <w:r>
              <w:rPr>
                <w:rFonts w:ascii="Courier New" w:cs="Courier New" w:eastAsia="Courier New" w:hAnsi="Courier New"/>
                <w:sz w:val="14"/>
                <w:szCs w:val="14"/>
                <w:color w:val="auto"/>
              </w:rPr>
              <w:t>(dollars in millions, except per share data)</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68"/>
        </w:trPr>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gridSpan w:val="4"/>
          </w:tcPr>
          <w:p>
            <w:pPr>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gridSpan w:val="4"/>
          </w:tcPr>
          <w:p>
            <w:pPr>
              <w:spacing w:after="0"/>
              <w:rPr>
                <w:sz w:val="20"/>
                <w:szCs w:val="20"/>
                <w:color w:val="auto"/>
              </w:rPr>
            </w:pPr>
            <w:r>
              <w:rPr>
                <w:rFonts w:ascii="Courier New" w:cs="Courier New" w:eastAsia="Courier New" w:hAnsi="Courier New"/>
                <w:sz w:val="14"/>
                <w:szCs w:val="14"/>
                <w:color w:val="auto"/>
              </w:rPr>
              <w:t>Twelve Months Ended</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5"/>
                <w:szCs w:val="5"/>
                <w:color w:val="auto"/>
                <w:w w:val="76"/>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4"/>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5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EPS (2)</w:t>
            </w:r>
          </w:p>
        </w:tc>
        <w:tc>
          <w:tcPr>
            <w:tcW w:w="300" w:type="dxa"/>
            <w:vAlign w:val="bottom"/>
          </w:tcPr>
          <w:p>
            <w:pPr>
              <w:spacing w:after="0"/>
              <w:rPr>
                <w:sz w:val="14"/>
                <w:szCs w:val="14"/>
                <w:color w:val="auto"/>
              </w:rPr>
            </w:pP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EPS (2)</w:t>
            </w:r>
          </w:p>
        </w:tc>
        <w:tc>
          <w:tcPr>
            <w:tcW w:w="320" w:type="dxa"/>
            <w:vAlign w:val="bottom"/>
          </w:tcPr>
          <w:p>
            <w:pPr>
              <w:spacing w:after="0"/>
              <w:rPr>
                <w:sz w:val="14"/>
                <w:szCs w:val="14"/>
                <w:color w:val="auto"/>
              </w:rPr>
            </w:pPr>
          </w:p>
        </w:tc>
        <w:tc>
          <w:tcPr>
            <w:tcW w:w="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EPS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EPS (2)</w:t>
            </w:r>
          </w:p>
        </w:tc>
      </w:tr>
      <w:tr>
        <w:trPr>
          <w:trHeight w:val="167"/>
        </w:trPr>
        <w:tc>
          <w:tcPr>
            <w:tcW w:w="362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0.19</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928</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0.43</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Investment income</w:t>
            </w:r>
          </w:p>
        </w:tc>
        <w:tc>
          <w:tcPr>
            <w:tcW w:w="5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Other income (expense)</w:t>
            </w:r>
          </w:p>
        </w:tc>
        <w:tc>
          <w:tcPr>
            <w:tcW w:w="5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Tax effect of adjustments (at 40%) and</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refinement of effective tax rate</w:t>
            </w:r>
          </w:p>
        </w:tc>
        <w:tc>
          <w:tcPr>
            <w:tcW w:w="56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Adjusted Net Income (1)</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186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0.04</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908</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0.20</w:t>
            </w:r>
          </w:p>
        </w:tc>
      </w:tr>
    </w:tbl>
    <w:p>
      <w:pPr>
        <w:spacing w:after="0" w:line="338" w:lineRule="exact"/>
        <w:rPr>
          <w:sz w:val="20"/>
          <w:szCs w:val="20"/>
          <w:color w:val="auto"/>
        </w:rPr>
      </w:pPr>
    </w:p>
    <w:p>
      <w:pPr>
        <w:ind w:right="4260" w:firstLine="9"/>
        <w:spacing w:after="0" w:line="256"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Net Income excludes Investment Income and Other Income (as presented in our Consolidated Statement of Operations), net of a 40% income tax rate and excludes in the fourth quarter of 2005 a refinement to our effective tax rate.</w:t>
      </w:r>
    </w:p>
    <w:p>
      <w:pPr>
        <w:spacing w:after="0" w:line="327" w:lineRule="exact"/>
        <w:rPr>
          <w:rFonts w:ascii="Courier New" w:cs="Courier New" w:eastAsia="Courier New" w:hAnsi="Courier New"/>
          <w:sz w:val="14"/>
          <w:szCs w:val="14"/>
          <w:color w:val="auto"/>
        </w:rPr>
      </w:pPr>
    </w:p>
    <w:p>
      <w:pPr>
        <w:ind w:right="4260" w:firstLine="9"/>
        <w:spacing w:after="0" w:line="258" w:lineRule="auto"/>
        <w:tabs>
          <w:tab w:leader="none" w:pos="3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diluted average number of common shares for the respective periods as presented in Table 1.</w:t>
      </w:r>
    </w:p>
    <w:p>
      <w:pPr>
        <w:spacing w:after="0" w:line="160"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Reconciliation of 2005 Content Segment (Unaudited)</w:t>
      </w:r>
    </w:p>
    <w:p>
      <w:pPr>
        <w:spacing w:after="0" w:line="8"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4"/>
          <w:szCs w:val="14"/>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4"/>
          </w:tcPr>
          <w:p>
            <w:pPr>
              <w:jc w:val="center"/>
              <w:ind w:right="288"/>
              <w:spacing w:after="0"/>
              <w:rPr>
                <w:sz w:val="20"/>
                <w:szCs w:val="20"/>
                <w:color w:val="auto"/>
              </w:rPr>
            </w:pPr>
            <w:r>
              <w:rPr>
                <w:rFonts w:ascii="Courier New" w:cs="Courier New" w:eastAsia="Courier New" w:hAnsi="Courier New"/>
                <w:sz w:val="14"/>
                <w:szCs w:val="14"/>
                <w:color w:val="auto"/>
              </w:rPr>
              <w:t>Three Months Ended</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92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4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2005</w:t>
            </w:r>
          </w:p>
        </w:tc>
        <w:tc>
          <w:tcPr>
            <w:tcW w:w="340" w:type="dxa"/>
            <w:vAlign w:val="bottom"/>
          </w:tcPr>
          <w:p>
            <w:pPr>
              <w:spacing w:after="0"/>
              <w:rPr>
                <w:sz w:val="14"/>
                <w:szCs w:val="14"/>
                <w:color w:val="auto"/>
              </w:rPr>
            </w:pPr>
          </w:p>
        </w:tc>
        <w:tc>
          <w:tcPr>
            <w:tcW w:w="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Growth %</w:t>
            </w:r>
          </w:p>
        </w:tc>
      </w:tr>
      <w:tr>
        <w:trPr>
          <w:trHeight w:val="167"/>
        </w:trPr>
        <w:tc>
          <w:tcPr>
            <w:tcW w:w="30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Content Operating Cash Flow</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NHL impact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NM</w:t>
            </w:r>
          </w:p>
        </w:tc>
      </w:tr>
      <w:tr>
        <w:trPr>
          <w:trHeight w:val="167"/>
        </w:trPr>
        <w:tc>
          <w:tcPr>
            <w:tcW w:w="30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Content excluding NHL</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334"/>
        </w:trPr>
        <w:tc>
          <w:tcPr>
            <w:tcW w:w="3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Twelve Months Ended</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92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4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2005</w:t>
            </w:r>
          </w:p>
        </w:tc>
        <w:tc>
          <w:tcPr>
            <w:tcW w:w="340" w:type="dxa"/>
            <w:vAlign w:val="bottom"/>
          </w:tcPr>
          <w:p>
            <w:pPr>
              <w:spacing w:after="0"/>
              <w:rPr>
                <w:sz w:val="14"/>
                <w:szCs w:val="14"/>
                <w:color w:val="auto"/>
              </w:rPr>
            </w:pPr>
          </w:p>
        </w:tc>
        <w:tc>
          <w:tcPr>
            <w:tcW w:w="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Growth %</w:t>
            </w:r>
          </w:p>
        </w:tc>
      </w:tr>
      <w:tr>
        <w:trPr>
          <w:trHeight w:val="167"/>
        </w:trPr>
        <w:tc>
          <w:tcPr>
            <w:tcW w:w="30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Content Operating Cash Flow</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NHL impact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NM</w:t>
            </w:r>
          </w:p>
        </w:tc>
      </w:tr>
      <w:tr>
        <w:trPr>
          <w:trHeight w:val="167"/>
        </w:trPr>
        <w:tc>
          <w:tcPr>
            <w:tcW w:w="30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Content excluding NHL</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bl>
    <w:p>
      <w:pPr>
        <w:spacing w:after="0" w:line="171"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Reconciliation of Total Debt to Debt Excluding Exchangeables (Unaudited)</w:t>
      </w:r>
    </w:p>
    <w:p>
      <w:pPr>
        <w:spacing w:after="0" w:line="8"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4"/>
          <w:szCs w:val="14"/>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30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2005</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30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3,499</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6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21,682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20,093</w:t>
            </w:r>
          </w:p>
        </w:tc>
      </w:tr>
      <w:tr>
        <w:trPr>
          <w:trHeight w:val="167"/>
        </w:trPr>
        <w:tc>
          <w:tcPr>
            <w:tcW w:w="330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23,371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$ 23,592</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Exchangeable Debt</w:t>
            </w:r>
          </w:p>
        </w:tc>
        <w:tc>
          <w:tcPr>
            <w:tcW w:w="6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1,699</w:t>
            </w:r>
          </w:p>
        </w:tc>
      </w:tr>
      <w:tr>
        <w:trPr>
          <w:trHeight w:val="167"/>
        </w:trPr>
        <w:tc>
          <w:tcPr>
            <w:tcW w:w="330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Debt excluding exchangeables</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23,325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$ 21,893</w:t>
            </w:r>
          </w:p>
        </w:tc>
      </w:tr>
      <w:tr>
        <w:trPr>
          <w:trHeight w:val="167"/>
        </w:trPr>
        <w:tc>
          <w:tcPr>
            <w:tcW w:w="330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120"/>
          </w:cols>
          <w:pgMar w:left="220" w:top="620" w:right="559" w:bottom="1440" w:gutter="0" w:footer="0" w:header="0"/>
        </w:sectPr>
      </w:pPr>
    </w:p>
    <w:bookmarkStart w:id="20" w:name="page21"/>
    <w:bookmarkEnd w:id="20"/>
    <w:p>
      <w:pPr>
        <w:jc w:val="center"/>
        <w:ind w:right="3279"/>
        <w:spacing w:after="0"/>
        <w:rPr>
          <w:sz w:val="20"/>
          <w:szCs w:val="20"/>
          <w:color w:val="auto"/>
        </w:rPr>
      </w:pPr>
      <w:r>
        <w:rPr>
          <w:rFonts w:ascii="Courier New" w:cs="Courier New" w:eastAsia="Courier New" w:hAnsi="Courier New"/>
          <w:sz w:val="14"/>
          <w:szCs w:val="14"/>
          <w:color w:val="auto"/>
        </w:rPr>
        <w:t>Reconciliation of Operating Cash Flow Excluding Hurricane Impact (Unaudited)</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Three Months Ended</w:t>
            </w:r>
          </w:p>
        </w:tc>
      </w:tr>
      <w:tr>
        <w:trPr>
          <w:trHeight w:val="167"/>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920" w:type="dxa"/>
            <w:vAlign w:val="bottom"/>
          </w:tcPr>
          <w:p>
            <w:pPr>
              <w:spacing w:after="0"/>
              <w:rPr>
                <w:sz w:val="14"/>
                <w:szCs w:val="14"/>
                <w:color w:val="auto"/>
              </w:rPr>
            </w:pPr>
          </w:p>
        </w:tc>
      </w:tr>
      <w:tr>
        <w:trPr>
          <w:trHeight w:val="167"/>
        </w:trPr>
        <w:tc>
          <w:tcPr>
            <w:tcW w:w="3100" w:type="dxa"/>
            <w:vAlign w:val="bottom"/>
          </w:tcPr>
          <w:p>
            <w:pPr>
              <w:spacing w:after="0"/>
              <w:rPr>
                <w:sz w:val="14"/>
                <w:szCs w:val="14"/>
                <w:color w:val="auto"/>
              </w:rPr>
            </w:pPr>
          </w:p>
        </w:tc>
        <w:tc>
          <w:tcPr>
            <w:tcW w:w="342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2005</w:t>
            </w:r>
          </w:p>
        </w:tc>
        <w:tc>
          <w:tcPr>
            <w:tcW w:w="300" w:type="dxa"/>
            <w:vAlign w:val="bottom"/>
          </w:tcPr>
          <w:p>
            <w:pPr>
              <w:spacing w:after="0"/>
              <w:rPr>
                <w:sz w:val="14"/>
                <w:szCs w:val="14"/>
                <w:color w:val="auto"/>
              </w:rPr>
            </w:pPr>
          </w:p>
        </w:tc>
        <w:tc>
          <w:tcPr>
            <w:tcW w:w="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Growth %</w:t>
            </w:r>
          </w:p>
        </w:tc>
      </w:tr>
      <w:tr>
        <w:trPr>
          <w:trHeight w:val="167"/>
        </w:trPr>
        <w:tc>
          <w:tcPr>
            <w:tcW w:w="31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Cable Operating Cash Flow</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Hurricane impact</w:t>
            </w:r>
          </w:p>
        </w:tc>
        <w:tc>
          <w:tcPr>
            <w:tcW w:w="8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30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NM</w:t>
            </w:r>
          </w:p>
        </w:tc>
      </w:tr>
      <w:tr>
        <w:trPr>
          <w:trHeight w:val="167"/>
        </w:trPr>
        <w:tc>
          <w:tcPr>
            <w:tcW w:w="31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Cable excluding hurricane impact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1,983</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Content</w:t>
            </w:r>
          </w:p>
        </w:tc>
        <w:tc>
          <w:tcPr>
            <w:tcW w:w="8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3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w:t>
            </w:r>
          </w:p>
        </w:tc>
      </w:tr>
      <w:tr>
        <w:trPr>
          <w:trHeight w:val="167"/>
        </w:trPr>
        <w:tc>
          <w:tcPr>
            <w:tcW w:w="31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Comcast excluding</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hurricane impact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334"/>
        </w:trPr>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Twelve Months Ended</w:t>
            </w:r>
          </w:p>
        </w:tc>
      </w:tr>
      <w:tr>
        <w:trPr>
          <w:trHeight w:val="167"/>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920" w:type="dxa"/>
            <w:vAlign w:val="bottom"/>
          </w:tcPr>
          <w:p>
            <w:pPr>
              <w:spacing w:after="0"/>
              <w:rPr>
                <w:sz w:val="14"/>
                <w:szCs w:val="14"/>
                <w:color w:val="auto"/>
              </w:rPr>
            </w:pPr>
          </w:p>
        </w:tc>
      </w:tr>
      <w:tr>
        <w:trPr>
          <w:trHeight w:val="167"/>
        </w:trPr>
        <w:tc>
          <w:tcPr>
            <w:tcW w:w="3100" w:type="dxa"/>
            <w:vAlign w:val="bottom"/>
          </w:tcPr>
          <w:p>
            <w:pPr>
              <w:spacing w:after="0"/>
              <w:rPr>
                <w:sz w:val="14"/>
                <w:szCs w:val="14"/>
                <w:color w:val="auto"/>
              </w:rPr>
            </w:pPr>
          </w:p>
        </w:tc>
        <w:tc>
          <w:tcPr>
            <w:tcW w:w="342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2005</w:t>
            </w:r>
          </w:p>
        </w:tc>
        <w:tc>
          <w:tcPr>
            <w:tcW w:w="300" w:type="dxa"/>
            <w:vAlign w:val="bottom"/>
          </w:tcPr>
          <w:p>
            <w:pPr>
              <w:spacing w:after="0"/>
              <w:rPr>
                <w:sz w:val="14"/>
                <w:szCs w:val="14"/>
                <w:color w:val="auto"/>
              </w:rPr>
            </w:pPr>
          </w:p>
        </w:tc>
        <w:tc>
          <w:tcPr>
            <w:tcW w:w="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Growth %</w:t>
            </w:r>
          </w:p>
        </w:tc>
      </w:tr>
      <w:tr>
        <w:trPr>
          <w:trHeight w:val="167"/>
        </w:trPr>
        <w:tc>
          <w:tcPr>
            <w:tcW w:w="31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Cable Operating Cash Flow</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7,473</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Hurricane impact</w:t>
            </w:r>
          </w:p>
        </w:tc>
        <w:tc>
          <w:tcPr>
            <w:tcW w:w="8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c>
          <w:tcPr>
            <w:tcW w:w="30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NM</w:t>
            </w:r>
          </w:p>
        </w:tc>
      </w:tr>
      <w:tr>
        <w:trPr>
          <w:trHeight w:val="167"/>
        </w:trPr>
        <w:tc>
          <w:tcPr>
            <w:tcW w:w="31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Cable excluding hurricane impact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7,493</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Content</w:t>
            </w:r>
          </w:p>
        </w:tc>
        <w:tc>
          <w:tcPr>
            <w:tcW w:w="8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c>
          <w:tcPr>
            <w:tcW w:w="30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c>
          <w:tcPr>
            <w:tcW w:w="3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r>
      <w:tr>
        <w:trPr>
          <w:trHeight w:val="167"/>
        </w:trPr>
        <w:tc>
          <w:tcPr>
            <w:tcW w:w="31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Comcast excluding</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hurricane impact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7,554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334"/>
        </w:trPr>
        <w:tc>
          <w:tcPr>
            <w:tcW w:w="310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o"/>
      <w:numFmt w:val="bullet"/>
      <w:start w:val="1"/>
    </w:lvl>
  </w:abstractNum>
  <w:abstractNum w:abstractNumId="2">
    <w:nsid w:val="507ED7AB"/>
    <w:multiLevelType w:val="hybridMultilevel"/>
    <w:lvl w:ilvl="0">
      <w:lvlJc w:val="left"/>
      <w:lvlText w:val="**"/>
      <w:numFmt w:val="bullet"/>
      <w:start w:val="1"/>
    </w:lvl>
    <w:lvl w:ilvl="1">
      <w:lvlJc w:val="left"/>
      <w:lvlText w:val="o"/>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2019-12-15T07:01:59Z</dcterms:created>
  <dcterms:modified xsi:type="dcterms:W3CDTF">2019-12-15T07:01:59Z</dcterms:modified>
</cp:coreProperties>
</file>