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Securities Exchange Act of 1934</w:t>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27, 2017</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(State or Other Jurisdiction of Incorporation)</w:t>
      </w:r>
    </w:p>
    <w:p>
      <w:pPr>
        <w:spacing w:after="0" w:line="192"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2440" w:type="dxa"/>
            <w:vAlign w:val="bottom"/>
          </w:tcPr>
          <w:p>
            <w:pPr>
              <w:jc w:val="center"/>
              <w:ind w:right="17"/>
              <w:spacing w:after="0"/>
              <w:rPr>
                <w:sz w:val="20"/>
                <w:szCs w:val="20"/>
                <w:color w:val="auto"/>
              </w:rPr>
            </w:pPr>
            <w:r>
              <w:rPr>
                <w:rFonts w:ascii="Arial" w:cs="Arial" w:eastAsia="Arial" w:hAnsi="Arial"/>
                <w:sz w:val="18"/>
                <w:szCs w:val="18"/>
                <w:b w:val="1"/>
                <w:bCs w:val="1"/>
                <w:color w:val="auto"/>
                <w:w w:val="90"/>
              </w:rPr>
              <w:t>001-32871</w:t>
            </w:r>
          </w:p>
        </w:tc>
        <w:tc>
          <w:tcPr>
            <w:tcW w:w="6580" w:type="dxa"/>
            <w:vAlign w:val="bottom"/>
          </w:tcPr>
          <w:p>
            <w:pPr>
              <w:jc w:val="center"/>
              <w:ind w:left="4502"/>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440" w:type="dxa"/>
            <w:vAlign w:val="bottom"/>
          </w:tcPr>
          <w:p>
            <w:pPr>
              <w:jc w:val="center"/>
              <w:spacing w:after="0"/>
              <w:rPr>
                <w:sz w:val="20"/>
                <w:szCs w:val="20"/>
                <w:color w:val="auto"/>
              </w:rPr>
            </w:pPr>
            <w:r>
              <w:rPr>
                <w:rFonts w:ascii="Arial" w:cs="Arial" w:eastAsia="Arial" w:hAnsi="Arial"/>
                <w:sz w:val="14"/>
                <w:szCs w:val="14"/>
                <w:color w:val="auto"/>
                <w:w w:val="96"/>
              </w:rPr>
              <w:t>(Commission File Number)</w:t>
            </w:r>
          </w:p>
        </w:tc>
        <w:tc>
          <w:tcPr>
            <w:tcW w:w="6580" w:type="dxa"/>
            <w:vAlign w:val="bottom"/>
          </w:tcPr>
          <w:p>
            <w:pPr>
              <w:jc w:val="center"/>
              <w:ind w:left="4522"/>
              <w:spacing w:after="0"/>
              <w:rPr>
                <w:sz w:val="20"/>
                <w:szCs w:val="20"/>
                <w:color w:val="auto"/>
              </w:rPr>
            </w:pPr>
            <w:r>
              <w:rPr>
                <w:rFonts w:ascii="Arial" w:cs="Arial" w:eastAsia="Arial" w:hAnsi="Arial"/>
                <w:sz w:val="14"/>
                <w:szCs w:val="14"/>
                <w:color w:val="auto"/>
                <w:w w:val="97"/>
              </w:rPr>
              <w:t>(IRS Employer Identification No.)</w:t>
            </w:r>
          </w:p>
        </w:tc>
      </w:tr>
      <w:tr>
        <w:trPr>
          <w:trHeight w:val="507"/>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9"/>
              </w:rPr>
              <w:t>One Comcast Center</w:t>
            </w:r>
          </w:p>
        </w:tc>
        <w:tc>
          <w:tcPr>
            <w:tcW w:w="6580" w:type="dxa"/>
            <w:vAlign w:val="bottom"/>
          </w:tcPr>
          <w:p>
            <w:pPr>
              <w:spacing w:after="0"/>
              <w:rPr>
                <w:sz w:val="24"/>
                <w:szCs w:val="24"/>
                <w:color w:val="auto"/>
              </w:rPr>
            </w:pPr>
          </w:p>
        </w:tc>
      </w:tr>
      <w:tr>
        <w:trPr>
          <w:trHeight w:val="216"/>
        </w:trPr>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0"/>
              </w:rPr>
              <w:t>Philadelphia, PA</w:t>
            </w:r>
          </w:p>
        </w:tc>
        <w:tc>
          <w:tcPr>
            <w:tcW w:w="6580" w:type="dxa"/>
            <w:vAlign w:val="bottom"/>
          </w:tcPr>
          <w:p>
            <w:pPr>
              <w:jc w:val="center"/>
              <w:ind w:left="4502"/>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44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6580" w:type="dxa"/>
            <w:vAlign w:val="bottom"/>
          </w:tcPr>
          <w:p>
            <w:pPr>
              <w:jc w:val="center"/>
              <w:ind w:left="4502"/>
              <w:spacing w:after="0"/>
              <w:rPr>
                <w:sz w:val="20"/>
                <w:szCs w:val="20"/>
                <w:color w:val="auto"/>
              </w:rPr>
            </w:pPr>
            <w:r>
              <w:rPr>
                <w:rFonts w:ascii="Arial" w:cs="Arial" w:eastAsia="Arial" w:hAnsi="Arial"/>
                <w:sz w:val="14"/>
                <w:szCs w:val="14"/>
                <w:color w:val="auto"/>
                <w:w w:val="96"/>
              </w:rPr>
              <w:t>(Zip Code)</w:t>
            </w:r>
          </w:p>
        </w:tc>
      </w:tr>
      <w:tr>
        <w:trPr>
          <w:trHeight w:val="633"/>
        </w:trPr>
        <w:tc>
          <w:tcPr>
            <w:tcW w:w="2440" w:type="dxa"/>
            <w:vAlign w:val="bottom"/>
          </w:tcPr>
          <w:p>
            <w:pPr>
              <w:spacing w:after="0"/>
              <w:rPr>
                <w:sz w:val="24"/>
                <w:szCs w:val="24"/>
                <w:color w:val="auto"/>
              </w:rPr>
            </w:pPr>
          </w:p>
        </w:tc>
        <w:tc>
          <w:tcPr>
            <w:tcW w:w="6580" w:type="dxa"/>
            <w:vAlign w:val="bottom"/>
          </w:tcPr>
          <w:p>
            <w:pPr>
              <w:jc w:val="center"/>
              <w:ind w:right="2182"/>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8"/>
                <w:szCs w:val="18"/>
                <w:b w:val="1"/>
                <w:bCs w:val="1"/>
                <w:color w:val="auto"/>
                <w:w w:val="92"/>
              </w:rPr>
              <w:t>(215) 286-1700</w:t>
            </w:r>
          </w:p>
        </w:tc>
      </w:tr>
      <w:tr>
        <w:trPr>
          <w:trHeight w:val="596"/>
        </w:trPr>
        <w:tc>
          <w:tcPr>
            <w:tcW w:w="2440" w:type="dxa"/>
            <w:vAlign w:val="bottom"/>
          </w:tcPr>
          <w:p>
            <w:pPr>
              <w:spacing w:after="0"/>
              <w:rPr>
                <w:sz w:val="24"/>
                <w:szCs w:val="24"/>
                <w:color w:val="auto"/>
              </w:rPr>
            </w:pPr>
          </w:p>
        </w:tc>
        <w:tc>
          <w:tcPr>
            <w:tcW w:w="6580" w:type="dxa"/>
            <w:vAlign w:val="bottom"/>
          </w:tcPr>
          <w:p>
            <w:pPr>
              <w:jc w:val="center"/>
              <w:ind w:right="2182"/>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0" w:lineRule="exact"/>
        <w:rPr>
          <w:sz w:val="24"/>
          <w:szCs w:val="24"/>
          <w:color w:val="auto"/>
        </w:rPr>
      </w:pPr>
    </w:p>
    <w:p>
      <w:pPr>
        <w:spacing w:after="0" w:line="203"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On April 27, 2017, Comcast Corporation (“Comcast”) issued a press release reporting the results of its operations for the three months ended March 31, 2017.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ectPr>
          <w:pgSz w:w="11900" w:h="16838" w:orient="portrait"/>
          <w:cols w:equalWidth="0" w:num="1">
            <w:col w:w="11420"/>
          </w:cols>
          <w:pgMar w:left="240" w:top="553" w:right="239" w:bottom="336"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9.01. Exhibits</w:t>
      </w:r>
    </w:p>
    <w:p>
      <w:pPr>
        <w:spacing w:after="0" w:line="34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tabs>
          <w:tab w:leader="none" w:pos="12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Comcast Corporation press release dated April 27, 2017.</w:t>
      </w:r>
    </w:p>
    <w:p>
      <w:pPr>
        <w:spacing w:after="0" w:line="23"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Explanation of Non-GAAP and Other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960" w:type="dxa"/>
            <w:vAlign w:val="bottom"/>
            <w:gridSpan w:val="2"/>
          </w:tcPr>
          <w:p>
            <w:pPr>
              <w:ind w:left="188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648"/>
        </w:trPr>
        <w:tc>
          <w:tcPr>
            <w:tcW w:w="3460" w:type="dxa"/>
            <w:vAlign w:val="bottom"/>
          </w:tcPr>
          <w:p>
            <w:pPr>
              <w:spacing w:after="0"/>
              <w:rPr>
                <w:sz w:val="20"/>
                <w:szCs w:val="20"/>
                <w:color w:val="auto"/>
              </w:rPr>
            </w:pPr>
            <w:r>
              <w:rPr>
                <w:rFonts w:ascii="Arial" w:cs="Arial" w:eastAsia="Arial" w:hAnsi="Arial"/>
                <w:sz w:val="18"/>
                <w:szCs w:val="18"/>
                <w:color w:val="auto"/>
              </w:rPr>
              <w:t>Date:  April 27, 2017</w:t>
            </w:r>
          </w:p>
        </w:tc>
        <w:tc>
          <w:tcPr>
            <w:tcW w:w="7960" w:type="dxa"/>
            <w:vAlign w:val="bottom"/>
            <w:gridSpan w:val="2"/>
          </w:tcPr>
          <w:p>
            <w:pPr>
              <w:ind w:left="1880"/>
              <w:spacing w:after="0"/>
              <w:rPr>
                <w:sz w:val="20"/>
                <w:szCs w:val="20"/>
                <w:color w:val="auto"/>
              </w:rPr>
            </w:pPr>
            <w:r>
              <w:rPr>
                <w:rFonts w:ascii="Arial" w:cs="Arial" w:eastAsia="Arial" w:hAnsi="Arial"/>
                <w:sz w:val="18"/>
                <w:szCs w:val="18"/>
                <w:color w:val="auto"/>
              </w:rPr>
              <w:t>By:   /s/ Daniel C. Murdock</w:t>
            </w:r>
          </w:p>
        </w:tc>
        <w:tc>
          <w:tcPr>
            <w:tcW w:w="40" w:type="dxa"/>
            <w:vAlign w:val="bottom"/>
          </w:tcPr>
          <w:p>
            <w:pPr>
              <w:spacing w:after="0"/>
              <w:rPr>
                <w:sz w:val="24"/>
                <w:szCs w:val="24"/>
                <w:color w:val="auto"/>
              </w:rPr>
            </w:pPr>
          </w:p>
        </w:tc>
      </w:tr>
      <w:tr>
        <w:trPr>
          <w:trHeight w:val="195"/>
        </w:trPr>
        <w:tc>
          <w:tcPr>
            <w:tcW w:w="34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C. Murdock</w:t>
            </w:r>
          </w:p>
        </w:tc>
        <w:tc>
          <w:tcPr>
            <w:tcW w:w="40" w:type="dxa"/>
            <w:vAlign w:val="bottom"/>
          </w:tcPr>
          <w:p>
            <w:pPr>
              <w:spacing w:after="0"/>
              <w:rPr>
                <w:sz w:val="16"/>
                <w:szCs w:val="16"/>
                <w:color w:val="auto"/>
              </w:rPr>
            </w:pPr>
          </w:p>
        </w:tc>
      </w:tr>
      <w:tr>
        <w:trPr>
          <w:trHeight w:val="216"/>
        </w:trPr>
        <w:tc>
          <w:tcPr>
            <w:tcW w:w="3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Chief Accounting Officer and Controller</w:t>
            </w:r>
          </w:p>
        </w:tc>
        <w:tc>
          <w:tcPr>
            <w:tcW w:w="40" w:type="dxa"/>
            <w:vAlign w:val="bottom"/>
          </w:tcPr>
          <w:p>
            <w:pPr>
              <w:spacing w:after="0"/>
              <w:rPr>
                <w:sz w:val="18"/>
                <w:szCs w:val="18"/>
                <w:color w:val="auto"/>
              </w:rPr>
            </w:pPr>
          </w:p>
        </w:tc>
      </w:tr>
      <w:tr>
        <w:trPr>
          <w:trHeight w:val="230"/>
        </w:trPr>
        <w:tc>
          <w:tcPr>
            <w:tcW w:w="3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4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36334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3345" cy="480060"/>
                    </a:xfrm>
                    <a:prstGeom prst="rect">
                      <a:avLst/>
                    </a:prstGeom>
                    <a:noFill/>
                  </pic:spPr>
                </pic:pic>
              </a:graphicData>
            </a:graphic>
          </wp:anchor>
        </w:drawing>
      </w:r>
    </w:p>
    <w:p>
      <w:pPr>
        <w:spacing w:after="0" w:line="353"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3500" w:firstLine="3502"/>
        <w:spacing w:after="0" w:line="470" w:lineRule="auto"/>
        <w:rPr>
          <w:sz w:val="20"/>
          <w:szCs w:val="20"/>
          <w:color w:val="auto"/>
        </w:rPr>
      </w:pPr>
      <w:r>
        <w:rPr>
          <w:rFonts w:ascii="Arial" w:cs="Arial" w:eastAsia="Arial" w:hAnsi="Arial"/>
          <w:sz w:val="18"/>
          <w:szCs w:val="18"/>
          <w:b w:val="1"/>
          <w:bCs w:val="1"/>
          <w:u w:val="single" w:color="auto"/>
          <w:color w:val="auto"/>
        </w:rPr>
        <w:t xml:space="preserve">COMCAST REPORTS 1st QUARTER 2017 RESULTS </w:t>
      </w:r>
      <w:r>
        <w:rPr>
          <w:rFonts w:ascii="Arial" w:cs="Arial" w:eastAsia="Arial" w:hAnsi="Arial"/>
          <w:sz w:val="18"/>
          <w:szCs w:val="18"/>
          <w:b w:val="1"/>
          <w:bCs w:val="1"/>
          <w:color w:val="auto"/>
        </w:rPr>
        <w:t>Consolidated 1st Quarter 2017 Highlights:</w:t>
      </w:r>
    </w:p>
    <w:p>
      <w:pPr>
        <w:spacing w:after="0" w:line="49" w:lineRule="exact"/>
        <w:rPr>
          <w:sz w:val="20"/>
          <w:szCs w:val="20"/>
          <w:color w:val="auto"/>
        </w:rPr>
      </w:pPr>
    </w:p>
    <w:p>
      <w:pPr>
        <w:ind w:left="660" w:right="220" w:hanging="328"/>
        <w:spacing w:after="0" w:line="225" w:lineRule="auto"/>
        <w:tabs>
          <w:tab w:leader="none" w:pos="645" w:val="left"/>
        </w:tabs>
        <w:numPr>
          <w:ilvl w:val="0"/>
          <w:numId w:val="2"/>
        </w:numPr>
        <w:rPr>
          <w:rFonts w:ascii="Arial" w:cs="Arial" w:eastAsia="Arial" w:hAnsi="Arial"/>
          <w:sz w:val="22"/>
          <w:szCs w:val="22"/>
          <w:color w:val="auto"/>
        </w:rPr>
      </w:pPr>
      <w:r>
        <w:rPr>
          <w:rFonts w:ascii="Arial" w:cs="Arial" w:eastAsia="Arial" w:hAnsi="Arial"/>
          <w:sz w:val="18"/>
          <w:szCs w:val="18"/>
          <w:color w:val="auto"/>
        </w:rPr>
        <w:t>Consolidated Revenue Increased 8.9%; Net Income Attributable to Comcast Increased 20.2%; Adjusted EBITDA (formerly Operating Cash Flow) Increased 10.4%</w:t>
      </w:r>
    </w:p>
    <w:p>
      <w:pPr>
        <w:spacing w:after="0" w:line="140"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Net Cash Provided by Operating Activities was $5.7 Billion; Free Cash Flow was $3.1 Billion</w:t>
      </w:r>
    </w:p>
    <w:p>
      <w:pPr>
        <w:spacing w:after="0" w:line="152"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Earnings per Share Increased 23.3% to $0.53; On an Adjusted Basis, Earnings per Share Increased 26.2%</w:t>
      </w:r>
    </w:p>
    <w:p>
      <w:pPr>
        <w:spacing w:after="0" w:line="152"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Dividends Paid Totaled $657 Million and Share Repurchases were $750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1st Quarter 2017 Highlights:</w:t>
      </w:r>
    </w:p>
    <w:p>
      <w:pPr>
        <w:spacing w:after="0" w:line="211"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Cable Communications Revenue Increased 5.8% and Adjusted EBITDA Increased 6.3%</w:t>
      </w:r>
    </w:p>
    <w:p>
      <w:pPr>
        <w:spacing w:after="0" w:line="152" w:lineRule="exact"/>
        <w:rPr>
          <w:rFonts w:ascii="Arial" w:cs="Arial" w:eastAsia="Arial" w:hAnsi="Arial"/>
          <w:sz w:val="22"/>
          <w:szCs w:val="22"/>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Customer Relationships Increased by 297,000, a 9.9% Increase from the First Quarter of 2016</w:t>
      </w:r>
    </w:p>
    <w:p>
      <w:pPr>
        <w:spacing w:after="0" w:line="152" w:lineRule="exact"/>
        <w:rPr>
          <w:rFonts w:ascii="Arial" w:cs="Arial" w:eastAsia="Arial" w:hAnsi="Arial"/>
          <w:sz w:val="22"/>
          <w:szCs w:val="22"/>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Total Revenue per Customer Relationship Increased 2.6%</w:t>
      </w:r>
    </w:p>
    <w:p>
      <w:pPr>
        <w:spacing w:after="0" w:line="152" w:lineRule="exact"/>
        <w:rPr>
          <w:rFonts w:ascii="Arial" w:cs="Arial" w:eastAsia="Arial" w:hAnsi="Arial"/>
          <w:sz w:val="22"/>
          <w:szCs w:val="22"/>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Video Customers Increased by 42,000; Over 50% of Residential Video Customers Now Have X1</w:t>
      </w:r>
    </w:p>
    <w:p>
      <w:pPr>
        <w:spacing w:after="0" w:line="152" w:lineRule="exact"/>
        <w:rPr>
          <w:rFonts w:ascii="Arial" w:cs="Arial" w:eastAsia="Arial" w:hAnsi="Arial"/>
          <w:sz w:val="22"/>
          <w:szCs w:val="22"/>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High-Speed Internet Customers Increased by 429,000 and Residential Revenue Increased 10.1%</w:t>
      </w:r>
    </w:p>
    <w:p>
      <w:pPr>
        <w:spacing w:after="0" w:line="152" w:lineRule="exact"/>
        <w:rPr>
          <w:rFonts w:ascii="Arial" w:cs="Arial" w:eastAsia="Arial" w:hAnsi="Arial"/>
          <w:sz w:val="22"/>
          <w:szCs w:val="22"/>
          <w:color w:val="auto"/>
        </w:rPr>
      </w:pPr>
    </w:p>
    <w:p>
      <w:pPr>
        <w:ind w:left="640" w:hanging="30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Business Services Revenue Increased 13.6%, Nearly $6.0 Billion in Annualized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1st Quarter 2017 Highlights:</w:t>
      </w:r>
    </w:p>
    <w:p>
      <w:pPr>
        <w:spacing w:after="0" w:line="211"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2"/>
          <w:szCs w:val="22"/>
          <w:color w:val="auto"/>
        </w:rPr>
      </w:pPr>
      <w:r>
        <w:rPr>
          <w:rFonts w:ascii="Arial" w:cs="Arial" w:eastAsia="Arial" w:hAnsi="Arial"/>
          <w:sz w:val="18"/>
          <w:szCs w:val="18"/>
          <w:color w:val="auto"/>
        </w:rPr>
        <w:t>NBCUniversal Revenue Increased 14.7% and Adjusted EBITDA Increased 24.4%</w:t>
      </w:r>
    </w:p>
    <w:p>
      <w:pPr>
        <w:spacing w:after="0" w:line="188" w:lineRule="exact"/>
        <w:rPr>
          <w:rFonts w:ascii="Arial" w:cs="Arial" w:eastAsia="Arial" w:hAnsi="Arial"/>
          <w:sz w:val="22"/>
          <w:szCs w:val="22"/>
          <w:color w:val="auto"/>
        </w:rPr>
      </w:pPr>
    </w:p>
    <w:p>
      <w:pPr>
        <w:ind w:left="660" w:right="140" w:hanging="328"/>
        <w:spacing w:after="0" w:line="225" w:lineRule="auto"/>
        <w:tabs>
          <w:tab w:leader="none" w:pos="645" w:val="left"/>
        </w:tabs>
        <w:numPr>
          <w:ilvl w:val="0"/>
          <w:numId w:val="4"/>
        </w:numPr>
        <w:rPr>
          <w:rFonts w:ascii="Arial" w:cs="Arial" w:eastAsia="Arial" w:hAnsi="Arial"/>
          <w:sz w:val="22"/>
          <w:szCs w:val="22"/>
          <w:color w:val="auto"/>
        </w:rPr>
      </w:pPr>
      <w:r>
        <w:rPr>
          <w:rFonts w:ascii="Arial" w:cs="Arial" w:eastAsia="Arial" w:hAnsi="Arial"/>
          <w:sz w:val="18"/>
          <w:szCs w:val="18"/>
          <w:color w:val="auto"/>
        </w:rPr>
        <w:t>Filmed Entertainment Revenue Increased 43.2% and Adjusted EBITDA Increased Over $200 Million or 120.6%, Driven by Strong Box Office Performance</w:t>
      </w:r>
    </w:p>
    <w:p>
      <w:pPr>
        <w:spacing w:after="0" w:line="176" w:lineRule="exact"/>
        <w:rPr>
          <w:rFonts w:ascii="Arial" w:cs="Arial" w:eastAsia="Arial" w:hAnsi="Arial"/>
          <w:sz w:val="22"/>
          <w:szCs w:val="22"/>
          <w:color w:val="auto"/>
        </w:rPr>
      </w:pPr>
    </w:p>
    <w:p>
      <w:pPr>
        <w:ind w:left="660" w:right="60" w:hanging="328"/>
        <w:spacing w:after="0" w:line="225" w:lineRule="auto"/>
        <w:tabs>
          <w:tab w:leader="none" w:pos="645" w:val="left"/>
        </w:tabs>
        <w:numPr>
          <w:ilvl w:val="0"/>
          <w:numId w:val="4"/>
        </w:numPr>
        <w:rPr>
          <w:rFonts w:ascii="Arial" w:cs="Arial" w:eastAsia="Arial" w:hAnsi="Arial"/>
          <w:sz w:val="22"/>
          <w:szCs w:val="22"/>
          <w:color w:val="auto"/>
        </w:rPr>
      </w:pPr>
      <w:r>
        <w:rPr>
          <w:rFonts w:ascii="Arial" w:cs="Arial" w:eastAsia="Arial" w:hAnsi="Arial"/>
          <w:sz w:val="18"/>
          <w:szCs w:val="18"/>
          <w:color w:val="auto"/>
        </w:rPr>
        <w:t>Cable Networks and Broadcast Television Adjusted EBITDA Increased 16.8% and 13.4%, Respectively, Driven by Increases in Affiliate and Retransmission Revenues</w:t>
      </w:r>
    </w:p>
    <w:p>
      <w:pPr>
        <w:spacing w:after="0" w:line="140" w:lineRule="exact"/>
        <w:rPr>
          <w:rFonts w:ascii="Arial" w:cs="Arial" w:eastAsia="Arial" w:hAnsi="Arial"/>
          <w:sz w:val="22"/>
          <w:szCs w:val="22"/>
          <w:color w:val="auto"/>
        </w:rPr>
      </w:pPr>
    </w:p>
    <w:p>
      <w:pPr>
        <w:ind w:left="640" w:hanging="308"/>
        <w:spacing w:after="0"/>
        <w:tabs>
          <w:tab w:leader="none" w:pos="640" w:val="left"/>
        </w:tabs>
        <w:numPr>
          <w:ilvl w:val="0"/>
          <w:numId w:val="4"/>
        </w:numPr>
        <w:rPr>
          <w:rFonts w:ascii="Arial" w:cs="Arial" w:eastAsia="Arial" w:hAnsi="Arial"/>
          <w:sz w:val="22"/>
          <w:szCs w:val="22"/>
          <w:color w:val="auto"/>
        </w:rPr>
      </w:pPr>
      <w:r>
        <w:rPr>
          <w:rFonts w:ascii="Arial" w:cs="Arial" w:eastAsia="Arial" w:hAnsi="Arial"/>
          <w:sz w:val="18"/>
          <w:szCs w:val="18"/>
          <w:color w:val="auto"/>
        </w:rPr>
        <w:t>NBC Remains Ranked #1 Among Adults 18-49</w:t>
      </w:r>
    </w:p>
    <w:p>
      <w:pPr>
        <w:spacing w:after="0" w:line="152" w:lineRule="exact"/>
        <w:rPr>
          <w:rFonts w:ascii="Arial" w:cs="Arial" w:eastAsia="Arial" w:hAnsi="Arial"/>
          <w:sz w:val="22"/>
          <w:szCs w:val="22"/>
          <w:color w:val="auto"/>
        </w:rPr>
      </w:pPr>
    </w:p>
    <w:p>
      <w:pPr>
        <w:ind w:left="640" w:hanging="308"/>
        <w:spacing w:after="0"/>
        <w:tabs>
          <w:tab w:leader="none" w:pos="64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Theme Parks Revenue Increased 9.0% and Adjusted EBITDA Increased 6.1%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PHILADELPHIA – April 27, 2017… Comcast Corporation (NASDAQ: CMCSA) today reported results for the quarter ended March 31, 2017.</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Brian L. Roberts, Chairman and Chief Executive Officer of Comcast Corporation, said, “2017 is off to the fastest start in five years. We are reporting outstanding growth at Cable and particularly NBCUniversal, which delivered 14.7% revenue growth and 24.4% Adjusted EBITDA growth. These impressive results were fueled by exceptionally strong film performance, increased affiliate and retransmission revenues at our TV businesses, and continued growth in Theme Parks. Cable operations had a terrific quarter, driven by strength in high-speed Internet and business services revenue growth, as well as positive video, all highlighted by overall customer relationship net additions of 297,000, a 10% increase compared to last year. These results were balanced with financial discipline, which contributed to solid revenue and Adjusted EBITDA growth. The transition from Neil Smit to Dave Watson has gotten off to a very successful and seamless start, and with our teams executing well across all of Comcast NBCUniversal, I am excited about our momentum headed into the rest of 2017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1st Quarter</w:t>
            </w:r>
          </w:p>
        </w:tc>
        <w:tc>
          <w:tcPr>
            <w:tcW w:w="800" w:type="dxa"/>
            <w:vAlign w:val="bottom"/>
          </w:tcPr>
          <w:p>
            <w:pPr>
              <w:spacing w:after="0"/>
              <w:rPr>
                <w:sz w:val="14"/>
                <w:szCs w:val="14"/>
                <w:color w:val="auto"/>
              </w:rPr>
            </w:pPr>
          </w:p>
        </w:tc>
      </w:tr>
      <w:tr>
        <w:trPr>
          <w:trHeight w:val="164"/>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378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2016</w:t>
            </w:r>
          </w:p>
        </w:tc>
        <w:tc>
          <w:tcPr>
            <w:tcW w:w="128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2017</w:t>
            </w: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Growth</w:t>
            </w:r>
          </w:p>
        </w:tc>
      </w:tr>
      <w:tr>
        <w:trPr>
          <w:trHeight w:val="162"/>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3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$18,790</w:t>
            </w:r>
          </w:p>
        </w:tc>
        <w:tc>
          <w:tcPr>
            <w:tcW w:w="12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$20,463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r>
      <w:tr>
        <w:trPr>
          <w:trHeight w:val="156"/>
        </w:trPr>
        <w:tc>
          <w:tcPr>
            <w:tcW w:w="556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Net Income Attributable to Comcast</w:t>
            </w:r>
          </w:p>
        </w:tc>
        <w:tc>
          <w:tcPr>
            <w:tcW w:w="3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$2,134</w:t>
            </w:r>
          </w:p>
        </w:tc>
        <w:tc>
          <w:tcPr>
            <w:tcW w:w="12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$2,566</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w:t>
            </w:r>
          </w:p>
        </w:tc>
      </w:tr>
      <w:tr>
        <w:trPr>
          <w:trHeight w:val="156"/>
        </w:trPr>
        <w:tc>
          <w:tcPr>
            <w:tcW w:w="556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Adjusted EBITDA</w:t>
            </w:r>
            <w:r>
              <w:rPr>
                <w:rFonts w:ascii="Arial" w:cs="Arial" w:eastAsia="Arial" w:hAnsi="Arial"/>
                <w:sz w:val="14"/>
                <w:szCs w:val="14"/>
                <w:color w:val="auto"/>
                <w:vertAlign w:val="superscript"/>
              </w:rPr>
              <w:t>1</w:t>
            </w:r>
          </w:p>
        </w:tc>
        <w:tc>
          <w:tcPr>
            <w:tcW w:w="3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$6,367</w:t>
            </w:r>
          </w:p>
        </w:tc>
        <w:tc>
          <w:tcPr>
            <w:tcW w:w="12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$7,032</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w:t>
            </w:r>
          </w:p>
        </w:tc>
      </w:tr>
      <w:tr>
        <w:trPr>
          <w:trHeight w:val="146"/>
        </w:trPr>
        <w:tc>
          <w:tcPr>
            <w:tcW w:w="5560" w:type="dxa"/>
            <w:vAlign w:val="bottom"/>
          </w:tcPr>
          <w:p>
            <w:pPr>
              <w:ind w:left="40"/>
              <w:spacing w:after="0" w:line="147" w:lineRule="exact"/>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3780" w:type="dxa"/>
            <w:vAlign w:val="bottom"/>
          </w:tcPr>
          <w:p>
            <w:pPr>
              <w:jc w:val="right"/>
              <w:ind w:right="8"/>
              <w:spacing w:after="0" w:line="147" w:lineRule="exact"/>
              <w:rPr>
                <w:sz w:val="20"/>
                <w:szCs w:val="20"/>
                <w:color w:val="auto"/>
              </w:rPr>
            </w:pPr>
            <w:r>
              <w:rPr>
                <w:rFonts w:ascii="Arial" w:cs="Arial" w:eastAsia="Arial" w:hAnsi="Arial"/>
                <w:sz w:val="14"/>
                <w:szCs w:val="14"/>
                <w:color w:val="auto"/>
              </w:rPr>
              <w:t>$0.43</w:t>
            </w:r>
          </w:p>
        </w:tc>
        <w:tc>
          <w:tcPr>
            <w:tcW w:w="1280" w:type="dxa"/>
            <w:vAlign w:val="bottom"/>
          </w:tcPr>
          <w:p>
            <w:pPr>
              <w:jc w:val="right"/>
              <w:ind w:right="268"/>
              <w:spacing w:after="0" w:line="147" w:lineRule="exact"/>
              <w:rPr>
                <w:sz w:val="20"/>
                <w:szCs w:val="20"/>
                <w:color w:val="auto"/>
              </w:rPr>
            </w:pPr>
            <w:r>
              <w:rPr>
                <w:rFonts w:ascii="Arial" w:cs="Arial" w:eastAsia="Arial" w:hAnsi="Arial"/>
                <w:sz w:val="14"/>
                <w:szCs w:val="14"/>
                <w:color w:val="auto"/>
              </w:rPr>
              <w:t>$0.53</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23.3%</w:t>
            </w:r>
          </w:p>
        </w:tc>
      </w:tr>
      <w:tr>
        <w:trPr>
          <w:trHeight w:val="186"/>
        </w:trPr>
        <w:tc>
          <w:tcPr>
            <w:tcW w:w="5560" w:type="dxa"/>
            <w:vAlign w:val="bottom"/>
          </w:tcPr>
          <w:p>
            <w:pPr>
              <w:ind w:left="40"/>
              <w:spacing w:after="0"/>
              <w:rPr>
                <w:sz w:val="20"/>
                <w:szCs w:val="20"/>
                <w:color w:val="auto"/>
              </w:rPr>
            </w:pPr>
            <w:r>
              <w:rPr>
                <w:rFonts w:ascii="Arial" w:cs="Arial" w:eastAsia="Arial" w:hAnsi="Arial"/>
                <w:sz w:val="14"/>
                <w:szCs w:val="14"/>
                <w:i w:val="1"/>
                <w:iCs w:val="1"/>
                <w:color w:val="auto"/>
              </w:rPr>
              <w:t>Excluding Adjustments (see Table 5)</w:t>
            </w:r>
          </w:p>
        </w:tc>
        <w:tc>
          <w:tcPr>
            <w:tcW w:w="3780" w:type="dxa"/>
            <w:vAlign w:val="bottom"/>
          </w:tcPr>
          <w:p>
            <w:pPr>
              <w:jc w:val="right"/>
              <w:ind w:right="8"/>
              <w:spacing w:after="0"/>
              <w:rPr>
                <w:sz w:val="20"/>
                <w:szCs w:val="20"/>
                <w:color w:val="auto"/>
              </w:rPr>
            </w:pPr>
            <w:r>
              <w:rPr>
                <w:rFonts w:ascii="Arial" w:cs="Arial" w:eastAsia="Arial" w:hAnsi="Arial"/>
                <w:sz w:val="14"/>
                <w:szCs w:val="14"/>
                <w:i w:val="1"/>
                <w:iCs w:val="1"/>
                <w:color w:val="auto"/>
              </w:rPr>
              <w:t>$0.42</w:t>
            </w:r>
          </w:p>
        </w:tc>
        <w:tc>
          <w:tcPr>
            <w:tcW w:w="1280" w:type="dxa"/>
            <w:vAlign w:val="bottom"/>
          </w:tcPr>
          <w:p>
            <w:pPr>
              <w:jc w:val="right"/>
              <w:ind w:right="268"/>
              <w:spacing w:after="0"/>
              <w:rPr>
                <w:sz w:val="20"/>
                <w:szCs w:val="20"/>
                <w:color w:val="auto"/>
              </w:rPr>
            </w:pPr>
            <w:r>
              <w:rPr>
                <w:rFonts w:ascii="Arial" w:cs="Arial" w:eastAsia="Arial" w:hAnsi="Arial"/>
                <w:sz w:val="14"/>
                <w:szCs w:val="14"/>
                <w:i w:val="1"/>
                <w:iCs w:val="1"/>
                <w:color w:val="auto"/>
              </w:rPr>
              <w:t>$0.53</w:t>
            </w:r>
          </w:p>
        </w:tc>
        <w:tc>
          <w:tcPr>
            <w:tcW w:w="800" w:type="dxa"/>
            <w:vAlign w:val="bottom"/>
          </w:tcPr>
          <w:p>
            <w:pPr>
              <w:jc w:val="right"/>
              <w:spacing w:after="0"/>
              <w:rPr>
                <w:sz w:val="20"/>
                <w:szCs w:val="20"/>
                <w:color w:val="auto"/>
              </w:rPr>
            </w:pPr>
            <w:r>
              <w:rPr>
                <w:rFonts w:ascii="Arial" w:cs="Arial" w:eastAsia="Arial" w:hAnsi="Arial"/>
                <w:sz w:val="14"/>
                <w:szCs w:val="14"/>
                <w:i w:val="1"/>
                <w:iCs w:val="1"/>
                <w:color w:val="auto"/>
              </w:rPr>
              <w:t>26.2%</w:t>
            </w:r>
          </w:p>
        </w:tc>
      </w:tr>
    </w:tbl>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first quarter of 2017 increased 8.9% to $20.5 billion.</w:t>
      </w:r>
      <w:r>
        <w:rPr>
          <w:rFonts w:ascii="Arial" w:cs="Arial" w:eastAsia="Arial" w:hAnsi="Arial"/>
          <w:sz w:val="18"/>
          <w:szCs w:val="18"/>
          <w:b w:val="1"/>
          <w:bCs w:val="1"/>
          <w:i w:val="1"/>
          <w:iCs w:val="1"/>
          <w:color w:val="auto"/>
        </w:rPr>
        <w:t xml:space="preserve"> Consolidated Net Income Attributable to Comcast </w:t>
      </w:r>
      <w:r>
        <w:rPr>
          <w:rFonts w:ascii="Arial" w:cs="Arial" w:eastAsia="Arial" w:hAnsi="Arial"/>
          <w:sz w:val="18"/>
          <w:szCs w:val="18"/>
          <w:color w:val="auto"/>
        </w:rPr>
        <w:t xml:space="preserve">increased 20.2% to $2.6 billion. </w:t>
      </w:r>
      <w:r>
        <w:rPr>
          <w:rFonts w:ascii="Arial" w:cs="Arial" w:eastAsia="Arial" w:hAnsi="Arial"/>
          <w:sz w:val="18"/>
          <w:szCs w:val="18"/>
          <w:b w:val="1"/>
          <w:bCs w:val="1"/>
          <w:i w:val="1"/>
          <w:iCs w:val="1"/>
          <w:color w:val="auto"/>
        </w:rPr>
        <w:t>Consolidated Adjusted EBITDA (formerly Operating Cash Flow)</w:t>
      </w:r>
      <w:r>
        <w:rPr>
          <w:rFonts w:ascii="Arial" w:cs="Arial" w:eastAsia="Arial" w:hAnsi="Arial"/>
          <w:sz w:val="18"/>
          <w:szCs w:val="18"/>
          <w:color w:val="auto"/>
        </w:rPr>
        <w:t xml:space="preserve"> increased 10.4% to $7.0 billion.</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first quarter of 2017 was $0.53, a 23.3% increase compared to the first quarter of 2016. Excluding a gain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sale of an investment in the first quarter of 2016, EPS increased 26.2% (see Table 5).</w:t>
      </w:r>
    </w:p>
    <w:p>
      <w:pPr>
        <w:sectPr>
          <w:pgSz w:w="11900" w:h="16838" w:orient="portrait"/>
          <w:cols w:equalWidth="0" w:num="1">
            <w:col w:w="11420"/>
          </w:cols>
          <w:pgMar w:left="240" w:top="118" w:right="239" w:bottom="64" w:gutter="0" w:footer="0" w:header="0"/>
        </w:sectPr>
      </w:pPr>
    </w:p>
    <w:bookmarkStart w:id="3" w:name="page4"/>
    <w:bookmarkEnd w:id="3"/>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10.2% to $2.1 billion in the first quarter of 2017. Cable Communications’ capital expenditures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13.0% to $1.8 billion in the first quarter of 2017, reflecting increased spending on customer premise equipment related to the deployment of the X1 platform and wireless gateways, a higher level of investment in scalable infrastructure to increase network capacity and increased investment in line extensions. Cable capital expenditures represented 13.8% of Cable revenue in the first quarter of 2017 compared to 12.9% in last year’s first quarter. NBCUniversal’s capital expenditures of $285 million decreased 3.3%.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$5.7 billion in the first quarter of 2017.</w:t>
      </w:r>
      <w:r>
        <w:rPr>
          <w:rFonts w:ascii="Arial" w:cs="Arial" w:eastAsia="Arial" w:hAnsi="Arial"/>
          <w:sz w:val="18"/>
          <w:szCs w:val="18"/>
          <w:b w:val="1"/>
          <w:bCs w:val="1"/>
          <w:i w:val="1"/>
          <w:iCs w:val="1"/>
          <w:color w:val="auto"/>
        </w:rPr>
        <w:t xml:space="preserve"> Free Cash Flow</w:t>
      </w:r>
      <w:r>
        <w:rPr>
          <w:rFonts w:ascii="Arial" w:cs="Arial" w:eastAsia="Arial" w:hAnsi="Arial"/>
          <w:sz w:val="18"/>
          <w:szCs w:val="18"/>
          <w:b w:val="1"/>
          <w:bCs w:val="1"/>
          <w:i w:val="1"/>
          <w:iCs w:val="1"/>
          <w:color w:val="auto"/>
          <w:vertAlign w:val="superscript"/>
        </w:rPr>
        <w:t>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$3.1 billion (see Table 4).</w:t>
      </w:r>
    </w:p>
    <w:p>
      <w:pPr>
        <w:spacing w:after="0" w:line="19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first quarter of 2017, Comcast paid dividends totaling $657 million and repurchased 20.4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$750 million. As of March 31, 2017, Comcast had $11.25 billion available under its share repurchase authorization.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3380" w:type="dxa"/>
            <w:vAlign w:val="bottom"/>
            <w:vMerge w:val="restart"/>
          </w:tcPr>
          <w:p>
            <w:pPr>
              <w:jc w:val="right"/>
              <w:spacing w:after="0"/>
              <w:rPr>
                <w:sz w:val="20"/>
                <w:szCs w:val="20"/>
                <w:color w:val="auto"/>
              </w:rPr>
            </w:pPr>
            <w:r>
              <w:rPr>
                <w:rFonts w:ascii="Arial" w:cs="Arial" w:eastAsia="Arial" w:hAnsi="Arial"/>
                <w:sz w:val="14"/>
                <w:szCs w:val="14"/>
                <w:color w:val="auto"/>
              </w:rPr>
              <w:t>2016</w:t>
            </w:r>
            <w:r>
              <w:rPr>
                <w:rFonts w:ascii="Arial" w:cs="Arial" w:eastAsia="Arial" w:hAnsi="Arial"/>
                <w:sz w:val="14"/>
                <w:szCs w:val="14"/>
                <w:color w:val="auto"/>
                <w:vertAlign w:val="superscript"/>
              </w:rPr>
              <w:t>4</w:t>
            </w:r>
          </w:p>
        </w:tc>
        <w:tc>
          <w:tcPr>
            <w:tcW w:w="1300" w:type="dxa"/>
            <w:vAlign w:val="bottom"/>
          </w:tcPr>
          <w:p>
            <w:pPr>
              <w:jc w:val="right"/>
              <w:ind w:right="448"/>
              <w:spacing w:after="0"/>
              <w:rPr>
                <w:sz w:val="20"/>
                <w:szCs w:val="20"/>
                <w:color w:val="auto"/>
              </w:rPr>
            </w:pPr>
            <w:r>
              <w:rPr>
                <w:rFonts w:ascii="Arial" w:cs="Arial" w:eastAsia="Arial" w:hAnsi="Arial"/>
                <w:sz w:val="14"/>
                <w:szCs w:val="14"/>
                <w:color w:val="auto"/>
              </w:rPr>
              <w:t>1st Quarter</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920" w:type="dxa"/>
            <w:vAlign w:val="bottom"/>
          </w:tcPr>
          <w:p>
            <w:pPr>
              <w:ind w:left="40"/>
              <w:spacing w:after="0"/>
              <w:rPr>
                <w:sz w:val="20"/>
                <w:szCs w:val="20"/>
                <w:color w:val="auto"/>
              </w:rPr>
            </w:pPr>
            <w:r>
              <w:rPr>
                <w:rFonts w:ascii="Arial" w:cs="Arial" w:eastAsia="Arial" w:hAnsi="Arial"/>
                <w:sz w:val="11"/>
                <w:szCs w:val="11"/>
                <w:i w:val="1"/>
                <w:iCs w:val="1"/>
                <w:color w:val="auto"/>
              </w:rPr>
              <w:t>($ in millions)</w:t>
            </w:r>
          </w:p>
        </w:tc>
        <w:tc>
          <w:tcPr>
            <w:tcW w:w="3380" w:type="dxa"/>
            <w:vAlign w:val="bottom"/>
            <w:vMerge w:val="continue"/>
          </w:tcPr>
          <w:p>
            <w:pPr>
              <w:spacing w:after="0"/>
              <w:rPr>
                <w:sz w:val="14"/>
                <w:szCs w:val="14"/>
                <w:color w:val="auto"/>
              </w:rPr>
            </w:pPr>
          </w:p>
        </w:tc>
        <w:tc>
          <w:tcPr>
            <w:tcW w:w="1300" w:type="dxa"/>
            <w:vAlign w:val="bottom"/>
          </w:tcPr>
          <w:p>
            <w:pPr>
              <w:jc w:val="right"/>
              <w:ind w:right="228"/>
              <w:spacing w:after="0" w:line="157" w:lineRule="exact"/>
              <w:rPr>
                <w:sz w:val="20"/>
                <w:szCs w:val="20"/>
                <w:color w:val="auto"/>
              </w:rPr>
            </w:pPr>
            <w:r>
              <w:rPr>
                <w:rFonts w:ascii="Arial" w:cs="Arial" w:eastAsia="Arial" w:hAnsi="Arial"/>
                <w:sz w:val="14"/>
                <w:szCs w:val="14"/>
                <w:color w:val="auto"/>
              </w:rPr>
              <w:t>2017</w:t>
            </w:r>
          </w:p>
        </w:tc>
        <w:tc>
          <w:tcPr>
            <w:tcW w:w="8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62"/>
        </w:trPr>
        <w:tc>
          <w:tcPr>
            <w:tcW w:w="59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33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Video</w:t>
            </w:r>
          </w:p>
        </w:tc>
        <w:tc>
          <w:tcPr>
            <w:tcW w:w="3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$5,538</w:t>
            </w:r>
          </w:p>
        </w:tc>
        <w:tc>
          <w:tcPr>
            <w:tcW w:w="13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$5,774</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High-Speed Internet</w:t>
            </w:r>
          </w:p>
        </w:tc>
        <w:tc>
          <w:tcPr>
            <w:tcW w:w="3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3,275</w:t>
            </w:r>
          </w:p>
        </w:tc>
        <w:tc>
          <w:tcPr>
            <w:tcW w:w="13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3,606</w:t>
            </w:r>
          </w:p>
        </w:tc>
        <w:tc>
          <w:tcPr>
            <w:tcW w:w="8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56"/>
        </w:trPr>
        <w:tc>
          <w:tcPr>
            <w:tcW w:w="59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Voice</w:t>
            </w:r>
          </w:p>
        </w:tc>
        <w:tc>
          <w:tcPr>
            <w:tcW w:w="3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896</w:t>
            </w:r>
          </w:p>
        </w:tc>
        <w:tc>
          <w:tcPr>
            <w:tcW w:w="13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863</w:t>
            </w:r>
          </w:p>
        </w:tc>
        <w:tc>
          <w:tcPr>
            <w:tcW w:w="8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56"/>
        </w:trPr>
        <w:tc>
          <w:tcPr>
            <w:tcW w:w="59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Business Services</w:t>
            </w:r>
          </w:p>
        </w:tc>
        <w:tc>
          <w:tcPr>
            <w:tcW w:w="3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1,311</w:t>
            </w:r>
          </w:p>
        </w:tc>
        <w:tc>
          <w:tcPr>
            <w:tcW w:w="13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1,490</w:t>
            </w:r>
          </w:p>
        </w:tc>
        <w:tc>
          <w:tcPr>
            <w:tcW w:w="8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56"/>
        </w:trPr>
        <w:tc>
          <w:tcPr>
            <w:tcW w:w="59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Advertising</w:t>
            </w:r>
          </w:p>
        </w:tc>
        <w:tc>
          <w:tcPr>
            <w:tcW w:w="3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546</w:t>
            </w:r>
          </w:p>
        </w:tc>
        <w:tc>
          <w:tcPr>
            <w:tcW w:w="13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512</w:t>
            </w:r>
          </w:p>
        </w:tc>
        <w:tc>
          <w:tcPr>
            <w:tcW w:w="8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3"/>
        </w:trPr>
        <w:tc>
          <w:tcPr>
            <w:tcW w:w="59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Other</w:t>
            </w:r>
          </w:p>
        </w:tc>
        <w:tc>
          <w:tcPr>
            <w:tcW w:w="3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638</w:t>
            </w:r>
          </w:p>
        </w:tc>
        <w:tc>
          <w:tcPr>
            <w:tcW w:w="13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667</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92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3380" w:type="dxa"/>
            <w:vAlign w:val="bottom"/>
          </w:tcPr>
          <w:p>
            <w:pPr>
              <w:jc w:val="right"/>
              <w:spacing w:after="0"/>
              <w:rPr>
                <w:sz w:val="20"/>
                <w:szCs w:val="20"/>
                <w:color w:val="auto"/>
              </w:rPr>
            </w:pPr>
            <w:r>
              <w:rPr>
                <w:rFonts w:ascii="Arial" w:cs="Arial" w:eastAsia="Arial" w:hAnsi="Arial"/>
                <w:sz w:val="14"/>
                <w:szCs w:val="14"/>
                <w:b w:val="1"/>
                <w:bCs w:val="1"/>
                <w:color w:val="auto"/>
              </w:rPr>
              <w:t>$12,204</w:t>
            </w: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$12,912</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92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Adjusted EBITDA</w:t>
            </w: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$4,889</w:t>
            </w: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$5,198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920" w:type="dxa"/>
            <w:vAlign w:val="bottom"/>
          </w:tcPr>
          <w:p>
            <w:pPr>
              <w:ind w:left="40"/>
              <w:spacing w:after="0"/>
              <w:rPr>
                <w:sz w:val="20"/>
                <w:szCs w:val="20"/>
                <w:color w:val="auto"/>
              </w:rPr>
            </w:pPr>
            <w:r>
              <w:rPr>
                <w:rFonts w:ascii="Arial" w:cs="Arial" w:eastAsia="Arial" w:hAnsi="Arial"/>
                <w:sz w:val="14"/>
                <w:szCs w:val="14"/>
                <w:i w:val="1"/>
                <w:iCs w:val="1"/>
                <w:color w:val="auto"/>
              </w:rPr>
              <w:t>Adjusted EBITDA Margin</w:t>
            </w:r>
          </w:p>
        </w:tc>
        <w:tc>
          <w:tcPr>
            <w:tcW w:w="3380" w:type="dxa"/>
            <w:vAlign w:val="bottom"/>
          </w:tcPr>
          <w:p>
            <w:pPr>
              <w:jc w:val="right"/>
              <w:spacing w:after="0"/>
              <w:rPr>
                <w:sz w:val="20"/>
                <w:szCs w:val="20"/>
                <w:color w:val="auto"/>
              </w:rPr>
            </w:pPr>
            <w:r>
              <w:rPr>
                <w:rFonts w:ascii="Arial" w:cs="Arial" w:eastAsia="Arial" w:hAnsi="Arial"/>
                <w:sz w:val="14"/>
                <w:szCs w:val="14"/>
                <w:i w:val="1"/>
                <w:iCs w:val="1"/>
                <w:color w:val="auto"/>
              </w:rPr>
              <w:t>40.1%</w:t>
            </w:r>
          </w:p>
        </w:tc>
        <w:tc>
          <w:tcPr>
            <w:tcW w:w="1300" w:type="dxa"/>
            <w:vAlign w:val="bottom"/>
          </w:tcPr>
          <w:p>
            <w:pPr>
              <w:jc w:val="right"/>
              <w:ind w:right="228"/>
              <w:spacing w:after="0"/>
              <w:rPr>
                <w:sz w:val="20"/>
                <w:szCs w:val="20"/>
                <w:color w:val="auto"/>
              </w:rPr>
            </w:pPr>
            <w:r>
              <w:rPr>
                <w:rFonts w:ascii="Arial" w:cs="Arial" w:eastAsia="Arial" w:hAnsi="Arial"/>
                <w:sz w:val="14"/>
                <w:szCs w:val="14"/>
                <w:i w:val="1"/>
                <w:iCs w:val="1"/>
                <w:color w:val="auto"/>
              </w:rPr>
              <w:t>40.3%</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$1,576</w:t>
            </w: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$1,781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i w:val="1"/>
                <w:iCs w:val="1"/>
                <w:color w:val="auto"/>
              </w:rPr>
              <w:t>Percent of Cable Communications Revenue</w:t>
            </w:r>
          </w:p>
        </w:tc>
        <w:tc>
          <w:tcPr>
            <w:tcW w:w="3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i w:val="1"/>
                <w:iCs w:val="1"/>
                <w:color w:val="auto"/>
              </w:rPr>
              <w:t>12.9%</w:t>
            </w:r>
          </w:p>
        </w:tc>
        <w:tc>
          <w:tcPr>
            <w:tcW w:w="13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i w:val="1"/>
                <w:iCs w:val="1"/>
                <w:color w:val="auto"/>
              </w:rPr>
              <w:t>13.8%</w:t>
            </w: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5.8% to $12.9 billion in the first quarter of 2017, driven primarily by increases in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video and business services revenue. High-speed Internet revenue increased 10.1%, driven by an increase in the number of residential high-speed Internet customers and rate adjustments. Video revenue increased 4.3%, reflecting rate adjustments, an increase in the number of customers subscribing to additional services and an increase in the number of residential video customers. Business services revenue increased 13.6%, primarily due to an increase in the number of small business customers, as well as continued growth in our medium-sized business services. Advertising revenue decreased 6.3%, partially reflecting a decrease in political advertising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revenue. Other revenue increased 4.4%, primarily reflecting an increase in security and automation revenue and higher franchise and regulatory fees.</w:t>
      </w:r>
    </w:p>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297,000 to 28.9 million in the first quarter of 2017. Residential customer relationships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263,000, primarily driven by increases in double and single product customers. Business customer relationships increased by 34,000. At the end of the first quarter, penetration of our double, triple and quad product residential customers increased to 70.7%. Total video customer net additions were 42,000, total high-speed Internet customer net additions were 429,000, total voice customer net losses were 5,000 and total security and automation customer net additions were 66,000.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4060" w:type="dxa"/>
            <w:vAlign w:val="bottom"/>
            <w:gridSpan w:val="2"/>
          </w:tcPr>
          <w:p>
            <w:pPr>
              <w:jc w:val="right"/>
              <w:ind w:right="1068"/>
              <w:spacing w:after="0"/>
              <w:rPr>
                <w:sz w:val="20"/>
                <w:szCs w:val="20"/>
                <w:color w:val="auto"/>
              </w:rPr>
            </w:pPr>
            <w:r>
              <w:rPr>
                <w:rFonts w:ascii="Arial" w:cs="Arial" w:eastAsia="Arial" w:hAnsi="Arial"/>
                <w:sz w:val="14"/>
                <w:szCs w:val="14"/>
                <w:color w:val="auto"/>
              </w:rPr>
              <w:t>Customers</w:t>
            </w:r>
          </w:p>
        </w:tc>
        <w:tc>
          <w:tcPr>
            <w:tcW w:w="1740" w:type="dxa"/>
            <w:vAlign w:val="bottom"/>
          </w:tcPr>
          <w:p>
            <w:pPr>
              <w:jc w:val="right"/>
              <w:spacing w:after="0"/>
              <w:rPr>
                <w:sz w:val="20"/>
                <w:szCs w:val="20"/>
                <w:color w:val="auto"/>
              </w:rPr>
            </w:pPr>
            <w:r>
              <w:rPr>
                <w:rFonts w:ascii="Arial" w:cs="Arial" w:eastAsia="Arial" w:hAnsi="Arial"/>
                <w:sz w:val="14"/>
                <w:szCs w:val="14"/>
                <w:color w:val="auto"/>
              </w:rPr>
              <w:t>Net Additions</w:t>
            </w:r>
          </w:p>
        </w:tc>
        <w:tc>
          <w:tcPr>
            <w:tcW w:w="360" w:type="dxa"/>
            <w:vAlign w:val="bottom"/>
          </w:tcPr>
          <w:p>
            <w:pPr>
              <w:spacing w:after="0"/>
              <w:rPr>
                <w:sz w:val="14"/>
                <w:szCs w:val="14"/>
                <w:color w:val="auto"/>
              </w:rPr>
            </w:pPr>
          </w:p>
        </w:tc>
      </w:tr>
      <w:tr>
        <w:trPr>
          <w:trHeight w:val="195"/>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1Q16</w:t>
            </w: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1Q17</w:t>
            </w:r>
          </w:p>
        </w:tc>
        <w:tc>
          <w:tcPr>
            <w:tcW w:w="17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1Q16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1Q17</w:t>
            </w:r>
          </w:p>
        </w:tc>
      </w:tr>
      <w:tr>
        <w:trPr>
          <w:trHeight w:val="189"/>
        </w:trPr>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Residential Video Customers</w:t>
            </w:r>
          </w:p>
        </w:tc>
        <w:tc>
          <w:tcPr>
            <w:tcW w:w="2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21,422</w:t>
            </w: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21,520</w:t>
            </w:r>
          </w:p>
        </w:tc>
        <w:tc>
          <w:tcPr>
            <w:tcW w:w="17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37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183"/>
        </w:trPr>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Business Services Video Customers</w:t>
            </w:r>
          </w:p>
        </w:tc>
        <w:tc>
          <w:tcPr>
            <w:tcW w:w="2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978</w:t>
            </w: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1,030</w:t>
            </w:r>
          </w:p>
        </w:tc>
        <w:tc>
          <w:tcPr>
            <w:tcW w:w="17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16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90"/>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Video Customers</w:t>
            </w:r>
          </w:p>
        </w:tc>
        <w:tc>
          <w:tcPr>
            <w:tcW w:w="2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22,400</w:t>
            </w: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22,549</w:t>
            </w:r>
          </w:p>
        </w:tc>
        <w:tc>
          <w:tcPr>
            <w:tcW w:w="17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53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w:t>
            </w:r>
          </w:p>
        </w:tc>
      </w:tr>
      <w:tr>
        <w:trPr>
          <w:trHeight w:val="189"/>
        </w:trPr>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Residential High-Speed Internet Customers</w:t>
            </w:r>
          </w:p>
        </w:tc>
        <w:tc>
          <w:tcPr>
            <w:tcW w:w="2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22,013</w:t>
            </w: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23,224</w:t>
            </w:r>
          </w:p>
        </w:tc>
        <w:tc>
          <w:tcPr>
            <w:tcW w:w="17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403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r>
      <w:tr>
        <w:trPr>
          <w:trHeight w:val="183"/>
        </w:trPr>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Business Services High-Speed Internet Customers</w:t>
            </w:r>
          </w:p>
        </w:tc>
        <w:tc>
          <w:tcPr>
            <w:tcW w:w="2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1,754</w:t>
            </w: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1,907</w:t>
            </w:r>
          </w:p>
        </w:tc>
        <w:tc>
          <w:tcPr>
            <w:tcW w:w="17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35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190"/>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High-Speed Internet Customers</w:t>
            </w:r>
          </w:p>
        </w:tc>
        <w:tc>
          <w:tcPr>
            <w:tcW w:w="2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23,767</w:t>
            </w: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25,131</w:t>
            </w:r>
          </w:p>
        </w:tc>
        <w:tc>
          <w:tcPr>
            <w:tcW w:w="17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438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429</w:t>
            </w:r>
          </w:p>
        </w:tc>
      </w:tr>
      <w:tr>
        <w:trPr>
          <w:trHeight w:val="189"/>
        </w:trPr>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Residential Voice Customers</w:t>
            </w:r>
          </w:p>
        </w:tc>
        <w:tc>
          <w:tcPr>
            <w:tcW w:w="2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10,516</w:t>
            </w: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10,520</w:t>
            </w:r>
          </w:p>
        </w:tc>
        <w:tc>
          <w:tcPr>
            <w:tcW w:w="17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80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183"/>
        </w:trPr>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Business Services Voice Customers</w:t>
            </w:r>
          </w:p>
        </w:tc>
        <w:tc>
          <w:tcPr>
            <w:tcW w:w="2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1,061</w:t>
            </w: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1,162</w:t>
            </w:r>
          </w:p>
        </w:tc>
        <w:tc>
          <w:tcPr>
            <w:tcW w:w="17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190"/>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Voice Customers</w:t>
            </w:r>
          </w:p>
        </w:tc>
        <w:tc>
          <w:tcPr>
            <w:tcW w:w="2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11,577</w:t>
            </w: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11,681</w:t>
            </w:r>
          </w:p>
        </w:tc>
        <w:tc>
          <w:tcPr>
            <w:tcW w:w="17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102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r>
      <w:tr>
        <w:trPr>
          <w:trHeight w:val="189"/>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Security and Automation Customers</w:t>
            </w:r>
          </w:p>
        </w:tc>
        <w:tc>
          <w:tcPr>
            <w:tcW w:w="2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668</w:t>
            </w: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957</w:t>
            </w:r>
          </w:p>
        </w:tc>
        <w:tc>
          <w:tcPr>
            <w:tcW w:w="17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56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r>
      <w:tr>
        <w:trPr>
          <w:trHeight w:val="190"/>
        </w:trPr>
        <w:tc>
          <w:tcPr>
            <w:tcW w:w="5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189"/>
        </w:trPr>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Residential Customer Relationships</w:t>
            </w:r>
          </w:p>
        </w:tc>
        <w:tc>
          <w:tcPr>
            <w:tcW w:w="2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26,065</w:t>
            </w: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26,797</w:t>
            </w:r>
          </w:p>
        </w:tc>
        <w:tc>
          <w:tcPr>
            <w:tcW w:w="17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237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w:t>
            </w:r>
          </w:p>
        </w:tc>
      </w:tr>
      <w:tr>
        <w:trPr>
          <w:trHeight w:val="183"/>
        </w:trPr>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Business Services Customer Relationships</w:t>
            </w:r>
          </w:p>
        </w:tc>
        <w:tc>
          <w:tcPr>
            <w:tcW w:w="2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1,921</w:t>
            </w: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2,078</w:t>
            </w:r>
          </w:p>
        </w:tc>
        <w:tc>
          <w:tcPr>
            <w:tcW w:w="17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34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r>
      <w:tr>
        <w:trPr>
          <w:trHeight w:val="190"/>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Customer Relationships</w:t>
            </w:r>
          </w:p>
        </w:tc>
        <w:tc>
          <w:tcPr>
            <w:tcW w:w="2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27,986</w:t>
            </w: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28,875</w:t>
            </w:r>
          </w:p>
        </w:tc>
        <w:tc>
          <w:tcPr>
            <w:tcW w:w="17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271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297</w:t>
            </w:r>
          </w:p>
        </w:tc>
      </w:tr>
      <w:tr>
        <w:trPr>
          <w:trHeight w:val="196"/>
        </w:trPr>
        <w:tc>
          <w:tcPr>
            <w:tcW w:w="5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r>
      <w:tr>
        <w:trPr>
          <w:trHeight w:val="189"/>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Single Product Residential Customers</w:t>
            </w:r>
          </w:p>
        </w:tc>
        <w:tc>
          <w:tcPr>
            <w:tcW w:w="2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7,681</w:t>
            </w: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7,861</w:t>
            </w:r>
          </w:p>
        </w:tc>
        <w:tc>
          <w:tcPr>
            <w:tcW w:w="17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34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r>
      <w:tr>
        <w:trPr>
          <w:trHeight w:val="183"/>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Double Product Residential Customers</w:t>
            </w:r>
          </w:p>
        </w:tc>
        <w:tc>
          <w:tcPr>
            <w:tcW w:w="2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8,572</w:t>
            </w: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8,938</w:t>
            </w:r>
          </w:p>
        </w:tc>
        <w:tc>
          <w:tcPr>
            <w:tcW w:w="17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94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r>
      <w:tr>
        <w:trPr>
          <w:trHeight w:val="184"/>
        </w:trPr>
        <w:tc>
          <w:tcPr>
            <w:tcW w:w="5260" w:type="dxa"/>
            <w:vAlign w:val="bottom"/>
          </w:tcPr>
          <w:p>
            <w:pPr>
              <w:ind w:left="40"/>
              <w:spacing w:after="0"/>
              <w:rPr>
                <w:sz w:val="20"/>
                <w:szCs w:val="20"/>
                <w:color w:val="auto"/>
              </w:rPr>
            </w:pPr>
            <w:r>
              <w:rPr>
                <w:rFonts w:ascii="Arial" w:cs="Arial" w:eastAsia="Arial" w:hAnsi="Arial"/>
                <w:sz w:val="14"/>
                <w:szCs w:val="14"/>
                <w:color w:val="auto"/>
              </w:rPr>
              <w:t>Triple and Quad Product Residential Customers</w:t>
            </w:r>
          </w:p>
        </w:tc>
        <w:tc>
          <w:tcPr>
            <w:tcW w:w="2620" w:type="dxa"/>
            <w:vAlign w:val="bottom"/>
          </w:tcPr>
          <w:p>
            <w:pPr>
              <w:jc w:val="right"/>
              <w:ind w:right="228"/>
              <w:spacing w:after="0"/>
              <w:rPr>
                <w:sz w:val="20"/>
                <w:szCs w:val="20"/>
                <w:color w:val="auto"/>
              </w:rPr>
            </w:pPr>
            <w:r>
              <w:rPr>
                <w:rFonts w:ascii="Arial" w:cs="Arial" w:eastAsia="Arial" w:hAnsi="Arial"/>
                <w:sz w:val="14"/>
                <w:szCs w:val="14"/>
                <w:color w:val="auto"/>
              </w:rPr>
              <w:t>9,812</w:t>
            </w:r>
          </w:p>
        </w:tc>
        <w:tc>
          <w:tcPr>
            <w:tcW w:w="1440" w:type="dxa"/>
            <w:vAlign w:val="bottom"/>
          </w:tcPr>
          <w:p>
            <w:pPr>
              <w:jc w:val="right"/>
              <w:ind w:right="628"/>
              <w:spacing w:after="0"/>
              <w:rPr>
                <w:sz w:val="20"/>
                <w:szCs w:val="20"/>
                <w:color w:val="auto"/>
              </w:rPr>
            </w:pPr>
            <w:r>
              <w:rPr>
                <w:rFonts w:ascii="Arial" w:cs="Arial" w:eastAsia="Arial" w:hAnsi="Arial"/>
                <w:sz w:val="14"/>
                <w:szCs w:val="14"/>
                <w:color w:val="auto"/>
              </w:rPr>
              <w:t>9,998</w:t>
            </w:r>
          </w:p>
        </w:tc>
        <w:tc>
          <w:tcPr>
            <w:tcW w:w="1740" w:type="dxa"/>
            <w:vAlign w:val="bottom"/>
          </w:tcPr>
          <w:p>
            <w:pPr>
              <w:jc w:val="right"/>
              <w:ind w:right="608"/>
              <w:spacing w:after="0"/>
              <w:rPr>
                <w:sz w:val="20"/>
                <w:szCs w:val="20"/>
                <w:color w:val="auto"/>
              </w:rPr>
            </w:pPr>
            <w:r>
              <w:rPr>
                <w:rFonts w:ascii="Arial" w:cs="Arial" w:eastAsia="Arial" w:hAnsi="Arial"/>
                <w:sz w:val="14"/>
                <w:szCs w:val="14"/>
                <w:color w:val="auto"/>
              </w:rPr>
              <w:t>109</w:t>
            </w:r>
          </w:p>
        </w:tc>
        <w:tc>
          <w:tcPr>
            <w:tcW w:w="360" w:type="dxa"/>
            <w:vAlign w:val="bottom"/>
          </w:tcPr>
          <w:p>
            <w:pPr>
              <w:jc w:val="right"/>
              <w:spacing w:after="0"/>
              <w:rPr>
                <w:sz w:val="20"/>
                <w:szCs w:val="20"/>
                <w:color w:val="auto"/>
              </w:rPr>
            </w:pPr>
            <w:r>
              <w:rPr>
                <w:rFonts w:ascii="Arial" w:cs="Arial" w:eastAsia="Arial" w:hAnsi="Arial"/>
                <w:sz w:val="14"/>
                <w:szCs w:val="14"/>
                <w:color w:val="auto"/>
              </w:rPr>
              <w:t>18</w:t>
            </w:r>
          </w:p>
        </w:tc>
      </w:tr>
    </w:tbl>
    <w:p>
      <w:pPr>
        <w:spacing w:after="0" w:line="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Residential video and high-speed Internet customers as of March 31, 2017 include prepaid customers totaling 2,000 and 21,000, respectively</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6.3% to $5.2 billion in the first quarter of 2017,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5.5% increase in operating expenses. The higher expenses were primarily due to an 11.7% increase in video programming costs, reflecting the timing of contract renewals, as well as higher retransmission consent fees and sports programming costs. Non-programming expenses increased 1.4%, reflecting an increase in technical and product support expenses and advertising, marketing and promotion costs, partially offset by a decrease in customer service expenses. Technical and product support expenses increased 2.8% related to the development, delivery and support of our X1 platform, cloud DVR technology and wireless gateways, and the continued growth in business services and security and automation services. Advertising, marketing and promotion costs increased 2.8%, primarily due to an increase in spending associated with attracting new customers. Customer service expenses decreased 1.1%, reflecting reduced call volumes. This quarter’s Adjusted EBITDA margin was 40.3% compared to 40.1% in the first quarter of 2016.</w:t>
      </w:r>
    </w:p>
    <w:p>
      <w:pPr>
        <w:sectPr>
          <w:pgSz w:w="11900" w:h="16838" w:orient="portrait"/>
          <w:cols w:equalWidth="0" w:num="1">
            <w:col w:w="11420"/>
          </w:cols>
          <w:pgMar w:left="240" w:top="118"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80" w:type="dxa"/>
            <w:vAlign w:val="bottom"/>
          </w:tcPr>
          <w:p>
            <w:pPr>
              <w:spacing w:after="0"/>
              <w:rPr>
                <w:sz w:val="14"/>
                <w:szCs w:val="14"/>
                <w:color w:val="auto"/>
              </w:rPr>
            </w:pPr>
          </w:p>
        </w:tc>
        <w:tc>
          <w:tcPr>
            <w:tcW w:w="4580" w:type="dxa"/>
            <w:vAlign w:val="bottom"/>
          </w:tcPr>
          <w:p>
            <w:pPr>
              <w:jc w:val="right"/>
              <w:ind w:right="128"/>
              <w:spacing w:after="0"/>
              <w:rPr>
                <w:sz w:val="20"/>
                <w:szCs w:val="20"/>
                <w:color w:val="auto"/>
              </w:rPr>
            </w:pPr>
            <w:r>
              <w:rPr>
                <w:rFonts w:ascii="Arial" w:cs="Arial" w:eastAsia="Arial" w:hAnsi="Arial"/>
                <w:sz w:val="14"/>
                <w:szCs w:val="14"/>
                <w:color w:val="auto"/>
              </w:rPr>
              <w:t>1st Quarter</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95"/>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45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2016</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2017 Growth</w:t>
            </w:r>
          </w:p>
        </w:tc>
      </w:tr>
      <w:tr>
        <w:trPr>
          <w:trHeight w:val="189"/>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45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r>
      <w:tr>
        <w:trPr>
          <w:trHeight w:val="183"/>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45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$2,453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r>
      <w:tr>
        <w:trPr>
          <w:trHeight w:val="183"/>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45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2,084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r>
      <w:tr>
        <w:trPr>
          <w:trHeight w:val="183"/>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45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1,383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r>
      <w:tr>
        <w:trPr>
          <w:trHeight w:val="183"/>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45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1,026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r>
      <w:tr>
        <w:trPr>
          <w:trHeight w:val="190"/>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45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(85)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91"/>
        </w:trPr>
        <w:tc>
          <w:tcPr>
            <w:tcW w:w="568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4580" w:type="dxa"/>
            <w:vAlign w:val="bottom"/>
          </w:tcPr>
          <w:p>
            <w:pPr>
              <w:jc w:val="right"/>
              <w:ind w:right="848"/>
              <w:spacing w:after="0"/>
              <w:rPr>
                <w:sz w:val="20"/>
                <w:szCs w:val="20"/>
                <w:color w:val="auto"/>
              </w:rPr>
            </w:pPr>
            <w:r>
              <w:rPr>
                <w:rFonts w:ascii="Arial" w:cs="Arial" w:eastAsia="Arial" w:hAnsi="Arial"/>
                <w:sz w:val="14"/>
                <w:szCs w:val="14"/>
                <w:b w:val="1"/>
                <w:bCs w:val="1"/>
                <w:color w:val="auto"/>
              </w:rPr>
              <w:t>$6,861</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$7,868</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14.7%</w:t>
            </w:r>
          </w:p>
        </w:tc>
      </w:tr>
      <w:tr>
        <w:trPr>
          <w:trHeight w:val="195"/>
        </w:trPr>
        <w:tc>
          <w:tcPr>
            <w:tcW w:w="5680" w:type="dxa"/>
            <w:vAlign w:val="bottom"/>
            <w:tcBorders>
              <w:bottom w:val="single" w:sz="8" w:color="auto"/>
            </w:tcBorders>
          </w:tcPr>
          <w:p>
            <w:pPr>
              <w:spacing w:after="0"/>
              <w:rPr>
                <w:sz w:val="16"/>
                <w:szCs w:val="16"/>
                <w:color w:val="auto"/>
              </w:rPr>
            </w:pPr>
          </w:p>
        </w:tc>
        <w:tc>
          <w:tcPr>
            <w:tcW w:w="45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r>
      <w:tr>
        <w:trPr>
          <w:trHeight w:val="189"/>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45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r>
      <w:tr>
        <w:trPr>
          <w:trHeight w:val="183"/>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45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$956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r>
      <w:tr>
        <w:trPr>
          <w:trHeight w:val="183"/>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45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284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183"/>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45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167</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368120.6%</w:t>
            </w:r>
          </w:p>
        </w:tc>
      </w:tr>
      <w:tr>
        <w:trPr>
          <w:trHeight w:val="183"/>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45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375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r>
      <w:tr>
        <w:trPr>
          <w:trHeight w:val="190"/>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45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(160)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91"/>
        </w:trPr>
        <w:tc>
          <w:tcPr>
            <w:tcW w:w="5680" w:type="dxa"/>
            <w:vAlign w:val="bottom"/>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4580" w:type="dxa"/>
            <w:vAlign w:val="bottom"/>
          </w:tcPr>
          <w:p>
            <w:pPr>
              <w:jc w:val="right"/>
              <w:ind w:right="848"/>
              <w:spacing w:after="0"/>
              <w:rPr>
                <w:sz w:val="20"/>
                <w:szCs w:val="20"/>
                <w:color w:val="auto"/>
              </w:rPr>
            </w:pPr>
            <w:r>
              <w:rPr>
                <w:rFonts w:ascii="Arial" w:cs="Arial" w:eastAsia="Arial" w:hAnsi="Arial"/>
                <w:sz w:val="14"/>
                <w:szCs w:val="14"/>
                <w:b w:val="1"/>
                <w:bCs w:val="1"/>
                <w:color w:val="auto"/>
              </w:rPr>
              <w:t>$1,622</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24.4%</w:t>
            </w:r>
          </w:p>
        </w:tc>
      </w:tr>
      <w:tr>
        <w:trPr>
          <w:trHeight w:val="203"/>
        </w:trPr>
        <w:tc>
          <w:tcPr>
            <w:tcW w:w="5680" w:type="dxa"/>
            <w:vAlign w:val="bottom"/>
          </w:tcPr>
          <w:p>
            <w:pPr>
              <w:ind w:left="40"/>
              <w:spacing w:after="0"/>
              <w:rPr>
                <w:sz w:val="20"/>
                <w:szCs w:val="20"/>
                <w:color w:val="auto"/>
              </w:rPr>
            </w:pPr>
            <w:r>
              <w:rPr>
                <w:rFonts w:ascii="Arial" w:cs="Arial" w:eastAsia="Arial" w:hAnsi="Arial"/>
                <w:sz w:val="14"/>
                <w:szCs w:val="14"/>
                <w:color w:val="auto"/>
              </w:rPr>
              <w:t>NM=comparison not meaningful.</w:t>
            </w:r>
          </w:p>
        </w:tc>
        <w:tc>
          <w:tcPr>
            <w:tcW w:w="4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14.7% to $7.9 billion in the first quarter of 2017.</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24.4% to $2.0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increases at Filmed Entertainment, Cable Networks, Broadcast Television and Theme Parks.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Cable Networks revenue increased 7.6% to $2.6 billion in the first quarter of 2017, reflecting higher distribution and content licensing and other revenue, partially offset by lower advertising revenue. Distribution revenue increased 8.6%, driven by contractual rate increases and contract renewals, partially offset by a decline in subscribers at our cable networks. Content licensing and other revenue increased 54.0%, reflecting a new licensing agreement, as well as the timing of content provided under current licensing agreements. Advertising revenue decreased 2.9%, due to audience ratings declines, partially offset by higher rates. Adjusted EBITDA increased 16.8% to $1.1 billion in the first quarter of 2017, reflecting higher revenue, partially offset by a modest increase in programming and production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Broadcast Television revenue increased 5.9% to $2.2 billion in the first quarter of 2017, reflecting higher distribution and other and content licensing revenue. Distribution and other revenue increased 33.4%, due to higher retransmission consent fees. Content licensing revenue increased 2.6%, reflecting the timing of content provided under licensing agreements. Advertising revenue increased 0.3%, reflecting higher rates, offset by audience ratings declines and lower volume. Adjusted EBITDA increased 13.4% to $322 million in the first quarter of 2017, reflecting higher revenue, partially offset by an increase in programming and production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Filmed Entertainment revenue increased 43.2% to $2.0 billion in the first quarter of 2017, primarily reflecting higher theatrical revenue, as well as increased other, content licensing, and home entertainment revenue. Theatrical revenue increased by $415 million to $651 million, reflecting the strong performances of </w:t>
      </w:r>
      <w:r>
        <w:rPr>
          <w:rFonts w:ascii="Arial" w:cs="Arial" w:eastAsia="Arial" w:hAnsi="Arial"/>
          <w:sz w:val="18"/>
          <w:szCs w:val="18"/>
          <w:i w:val="1"/>
          <w:iCs w:val="1"/>
          <w:color w:val="auto"/>
        </w:rPr>
        <w:t>Fifty Shades Darker, Get Out</w:t>
      </w:r>
      <w:r>
        <w:rPr>
          <w:rFonts w:ascii="Arial" w:cs="Arial" w:eastAsia="Arial" w:hAnsi="Arial"/>
          <w:sz w:val="18"/>
          <w:szCs w:val="18"/>
          <w:color w:val="auto"/>
        </w:rPr>
        <w:t xml:space="preserve"> and </w:t>
      </w:r>
      <w:r>
        <w:rPr>
          <w:rFonts w:ascii="Arial" w:cs="Arial" w:eastAsia="Arial" w:hAnsi="Arial"/>
          <w:sz w:val="18"/>
          <w:szCs w:val="18"/>
          <w:i w:val="1"/>
          <w:iCs w:val="1"/>
          <w:color w:val="auto"/>
        </w:rPr>
        <w:t>Split</w:t>
      </w:r>
      <w:r>
        <w:rPr>
          <w:rFonts w:ascii="Arial" w:cs="Arial" w:eastAsia="Arial" w:hAnsi="Arial"/>
          <w:sz w:val="18"/>
          <w:szCs w:val="18"/>
          <w:color w:val="auto"/>
        </w:rPr>
        <w:t xml:space="preserve">, as well as the continued success of </w:t>
      </w:r>
      <w:r>
        <w:rPr>
          <w:rFonts w:ascii="Arial" w:cs="Arial" w:eastAsia="Arial" w:hAnsi="Arial"/>
          <w:sz w:val="18"/>
          <w:szCs w:val="18"/>
          <w:i w:val="1"/>
          <w:iCs w:val="1"/>
          <w:color w:val="auto"/>
        </w:rPr>
        <w:t>Sing</w:t>
      </w:r>
      <w:r>
        <w:rPr>
          <w:rFonts w:ascii="Arial" w:cs="Arial" w:eastAsia="Arial" w:hAnsi="Arial"/>
          <w:sz w:val="18"/>
          <w:szCs w:val="18"/>
          <w:color w:val="auto"/>
        </w:rPr>
        <w:t xml:space="preserve"> in this year’s first quarter. Other revenue and content licensing revenue increased 35.9% and 12.1%, respectively, primarily due to the inclusion of DreamWorks in the current year period. Adjusted EBITDA increased by $201 million to $368 million in the first quarter of 2017, reflecting higher revenue, partially offset by higher programming and production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Theme Parks revenue increased 9.0% to $1.1 billion in the first quarter of 2017, reflecting higher attendance and per capita spending, despite an unfavorable comparison from the timing of spring break vacations. Adjusted EBITDA increased 6.1% to $397 million in the first quarter of 2017, reflecting higher revenue, partially offset by an increase in operating expenses, including pre-opening costs to support new attractions opening in Orlando this spring.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March 31, 2017, NBCUniversal Headquarters, Other and Eliminations Adjusted EBITDA loss was $186 million compared to a loss of $160 million in the first quarter of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Other and Eliminations primarily relate to corporate operations, including Comcast Spectacor and our new wireless initiative, Xfinity Mobile, as well as eliminations among Comcast’s businesses. For the quarter ended March 31, 2017, Corporate, Other and Eliminations revenue was ($317) million compared to ($275) million in the first quarter of 2016. The Adjusted EBITDA loss was $183 million compared to a loss of $144 million in the first quarter of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180" w:hanging="166"/>
        <w:spacing w:after="0" w:line="239"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Adjusted EBITDA (formerly Operating Cash Flow) as net income attributable to Comcast Corporation before net (income) loss attributable to noncontrolling interests and redeemable subsidiary preferred stock, income tax expense, other income (expense) items, net, and depreciation and amortization, and excluding impairment charges related to fixed and intangible assets and gains or losses on the sale of long-lived assets, if any. See Table 4 for reconciliation of non-GAAP financial measures.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Earnings per share amounts are presented on a post-split, diluted basis.</w:t>
      </w:r>
    </w:p>
    <w:p>
      <w:pPr>
        <w:sectPr>
          <w:pgSz w:w="11900" w:h="16838" w:orient="portrait"/>
          <w:cols w:equalWidth="0" w:num="1">
            <w:col w:w="11420"/>
          </w:cols>
          <w:pgMar w:left="240" w:top="144" w:right="239" w:bottom="0" w:gutter="0" w:footer="0" w:header="0"/>
        </w:sectPr>
      </w:pPr>
    </w:p>
    <w:bookmarkStart w:id="5" w:name="page6"/>
    <w:bookmarkEnd w:id="5"/>
    <w:p>
      <w:pPr>
        <w:spacing w:after="0" w:line="5" w:lineRule="exact"/>
        <w:rPr>
          <w:sz w:val="20"/>
          <w:szCs w:val="20"/>
          <w:color w:val="auto"/>
        </w:rPr>
      </w:pPr>
    </w:p>
    <w:p>
      <w:pPr>
        <w:jc w:val="both"/>
        <w:ind w:left="180" w:right="40" w:hanging="166"/>
        <w:spacing w:after="0" w:line="23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benefits. The definition of Free Cash Flow excludes any impact from Economic Stimulus packages. These amounts have been excluded from Free Cash Flow to provide an appropriate comparison. See Table 4 for reconciliation of non-GAAP financial measures.</w:t>
      </w:r>
    </w:p>
    <w:p>
      <w:pPr>
        <w:spacing w:after="0" w:line="188" w:lineRule="exact"/>
        <w:rPr>
          <w:sz w:val="20"/>
          <w:szCs w:val="20"/>
          <w:color w:val="auto"/>
        </w:rPr>
      </w:pPr>
    </w:p>
    <w:p>
      <w:pPr>
        <w:ind w:left="180" w:right="40" w:hanging="166"/>
        <w:spacing w:after="0" w:line="246" w:lineRule="auto"/>
        <w:tabs>
          <w:tab w:leader="none" w:pos="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be consistent with our current management reporting presentation, certain 2016 operating results were reclassified within the Cable Communications segment.</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ind w:right="40"/>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April 27, 2017 at 8:30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Those parties interested in participating via telephone should dial (800) 263-8495 with the conference ID number 84390200. A replay of the call will be available starting at 12:00 p.m. ET on April 27, 2017, on the Investor Relations website or by telephone. To access the telephone replay, which will be available until Thursday, May 4, 2017 at midnight ET, please dial (855) 859-2056 and enter the conference ID number 84390200.</w:t>
      </w:r>
    </w:p>
    <w:p>
      <w:pPr>
        <w:spacing w:after="0" w:line="190"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on our corporate blog, </w:t>
      </w:r>
      <w:r>
        <w:rPr>
          <w:rFonts w:ascii="Arial" w:cs="Arial" w:eastAsia="Arial" w:hAnsi="Arial"/>
          <w:sz w:val="16"/>
          <w:szCs w:val="16"/>
          <w:u w:val="single" w:color="auto"/>
          <w:color w:val="auto"/>
        </w:rPr>
        <w:t>http://corporate.comcast.com/comcast-voices</w:t>
      </w:r>
      <w:r>
        <w:rPr>
          <w:rFonts w:ascii="Arial" w:cs="Arial" w:eastAsia="Arial" w:hAnsi="Arial"/>
          <w:sz w:val="16"/>
          <w:szCs w:val="16"/>
          <w:color w:val="auto"/>
        </w:rPr>
        <w:t xml:space="preserve">.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subscribe to email alerts.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4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2660" w:type="dxa"/>
            <w:vAlign w:val="bottom"/>
          </w:tcPr>
          <w:p>
            <w:pPr>
              <w:spacing w:after="0"/>
              <w:rPr>
                <w:sz w:val="19"/>
                <w:szCs w:val="19"/>
                <w:color w:val="auto"/>
              </w:rPr>
            </w:pPr>
          </w:p>
        </w:tc>
        <w:tc>
          <w:tcPr>
            <w:tcW w:w="3480" w:type="dxa"/>
            <w:vAlign w:val="bottom"/>
          </w:tcPr>
          <w:p>
            <w:pPr>
              <w:ind w:left="1820"/>
              <w:spacing w:after="0"/>
              <w:rPr>
                <w:sz w:val="20"/>
                <w:szCs w:val="20"/>
                <w:color w:val="auto"/>
              </w:rPr>
            </w:pPr>
            <w:r>
              <w:rPr>
                <w:rFonts w:ascii="Arial" w:cs="Arial" w:eastAsia="Arial" w:hAnsi="Arial"/>
                <w:sz w:val="18"/>
                <w:szCs w:val="18"/>
                <w:b w:val="1"/>
                <w:bCs w:val="1"/>
                <w:color w:val="auto"/>
              </w:rPr>
              <w:t>Press Contacts:</w:t>
            </w:r>
          </w:p>
        </w:tc>
        <w:tc>
          <w:tcPr>
            <w:tcW w:w="3380" w:type="dxa"/>
            <w:vAlign w:val="bottom"/>
          </w:tcPr>
          <w:p>
            <w:pPr>
              <w:spacing w:after="0"/>
              <w:rPr>
                <w:sz w:val="19"/>
                <w:szCs w:val="19"/>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Jason Armstrong</w:t>
            </w:r>
          </w:p>
        </w:tc>
        <w:tc>
          <w:tcPr>
            <w:tcW w:w="2660" w:type="dxa"/>
            <w:vAlign w:val="bottom"/>
          </w:tcPr>
          <w:p>
            <w:pPr>
              <w:jc w:val="right"/>
              <w:ind w:right="970"/>
              <w:spacing w:after="0" w:line="202" w:lineRule="exact"/>
              <w:rPr>
                <w:sz w:val="20"/>
                <w:szCs w:val="20"/>
                <w:color w:val="auto"/>
              </w:rPr>
            </w:pPr>
            <w:r>
              <w:rPr>
                <w:rFonts w:ascii="Arial" w:cs="Arial" w:eastAsia="Arial" w:hAnsi="Arial"/>
                <w:sz w:val="18"/>
                <w:szCs w:val="18"/>
                <w:color w:val="auto"/>
              </w:rPr>
              <w:t>(215) 286-7972</w:t>
            </w:r>
          </w:p>
        </w:tc>
        <w:tc>
          <w:tcPr>
            <w:tcW w:w="3480" w:type="dxa"/>
            <w:vAlign w:val="bottom"/>
          </w:tcPr>
          <w:p>
            <w:pPr>
              <w:ind w:left="1820"/>
              <w:spacing w:after="0" w:line="202" w:lineRule="exact"/>
              <w:rPr>
                <w:sz w:val="20"/>
                <w:szCs w:val="20"/>
                <w:color w:val="auto"/>
              </w:rPr>
            </w:pPr>
            <w:r>
              <w:rPr>
                <w:rFonts w:ascii="Arial" w:cs="Arial" w:eastAsia="Arial" w:hAnsi="Arial"/>
                <w:sz w:val="18"/>
                <w:szCs w:val="18"/>
                <w:color w:val="auto"/>
              </w:rPr>
              <w:t>D’Arcy Rudnay</w:t>
            </w:r>
          </w:p>
        </w:tc>
        <w:tc>
          <w:tcPr>
            <w:tcW w:w="3380" w:type="dxa"/>
            <w:vAlign w:val="bottom"/>
          </w:tcPr>
          <w:p>
            <w:pPr>
              <w:jc w:val="right"/>
              <w:ind w:right="1750"/>
              <w:spacing w:after="0" w:line="202" w:lineRule="exact"/>
              <w:rPr>
                <w:sz w:val="20"/>
                <w:szCs w:val="20"/>
                <w:color w:val="auto"/>
              </w:rPr>
            </w:pPr>
            <w:r>
              <w:rPr>
                <w:rFonts w:ascii="Arial" w:cs="Arial" w:eastAsia="Arial" w:hAnsi="Arial"/>
                <w:sz w:val="18"/>
                <w:szCs w:val="18"/>
                <w:color w:val="auto"/>
              </w:rPr>
              <w:t>(215) 286-8582</w:t>
            </w:r>
          </w:p>
        </w:tc>
      </w:tr>
      <w:tr>
        <w:trPr>
          <w:trHeight w:val="217"/>
        </w:trPr>
        <w:tc>
          <w:tcPr>
            <w:tcW w:w="1940" w:type="dxa"/>
            <w:vAlign w:val="bottom"/>
          </w:tcPr>
          <w:p>
            <w:pPr>
              <w:spacing w:after="0"/>
              <w:rPr>
                <w:sz w:val="20"/>
                <w:szCs w:val="20"/>
                <w:color w:val="auto"/>
              </w:rPr>
            </w:pPr>
            <w:r>
              <w:rPr>
                <w:rFonts w:ascii="Arial" w:cs="Arial" w:eastAsia="Arial" w:hAnsi="Arial"/>
                <w:sz w:val="18"/>
                <w:szCs w:val="18"/>
                <w:color w:val="auto"/>
              </w:rPr>
              <w:t>Jane Kearns</w:t>
            </w:r>
          </w:p>
        </w:tc>
        <w:tc>
          <w:tcPr>
            <w:tcW w:w="2660" w:type="dxa"/>
            <w:vAlign w:val="bottom"/>
          </w:tcPr>
          <w:p>
            <w:pPr>
              <w:jc w:val="right"/>
              <w:ind w:right="970"/>
              <w:spacing w:after="0"/>
              <w:rPr>
                <w:sz w:val="20"/>
                <w:szCs w:val="20"/>
                <w:color w:val="auto"/>
              </w:rPr>
            </w:pPr>
            <w:r>
              <w:rPr>
                <w:rFonts w:ascii="Arial" w:cs="Arial" w:eastAsia="Arial" w:hAnsi="Arial"/>
                <w:sz w:val="18"/>
                <w:szCs w:val="18"/>
                <w:color w:val="auto"/>
              </w:rPr>
              <w:t>(215) 286-4794</w:t>
            </w:r>
          </w:p>
        </w:tc>
        <w:tc>
          <w:tcPr>
            <w:tcW w:w="3480" w:type="dxa"/>
            <w:vAlign w:val="bottom"/>
          </w:tcPr>
          <w:p>
            <w:pPr>
              <w:ind w:left="1820"/>
              <w:spacing w:after="0"/>
              <w:rPr>
                <w:sz w:val="20"/>
                <w:szCs w:val="20"/>
                <w:color w:val="auto"/>
              </w:rPr>
            </w:pPr>
            <w:r>
              <w:rPr>
                <w:rFonts w:ascii="Arial" w:cs="Arial" w:eastAsia="Arial" w:hAnsi="Arial"/>
                <w:sz w:val="18"/>
                <w:szCs w:val="18"/>
                <w:color w:val="auto"/>
              </w:rPr>
              <w:t>John Demming</w:t>
            </w:r>
          </w:p>
        </w:tc>
        <w:tc>
          <w:tcPr>
            <w:tcW w:w="3380" w:type="dxa"/>
            <w:vAlign w:val="bottom"/>
          </w:tcPr>
          <w:p>
            <w:pPr>
              <w:jc w:val="right"/>
              <w:ind w:right="1750"/>
              <w:spacing w:after="0"/>
              <w:rPr>
                <w:sz w:val="20"/>
                <w:szCs w:val="20"/>
                <w:color w:val="auto"/>
              </w:rPr>
            </w:pPr>
            <w:r>
              <w:rPr>
                <w:rFonts w:ascii="Arial" w:cs="Arial" w:eastAsia="Arial" w:hAnsi="Arial"/>
                <w:sz w:val="18"/>
                <w:szCs w:val="18"/>
                <w:color w:val="auto"/>
              </w:rPr>
              <w:t>(215) 286-8011</w:t>
            </w:r>
          </w:p>
        </w:tc>
      </w:tr>
      <w:tr>
        <w:trPr>
          <w:trHeight w:val="366"/>
        </w:trPr>
        <w:tc>
          <w:tcPr>
            <w:tcW w:w="19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tcPr>
          <w:p>
            <w:pPr>
              <w:jc w:val="right"/>
              <w:ind w:right="2234"/>
              <w:spacing w:after="0"/>
              <w:rPr>
                <w:sz w:val="20"/>
                <w:szCs w:val="20"/>
                <w:color w:val="auto"/>
              </w:rPr>
            </w:pPr>
            <w:r>
              <w:rPr>
                <w:rFonts w:ascii="Arial" w:cs="Arial" w:eastAsia="Arial" w:hAnsi="Arial"/>
                <w:sz w:val="14"/>
                <w:szCs w:val="14"/>
                <w:color w:val="auto"/>
              </w:rPr>
              <w:t>5</w:t>
            </w:r>
          </w:p>
        </w:tc>
        <w:tc>
          <w:tcPr>
            <w:tcW w:w="3380" w:type="dxa"/>
            <w:vAlign w:val="bottom"/>
          </w:tcPr>
          <w:p>
            <w:pPr>
              <w:spacing w:after="0"/>
              <w:rPr>
                <w:sz w:val="24"/>
                <w:szCs w:val="24"/>
                <w:color w:val="auto"/>
              </w:rPr>
            </w:pPr>
          </w:p>
        </w:tc>
      </w:tr>
      <w:tr>
        <w:trPr>
          <w:trHeight w:val="117"/>
        </w:trPr>
        <w:tc>
          <w:tcPr>
            <w:tcW w:w="194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ind w:right="40"/>
        <w:spacing w:after="0" w:line="250" w:lineRule="auto"/>
        <w:rPr>
          <w:sz w:val="20"/>
          <w:szCs w:val="20"/>
          <w:color w:val="auto"/>
        </w:rPr>
      </w:pPr>
      <w:r>
        <w:rPr>
          <w:rFonts w:ascii="Arial" w:cs="Arial" w:eastAsia="Arial" w:hAnsi="Arial"/>
          <w:sz w:val="16"/>
          <w:szCs w:val="16"/>
          <w:color w:val="auto"/>
        </w:rPr>
        <w:t xml:space="preserve">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6"/>
          <w:szCs w:val="16"/>
          <w:u w:val="single" w:color="auto"/>
          <w:color w:val="auto"/>
        </w:rPr>
        <w:t>www.comcastcorporation.com</w:t>
      </w:r>
      <w:r>
        <w:rPr>
          <w:rFonts w:ascii="Arial" w:cs="Arial" w:eastAsia="Arial" w:hAnsi="Arial"/>
          <w:sz w:val="16"/>
          <w:szCs w:val="16"/>
          <w:color w:val="auto"/>
        </w:rPr>
        <w:t xml:space="preserve"> for more information.</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443865</wp:posOffset>
            </wp:positionV>
            <wp:extent cx="995045" cy="43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9504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0" w:type="dxa"/>
            <w:vAlign w:val="bottom"/>
          </w:tcPr>
          <w:p>
            <w:pPr>
              <w:spacing w:after="0"/>
              <w:rPr>
                <w:sz w:val="18"/>
                <w:szCs w:val="18"/>
                <w:color w:val="auto"/>
              </w:rPr>
            </w:pPr>
          </w:p>
        </w:tc>
        <w:tc>
          <w:tcPr>
            <w:tcW w:w="3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25"/>
        </w:trPr>
        <w:tc>
          <w:tcPr>
            <w:tcW w:w="840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202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8"/>
              </w:rPr>
              <w:t>March 31,</w:t>
            </w:r>
          </w:p>
        </w:tc>
        <w:tc>
          <w:tcPr>
            <w:tcW w:w="10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3"/>
        </w:trPr>
        <w:tc>
          <w:tcPr>
            <w:tcW w:w="840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36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2016</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400" w:type="dxa"/>
            <w:vAlign w:val="bottom"/>
            <w:vMerge w:val="continue"/>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$18,790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$20,463</w:t>
            </w:r>
          </w:p>
        </w:tc>
        <w:tc>
          <w:tcPr>
            <w:tcW w:w="0" w:type="dxa"/>
            <w:vAlign w:val="bottom"/>
          </w:tcPr>
          <w:p>
            <w:pPr>
              <w:spacing w:after="0"/>
              <w:rPr>
                <w:sz w:val="1"/>
                <w:szCs w:val="1"/>
                <w:color w:val="auto"/>
              </w:rPr>
            </w:pPr>
          </w:p>
        </w:tc>
      </w:tr>
      <w:tr>
        <w:trPr>
          <w:trHeight w:val="346"/>
        </w:trPr>
        <w:tc>
          <w:tcPr>
            <w:tcW w:w="840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5,431</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6,074</w:t>
            </w:r>
          </w:p>
        </w:tc>
        <w:tc>
          <w:tcPr>
            <w:tcW w:w="0" w:type="dxa"/>
            <w:vAlign w:val="bottom"/>
          </w:tcPr>
          <w:p>
            <w:pPr>
              <w:spacing w:after="0"/>
              <w:rPr>
                <w:sz w:val="1"/>
                <w:szCs w:val="1"/>
                <w:color w:val="auto"/>
              </w:rPr>
            </w:pPr>
          </w:p>
        </w:tc>
      </w:tr>
      <w:tr>
        <w:trPr>
          <w:trHeight w:val="203"/>
        </w:trPr>
        <w:tc>
          <w:tcPr>
            <w:tcW w:w="8400" w:type="dxa"/>
            <w:vAlign w:val="bottom"/>
          </w:tcPr>
          <w:p>
            <w:pPr>
              <w:ind w:left="220"/>
              <w:spacing w:after="0" w:line="202" w:lineRule="exact"/>
              <w:rPr>
                <w:sz w:val="20"/>
                <w:szCs w:val="20"/>
                <w:color w:val="auto"/>
              </w:rPr>
            </w:pPr>
            <w:r>
              <w:rPr>
                <w:rFonts w:ascii="Arial" w:cs="Arial" w:eastAsia="Arial" w:hAnsi="Arial"/>
                <w:sz w:val="18"/>
                <w:szCs w:val="18"/>
                <w:color w:val="auto"/>
              </w:rPr>
              <w:t>Other operating and administrative</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5,526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5,827</w:t>
            </w:r>
          </w:p>
        </w:tc>
        <w:tc>
          <w:tcPr>
            <w:tcW w:w="0" w:type="dxa"/>
            <w:vAlign w:val="bottom"/>
          </w:tcPr>
          <w:p>
            <w:pPr>
              <w:spacing w:after="0"/>
              <w:rPr>
                <w:sz w:val="1"/>
                <w:szCs w:val="1"/>
                <w:color w:val="auto"/>
              </w:rPr>
            </w:pPr>
          </w:p>
        </w:tc>
      </w:tr>
      <w:tr>
        <w:trPr>
          <w:trHeight w:val="225"/>
        </w:trPr>
        <w:tc>
          <w:tcPr>
            <w:tcW w:w="840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1,466</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1,530</w:t>
            </w:r>
          </w:p>
        </w:tc>
        <w:tc>
          <w:tcPr>
            <w:tcW w:w="0" w:type="dxa"/>
            <w:vAlign w:val="bottom"/>
          </w:tcPr>
          <w:p>
            <w:pPr>
              <w:spacing w:after="0"/>
              <w:rPr>
                <w:sz w:val="1"/>
                <w:szCs w:val="1"/>
                <w:color w:val="auto"/>
              </w:rPr>
            </w:pPr>
          </w:p>
        </w:tc>
      </w:tr>
      <w:tr>
        <w:trPr>
          <w:trHeight w:val="196"/>
        </w:trPr>
        <w:tc>
          <w:tcPr>
            <w:tcW w:w="8400" w:type="dxa"/>
            <w:vAlign w:val="bottom"/>
          </w:tcPr>
          <w:p>
            <w:pPr>
              <w:spacing w:after="0"/>
              <w:rPr>
                <w:sz w:val="17"/>
                <w:szCs w:val="17"/>
                <w:color w:val="auto"/>
              </w:rPr>
            </w:pP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12,423</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13,431</w:t>
            </w:r>
          </w:p>
        </w:tc>
        <w:tc>
          <w:tcPr>
            <w:tcW w:w="0" w:type="dxa"/>
            <w:vAlign w:val="bottom"/>
          </w:tcPr>
          <w:p>
            <w:pPr>
              <w:spacing w:after="0"/>
              <w:rPr>
                <w:sz w:val="1"/>
                <w:szCs w:val="1"/>
                <w:color w:val="auto"/>
              </w:rPr>
            </w:pPr>
          </w:p>
        </w:tc>
      </w:tr>
      <w:tr>
        <w:trPr>
          <w:trHeight w:val="412"/>
        </w:trPr>
        <w:tc>
          <w:tcPr>
            <w:tcW w:w="84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6,367</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7,032</w:t>
            </w:r>
          </w:p>
        </w:tc>
        <w:tc>
          <w:tcPr>
            <w:tcW w:w="0" w:type="dxa"/>
            <w:vAlign w:val="bottom"/>
          </w:tcPr>
          <w:p>
            <w:pPr>
              <w:spacing w:after="0"/>
              <w:rPr>
                <w:sz w:val="1"/>
                <w:szCs w:val="1"/>
                <w:color w:val="auto"/>
              </w:rPr>
            </w:pPr>
          </w:p>
        </w:tc>
      </w:tr>
      <w:tr>
        <w:trPr>
          <w:trHeight w:val="369"/>
        </w:trPr>
        <w:tc>
          <w:tcPr>
            <w:tcW w:w="8400" w:type="dxa"/>
            <w:vAlign w:val="bottom"/>
          </w:tcPr>
          <w:p>
            <w:pPr>
              <w:ind w:left="220"/>
              <w:spacing w:after="0"/>
              <w:rPr>
                <w:sz w:val="20"/>
                <w:szCs w:val="20"/>
                <w:color w:val="auto"/>
              </w:rPr>
            </w:pPr>
            <w:r>
              <w:rPr>
                <w:rFonts w:ascii="Arial" w:cs="Arial" w:eastAsia="Arial" w:hAnsi="Arial"/>
                <w:sz w:val="18"/>
                <w:szCs w:val="18"/>
                <w:color w:val="auto"/>
              </w:rPr>
              <w:t>Depreciation expense</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1,785</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1,915</w:t>
            </w:r>
          </w:p>
        </w:tc>
        <w:tc>
          <w:tcPr>
            <w:tcW w:w="0" w:type="dxa"/>
            <w:vAlign w:val="bottom"/>
          </w:tcPr>
          <w:p>
            <w:pPr>
              <w:spacing w:after="0"/>
              <w:rPr>
                <w:sz w:val="1"/>
                <w:szCs w:val="1"/>
                <w:color w:val="auto"/>
              </w:rPr>
            </w:pPr>
          </w:p>
        </w:tc>
      </w:tr>
      <w:tr>
        <w:trPr>
          <w:trHeight w:val="225"/>
        </w:trPr>
        <w:tc>
          <w:tcPr>
            <w:tcW w:w="8400" w:type="dxa"/>
            <w:vAlign w:val="bottom"/>
          </w:tcPr>
          <w:p>
            <w:pPr>
              <w:ind w:left="220"/>
              <w:spacing w:after="0"/>
              <w:rPr>
                <w:sz w:val="20"/>
                <w:szCs w:val="20"/>
                <w:color w:val="auto"/>
              </w:rPr>
            </w:pPr>
            <w:r>
              <w:rPr>
                <w:rFonts w:ascii="Arial" w:cs="Arial" w:eastAsia="Arial" w:hAnsi="Arial"/>
                <w:sz w:val="18"/>
                <w:szCs w:val="18"/>
                <w:color w:val="auto"/>
              </w:rPr>
              <w:t>Amortization expense</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493</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587</w:t>
            </w:r>
          </w:p>
        </w:tc>
        <w:tc>
          <w:tcPr>
            <w:tcW w:w="0" w:type="dxa"/>
            <w:vAlign w:val="bottom"/>
          </w:tcPr>
          <w:p>
            <w:pPr>
              <w:spacing w:after="0"/>
              <w:rPr>
                <w:sz w:val="1"/>
                <w:szCs w:val="1"/>
                <w:color w:val="auto"/>
              </w:rPr>
            </w:pPr>
          </w:p>
        </w:tc>
      </w:tr>
    </w:tbl>
    <w:p>
      <w:pPr>
        <w:sectPr>
          <w:pgSz w:w="11900" w:h="16843" w:orient="portrait"/>
          <w:cols w:equalWidth="0" w:num="1">
            <w:col w:w="11460"/>
          </w:cols>
          <w:pgMar w:left="240" w:top="140" w:right="1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0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2,278</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400" w:type="dxa"/>
            <w:vAlign w:val="bottom"/>
            <w:vMerge w:val="continue"/>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4,089</w:t>
            </w:r>
          </w:p>
        </w:tc>
        <w:tc>
          <w:tcPr>
            <w:tcW w:w="2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4,530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8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400" w:type="dxa"/>
            <w:vAlign w:val="bottom"/>
          </w:tcPr>
          <w:p>
            <w:pPr>
              <w:ind w:left="220"/>
              <w:spacing w:after="0" w:line="181" w:lineRule="exact"/>
              <w:rPr>
                <w:sz w:val="20"/>
                <w:szCs w:val="20"/>
                <w:color w:val="auto"/>
              </w:rPr>
            </w:pPr>
            <w:r>
              <w:rPr>
                <w:rFonts w:ascii="Arial" w:cs="Arial" w:eastAsia="Arial" w:hAnsi="Arial"/>
                <w:sz w:val="18"/>
                <w:szCs w:val="18"/>
                <w:color w:val="auto"/>
              </w:rPr>
              <w:t>Interest expense</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(703)</w:t>
            </w: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220"/>
              <w:spacing w:after="0" w:line="202" w:lineRule="exact"/>
              <w:rPr>
                <w:sz w:val="20"/>
                <w:szCs w:val="20"/>
                <w:color w:val="auto"/>
              </w:rPr>
            </w:pPr>
            <w:r>
              <w:rPr>
                <w:rFonts w:ascii="Arial" w:cs="Arial" w:eastAsia="Arial" w:hAnsi="Arial"/>
                <w:sz w:val="18"/>
                <w:szCs w:val="18"/>
                <w:color w:val="auto"/>
              </w:rPr>
              <w:t>Investment income (loss), net</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w:t>
            </w:r>
          </w:p>
        </w:tc>
        <w:tc>
          <w:tcPr>
            <w:tcW w:w="28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22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8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40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40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(554)</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3,535</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3,905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00" w:type="dxa"/>
            <w:vAlign w:val="bottom"/>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2,224</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2,647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00" w:type="dxa"/>
            <w:vAlign w:val="bottom"/>
          </w:tcPr>
          <w:p>
            <w:pPr>
              <w:ind w:left="220"/>
              <w:spacing w:after="0"/>
              <w:rPr>
                <w:sz w:val="20"/>
                <w:szCs w:val="20"/>
                <w:color w:val="auto"/>
              </w:rPr>
            </w:pPr>
            <w:r>
              <w:rPr>
                <w:rFonts w:ascii="Arial" w:cs="Arial" w:eastAsia="Arial" w:hAnsi="Arial"/>
                <w:sz w:val="18"/>
                <w:szCs w:val="18"/>
                <w:color w:val="auto"/>
              </w:rPr>
              <w:t>Net (income) loss attributable to noncontrolling interests and redeemable subsidiary preferred</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400" w:type="dxa"/>
            <w:vAlign w:val="bottom"/>
          </w:tcPr>
          <w:p>
            <w:pPr>
              <w:ind w:left="380"/>
              <w:spacing w:after="0"/>
              <w:rPr>
                <w:sz w:val="20"/>
                <w:szCs w:val="20"/>
                <w:color w:val="auto"/>
              </w:rPr>
            </w:pPr>
            <w:r>
              <w:rPr>
                <w:rFonts w:ascii="Arial" w:cs="Arial" w:eastAsia="Arial" w:hAnsi="Arial"/>
                <w:sz w:val="18"/>
                <w:szCs w:val="18"/>
                <w:color w:val="auto"/>
              </w:rPr>
              <w:t>stock</w:t>
            </w:r>
          </w:p>
        </w:tc>
        <w:tc>
          <w:tcPr>
            <w:tcW w:w="136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40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3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0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$2,134</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$2,566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840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$0.43</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840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$0.1375</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$0.1575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840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4,925</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ind w:left="5680"/>
              <w:spacing w:after="0"/>
              <w:rPr>
                <w:sz w:val="20"/>
                <w:szCs w:val="20"/>
                <w:color w:val="auto"/>
              </w:rPr>
            </w:pPr>
            <w:r>
              <w:rPr>
                <w:rFonts w:ascii="Arial" w:cs="Arial" w:eastAsia="Arial" w:hAnsi="Arial"/>
                <w:sz w:val="14"/>
                <w:szCs w:val="14"/>
                <w:color w:val="auto"/>
              </w:rPr>
              <w:t>7</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4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4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349250</wp:posOffset>
            </wp:positionV>
            <wp:extent cx="995045" cy="43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9504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tcPr>
          <w:p>
            <w:pPr>
              <w:spacing w:after="0"/>
              <w:rPr>
                <w:sz w:val="20"/>
                <w:szCs w:val="20"/>
                <w:color w:val="auto"/>
              </w:rPr>
            </w:pPr>
            <w:r>
              <w:rPr>
                <w:rFonts w:ascii="Arial" w:cs="Arial" w:eastAsia="Arial" w:hAnsi="Arial"/>
                <w:sz w:val="18"/>
                <w:szCs w:val="18"/>
                <w:color w:val="auto"/>
              </w:rPr>
              <w:t>(in millions)</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December 31,</w:t>
            </w: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5"/>
        </w:trPr>
        <w:tc>
          <w:tcPr>
            <w:tcW w:w="83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96"/>
        </w:trPr>
        <w:tc>
          <w:tcPr>
            <w:tcW w:w="83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838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$4,022</w:t>
            </w:r>
          </w:p>
        </w:tc>
        <w:tc>
          <w:tcPr>
            <w:tcW w:w="0" w:type="dxa"/>
            <w:vAlign w:val="bottom"/>
          </w:tcPr>
          <w:p>
            <w:pPr>
              <w:spacing w:after="0"/>
              <w:rPr>
                <w:sz w:val="1"/>
                <w:szCs w:val="1"/>
                <w:color w:val="auto"/>
              </w:rPr>
            </w:pPr>
          </w:p>
        </w:tc>
      </w:tr>
      <w:tr>
        <w:trPr>
          <w:trHeight w:val="181"/>
        </w:trPr>
        <w:tc>
          <w:tcPr>
            <w:tcW w:w="8380" w:type="dxa"/>
            <w:vAlign w:val="bottom"/>
          </w:tcPr>
          <w:p>
            <w:pPr>
              <w:ind w:left="300"/>
              <w:spacing w:after="0" w:line="181" w:lineRule="exact"/>
              <w:rPr>
                <w:sz w:val="20"/>
                <w:szCs w:val="20"/>
                <w:color w:val="auto"/>
              </w:rPr>
            </w:pPr>
            <w:r>
              <w:rPr>
                <w:rFonts w:ascii="Arial" w:cs="Arial" w:eastAsia="Arial" w:hAnsi="Arial"/>
                <w:sz w:val="18"/>
                <w:szCs w:val="18"/>
                <w:color w:val="auto"/>
              </w:rPr>
              <w:t>Cash and cash equivalents</w:t>
            </w:r>
          </w:p>
        </w:tc>
        <w:tc>
          <w:tcPr>
            <w:tcW w:w="13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$3,301</w:t>
            </w: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300"/>
              <w:spacing w:after="0" w:line="202" w:lineRule="exact"/>
              <w:rPr>
                <w:sz w:val="20"/>
                <w:szCs w:val="20"/>
                <w:color w:val="auto"/>
              </w:rPr>
            </w:pPr>
            <w:r>
              <w:rPr>
                <w:rFonts w:ascii="Arial" w:cs="Arial" w:eastAsia="Arial" w:hAnsi="Arial"/>
                <w:sz w:val="18"/>
                <w:szCs w:val="18"/>
                <w:color w:val="auto"/>
              </w:rPr>
              <w:t>Receivables, net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7,955</w:t>
            </w:r>
          </w:p>
        </w:tc>
        <w:tc>
          <w:tcPr>
            <w:tcW w:w="28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7,525</w:t>
            </w:r>
          </w:p>
        </w:tc>
        <w:tc>
          <w:tcPr>
            <w:tcW w:w="0" w:type="dxa"/>
            <w:vAlign w:val="bottom"/>
          </w:tcPr>
          <w:p>
            <w:pPr>
              <w:spacing w:after="0"/>
              <w:rPr>
                <w:sz w:val="1"/>
                <w:szCs w:val="1"/>
                <w:color w:val="auto"/>
              </w:rPr>
            </w:pPr>
          </w:p>
        </w:tc>
      </w:tr>
      <w:tr>
        <w:trPr>
          <w:trHeight w:val="203"/>
        </w:trPr>
        <w:tc>
          <w:tcPr>
            <w:tcW w:w="8380" w:type="dxa"/>
            <w:vAlign w:val="bottom"/>
          </w:tcPr>
          <w:p>
            <w:pPr>
              <w:ind w:left="300"/>
              <w:spacing w:after="0" w:line="202" w:lineRule="exact"/>
              <w:rPr>
                <w:sz w:val="20"/>
                <w:szCs w:val="20"/>
                <w:color w:val="auto"/>
              </w:rPr>
            </w:pPr>
            <w:r>
              <w:rPr>
                <w:rFonts w:ascii="Arial" w:cs="Arial" w:eastAsia="Arial" w:hAnsi="Arial"/>
                <w:sz w:val="18"/>
                <w:szCs w:val="18"/>
                <w:color w:val="auto"/>
              </w:rPr>
              <w:t>Programming rights</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1,250</w:t>
            </w:r>
          </w:p>
        </w:tc>
        <w:tc>
          <w:tcPr>
            <w:tcW w:w="28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1,479</w:t>
            </w:r>
          </w:p>
        </w:tc>
        <w:tc>
          <w:tcPr>
            <w:tcW w:w="0" w:type="dxa"/>
            <w:vAlign w:val="bottom"/>
          </w:tcPr>
          <w:p>
            <w:pPr>
              <w:spacing w:after="0"/>
              <w:rPr>
                <w:sz w:val="1"/>
                <w:szCs w:val="1"/>
                <w:color w:val="auto"/>
              </w:rPr>
            </w:pPr>
          </w:p>
        </w:tc>
      </w:tr>
      <w:tr>
        <w:trPr>
          <w:trHeight w:val="225"/>
        </w:trPr>
        <w:tc>
          <w:tcPr>
            <w:tcW w:w="8380" w:type="dxa"/>
            <w:vAlign w:val="bottom"/>
          </w:tcPr>
          <w:p>
            <w:pPr>
              <w:ind w:left="300"/>
              <w:spacing w:after="0"/>
              <w:rPr>
                <w:sz w:val="20"/>
                <w:szCs w:val="20"/>
                <w:color w:val="auto"/>
              </w:rPr>
            </w:pPr>
            <w:r>
              <w:rPr>
                <w:rFonts w:ascii="Arial" w:cs="Arial" w:eastAsia="Arial" w:hAnsi="Arial"/>
                <w:sz w:val="18"/>
                <w:szCs w:val="18"/>
                <w:color w:val="auto"/>
              </w:rPr>
              <w:t>Other current assets</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3,855</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2,219</w:t>
            </w:r>
          </w:p>
        </w:tc>
        <w:tc>
          <w:tcPr>
            <w:tcW w:w="0" w:type="dxa"/>
            <w:vAlign w:val="bottom"/>
          </w:tcPr>
          <w:p>
            <w:pPr>
              <w:spacing w:after="0"/>
              <w:rPr>
                <w:sz w:val="1"/>
                <w:szCs w:val="1"/>
                <w:color w:val="auto"/>
              </w:rPr>
            </w:pPr>
          </w:p>
        </w:tc>
      </w:tr>
      <w:tr>
        <w:trPr>
          <w:trHeight w:val="197"/>
        </w:trPr>
        <w:tc>
          <w:tcPr>
            <w:tcW w:w="8380" w:type="dxa"/>
            <w:vAlign w:val="bottom"/>
          </w:tcPr>
          <w:p>
            <w:pPr>
              <w:ind w:left="460"/>
              <w:spacing w:after="0" w:line="197" w:lineRule="exact"/>
              <w:rPr>
                <w:sz w:val="20"/>
                <w:szCs w:val="20"/>
                <w:color w:val="auto"/>
              </w:rPr>
            </w:pPr>
            <w:r>
              <w:rPr>
                <w:rFonts w:ascii="Arial" w:cs="Arial" w:eastAsia="Arial" w:hAnsi="Arial"/>
                <w:sz w:val="18"/>
                <w:szCs w:val="18"/>
                <w:color w:val="auto"/>
              </w:rPr>
              <w:t>Total current assets</w:t>
            </w:r>
          </w:p>
        </w:tc>
        <w:tc>
          <w:tcPr>
            <w:tcW w:w="138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16,361</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b w:val="1"/>
                <w:bCs w:val="1"/>
                <w:color w:val="auto"/>
              </w:rPr>
              <w:t>15,245</w:t>
            </w:r>
          </w:p>
        </w:tc>
        <w:tc>
          <w:tcPr>
            <w:tcW w:w="0" w:type="dxa"/>
            <w:vAlign w:val="bottom"/>
          </w:tcPr>
          <w:p>
            <w:pPr>
              <w:spacing w:after="0"/>
              <w:rPr>
                <w:sz w:val="1"/>
                <w:szCs w:val="1"/>
                <w:color w:val="auto"/>
              </w:rPr>
            </w:pPr>
          </w:p>
        </w:tc>
      </w:tr>
      <w:tr>
        <w:trPr>
          <w:trHeight w:val="412"/>
        </w:trPr>
        <w:tc>
          <w:tcPr>
            <w:tcW w:w="8380" w:type="dxa"/>
            <w:vAlign w:val="bottom"/>
          </w:tcPr>
          <w:p>
            <w:pPr>
              <w:ind w:left="140"/>
              <w:spacing w:after="0"/>
              <w:rPr>
                <w:sz w:val="20"/>
                <w:szCs w:val="20"/>
                <w:color w:val="auto"/>
              </w:rPr>
            </w:pPr>
            <w:r>
              <w:rPr>
                <w:rFonts w:ascii="Arial" w:cs="Arial" w:eastAsia="Arial" w:hAnsi="Arial"/>
                <w:sz w:val="18"/>
                <w:szCs w:val="18"/>
                <w:color w:val="auto"/>
              </w:rPr>
              <w:t>Film and television costs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7,252</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6,968</w:t>
            </w:r>
          </w:p>
        </w:tc>
        <w:tc>
          <w:tcPr>
            <w:tcW w:w="0" w:type="dxa"/>
            <w:vAlign w:val="bottom"/>
          </w:tcPr>
          <w:p>
            <w:pPr>
              <w:spacing w:after="0"/>
              <w:rPr>
                <w:sz w:val="1"/>
                <w:szCs w:val="1"/>
                <w:color w:val="auto"/>
              </w:rPr>
            </w:pPr>
          </w:p>
        </w:tc>
      </w:tr>
      <w:tr>
        <w:trPr>
          <w:trHeight w:val="405"/>
        </w:trPr>
        <w:tc>
          <w:tcPr>
            <w:tcW w:w="838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5,247</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5,938</w:t>
            </w:r>
          </w:p>
        </w:tc>
        <w:tc>
          <w:tcPr>
            <w:tcW w:w="0" w:type="dxa"/>
            <w:vAlign w:val="bottom"/>
          </w:tcPr>
          <w:p>
            <w:pPr>
              <w:spacing w:after="0"/>
              <w:rPr>
                <w:sz w:val="1"/>
                <w:szCs w:val="1"/>
                <w:color w:val="auto"/>
              </w:rPr>
            </w:pPr>
          </w:p>
        </w:tc>
      </w:tr>
      <w:tr>
        <w:trPr>
          <w:trHeight w:val="405"/>
        </w:trPr>
        <w:tc>
          <w:tcPr>
            <w:tcW w:w="838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36,253</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36,626</w:t>
            </w:r>
          </w:p>
        </w:tc>
        <w:tc>
          <w:tcPr>
            <w:tcW w:w="0" w:type="dxa"/>
            <w:vAlign w:val="bottom"/>
          </w:tcPr>
          <w:p>
            <w:pPr>
              <w:spacing w:after="0"/>
              <w:rPr>
                <w:sz w:val="1"/>
                <w:szCs w:val="1"/>
                <w:color w:val="auto"/>
              </w:rPr>
            </w:pPr>
          </w:p>
        </w:tc>
      </w:tr>
      <w:tr>
        <w:trPr>
          <w:trHeight w:val="405"/>
        </w:trPr>
        <w:tc>
          <w:tcPr>
            <w:tcW w:w="8380" w:type="dxa"/>
            <w:vAlign w:val="bottom"/>
          </w:tcPr>
          <w:p>
            <w:pPr>
              <w:ind w:left="140"/>
              <w:spacing w:after="0"/>
              <w:rPr>
                <w:sz w:val="20"/>
                <w:szCs w:val="20"/>
                <w:color w:val="auto"/>
              </w:rPr>
            </w:pPr>
            <w:r>
              <w:rPr>
                <w:rFonts w:ascii="Arial" w:cs="Arial" w:eastAsia="Arial" w:hAnsi="Arial"/>
                <w:sz w:val="18"/>
                <w:szCs w:val="18"/>
                <w:color w:val="auto"/>
              </w:rPr>
              <w:t>Franchise rights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59,364</w:t>
            </w:r>
          </w:p>
        </w:tc>
        <w:tc>
          <w:tcPr>
            <w:tcW w:w="0" w:type="dxa"/>
            <w:vAlign w:val="bottom"/>
          </w:tcPr>
          <w:p>
            <w:pPr>
              <w:spacing w:after="0"/>
              <w:rPr>
                <w:sz w:val="1"/>
                <w:szCs w:val="1"/>
                <w:color w:val="auto"/>
              </w:rPr>
            </w:pPr>
          </w:p>
        </w:tc>
      </w:tr>
      <w:tr>
        <w:trPr>
          <w:trHeight w:val="405"/>
        </w:trPr>
        <w:tc>
          <w:tcPr>
            <w:tcW w:w="83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35,980</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36,592</w:t>
            </w:r>
          </w:p>
        </w:tc>
        <w:tc>
          <w:tcPr>
            <w:tcW w:w="0" w:type="dxa"/>
            <w:vAlign w:val="bottom"/>
          </w:tcPr>
          <w:p>
            <w:pPr>
              <w:spacing w:after="0"/>
              <w:rPr>
                <w:sz w:val="1"/>
                <w:szCs w:val="1"/>
                <w:color w:val="auto"/>
              </w:rPr>
            </w:pPr>
          </w:p>
        </w:tc>
      </w:tr>
      <w:tr>
        <w:trPr>
          <w:trHeight w:val="405"/>
        </w:trPr>
        <w:tc>
          <w:tcPr>
            <w:tcW w:w="8380" w:type="dxa"/>
            <w:vAlign w:val="bottom"/>
          </w:tcPr>
          <w:p>
            <w:pPr>
              <w:ind w:left="140"/>
              <w:spacing w:after="0"/>
              <w:rPr>
                <w:sz w:val="20"/>
                <w:szCs w:val="20"/>
                <w:color w:val="auto"/>
              </w:rPr>
            </w:pPr>
            <w:r>
              <w:rPr>
                <w:rFonts w:ascii="Arial" w:cs="Arial" w:eastAsia="Arial" w:hAnsi="Arial"/>
                <w:sz w:val="18"/>
                <w:szCs w:val="18"/>
                <w:color w:val="auto"/>
              </w:rPr>
              <w:t>Other intangible assets, net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17,274</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19,014</w:t>
            </w:r>
          </w:p>
        </w:tc>
        <w:tc>
          <w:tcPr>
            <w:tcW w:w="0" w:type="dxa"/>
            <w:vAlign w:val="bottom"/>
          </w:tcPr>
          <w:p>
            <w:pPr>
              <w:spacing w:after="0"/>
              <w:rPr>
                <w:sz w:val="1"/>
                <w:szCs w:val="1"/>
                <w:color w:val="auto"/>
              </w:rPr>
            </w:pPr>
          </w:p>
        </w:tc>
      </w:tr>
      <w:tr>
        <w:trPr>
          <w:trHeight w:val="392"/>
        </w:trPr>
        <w:tc>
          <w:tcPr>
            <w:tcW w:w="8380" w:type="dxa"/>
            <w:vAlign w:val="bottom"/>
          </w:tcPr>
          <w:p>
            <w:pPr>
              <w:ind w:left="140"/>
              <w:spacing w:after="0"/>
              <w:rPr>
                <w:sz w:val="20"/>
                <w:szCs w:val="20"/>
                <w:color w:val="auto"/>
              </w:rPr>
            </w:pPr>
            <w:r>
              <w:rPr>
                <w:rFonts w:ascii="Arial" w:cs="Arial" w:eastAsia="Arial" w:hAnsi="Arial"/>
                <w:sz w:val="18"/>
                <w:szCs w:val="18"/>
                <w:color w:val="auto"/>
              </w:rPr>
              <w:t>Other noncurrent assets, net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2,769</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2,732</w:t>
            </w:r>
          </w:p>
        </w:tc>
        <w:tc>
          <w:tcPr>
            <w:tcW w:w="0" w:type="dxa"/>
            <w:vAlign w:val="bottom"/>
          </w:tcPr>
          <w:p>
            <w:pPr>
              <w:spacing w:after="0"/>
              <w:rPr>
                <w:sz w:val="1"/>
                <w:szCs w:val="1"/>
                <w:color w:val="auto"/>
              </w:rPr>
            </w:pPr>
          </w:p>
        </w:tc>
      </w:tr>
      <w:tr>
        <w:trPr>
          <w:trHeight w:val="399"/>
        </w:trPr>
        <w:tc>
          <w:tcPr>
            <w:tcW w:w="8380" w:type="dxa"/>
            <w:vAlign w:val="bottom"/>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$180,500</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$182,479</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38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$6,658</w:t>
            </w:r>
          </w:p>
        </w:tc>
        <w:tc>
          <w:tcPr>
            <w:tcW w:w="0" w:type="dxa"/>
            <w:vAlign w:val="bottom"/>
          </w:tcPr>
          <w:p>
            <w:pPr>
              <w:spacing w:after="0"/>
              <w:rPr>
                <w:sz w:val="1"/>
                <w:szCs w:val="1"/>
                <w:color w:val="auto"/>
              </w:rPr>
            </w:pPr>
          </w:p>
        </w:tc>
      </w:tr>
      <w:tr>
        <w:trPr>
          <w:trHeight w:val="181"/>
        </w:trPr>
        <w:tc>
          <w:tcPr>
            <w:tcW w:w="8380" w:type="dxa"/>
            <w:vAlign w:val="bottom"/>
          </w:tcPr>
          <w:p>
            <w:pPr>
              <w:ind w:left="30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13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$6,915</w:t>
            </w: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300"/>
              <w:spacing w:after="0" w:line="202" w:lineRule="exact"/>
              <w:rPr>
                <w:sz w:val="20"/>
                <w:szCs w:val="20"/>
                <w:color w:val="auto"/>
              </w:rPr>
            </w:pPr>
            <w:r>
              <w:rPr>
                <w:rFonts w:ascii="Arial" w:cs="Arial" w:eastAsia="Arial" w:hAnsi="Arial"/>
                <w:sz w:val="18"/>
                <w:szCs w:val="18"/>
                <w:color w:val="auto"/>
              </w:rPr>
              <w:t>Accrued participations and residuals</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1,726</w:t>
            </w:r>
          </w:p>
        </w:tc>
        <w:tc>
          <w:tcPr>
            <w:tcW w:w="28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1,811</w:t>
            </w:r>
          </w:p>
        </w:tc>
        <w:tc>
          <w:tcPr>
            <w:tcW w:w="0" w:type="dxa"/>
            <w:vAlign w:val="bottom"/>
          </w:tcPr>
          <w:p>
            <w:pPr>
              <w:spacing w:after="0"/>
              <w:rPr>
                <w:sz w:val="1"/>
                <w:szCs w:val="1"/>
                <w:color w:val="auto"/>
              </w:rPr>
            </w:pPr>
          </w:p>
        </w:tc>
      </w:tr>
      <w:tr>
        <w:trPr>
          <w:trHeight w:val="203"/>
        </w:trPr>
        <w:tc>
          <w:tcPr>
            <w:tcW w:w="8380" w:type="dxa"/>
            <w:vAlign w:val="bottom"/>
          </w:tcPr>
          <w:p>
            <w:pPr>
              <w:ind w:left="300"/>
              <w:spacing w:after="0" w:line="202" w:lineRule="exact"/>
              <w:rPr>
                <w:sz w:val="20"/>
                <w:szCs w:val="20"/>
                <w:color w:val="auto"/>
              </w:rPr>
            </w:pPr>
            <w:r>
              <w:rPr>
                <w:rFonts w:ascii="Arial" w:cs="Arial" w:eastAsia="Arial" w:hAnsi="Arial"/>
                <w:sz w:val="18"/>
                <w:szCs w:val="18"/>
                <w:color w:val="auto"/>
              </w:rPr>
              <w:t>Deferred revenue</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1,132</w:t>
            </w:r>
          </w:p>
        </w:tc>
        <w:tc>
          <w:tcPr>
            <w:tcW w:w="28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1,234</w:t>
            </w:r>
          </w:p>
        </w:tc>
        <w:tc>
          <w:tcPr>
            <w:tcW w:w="0" w:type="dxa"/>
            <w:vAlign w:val="bottom"/>
          </w:tcPr>
          <w:p>
            <w:pPr>
              <w:spacing w:after="0"/>
              <w:rPr>
                <w:sz w:val="1"/>
                <w:szCs w:val="1"/>
                <w:color w:val="auto"/>
              </w:rPr>
            </w:pPr>
          </w:p>
        </w:tc>
      </w:tr>
      <w:tr>
        <w:trPr>
          <w:trHeight w:val="203"/>
        </w:trPr>
        <w:tc>
          <w:tcPr>
            <w:tcW w:w="8380" w:type="dxa"/>
            <w:vAlign w:val="bottom"/>
          </w:tcPr>
          <w:p>
            <w:pPr>
              <w:ind w:left="3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6,282</w:t>
            </w:r>
          </w:p>
        </w:tc>
        <w:tc>
          <w:tcPr>
            <w:tcW w:w="28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5,862</w:t>
            </w:r>
          </w:p>
        </w:tc>
        <w:tc>
          <w:tcPr>
            <w:tcW w:w="0" w:type="dxa"/>
            <w:vAlign w:val="bottom"/>
          </w:tcPr>
          <w:p>
            <w:pPr>
              <w:spacing w:after="0"/>
              <w:rPr>
                <w:sz w:val="1"/>
                <w:szCs w:val="1"/>
                <w:color w:val="auto"/>
              </w:rPr>
            </w:pPr>
          </w:p>
        </w:tc>
      </w:tr>
      <w:tr>
        <w:trPr>
          <w:trHeight w:val="225"/>
        </w:trPr>
        <w:tc>
          <w:tcPr>
            <w:tcW w:w="8380" w:type="dxa"/>
            <w:vAlign w:val="bottom"/>
          </w:tcPr>
          <w:p>
            <w:pPr>
              <w:ind w:left="300"/>
              <w:spacing w:after="0"/>
              <w:rPr>
                <w:sz w:val="20"/>
                <w:szCs w:val="20"/>
                <w:color w:val="auto"/>
              </w:rPr>
            </w:pPr>
            <w:r>
              <w:rPr>
                <w:rFonts w:ascii="Arial" w:cs="Arial" w:eastAsia="Arial" w:hAnsi="Arial"/>
                <w:sz w:val="18"/>
                <w:szCs w:val="18"/>
                <w:color w:val="auto"/>
              </w:rPr>
              <w:t>Current portion of long-term debt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5,480</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3,509</w:t>
            </w:r>
          </w:p>
        </w:tc>
        <w:tc>
          <w:tcPr>
            <w:tcW w:w="0" w:type="dxa"/>
            <w:vAlign w:val="bottom"/>
          </w:tcPr>
          <w:p>
            <w:pPr>
              <w:spacing w:after="0"/>
              <w:rPr>
                <w:sz w:val="1"/>
                <w:szCs w:val="1"/>
                <w:color w:val="auto"/>
              </w:rPr>
            </w:pPr>
          </w:p>
        </w:tc>
      </w:tr>
      <w:tr>
        <w:trPr>
          <w:trHeight w:val="197"/>
        </w:trPr>
        <w:tc>
          <w:tcPr>
            <w:tcW w:w="8380" w:type="dxa"/>
            <w:vAlign w:val="bottom"/>
          </w:tcPr>
          <w:p>
            <w:pPr>
              <w:ind w:left="460"/>
              <w:spacing w:after="0" w:line="197" w:lineRule="exact"/>
              <w:rPr>
                <w:sz w:val="20"/>
                <w:szCs w:val="20"/>
                <w:color w:val="auto"/>
              </w:rPr>
            </w:pPr>
            <w:r>
              <w:rPr>
                <w:rFonts w:ascii="Arial" w:cs="Arial" w:eastAsia="Arial" w:hAnsi="Arial"/>
                <w:sz w:val="18"/>
                <w:szCs w:val="18"/>
                <w:color w:val="auto"/>
              </w:rPr>
              <w:t>Total current liabilities</w:t>
            </w:r>
          </w:p>
        </w:tc>
        <w:tc>
          <w:tcPr>
            <w:tcW w:w="138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21,535</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b w:val="1"/>
                <w:bCs w:val="1"/>
                <w:color w:val="auto"/>
              </w:rPr>
              <w:t>19,074</w:t>
            </w:r>
          </w:p>
        </w:tc>
        <w:tc>
          <w:tcPr>
            <w:tcW w:w="0" w:type="dxa"/>
            <w:vAlign w:val="bottom"/>
          </w:tcPr>
          <w:p>
            <w:pPr>
              <w:spacing w:after="0"/>
              <w:rPr>
                <w:sz w:val="1"/>
                <w:szCs w:val="1"/>
                <w:color w:val="auto"/>
              </w:rPr>
            </w:pPr>
          </w:p>
        </w:tc>
      </w:tr>
      <w:tr>
        <w:trPr>
          <w:trHeight w:val="412"/>
        </w:trPr>
        <w:tc>
          <w:tcPr>
            <w:tcW w:w="8380" w:type="dxa"/>
            <w:vAlign w:val="bottom"/>
          </w:tcPr>
          <w:p>
            <w:pPr>
              <w:ind w:left="140"/>
              <w:spacing w:after="0"/>
              <w:rPr>
                <w:sz w:val="20"/>
                <w:szCs w:val="20"/>
                <w:color w:val="auto"/>
              </w:rPr>
            </w:pPr>
            <w:r>
              <w:rPr>
                <w:rFonts w:ascii="Arial" w:cs="Arial" w:eastAsia="Arial" w:hAnsi="Arial"/>
                <w:sz w:val="18"/>
                <w:szCs w:val="18"/>
                <w:color w:val="auto"/>
              </w:rPr>
              <w:t>Long-term debt, less current portion</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55,566</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58,276</w:t>
            </w: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34,854</w:t>
            </w:r>
          </w:p>
        </w:tc>
        <w:tc>
          <w:tcPr>
            <w:tcW w:w="2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35,348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380" w:type="dxa"/>
            <w:vAlign w:val="bottom"/>
          </w:tcPr>
          <w:p>
            <w:pPr>
              <w:ind w:left="140"/>
              <w:spacing w:after="0"/>
              <w:rPr>
                <w:sz w:val="20"/>
                <w:szCs w:val="20"/>
                <w:color w:val="auto"/>
              </w:rPr>
            </w:pPr>
            <w:r>
              <w:rPr>
                <w:rFonts w:ascii="Arial" w:cs="Arial" w:eastAsia="Arial" w:hAnsi="Arial"/>
                <w:sz w:val="18"/>
                <w:szCs w:val="18"/>
                <w:color w:val="auto"/>
              </w:rPr>
              <w:t>Other noncurrent liabilities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10,925</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10,677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80" w:type="dxa"/>
            <w:vAlign w:val="bottom"/>
          </w:tcPr>
          <w:p>
            <w:pPr>
              <w:ind w:left="1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1,456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380" w:type="dxa"/>
            <w:vAlign w:val="bottom"/>
          </w:tcPr>
          <w:p>
            <w:pPr>
              <w:ind w:left="140"/>
              <w:spacing w:after="0"/>
              <w:rPr>
                <w:sz w:val="20"/>
                <w:szCs w:val="20"/>
                <w:color w:val="auto"/>
              </w:rPr>
            </w:pPr>
            <w:r>
              <w:rPr>
                <w:rFonts w:ascii="Arial" w:cs="Arial" w:eastAsia="Arial" w:hAnsi="Arial"/>
                <w:sz w:val="18"/>
                <w:szCs w:val="18"/>
                <w:color w:val="auto"/>
              </w:rPr>
              <w:t>Equity</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55,059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380" w:type="dxa"/>
            <w:vAlign w:val="bottom"/>
          </w:tcPr>
          <w:p>
            <w:pPr>
              <w:ind w:left="300"/>
              <w:spacing w:after="0" w:line="181" w:lineRule="exact"/>
              <w:rPr>
                <w:sz w:val="20"/>
                <w:szCs w:val="20"/>
                <w:color w:val="auto"/>
              </w:rPr>
            </w:pPr>
            <w:r>
              <w:rPr>
                <w:rFonts w:ascii="Arial" w:cs="Arial" w:eastAsia="Arial" w:hAnsi="Arial"/>
                <w:sz w:val="18"/>
                <w:szCs w:val="18"/>
                <w:color w:val="auto"/>
              </w:rPr>
              <w:t>Comcast Corporation shareholders’ equity</w:t>
            </w:r>
          </w:p>
        </w:tc>
        <w:tc>
          <w:tcPr>
            <w:tcW w:w="13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53,943</w:t>
            </w: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380" w:type="dxa"/>
            <w:vAlign w:val="bottom"/>
          </w:tcPr>
          <w:p>
            <w:pPr>
              <w:ind w:left="300"/>
              <w:spacing w:after="0"/>
              <w:rPr>
                <w:sz w:val="20"/>
                <w:szCs w:val="20"/>
                <w:color w:val="auto"/>
              </w:rPr>
            </w:pPr>
            <w:r>
              <w:rPr>
                <w:rFonts w:ascii="Arial" w:cs="Arial" w:eastAsia="Arial" w:hAnsi="Arial"/>
                <w:sz w:val="18"/>
                <w:szCs w:val="18"/>
                <w:color w:val="auto"/>
              </w:rPr>
              <w:t>Noncontrolling interests</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2,231</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380" w:type="dxa"/>
            <w:vAlign w:val="bottom"/>
          </w:tcPr>
          <w:p>
            <w:pPr>
              <w:ind w:left="460"/>
              <w:spacing w:after="0" w:line="197" w:lineRule="exact"/>
              <w:rPr>
                <w:sz w:val="20"/>
                <w:szCs w:val="20"/>
                <w:color w:val="auto"/>
              </w:rPr>
            </w:pPr>
            <w:r>
              <w:rPr>
                <w:rFonts w:ascii="Arial" w:cs="Arial" w:eastAsia="Arial" w:hAnsi="Arial"/>
                <w:sz w:val="18"/>
                <w:szCs w:val="18"/>
                <w:color w:val="auto"/>
              </w:rPr>
              <w:t>Total equity</w:t>
            </w:r>
          </w:p>
        </w:tc>
        <w:tc>
          <w:tcPr>
            <w:tcW w:w="138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56,174</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b w:val="1"/>
                <w:bCs w:val="1"/>
                <w:color w:val="auto"/>
              </w:rPr>
              <w:t>57,648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380" w:type="dxa"/>
            <w:vAlign w:val="bottom"/>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$180,500</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$182,479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ind w:left="5680"/>
              <w:spacing w:after="0"/>
              <w:rPr>
                <w:sz w:val="20"/>
                <w:szCs w:val="20"/>
                <w:color w:val="auto"/>
              </w:rPr>
            </w:pPr>
            <w:r>
              <w:rPr>
                <w:rFonts w:ascii="Arial" w:cs="Arial" w:eastAsia="Arial" w:hAnsi="Arial"/>
                <w:sz w:val="14"/>
                <w:szCs w:val="14"/>
                <w:color w:val="auto"/>
              </w:rPr>
              <w:t>8</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3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3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349250</wp:posOffset>
            </wp:positionV>
            <wp:extent cx="995045" cy="437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9504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80" w:type="dxa"/>
            <w:vAlign w:val="bottom"/>
          </w:tcPr>
          <w:p>
            <w:pPr>
              <w:spacing w:after="0"/>
              <w:rPr>
                <w:sz w:val="20"/>
                <w:szCs w:val="20"/>
                <w:color w:val="auto"/>
              </w:rPr>
            </w:pPr>
          </w:p>
        </w:tc>
        <w:tc>
          <w:tcPr>
            <w:tcW w:w="3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80" w:type="dxa"/>
            <w:vAlign w:val="bottom"/>
          </w:tcPr>
          <w:p>
            <w:pPr>
              <w:spacing w:after="0"/>
              <w:rPr>
                <w:sz w:val="20"/>
                <w:szCs w:val="20"/>
                <w:color w:val="auto"/>
              </w:rPr>
            </w:pPr>
            <w:r>
              <w:rPr>
                <w:rFonts w:ascii="Arial" w:cs="Arial" w:eastAsia="Arial" w:hAnsi="Arial"/>
                <w:sz w:val="18"/>
                <w:szCs w:val="18"/>
                <w:color w:val="auto"/>
              </w:rPr>
              <w:t>(in millions)</w:t>
            </w:r>
          </w:p>
        </w:tc>
        <w:tc>
          <w:tcPr>
            <w:tcW w:w="204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rPr>
              <w:t>March 31,</w:t>
            </w:r>
          </w:p>
        </w:tc>
        <w:tc>
          <w:tcPr>
            <w:tcW w:w="10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8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3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2016</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38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$2,647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16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2,502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380" w:type="dxa"/>
            <w:vAlign w:val="bottom"/>
          </w:tcPr>
          <w:p>
            <w:pPr>
              <w:ind w:left="320"/>
              <w:spacing w:after="0" w:line="181" w:lineRule="exact"/>
              <w:rPr>
                <w:sz w:val="20"/>
                <w:szCs w:val="20"/>
                <w:color w:val="auto"/>
              </w:rPr>
            </w:pPr>
            <w:r>
              <w:rPr>
                <w:rFonts w:ascii="Arial" w:cs="Arial" w:eastAsia="Arial" w:hAnsi="Arial"/>
                <w:sz w:val="18"/>
                <w:szCs w:val="18"/>
                <w:color w:val="auto"/>
              </w:rPr>
              <w:t>Depreciation and amortization</w:t>
            </w:r>
          </w:p>
        </w:tc>
        <w:tc>
          <w:tcPr>
            <w:tcW w:w="13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2,278</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320"/>
              <w:spacing w:after="0" w:line="202" w:lineRule="exact"/>
              <w:rPr>
                <w:sz w:val="20"/>
                <w:szCs w:val="20"/>
                <w:color w:val="auto"/>
              </w:rPr>
            </w:pPr>
            <w:r>
              <w:rPr>
                <w:rFonts w:ascii="Arial" w:cs="Arial" w:eastAsia="Arial" w:hAnsi="Arial"/>
                <w:sz w:val="18"/>
                <w:szCs w:val="18"/>
                <w:color w:val="auto"/>
              </w:rPr>
              <w:t>Share-based compensation</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320"/>
              <w:spacing w:after="0" w:line="202" w:lineRule="exact"/>
              <w:rPr>
                <w:sz w:val="20"/>
                <w:szCs w:val="20"/>
                <w:color w:val="auto"/>
              </w:rPr>
            </w:pPr>
            <w:r>
              <w:rPr>
                <w:rFonts w:ascii="Arial" w:cs="Arial" w:eastAsia="Arial" w:hAnsi="Arial"/>
                <w:sz w:val="18"/>
                <w:szCs w:val="18"/>
                <w:color w:val="auto"/>
              </w:rPr>
              <w:t>Noncash interest expense (income), net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32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320"/>
              <w:spacing w:after="0" w:line="202" w:lineRule="exact"/>
              <w:rPr>
                <w:sz w:val="20"/>
                <w:szCs w:val="20"/>
                <w:color w:val="auto"/>
              </w:rPr>
            </w:pPr>
            <w:r>
              <w:rPr>
                <w:rFonts w:ascii="Arial" w:cs="Arial" w:eastAsia="Arial" w:hAnsi="Arial"/>
                <w:sz w:val="18"/>
                <w:szCs w:val="18"/>
                <w:color w:val="auto"/>
              </w:rPr>
              <w:t>Cash received from investees</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32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16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380" w:type="dxa"/>
            <w:vAlign w:val="bottom"/>
          </w:tcPr>
          <w:p>
            <w:pPr>
              <w:ind w:left="320"/>
              <w:spacing w:after="0" w:line="181" w:lineRule="exact"/>
              <w:rPr>
                <w:sz w:val="20"/>
                <w:szCs w:val="20"/>
                <w:color w:val="auto"/>
              </w:rPr>
            </w:pPr>
            <w:r>
              <w:rPr>
                <w:rFonts w:ascii="Arial" w:cs="Arial" w:eastAsia="Arial" w:hAnsi="Arial"/>
                <w:sz w:val="18"/>
                <w:szCs w:val="18"/>
                <w:color w:val="auto"/>
              </w:rPr>
              <w:t>Current and noncurrent receivables, net</w:t>
            </w:r>
          </w:p>
        </w:tc>
        <w:tc>
          <w:tcPr>
            <w:tcW w:w="13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562</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320"/>
              <w:spacing w:after="0" w:line="202" w:lineRule="exact"/>
              <w:rPr>
                <w:sz w:val="20"/>
                <w:szCs w:val="20"/>
                <w:color w:val="auto"/>
              </w:rPr>
            </w:pPr>
            <w:r>
              <w:rPr>
                <w:rFonts w:ascii="Arial" w:cs="Arial" w:eastAsia="Arial" w:hAnsi="Arial"/>
                <w:sz w:val="18"/>
                <w:szCs w:val="18"/>
                <w:color w:val="auto"/>
              </w:rPr>
              <w:t>Film and television costs, net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32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80" w:type="dxa"/>
            <w:vAlign w:val="bottom"/>
          </w:tcPr>
          <w:p>
            <w:pPr>
              <w:ind w:left="320"/>
              <w:spacing w:after="0"/>
              <w:rPr>
                <w:sz w:val="20"/>
                <w:szCs w:val="20"/>
                <w:color w:val="auto"/>
              </w:rPr>
            </w:pPr>
            <w:r>
              <w:rPr>
                <w:rFonts w:ascii="Arial" w:cs="Arial" w:eastAsia="Arial" w:hAnsi="Arial"/>
                <w:sz w:val="18"/>
                <w:szCs w:val="18"/>
                <w:color w:val="auto"/>
              </w:rPr>
              <w:t>Other operating assets and liabilities</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380" w:type="dxa"/>
            <w:vAlign w:val="bottom"/>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5,399</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3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380" w:type="dxa"/>
            <w:vAlign w:val="bottom"/>
          </w:tcPr>
          <w:p>
            <w:pPr>
              <w:ind w:left="160"/>
              <w:spacing w:after="0" w:line="181" w:lineRule="exact"/>
              <w:rPr>
                <w:sz w:val="20"/>
                <w:szCs w:val="20"/>
                <w:color w:val="auto"/>
              </w:rPr>
            </w:pPr>
            <w:r>
              <w:rPr>
                <w:rFonts w:ascii="Arial" w:cs="Arial" w:eastAsia="Arial" w:hAnsi="Arial"/>
                <w:sz w:val="18"/>
                <w:szCs w:val="18"/>
                <w:color w:val="auto"/>
              </w:rPr>
              <w:t>Capital expenditures</w:t>
            </w:r>
          </w:p>
        </w:tc>
        <w:tc>
          <w:tcPr>
            <w:tcW w:w="1380" w:type="dxa"/>
            <w:vAlign w:val="bottom"/>
          </w:tcPr>
          <w:p>
            <w:pPr>
              <w:jc w:val="right"/>
              <w:spacing w:after="0" w:line="181" w:lineRule="exact"/>
              <w:rPr>
                <w:sz w:val="20"/>
                <w:szCs w:val="20"/>
                <w:color w:val="auto"/>
              </w:rPr>
            </w:pPr>
            <w:r>
              <w:rPr>
                <w:rFonts w:ascii="Arial" w:cs="Arial" w:eastAsia="Arial" w:hAnsi="Arial"/>
                <w:sz w:val="18"/>
                <w:szCs w:val="18"/>
                <w:color w:val="auto"/>
              </w:rPr>
              <w:t>(1,885)</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160"/>
              <w:spacing w:after="0" w:line="202" w:lineRule="exact"/>
              <w:rPr>
                <w:sz w:val="20"/>
                <w:szCs w:val="20"/>
                <w:color w:val="auto"/>
              </w:rPr>
            </w:pPr>
            <w:r>
              <w:rPr>
                <w:rFonts w:ascii="Arial" w:cs="Arial" w:eastAsia="Arial" w:hAnsi="Arial"/>
                <w:sz w:val="18"/>
                <w:szCs w:val="18"/>
                <w:color w:val="auto"/>
              </w:rPr>
              <w:t>Cash paid for intangible assets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16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160"/>
              <w:spacing w:after="0" w:line="202" w:lineRule="exact"/>
              <w:rPr>
                <w:sz w:val="20"/>
                <w:szCs w:val="20"/>
                <w:color w:val="auto"/>
              </w:rPr>
            </w:pPr>
            <w:r>
              <w:rPr>
                <w:rFonts w:ascii="Arial" w:cs="Arial" w:eastAsia="Arial" w:hAnsi="Arial"/>
                <w:sz w:val="18"/>
                <w:szCs w:val="18"/>
                <w:color w:val="auto"/>
              </w:rPr>
              <w:t>Acquisitions, net of cash acquired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160"/>
              <w:spacing w:after="0" w:line="202" w:lineRule="exact"/>
              <w:rPr>
                <w:sz w:val="20"/>
                <w:szCs w:val="20"/>
                <w:color w:val="auto"/>
              </w:rPr>
            </w:pPr>
            <w:r>
              <w:rPr>
                <w:rFonts w:ascii="Arial" w:cs="Arial" w:eastAsia="Arial" w:hAnsi="Arial"/>
                <w:sz w:val="18"/>
                <w:szCs w:val="18"/>
                <w:color w:val="auto"/>
              </w:rPr>
              <w:t>Proceeds from sales of investments</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160"/>
              <w:spacing w:after="0" w:line="202" w:lineRule="exact"/>
              <w:rPr>
                <w:sz w:val="20"/>
                <w:szCs w:val="20"/>
                <w:color w:val="auto"/>
              </w:rPr>
            </w:pPr>
            <w:r>
              <w:rPr>
                <w:rFonts w:ascii="Arial" w:cs="Arial" w:eastAsia="Arial" w:hAnsi="Arial"/>
                <w:sz w:val="18"/>
                <w:szCs w:val="18"/>
                <w:color w:val="auto"/>
              </w:rPr>
              <w:t>Purchases of investments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(448)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80" w:type="dxa"/>
            <w:vAlign w:val="bottom"/>
          </w:tcPr>
          <w:p>
            <w:pPr>
              <w:ind w:left="16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380" w:type="dxa"/>
            <w:vAlign w:val="bottom"/>
          </w:tcPr>
          <w:p>
            <w:pPr>
              <w:ind w:left="620"/>
              <w:spacing w:after="0"/>
              <w:rPr>
                <w:sz w:val="20"/>
                <w:szCs w:val="20"/>
                <w:color w:val="auto"/>
              </w:rPr>
            </w:pPr>
            <w:r>
              <w:rPr>
                <w:rFonts w:ascii="Arial" w:cs="Arial" w:eastAsia="Arial" w:hAnsi="Arial"/>
                <w:sz w:val="18"/>
                <w:szCs w:val="18"/>
                <w:color w:val="auto"/>
              </w:rPr>
              <w:t>Net cash provided by (used in) investing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3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(1,893)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380" w:type="dxa"/>
            <w:vAlign w:val="bottom"/>
          </w:tcPr>
          <w:p>
            <w:pPr>
              <w:ind w:left="16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1380" w:type="dxa"/>
            <w:vAlign w:val="bottom"/>
          </w:tcPr>
          <w:p>
            <w:pPr>
              <w:jc w:val="right"/>
              <w:spacing w:after="0" w:line="181" w:lineRule="exact"/>
              <w:rPr>
                <w:sz w:val="20"/>
                <w:szCs w:val="20"/>
                <w:color w:val="auto"/>
              </w:rPr>
            </w:pPr>
            <w:r>
              <w:rPr>
                <w:rFonts w:ascii="Arial" w:cs="Arial" w:eastAsia="Arial" w:hAnsi="Arial"/>
                <w:sz w:val="18"/>
                <w:szCs w:val="18"/>
                <w:color w:val="auto"/>
              </w:rPr>
              <w:t>(538)</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160"/>
              <w:spacing w:after="0" w:line="202" w:lineRule="exact"/>
              <w:rPr>
                <w:sz w:val="20"/>
                <w:szCs w:val="20"/>
                <w:color w:val="auto"/>
              </w:rPr>
            </w:pPr>
            <w:r>
              <w:rPr>
                <w:rFonts w:ascii="Arial" w:cs="Arial" w:eastAsia="Arial" w:hAnsi="Arial"/>
                <w:sz w:val="18"/>
                <w:szCs w:val="18"/>
                <w:color w:val="auto"/>
              </w:rPr>
              <w:t>Proceeds from borrowings</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3,323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160"/>
              <w:spacing w:after="0" w:line="202" w:lineRule="exact"/>
              <w:rPr>
                <w:sz w:val="20"/>
                <w:szCs w:val="20"/>
                <w:color w:val="auto"/>
              </w:rPr>
            </w:pPr>
            <w:r>
              <w:rPr>
                <w:rFonts w:ascii="Arial" w:cs="Arial" w:eastAsia="Arial" w:hAnsi="Arial"/>
                <w:sz w:val="18"/>
                <w:szCs w:val="18"/>
                <w:color w:val="auto"/>
              </w:rPr>
              <w:t>Repurchases and repayments of debt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160"/>
              <w:spacing w:after="0" w:line="202" w:lineRule="exact"/>
              <w:rPr>
                <w:sz w:val="20"/>
                <w:szCs w:val="20"/>
                <w:color w:val="auto"/>
              </w:rPr>
            </w:pPr>
            <w:r>
              <w:rPr>
                <w:rFonts w:ascii="Arial" w:cs="Arial" w:eastAsia="Arial" w:hAnsi="Arial"/>
                <w:sz w:val="18"/>
                <w:szCs w:val="18"/>
                <w:color w:val="auto"/>
              </w:rPr>
              <w:t>Repurchases of common stock under repurchase program and employee plans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(1,427)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160"/>
              <w:spacing w:after="0" w:line="202" w:lineRule="exact"/>
              <w:rPr>
                <w:sz w:val="20"/>
                <w:szCs w:val="20"/>
                <w:color w:val="auto"/>
              </w:rPr>
            </w:pPr>
            <w:r>
              <w:rPr>
                <w:rFonts w:ascii="Arial" w:cs="Arial" w:eastAsia="Arial" w:hAnsi="Arial"/>
                <w:sz w:val="18"/>
                <w:szCs w:val="18"/>
                <w:color w:val="auto"/>
              </w:rPr>
              <w:t>Dividends paid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(611)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160"/>
              <w:spacing w:after="0" w:line="202" w:lineRule="exact"/>
              <w:rPr>
                <w:sz w:val="20"/>
                <w:szCs w:val="20"/>
                <w:color w:val="auto"/>
              </w:rPr>
            </w:pPr>
            <w:r>
              <w:rPr>
                <w:rFonts w:ascii="Arial" w:cs="Arial" w:eastAsia="Arial" w:hAnsi="Arial"/>
                <w:sz w:val="18"/>
                <w:szCs w:val="18"/>
                <w:color w:val="auto"/>
              </w:rPr>
              <w:t>Issuances of common stock</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80" w:type="dxa"/>
            <w:vAlign w:val="bottom"/>
          </w:tcPr>
          <w:p>
            <w:pPr>
              <w:ind w:left="160"/>
              <w:spacing w:after="0" w:line="202" w:lineRule="exact"/>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80" w:type="dxa"/>
            <w:vAlign w:val="bottom"/>
          </w:tcPr>
          <w:p>
            <w:pPr>
              <w:ind w:left="16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380" w:type="dxa"/>
            <w:vAlign w:val="bottom"/>
          </w:tcPr>
          <w:p>
            <w:pPr>
              <w:ind w:left="620"/>
              <w:spacing w:after="0"/>
              <w:rPr>
                <w:sz w:val="20"/>
                <w:szCs w:val="20"/>
                <w:color w:val="auto"/>
              </w:rPr>
            </w:pPr>
            <w:r>
              <w:rPr>
                <w:rFonts w:ascii="Arial" w:cs="Arial" w:eastAsia="Arial" w:hAnsi="Arial"/>
                <w:sz w:val="18"/>
                <w:szCs w:val="18"/>
                <w:color w:val="auto"/>
              </w:rPr>
              <w:t>Net cash provided by (used in) financing activities</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643</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3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3,333</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721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2,295</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8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$5,628</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3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3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4</w:t>
      </w:r>
    </w:p>
    <w:p>
      <w:pPr>
        <w:sectPr>
          <w:pgSz w:w="11900" w:h="16838" w:orient="portrait"/>
          <w:cols w:equalWidth="0" w:num="1">
            <w:col w:w="11460"/>
          </w:cols>
          <w:pgMar w:left="240" w:top="118" w:right="199" w:bottom="0" w:gutter="0" w:footer="0" w:header="0"/>
        </w:sectPr>
      </w:pPr>
    </w:p>
    <w:bookmarkStart w:id="8" w:name="page9"/>
    <w:bookmarkEnd w:id="8"/>
    <w:p>
      <w:pPr>
        <w:ind w:right="2260"/>
        <w:spacing w:after="0" w:line="262" w:lineRule="auto"/>
        <w:rPr>
          <w:sz w:val="20"/>
          <w:szCs w:val="20"/>
          <w:color w:val="auto"/>
        </w:rPr>
      </w:pPr>
      <w:r>
        <w:rPr>
          <w:rFonts w:ascii="Arial" w:cs="Arial" w:eastAsia="Arial" w:hAnsi="Arial"/>
          <w:sz w:val="22"/>
          <w:szCs w:val="22"/>
          <w:b w:val="1"/>
          <w:bCs w:val="1"/>
          <w:color w:val="C9C9C9"/>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4546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54"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70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9"/>
        </w:trPr>
        <w:tc>
          <w:tcPr>
            <w:tcW w:w="7900" w:type="dxa"/>
            <w:vAlign w:val="bottom"/>
          </w:tcPr>
          <w:p>
            <w:pPr>
              <w:spacing w:after="0"/>
              <w:rPr>
                <w:sz w:val="18"/>
                <w:szCs w:val="18"/>
                <w:color w:val="auto"/>
              </w:rPr>
            </w:pPr>
          </w:p>
        </w:tc>
        <w:tc>
          <w:tcPr>
            <w:tcW w:w="1840" w:type="dxa"/>
            <w:vAlign w:val="bottom"/>
            <w:gridSpan w:val="3"/>
          </w:tcPr>
          <w:p>
            <w:pPr>
              <w:jc w:val="center"/>
              <w:ind w:left="779"/>
              <w:spacing w:after="0"/>
              <w:rPr>
                <w:sz w:val="20"/>
                <w:szCs w:val="20"/>
                <w:color w:val="auto"/>
              </w:rPr>
            </w:pPr>
            <w:r>
              <w:rPr>
                <w:rFonts w:ascii="Arial" w:cs="Arial" w:eastAsia="Arial" w:hAnsi="Arial"/>
                <w:sz w:val="16"/>
                <w:szCs w:val="16"/>
                <w:b w:val="1"/>
                <w:bCs w:val="1"/>
                <w:color w:val="auto"/>
              </w:rPr>
              <w:t>March 31,</w:t>
            </w: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187"/>
        </w:trPr>
        <w:tc>
          <w:tcPr>
            <w:tcW w:w="7900" w:type="dxa"/>
            <w:vAlign w:val="bottom"/>
          </w:tcPr>
          <w:p>
            <w:pPr>
              <w:spacing w:after="0"/>
              <w:rPr>
                <w:sz w:val="20"/>
                <w:szCs w:val="20"/>
                <w:color w:val="auto"/>
              </w:rPr>
            </w:pPr>
            <w:r>
              <w:rPr>
                <w:rFonts w:ascii="Arial" w:cs="Arial" w:eastAsia="Arial" w:hAnsi="Arial"/>
                <w:sz w:val="16"/>
                <w:szCs w:val="16"/>
                <w:color w:val="auto"/>
              </w:rPr>
              <w:t>(in millions)</w:t>
            </w: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2016</w:t>
            </w:r>
          </w:p>
        </w:tc>
        <w:tc>
          <w:tcPr>
            <w:tcW w:w="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900" w:type="dxa"/>
            <w:vAlign w:val="bottom"/>
          </w:tcPr>
          <w:p>
            <w:pPr>
              <w:spacing w:after="0" w:line="165" w:lineRule="exact"/>
              <w:rPr>
                <w:sz w:val="20"/>
                <w:szCs w:val="20"/>
                <w:color w:val="auto"/>
              </w:rPr>
            </w:pPr>
            <w:r>
              <w:rPr>
                <w:rFonts w:ascii="Arial" w:cs="Arial" w:eastAsia="Arial" w:hAnsi="Arial"/>
                <w:sz w:val="16"/>
                <w:szCs w:val="16"/>
                <w:b w:val="1"/>
                <w:bCs w:val="1"/>
                <w:color w:val="auto"/>
              </w:rPr>
              <w:t>Net income attributable to Comcast Corporation</w:t>
            </w:r>
          </w:p>
        </w:tc>
        <w:tc>
          <w:tcPr>
            <w:tcW w:w="1160" w:type="dxa"/>
            <w:vAlign w:val="bottom"/>
          </w:tcPr>
          <w:p>
            <w:pPr>
              <w:jc w:val="right"/>
              <w:ind w:right="19"/>
              <w:spacing w:after="0" w:line="165" w:lineRule="exact"/>
              <w:rPr>
                <w:sz w:val="20"/>
                <w:szCs w:val="20"/>
                <w:color w:val="auto"/>
              </w:rPr>
            </w:pPr>
            <w:r>
              <w:rPr>
                <w:rFonts w:ascii="Arial" w:cs="Arial" w:eastAsia="Arial" w:hAnsi="Arial"/>
                <w:sz w:val="16"/>
                <w:szCs w:val="16"/>
                <w:color w:val="auto"/>
              </w:rPr>
              <w:t>$2,134</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19"/>
              <w:spacing w:after="0" w:line="165" w:lineRule="exact"/>
              <w:rPr>
                <w:sz w:val="20"/>
                <w:szCs w:val="20"/>
                <w:color w:val="auto"/>
              </w:rPr>
            </w:pPr>
            <w:r>
              <w:rPr>
                <w:rFonts w:ascii="Arial" w:cs="Arial" w:eastAsia="Arial" w:hAnsi="Arial"/>
                <w:sz w:val="16"/>
                <w:szCs w:val="16"/>
                <w:b w:val="1"/>
                <w:bCs w:val="1"/>
                <w:color w:val="auto"/>
              </w:rPr>
              <w:t>$2,566</w:t>
            </w:r>
          </w:p>
        </w:tc>
        <w:tc>
          <w:tcPr>
            <w:tcW w:w="0" w:type="dxa"/>
            <w:vAlign w:val="bottom"/>
          </w:tcPr>
          <w:p>
            <w:pPr>
              <w:spacing w:after="0"/>
              <w:rPr>
                <w:sz w:val="1"/>
                <w:szCs w:val="1"/>
                <w:color w:val="auto"/>
              </w:rPr>
            </w:pP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 and redeemable subsidiary preferred stock</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81</w:t>
            </w:r>
          </w:p>
        </w:tc>
        <w:tc>
          <w:tcPr>
            <w:tcW w:w="0" w:type="dxa"/>
            <w:vAlign w:val="bottom"/>
          </w:tcPr>
          <w:p>
            <w:pPr>
              <w:spacing w:after="0"/>
              <w:rPr>
                <w:sz w:val="1"/>
                <w:szCs w:val="1"/>
                <w:color w:val="auto"/>
              </w:rPr>
            </w:pP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Income tax expense</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1,311</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1,258</w:t>
            </w:r>
          </w:p>
        </w:tc>
        <w:tc>
          <w:tcPr>
            <w:tcW w:w="0" w:type="dxa"/>
            <w:vAlign w:val="bottom"/>
          </w:tcPr>
          <w:p>
            <w:pPr>
              <w:spacing w:after="0"/>
              <w:rPr>
                <w:sz w:val="1"/>
                <w:szCs w:val="1"/>
                <w:color w:val="auto"/>
              </w:rPr>
            </w:pPr>
          </w:p>
        </w:tc>
      </w:tr>
      <w:tr>
        <w:trPr>
          <w:trHeight w:val="189"/>
        </w:trPr>
        <w:tc>
          <w:tcPr>
            <w:tcW w:w="7900" w:type="dxa"/>
            <w:vAlign w:val="bottom"/>
          </w:tcPr>
          <w:p>
            <w:pPr>
              <w:spacing w:after="0" w:line="189" w:lineRule="exact"/>
              <w:rPr>
                <w:sz w:val="20"/>
                <w:szCs w:val="20"/>
                <w:color w:val="auto"/>
              </w:rPr>
            </w:pPr>
            <w:r>
              <w:rPr>
                <w:rFonts w:ascii="Arial" w:cs="Arial" w:eastAsia="Arial" w:hAnsi="Arial"/>
                <w:sz w:val="16"/>
                <w:szCs w:val="16"/>
                <w:color w:val="auto"/>
              </w:rPr>
              <w:t xml:space="preserve">Other (income) expense items, net </w:t>
            </w:r>
            <w:r>
              <w:rPr>
                <w:rFonts w:ascii="Arial" w:cs="Arial" w:eastAsia="Arial" w:hAnsi="Arial"/>
                <w:sz w:val="19"/>
                <w:szCs w:val="19"/>
                <w:color w:val="auto"/>
                <w:vertAlign w:val="superscript"/>
              </w:rPr>
              <w:t>(1)</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554</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625</w:t>
            </w:r>
          </w:p>
        </w:tc>
        <w:tc>
          <w:tcPr>
            <w:tcW w:w="0" w:type="dxa"/>
            <w:vAlign w:val="bottom"/>
          </w:tcPr>
          <w:p>
            <w:pPr>
              <w:spacing w:after="0"/>
              <w:rPr>
                <w:sz w:val="1"/>
                <w:szCs w:val="1"/>
                <w:color w:val="auto"/>
              </w:rPr>
            </w:pPr>
          </w:p>
        </w:tc>
      </w:tr>
      <w:tr>
        <w:trPr>
          <w:trHeight w:val="207"/>
        </w:trPr>
        <w:tc>
          <w:tcPr>
            <w:tcW w:w="79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2,278</w:t>
            </w:r>
          </w:p>
        </w:tc>
        <w:tc>
          <w:tcPr>
            <w:tcW w:w="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2,502</w:t>
            </w:r>
          </w:p>
        </w:tc>
        <w:tc>
          <w:tcPr>
            <w:tcW w:w="0" w:type="dxa"/>
            <w:vAlign w:val="bottom"/>
          </w:tcPr>
          <w:p>
            <w:pPr>
              <w:spacing w:after="0"/>
              <w:rPr>
                <w:sz w:val="1"/>
                <w:szCs w:val="1"/>
                <w:color w:val="auto"/>
              </w:rPr>
            </w:pPr>
          </w:p>
        </w:tc>
      </w:tr>
      <w:tr>
        <w:trPr>
          <w:trHeight w:val="183"/>
        </w:trPr>
        <w:tc>
          <w:tcPr>
            <w:tcW w:w="7900" w:type="dxa"/>
            <w:vAlign w:val="bottom"/>
          </w:tcPr>
          <w:p>
            <w:pPr>
              <w:spacing w:after="0" w:line="183" w:lineRule="exact"/>
              <w:rPr>
                <w:sz w:val="20"/>
                <w:szCs w:val="20"/>
                <w:color w:val="auto"/>
              </w:rPr>
            </w:pPr>
            <w:r>
              <w:rPr>
                <w:rFonts w:ascii="Arial" w:cs="Arial" w:eastAsia="Arial" w:hAnsi="Arial"/>
                <w:sz w:val="16"/>
                <w:szCs w:val="16"/>
                <w:b w:val="1"/>
                <w:bCs w:val="1"/>
                <w:color w:val="auto"/>
              </w:rPr>
              <w:t>Adjusted EBITDA</w:t>
            </w:r>
          </w:p>
        </w:tc>
        <w:tc>
          <w:tcPr>
            <w:tcW w:w="11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$6,367</w:t>
            </w:r>
          </w:p>
        </w:tc>
        <w:tc>
          <w:tcPr>
            <w:tcW w:w="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$7,032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270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40" w:type="dxa"/>
            <w:vAlign w:val="bottom"/>
          </w:tcPr>
          <w:p>
            <w:pPr>
              <w:spacing w:after="0"/>
              <w:rPr>
                <w:sz w:val="18"/>
                <w:szCs w:val="18"/>
                <w:color w:val="auto"/>
              </w:rPr>
            </w:pPr>
          </w:p>
        </w:tc>
        <w:tc>
          <w:tcPr>
            <w:tcW w:w="1840" w:type="dxa"/>
            <w:vAlign w:val="bottom"/>
            <w:gridSpan w:val="3"/>
          </w:tcPr>
          <w:p>
            <w:pPr>
              <w:jc w:val="center"/>
              <w:ind w:left="779"/>
              <w:spacing w:after="0"/>
              <w:rPr>
                <w:sz w:val="20"/>
                <w:szCs w:val="20"/>
                <w:color w:val="auto"/>
              </w:rPr>
            </w:pPr>
            <w:r>
              <w:rPr>
                <w:rFonts w:ascii="Arial" w:cs="Arial" w:eastAsia="Arial" w:hAnsi="Arial"/>
                <w:sz w:val="16"/>
                <w:szCs w:val="16"/>
                <w:b w:val="1"/>
                <w:bCs w:val="1"/>
                <w:color w:val="auto"/>
              </w:rPr>
              <w:t>March 31,</w:t>
            </w: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240" w:type="dxa"/>
            <w:vAlign w:val="bottom"/>
          </w:tcPr>
          <w:p>
            <w:pPr>
              <w:ind w:left="340"/>
              <w:spacing w:after="0"/>
              <w:rPr>
                <w:sz w:val="20"/>
                <w:szCs w:val="20"/>
                <w:color w:val="auto"/>
              </w:rPr>
            </w:pPr>
            <w:r>
              <w:rPr>
                <w:rFonts w:ascii="Arial" w:cs="Arial" w:eastAsia="Arial" w:hAnsi="Arial"/>
                <w:sz w:val="16"/>
                <w:szCs w:val="16"/>
                <w:color w:val="auto"/>
              </w:rPr>
              <w:t>(in millions)</w:t>
            </w: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2016</w:t>
            </w:r>
          </w:p>
        </w:tc>
        <w:tc>
          <w:tcPr>
            <w:tcW w:w="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8240" w:type="dxa"/>
            <w:vAlign w:val="bottom"/>
          </w:tcPr>
          <w:p>
            <w:pPr>
              <w:ind w:left="340"/>
              <w:spacing w:after="0" w:line="165" w:lineRule="exact"/>
              <w:rPr>
                <w:sz w:val="20"/>
                <w:szCs w:val="20"/>
                <w:color w:val="auto"/>
              </w:rPr>
            </w:pPr>
            <w:r>
              <w:rPr>
                <w:rFonts w:ascii="Arial" w:cs="Arial" w:eastAsia="Arial" w:hAnsi="Arial"/>
                <w:sz w:val="16"/>
                <w:szCs w:val="16"/>
                <w:b w:val="1"/>
                <w:bCs w:val="1"/>
                <w:color w:val="auto"/>
              </w:rPr>
              <w:t>Net cash provided by operating activities</w:t>
            </w:r>
          </w:p>
        </w:tc>
        <w:tc>
          <w:tcPr>
            <w:tcW w:w="1160" w:type="dxa"/>
            <w:vAlign w:val="bottom"/>
          </w:tcPr>
          <w:p>
            <w:pPr>
              <w:jc w:val="right"/>
              <w:ind w:right="19"/>
              <w:spacing w:after="0" w:line="165" w:lineRule="exact"/>
              <w:rPr>
                <w:sz w:val="20"/>
                <w:szCs w:val="20"/>
                <w:color w:val="auto"/>
              </w:rPr>
            </w:pPr>
            <w:r>
              <w:rPr>
                <w:rFonts w:ascii="Arial" w:cs="Arial" w:eastAsia="Arial" w:hAnsi="Arial"/>
                <w:sz w:val="16"/>
                <w:szCs w:val="16"/>
                <w:color w:val="auto"/>
              </w:rPr>
              <w:t>$5,399</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19"/>
              <w:spacing w:after="0" w:line="165" w:lineRule="exact"/>
              <w:rPr>
                <w:sz w:val="20"/>
                <w:szCs w:val="20"/>
                <w:color w:val="auto"/>
              </w:rPr>
            </w:pPr>
            <w:r>
              <w:rPr>
                <w:rFonts w:ascii="Arial" w:cs="Arial" w:eastAsia="Arial" w:hAnsi="Arial"/>
                <w:sz w:val="16"/>
                <w:szCs w:val="16"/>
                <w:b w:val="1"/>
                <w:bCs w:val="1"/>
                <w:color w:val="auto"/>
              </w:rPr>
              <w:t>$5,656</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rPr>
                <w:sz w:val="20"/>
                <w:szCs w:val="20"/>
                <w:color w:val="auto"/>
              </w:rPr>
            </w:pPr>
            <w:r>
              <w:rPr>
                <w:rFonts w:ascii="Arial" w:cs="Arial" w:eastAsia="Arial" w:hAnsi="Arial"/>
                <w:sz w:val="16"/>
                <w:szCs w:val="16"/>
                <w:color w:val="auto"/>
              </w:rPr>
              <w:t>Capital expenditures</w:t>
            </w:r>
          </w:p>
        </w:tc>
        <w:tc>
          <w:tcPr>
            <w:tcW w:w="1160" w:type="dxa"/>
            <w:vAlign w:val="bottom"/>
          </w:tcPr>
          <w:p>
            <w:pPr>
              <w:jc w:val="right"/>
              <w:spacing w:after="0"/>
              <w:rPr>
                <w:sz w:val="20"/>
                <w:szCs w:val="20"/>
                <w:color w:val="auto"/>
              </w:rPr>
            </w:pPr>
            <w:r>
              <w:rPr>
                <w:rFonts w:ascii="Arial" w:cs="Arial" w:eastAsia="Arial" w:hAnsi="Arial"/>
                <w:sz w:val="16"/>
                <w:szCs w:val="16"/>
                <w:color w:val="auto"/>
              </w:rPr>
              <w:t>(1,885)</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(2,078)</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rPr>
                <w:sz w:val="20"/>
                <w:szCs w:val="20"/>
                <w:color w:val="auto"/>
              </w:rPr>
            </w:pPr>
            <w:r>
              <w:rPr>
                <w:rFonts w:ascii="Arial" w:cs="Arial" w:eastAsia="Arial" w:hAnsi="Arial"/>
                <w:sz w:val="16"/>
                <w:szCs w:val="16"/>
                <w:color w:val="auto"/>
              </w:rPr>
              <w:t>Cash paid for capitalized software and other intangible assets</w:t>
            </w:r>
          </w:p>
        </w:tc>
        <w:tc>
          <w:tcPr>
            <w:tcW w:w="1160" w:type="dxa"/>
            <w:vAlign w:val="bottom"/>
          </w:tcPr>
          <w:p>
            <w:pPr>
              <w:jc w:val="right"/>
              <w:spacing w:after="0"/>
              <w:rPr>
                <w:sz w:val="20"/>
                <w:szCs w:val="20"/>
                <w:color w:val="auto"/>
              </w:rPr>
            </w:pPr>
            <w:r>
              <w:rPr>
                <w:rFonts w:ascii="Arial" w:cs="Arial" w:eastAsia="Arial" w:hAnsi="Arial"/>
                <w:sz w:val="16"/>
                <w:szCs w:val="16"/>
                <w:color w:val="auto"/>
              </w:rPr>
              <w:t>(378)</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(416)</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rPr>
                <w:sz w:val="20"/>
                <w:szCs w:val="20"/>
                <w:color w:val="auto"/>
              </w:rPr>
            </w:pPr>
            <w:r>
              <w:rPr>
                <w:rFonts w:ascii="Arial" w:cs="Arial" w:eastAsia="Arial" w:hAnsi="Arial"/>
                <w:sz w:val="16"/>
                <w:szCs w:val="16"/>
                <w:color w:val="auto"/>
              </w:rPr>
              <w:t>Principal payments on capital leases</w:t>
            </w: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rPr>
                <w:sz w:val="20"/>
                <w:szCs w:val="20"/>
                <w:color w:val="auto"/>
              </w:rPr>
            </w:pPr>
            <w:r>
              <w:rPr>
                <w:rFonts w:ascii="Arial" w:cs="Arial" w:eastAsia="Arial" w:hAnsi="Arial"/>
                <w:sz w:val="16"/>
                <w:szCs w:val="16"/>
                <w:color w:val="auto"/>
              </w:rPr>
              <w:t>Distributions to noncontrolling interests and dividends for redeemable subsidiary preferred stock</w:t>
            </w:r>
          </w:p>
        </w:tc>
        <w:tc>
          <w:tcPr>
            <w:tcW w:w="1160" w:type="dxa"/>
            <w:vAlign w:val="bottom"/>
          </w:tcPr>
          <w:p>
            <w:pPr>
              <w:jc w:val="right"/>
              <w:spacing w:after="0"/>
              <w:rPr>
                <w:sz w:val="20"/>
                <w:szCs w:val="20"/>
                <w:color w:val="auto"/>
              </w:rPr>
            </w:pPr>
            <w:r>
              <w:rPr>
                <w:rFonts w:ascii="Arial" w:cs="Arial" w:eastAsia="Arial" w:hAnsi="Arial"/>
                <w:sz w:val="16"/>
                <w:szCs w:val="16"/>
                <w:color w:val="auto"/>
              </w:rPr>
              <w:t>(77)</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line="189" w:lineRule="exact"/>
              <w:rPr>
                <w:sz w:val="20"/>
                <w:szCs w:val="20"/>
                <w:color w:val="auto"/>
              </w:rPr>
            </w:pPr>
            <w:r>
              <w:rPr>
                <w:rFonts w:ascii="Arial" w:cs="Arial" w:eastAsia="Arial" w:hAnsi="Arial"/>
                <w:sz w:val="16"/>
                <w:szCs w:val="16"/>
                <w:color w:val="auto"/>
              </w:rPr>
              <w:t>Nonoperating items</w:t>
            </w:r>
            <w:r>
              <w:rPr>
                <w:rFonts w:ascii="Arial" w:cs="Arial" w:eastAsia="Arial" w:hAnsi="Arial"/>
                <w:sz w:val="19"/>
                <w:szCs w:val="19"/>
                <w:color w:val="auto"/>
                <w:vertAlign w:val="superscript"/>
              </w:rPr>
              <w:t>(2)</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340"/>
              <w:spacing w:after="0" w:line="207" w:lineRule="exact"/>
              <w:rPr>
                <w:sz w:val="20"/>
                <w:szCs w:val="20"/>
                <w:color w:val="auto"/>
              </w:rPr>
            </w:pPr>
            <w:r>
              <w:rPr>
                <w:rFonts w:ascii="Arial" w:cs="Arial" w:eastAsia="Arial" w:hAnsi="Arial"/>
                <w:sz w:val="16"/>
                <w:szCs w:val="16"/>
                <w:color w:val="auto"/>
              </w:rPr>
              <w:t>Impact of share-based compensation accounting change</w:t>
            </w:r>
            <w:r>
              <w:rPr>
                <w:rFonts w:ascii="Arial" w:cs="Arial" w:eastAsia="Arial" w:hAnsi="Arial"/>
                <w:sz w:val="19"/>
                <w:szCs w:val="19"/>
                <w:color w:val="auto"/>
                <w:vertAlign w:val="superscript"/>
              </w:rPr>
              <w:t>(4)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240" w:type="dxa"/>
            <w:vAlign w:val="bottom"/>
          </w:tcPr>
          <w:p>
            <w:pPr>
              <w:ind w:left="340"/>
              <w:spacing w:after="0" w:line="165" w:lineRule="exact"/>
              <w:rPr>
                <w:sz w:val="20"/>
                <w:szCs w:val="20"/>
                <w:color w:val="auto"/>
              </w:rPr>
            </w:pPr>
            <w:r>
              <w:rPr>
                <w:rFonts w:ascii="Arial" w:cs="Arial" w:eastAsia="Arial" w:hAnsi="Arial"/>
                <w:sz w:val="16"/>
                <w:szCs w:val="16"/>
                <w:color w:val="auto"/>
              </w:rPr>
              <w:t>Free cash flow (including Economic Stimulus Packages)</w:t>
            </w:r>
          </w:p>
        </w:tc>
        <w:tc>
          <w:tcPr>
            <w:tcW w:w="1160" w:type="dxa"/>
            <w:vAlign w:val="bottom"/>
          </w:tcPr>
          <w:p>
            <w:pPr>
              <w:jc w:val="right"/>
              <w:ind w:right="19"/>
              <w:spacing w:after="0" w:line="165" w:lineRule="exact"/>
              <w:rPr>
                <w:sz w:val="20"/>
                <w:szCs w:val="20"/>
                <w:color w:val="auto"/>
              </w:rPr>
            </w:pPr>
            <w:r>
              <w:rPr>
                <w:rFonts w:ascii="Arial" w:cs="Arial" w:eastAsia="Arial" w:hAnsi="Arial"/>
                <w:sz w:val="16"/>
                <w:szCs w:val="16"/>
                <w:color w:val="auto"/>
              </w:rPr>
              <w:t>2,805</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19"/>
              <w:spacing w:after="0" w:line="165" w:lineRule="exact"/>
              <w:rPr>
                <w:sz w:val="20"/>
                <w:szCs w:val="20"/>
                <w:color w:val="auto"/>
              </w:rPr>
            </w:pPr>
            <w:r>
              <w:rPr>
                <w:rFonts w:ascii="Arial" w:cs="Arial" w:eastAsia="Arial" w:hAnsi="Arial"/>
                <w:sz w:val="16"/>
                <w:szCs w:val="16"/>
                <w:b w:val="1"/>
                <w:bCs w:val="1"/>
                <w:color w:val="auto"/>
              </w:rPr>
              <w:t>3,079</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340"/>
              <w:spacing w:after="0" w:line="207" w:lineRule="exact"/>
              <w:rPr>
                <w:sz w:val="20"/>
                <w:szCs w:val="20"/>
                <w:color w:val="auto"/>
              </w:rPr>
            </w:pPr>
            <w:r>
              <w:rPr>
                <w:rFonts w:ascii="Arial" w:cs="Arial" w:eastAsia="Arial" w:hAnsi="Arial"/>
                <w:sz w:val="16"/>
                <w:szCs w:val="16"/>
                <w:color w:val="auto"/>
              </w:rPr>
              <w:t>Economic Stimulus Packages</w:t>
            </w:r>
            <w:r>
              <w:rPr>
                <w:rFonts w:ascii="Arial" w:cs="Arial" w:eastAsia="Arial" w:hAnsi="Arial"/>
                <w:sz w:val="19"/>
                <w:szCs w:val="19"/>
                <w:color w:val="auto"/>
                <w:vertAlign w:val="superscript"/>
              </w:rPr>
              <w:t>(2)</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240" w:type="dxa"/>
            <w:vAlign w:val="bottom"/>
          </w:tcPr>
          <w:p>
            <w:pPr>
              <w:ind w:left="340"/>
              <w:spacing w:after="0" w:line="183" w:lineRule="exact"/>
              <w:rPr>
                <w:sz w:val="20"/>
                <w:szCs w:val="20"/>
                <w:color w:val="auto"/>
              </w:rPr>
            </w:pPr>
            <w:r>
              <w:rPr>
                <w:rFonts w:ascii="Arial" w:cs="Arial" w:eastAsia="Arial" w:hAnsi="Arial"/>
                <w:sz w:val="16"/>
                <w:szCs w:val="16"/>
                <w:b w:val="1"/>
                <w:bCs w:val="1"/>
                <w:color w:val="auto"/>
              </w:rPr>
              <w:t>Total free cash flow</w:t>
            </w:r>
          </w:p>
        </w:tc>
        <w:tc>
          <w:tcPr>
            <w:tcW w:w="11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$2,805</w:t>
            </w:r>
          </w:p>
        </w:tc>
        <w:tc>
          <w:tcPr>
            <w:tcW w:w="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$3,079</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22"/>
                <w:szCs w:val="22"/>
                <w:b w:val="1"/>
                <w:bCs w:val="1"/>
                <w:color w:val="C9C9C9"/>
              </w:rPr>
              <w:t>Alternate Presentation of Free Cash Flow (Unaudited)</w:t>
            </w: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240" w:type="dxa"/>
            <w:vAlign w:val="bottom"/>
            <w:tcBorders>
              <w:bottom w:val="single" w:sz="8" w:color="0050B9"/>
            </w:tcBorders>
            <w:vMerge w:val="continue"/>
          </w:tcPr>
          <w:p>
            <w:pPr>
              <w:spacing w:after="0"/>
              <w:rPr>
                <w:sz w:val="24"/>
                <w:szCs w:val="24"/>
                <w:color w:val="auto"/>
              </w:rPr>
            </w:pPr>
          </w:p>
        </w:tc>
        <w:tc>
          <w:tcPr>
            <w:tcW w:w="1160" w:type="dxa"/>
            <w:vAlign w:val="bottom"/>
            <w:tcBorders>
              <w:bottom w:val="single" w:sz="8" w:color="0050B9"/>
            </w:tcBorders>
          </w:tcPr>
          <w:p>
            <w:pPr>
              <w:spacing w:after="0"/>
              <w:rPr>
                <w:sz w:val="24"/>
                <w:szCs w:val="24"/>
                <w:color w:val="auto"/>
              </w:rPr>
            </w:pPr>
          </w:p>
        </w:tc>
        <w:tc>
          <w:tcPr>
            <w:tcW w:w="400" w:type="dxa"/>
            <w:vAlign w:val="bottom"/>
            <w:tcBorders>
              <w:bottom w:val="single" w:sz="8" w:color="0050B9"/>
            </w:tcBorders>
          </w:tcPr>
          <w:p>
            <w:pPr>
              <w:spacing w:after="0"/>
              <w:rPr>
                <w:sz w:val="24"/>
                <w:szCs w:val="24"/>
                <w:color w:val="auto"/>
              </w:rPr>
            </w:pPr>
          </w:p>
        </w:tc>
        <w:tc>
          <w:tcPr>
            <w:tcW w:w="280" w:type="dxa"/>
            <w:vAlign w:val="bottom"/>
            <w:tcBorders>
              <w:bottom w:val="single" w:sz="8" w:color="0050B9"/>
            </w:tcBorders>
          </w:tcPr>
          <w:p>
            <w:pPr>
              <w:spacing w:after="0"/>
              <w:rPr>
                <w:sz w:val="24"/>
                <w:szCs w:val="24"/>
                <w:color w:val="auto"/>
              </w:rPr>
            </w:pPr>
          </w:p>
        </w:tc>
        <w:tc>
          <w:tcPr>
            <w:tcW w:w="860" w:type="dxa"/>
            <w:vAlign w:val="bottom"/>
            <w:tcBorders>
              <w:bottom w:val="single" w:sz="8" w:color="0050B9"/>
            </w:tcBorders>
          </w:tcPr>
          <w:p>
            <w:pPr>
              <w:spacing w:after="0"/>
              <w:rPr>
                <w:sz w:val="24"/>
                <w:szCs w:val="24"/>
                <w:color w:val="auto"/>
              </w:rPr>
            </w:pPr>
          </w:p>
        </w:tc>
        <w:tc>
          <w:tcPr>
            <w:tcW w:w="480" w:type="dxa"/>
            <w:vAlign w:val="bottom"/>
            <w:tcBorders>
              <w:bottom w:val="single" w:sz="8" w:color="0050B9"/>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240" w:type="dxa"/>
            <w:vAlign w:val="bottom"/>
          </w:tcPr>
          <w:p>
            <w:pPr>
              <w:spacing w:after="0"/>
              <w:rPr>
                <w:sz w:val="23"/>
                <w:szCs w:val="23"/>
                <w:color w:val="auto"/>
              </w:rPr>
            </w:pPr>
          </w:p>
        </w:tc>
        <w:tc>
          <w:tcPr>
            <w:tcW w:w="270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8240" w:type="dxa"/>
            <w:vAlign w:val="bottom"/>
          </w:tcPr>
          <w:p>
            <w:pPr>
              <w:spacing w:after="0"/>
              <w:rPr>
                <w:sz w:val="18"/>
                <w:szCs w:val="18"/>
                <w:color w:val="auto"/>
              </w:rPr>
            </w:pPr>
          </w:p>
        </w:tc>
        <w:tc>
          <w:tcPr>
            <w:tcW w:w="1840" w:type="dxa"/>
            <w:vAlign w:val="bottom"/>
            <w:gridSpan w:val="3"/>
          </w:tcPr>
          <w:p>
            <w:pPr>
              <w:jc w:val="center"/>
              <w:ind w:left="779"/>
              <w:spacing w:after="0"/>
              <w:rPr>
                <w:sz w:val="20"/>
                <w:szCs w:val="20"/>
                <w:color w:val="auto"/>
              </w:rPr>
            </w:pPr>
            <w:r>
              <w:rPr>
                <w:rFonts w:ascii="Arial" w:cs="Arial" w:eastAsia="Arial" w:hAnsi="Arial"/>
                <w:sz w:val="16"/>
                <w:szCs w:val="16"/>
                <w:b w:val="1"/>
                <w:bCs w:val="1"/>
                <w:color w:val="auto"/>
              </w:rPr>
              <w:t>March 31,</w:t>
            </w: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240" w:type="dxa"/>
            <w:vAlign w:val="bottom"/>
          </w:tcPr>
          <w:p>
            <w:pPr>
              <w:ind w:left="340"/>
              <w:spacing w:after="0"/>
              <w:rPr>
                <w:sz w:val="20"/>
                <w:szCs w:val="20"/>
                <w:color w:val="auto"/>
              </w:rPr>
            </w:pPr>
            <w:r>
              <w:rPr>
                <w:rFonts w:ascii="Arial" w:cs="Arial" w:eastAsia="Arial" w:hAnsi="Arial"/>
                <w:sz w:val="16"/>
                <w:szCs w:val="16"/>
                <w:color w:val="auto"/>
              </w:rPr>
              <w:t>(in millions)</w:t>
            </w: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2016</w:t>
            </w:r>
          </w:p>
        </w:tc>
        <w:tc>
          <w:tcPr>
            <w:tcW w:w="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8240" w:type="dxa"/>
            <w:vAlign w:val="bottom"/>
          </w:tcPr>
          <w:p>
            <w:pPr>
              <w:ind w:left="340"/>
              <w:spacing w:after="0" w:line="165" w:lineRule="exact"/>
              <w:rPr>
                <w:sz w:val="20"/>
                <w:szCs w:val="20"/>
                <w:color w:val="auto"/>
              </w:rPr>
            </w:pPr>
            <w:r>
              <w:rPr>
                <w:rFonts w:ascii="Arial" w:cs="Arial" w:eastAsia="Arial" w:hAnsi="Arial"/>
                <w:sz w:val="16"/>
                <w:szCs w:val="16"/>
                <w:b w:val="1"/>
                <w:bCs w:val="1"/>
                <w:color w:val="auto"/>
              </w:rPr>
              <w:t>Adjusted EBITDA</w:t>
            </w:r>
          </w:p>
        </w:tc>
        <w:tc>
          <w:tcPr>
            <w:tcW w:w="1160" w:type="dxa"/>
            <w:vAlign w:val="bottom"/>
          </w:tcPr>
          <w:p>
            <w:pPr>
              <w:jc w:val="right"/>
              <w:ind w:right="19"/>
              <w:spacing w:after="0" w:line="165" w:lineRule="exact"/>
              <w:rPr>
                <w:sz w:val="20"/>
                <w:szCs w:val="20"/>
                <w:color w:val="auto"/>
              </w:rPr>
            </w:pPr>
            <w:r>
              <w:rPr>
                <w:rFonts w:ascii="Arial" w:cs="Arial" w:eastAsia="Arial" w:hAnsi="Arial"/>
                <w:sz w:val="16"/>
                <w:szCs w:val="16"/>
                <w:color w:val="auto"/>
              </w:rPr>
              <w:t>$6,367</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19"/>
              <w:spacing w:after="0" w:line="165" w:lineRule="exact"/>
              <w:rPr>
                <w:sz w:val="20"/>
                <w:szCs w:val="20"/>
                <w:color w:val="auto"/>
              </w:rPr>
            </w:pPr>
            <w:r>
              <w:rPr>
                <w:rFonts w:ascii="Arial" w:cs="Arial" w:eastAsia="Arial" w:hAnsi="Arial"/>
                <w:sz w:val="16"/>
                <w:szCs w:val="16"/>
                <w:b w:val="1"/>
                <w:bCs w:val="1"/>
                <w:color w:val="auto"/>
              </w:rPr>
              <w:t>$7,032</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rPr>
                <w:sz w:val="20"/>
                <w:szCs w:val="20"/>
                <w:color w:val="auto"/>
              </w:rPr>
            </w:pPr>
            <w:r>
              <w:rPr>
                <w:rFonts w:ascii="Arial" w:cs="Arial" w:eastAsia="Arial" w:hAnsi="Arial"/>
                <w:sz w:val="16"/>
                <w:szCs w:val="16"/>
                <w:color w:val="auto"/>
              </w:rPr>
              <w:t>Capital expenditures</w:t>
            </w:r>
          </w:p>
        </w:tc>
        <w:tc>
          <w:tcPr>
            <w:tcW w:w="1160" w:type="dxa"/>
            <w:vAlign w:val="bottom"/>
          </w:tcPr>
          <w:p>
            <w:pPr>
              <w:jc w:val="right"/>
              <w:spacing w:after="0"/>
              <w:rPr>
                <w:sz w:val="20"/>
                <w:szCs w:val="20"/>
                <w:color w:val="auto"/>
              </w:rPr>
            </w:pPr>
            <w:r>
              <w:rPr>
                <w:rFonts w:ascii="Arial" w:cs="Arial" w:eastAsia="Arial" w:hAnsi="Arial"/>
                <w:sz w:val="16"/>
                <w:szCs w:val="16"/>
                <w:color w:val="auto"/>
              </w:rPr>
              <w:t>(1,885)</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(2,078)</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rPr>
                <w:sz w:val="20"/>
                <w:szCs w:val="20"/>
                <w:color w:val="auto"/>
              </w:rPr>
            </w:pPr>
            <w:r>
              <w:rPr>
                <w:rFonts w:ascii="Arial" w:cs="Arial" w:eastAsia="Arial" w:hAnsi="Arial"/>
                <w:sz w:val="16"/>
                <w:szCs w:val="16"/>
                <w:color w:val="auto"/>
              </w:rPr>
              <w:t>Cash paid for capitalized software and other intangible assets</w:t>
            </w:r>
          </w:p>
        </w:tc>
        <w:tc>
          <w:tcPr>
            <w:tcW w:w="1160" w:type="dxa"/>
            <w:vAlign w:val="bottom"/>
          </w:tcPr>
          <w:p>
            <w:pPr>
              <w:jc w:val="right"/>
              <w:spacing w:after="0"/>
              <w:rPr>
                <w:sz w:val="20"/>
                <w:szCs w:val="20"/>
                <w:color w:val="auto"/>
              </w:rPr>
            </w:pPr>
            <w:r>
              <w:rPr>
                <w:rFonts w:ascii="Arial" w:cs="Arial" w:eastAsia="Arial" w:hAnsi="Arial"/>
                <w:sz w:val="16"/>
                <w:szCs w:val="16"/>
                <w:color w:val="auto"/>
              </w:rPr>
              <w:t>(378)</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(416)</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rPr>
                <w:sz w:val="20"/>
                <w:szCs w:val="20"/>
                <w:color w:val="auto"/>
              </w:rPr>
            </w:pPr>
            <w:r>
              <w:rPr>
                <w:rFonts w:ascii="Arial" w:cs="Arial" w:eastAsia="Arial" w:hAnsi="Arial"/>
                <w:sz w:val="16"/>
                <w:szCs w:val="16"/>
                <w:color w:val="auto"/>
              </w:rPr>
              <w:t>Cash interest expense</w:t>
            </w:r>
          </w:p>
        </w:tc>
        <w:tc>
          <w:tcPr>
            <w:tcW w:w="1160" w:type="dxa"/>
            <w:vAlign w:val="bottom"/>
          </w:tcPr>
          <w:p>
            <w:pPr>
              <w:jc w:val="right"/>
              <w:spacing w:after="0"/>
              <w:rPr>
                <w:sz w:val="20"/>
                <w:szCs w:val="20"/>
                <w:color w:val="auto"/>
              </w:rPr>
            </w:pPr>
            <w:r>
              <w:rPr>
                <w:rFonts w:ascii="Arial" w:cs="Arial" w:eastAsia="Arial" w:hAnsi="Arial"/>
                <w:sz w:val="16"/>
                <w:szCs w:val="16"/>
                <w:color w:val="auto"/>
              </w:rPr>
              <w:t>(723)</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(895)</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line="189" w:lineRule="exact"/>
              <w:rPr>
                <w:sz w:val="20"/>
                <w:szCs w:val="20"/>
                <w:color w:val="auto"/>
              </w:rPr>
            </w:pPr>
            <w:r>
              <w:rPr>
                <w:rFonts w:ascii="Arial" w:cs="Arial" w:eastAsia="Arial" w:hAnsi="Arial"/>
                <w:sz w:val="16"/>
                <w:szCs w:val="16"/>
                <w:color w:val="auto"/>
              </w:rPr>
              <w:t>Cash taxes on operating items (including Economic Stimulus Packages)</w:t>
            </w:r>
            <w:r>
              <w:rPr>
                <w:rFonts w:ascii="Arial" w:cs="Arial" w:eastAsia="Arial" w:hAnsi="Arial"/>
                <w:sz w:val="19"/>
                <w:szCs w:val="19"/>
                <w:color w:val="auto"/>
                <w:vertAlign w:val="superscript"/>
              </w:rPr>
              <w:t>(3,4)</w:t>
            </w:r>
          </w:p>
        </w:tc>
        <w:tc>
          <w:tcPr>
            <w:tcW w:w="1160" w:type="dxa"/>
            <w:vAlign w:val="bottom"/>
          </w:tcPr>
          <w:p>
            <w:pPr>
              <w:jc w:val="right"/>
              <w:spacing w:after="0"/>
              <w:rPr>
                <w:sz w:val="20"/>
                <w:szCs w:val="20"/>
                <w:color w:val="auto"/>
              </w:rPr>
            </w:pPr>
            <w:r>
              <w:rPr>
                <w:rFonts w:ascii="Arial" w:cs="Arial" w:eastAsia="Arial" w:hAnsi="Arial"/>
                <w:sz w:val="16"/>
                <w:szCs w:val="16"/>
                <w:color w:val="auto"/>
              </w:rPr>
              <w:t>(145)</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(132)</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line="189" w:lineRule="exact"/>
              <w:rPr>
                <w:sz w:val="20"/>
                <w:szCs w:val="20"/>
                <w:color w:val="auto"/>
              </w:rPr>
            </w:pPr>
            <w:r>
              <w:rPr>
                <w:rFonts w:ascii="Arial" w:cs="Arial" w:eastAsia="Arial" w:hAnsi="Arial"/>
                <w:sz w:val="16"/>
                <w:szCs w:val="16"/>
                <w:color w:val="auto"/>
              </w:rPr>
              <w:t>Changes in operating assets and liabilities</w:t>
            </w:r>
            <w:r>
              <w:rPr>
                <w:rFonts w:ascii="Arial" w:cs="Arial" w:eastAsia="Arial" w:hAnsi="Arial"/>
                <w:sz w:val="19"/>
                <w:szCs w:val="19"/>
                <w:color w:val="auto"/>
                <w:vertAlign w:val="superscript"/>
              </w:rPr>
              <w:t>(4)</w:t>
            </w:r>
          </w:p>
        </w:tc>
        <w:tc>
          <w:tcPr>
            <w:tcW w:w="1160" w:type="dxa"/>
            <w:vAlign w:val="bottom"/>
          </w:tcPr>
          <w:p>
            <w:pPr>
              <w:jc w:val="right"/>
              <w:spacing w:after="0"/>
              <w:rPr>
                <w:sz w:val="20"/>
                <w:szCs w:val="20"/>
                <w:color w:val="auto"/>
              </w:rPr>
            </w:pPr>
            <w:r>
              <w:rPr>
                <w:rFonts w:ascii="Arial" w:cs="Arial" w:eastAsia="Arial" w:hAnsi="Arial"/>
                <w:sz w:val="16"/>
                <w:szCs w:val="16"/>
                <w:color w:val="auto"/>
              </w:rPr>
              <w:t>(258)</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(580)</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rPr>
                <w:sz w:val="20"/>
                <w:szCs w:val="20"/>
                <w:color w:val="auto"/>
              </w:rPr>
            </w:pPr>
            <w:r>
              <w:rPr>
                <w:rFonts w:ascii="Arial" w:cs="Arial" w:eastAsia="Arial" w:hAnsi="Arial"/>
                <w:sz w:val="16"/>
                <w:szCs w:val="16"/>
                <w:color w:val="auto"/>
              </w:rPr>
              <w:t>Noncash share-based compensation</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173</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rPr>
                <w:sz w:val="20"/>
                <w:szCs w:val="20"/>
                <w:color w:val="auto"/>
              </w:rPr>
            </w:pPr>
            <w:r>
              <w:rPr>
                <w:rFonts w:ascii="Arial" w:cs="Arial" w:eastAsia="Arial" w:hAnsi="Arial"/>
                <w:sz w:val="16"/>
                <w:szCs w:val="16"/>
                <w:color w:val="auto"/>
              </w:rPr>
              <w:t>Distributions to noncontrolling interests and dividends for redeemable subsidiary preferred stock</w:t>
            </w:r>
          </w:p>
        </w:tc>
        <w:tc>
          <w:tcPr>
            <w:tcW w:w="1160" w:type="dxa"/>
            <w:vAlign w:val="bottom"/>
          </w:tcPr>
          <w:p>
            <w:pPr>
              <w:jc w:val="right"/>
              <w:spacing w:after="0"/>
              <w:rPr>
                <w:sz w:val="20"/>
                <w:szCs w:val="20"/>
                <w:color w:val="auto"/>
              </w:rPr>
            </w:pPr>
            <w:r>
              <w:rPr>
                <w:rFonts w:ascii="Arial" w:cs="Arial" w:eastAsia="Arial" w:hAnsi="Arial"/>
                <w:sz w:val="16"/>
                <w:szCs w:val="16"/>
                <w:color w:val="auto"/>
              </w:rPr>
              <w:t>(77)</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340"/>
              <w:spacing w:after="0"/>
              <w:rPr>
                <w:sz w:val="20"/>
                <w:szCs w:val="20"/>
                <w:color w:val="auto"/>
              </w:rPr>
            </w:pPr>
            <w:r>
              <w:rPr>
                <w:rFonts w:ascii="Arial" w:cs="Arial" w:eastAsia="Arial" w:hAnsi="Arial"/>
                <w:sz w:val="16"/>
                <w:szCs w:val="16"/>
                <w:color w:val="auto"/>
              </w:rPr>
              <w:t>Other</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47</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340"/>
              <w:spacing w:after="0" w:line="207" w:lineRule="exact"/>
              <w:rPr>
                <w:sz w:val="20"/>
                <w:szCs w:val="20"/>
                <w:color w:val="auto"/>
              </w:rPr>
            </w:pPr>
            <w:r>
              <w:rPr>
                <w:rFonts w:ascii="Arial" w:cs="Arial" w:eastAsia="Arial" w:hAnsi="Arial"/>
                <w:sz w:val="16"/>
                <w:szCs w:val="16"/>
                <w:color w:val="auto"/>
              </w:rPr>
              <w:t>Impact of share-based compensation accounting change</w:t>
            </w:r>
            <w:r>
              <w:rPr>
                <w:rFonts w:ascii="Arial" w:cs="Arial" w:eastAsia="Arial" w:hAnsi="Arial"/>
                <w:sz w:val="19"/>
                <w:szCs w:val="19"/>
                <w:color w:val="auto"/>
                <w:vertAlign w:val="superscript"/>
              </w:rPr>
              <w:t>(4)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240" w:type="dxa"/>
            <w:vAlign w:val="bottom"/>
          </w:tcPr>
          <w:p>
            <w:pPr>
              <w:ind w:left="340"/>
              <w:spacing w:after="0" w:line="165" w:lineRule="exact"/>
              <w:rPr>
                <w:sz w:val="20"/>
                <w:szCs w:val="20"/>
                <w:color w:val="auto"/>
              </w:rPr>
            </w:pPr>
            <w:r>
              <w:rPr>
                <w:rFonts w:ascii="Arial" w:cs="Arial" w:eastAsia="Arial" w:hAnsi="Arial"/>
                <w:sz w:val="16"/>
                <w:szCs w:val="16"/>
                <w:color w:val="auto"/>
              </w:rPr>
              <w:t>Free cash flow (including Economic Stimulus Packages)</w:t>
            </w:r>
          </w:p>
        </w:tc>
        <w:tc>
          <w:tcPr>
            <w:tcW w:w="1160" w:type="dxa"/>
            <w:vAlign w:val="bottom"/>
          </w:tcPr>
          <w:p>
            <w:pPr>
              <w:jc w:val="right"/>
              <w:ind w:right="19"/>
              <w:spacing w:after="0" w:line="165" w:lineRule="exact"/>
              <w:rPr>
                <w:sz w:val="20"/>
                <w:szCs w:val="20"/>
                <w:color w:val="auto"/>
              </w:rPr>
            </w:pPr>
            <w:r>
              <w:rPr>
                <w:rFonts w:ascii="Arial" w:cs="Arial" w:eastAsia="Arial" w:hAnsi="Arial"/>
                <w:sz w:val="16"/>
                <w:szCs w:val="16"/>
                <w:color w:val="auto"/>
              </w:rPr>
              <w:t>2,805</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19"/>
              <w:spacing w:after="0" w:line="165" w:lineRule="exact"/>
              <w:rPr>
                <w:sz w:val="20"/>
                <w:szCs w:val="20"/>
                <w:color w:val="auto"/>
              </w:rPr>
            </w:pPr>
            <w:r>
              <w:rPr>
                <w:rFonts w:ascii="Arial" w:cs="Arial" w:eastAsia="Arial" w:hAnsi="Arial"/>
                <w:sz w:val="16"/>
                <w:szCs w:val="16"/>
                <w:b w:val="1"/>
                <w:bCs w:val="1"/>
                <w:color w:val="auto"/>
              </w:rPr>
              <w:t>3,079</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340"/>
              <w:spacing w:after="0" w:line="207" w:lineRule="exact"/>
              <w:rPr>
                <w:sz w:val="20"/>
                <w:szCs w:val="20"/>
                <w:color w:val="auto"/>
              </w:rPr>
            </w:pPr>
            <w:r>
              <w:rPr>
                <w:rFonts w:ascii="Arial" w:cs="Arial" w:eastAsia="Arial" w:hAnsi="Arial"/>
                <w:sz w:val="16"/>
                <w:szCs w:val="16"/>
                <w:color w:val="auto"/>
              </w:rPr>
              <w:t>Economic Stimulus Packages</w:t>
            </w:r>
            <w:r>
              <w:rPr>
                <w:rFonts w:ascii="Arial" w:cs="Arial" w:eastAsia="Arial" w:hAnsi="Arial"/>
                <w:sz w:val="19"/>
                <w:szCs w:val="19"/>
                <w:color w:val="auto"/>
                <w:vertAlign w:val="superscript"/>
              </w:rPr>
              <w:t>(3)</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240" w:type="dxa"/>
            <w:vAlign w:val="bottom"/>
          </w:tcPr>
          <w:p>
            <w:pPr>
              <w:ind w:left="340"/>
              <w:spacing w:after="0" w:line="183" w:lineRule="exact"/>
              <w:rPr>
                <w:sz w:val="20"/>
                <w:szCs w:val="20"/>
                <w:color w:val="auto"/>
              </w:rPr>
            </w:pPr>
            <w:r>
              <w:rPr>
                <w:rFonts w:ascii="Arial" w:cs="Arial" w:eastAsia="Arial" w:hAnsi="Arial"/>
                <w:sz w:val="16"/>
                <w:szCs w:val="16"/>
                <w:b w:val="1"/>
                <w:bCs w:val="1"/>
                <w:color w:val="auto"/>
              </w:rPr>
              <w:t>Total free cash flow</w:t>
            </w:r>
          </w:p>
        </w:tc>
        <w:tc>
          <w:tcPr>
            <w:tcW w:w="11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$2,805</w:t>
            </w:r>
          </w:p>
        </w:tc>
        <w:tc>
          <w:tcPr>
            <w:tcW w:w="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$3,079</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right="100" w:hanging="332"/>
        <w:spacing w:after="0" w:line="241" w:lineRule="auto"/>
        <w:tabs>
          <w:tab w:leader="none" w:pos="312"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(income) expense items, net include interest expense, investment income (loss), equity in net income (losses) of investees, and other income (expense), net (as stated in our Statement of Income).</w:t>
      </w:r>
    </w:p>
    <w:p>
      <w:pPr>
        <w:ind w:left="340" w:hanging="332"/>
        <w:spacing w:after="0" w:line="241" w:lineRule="auto"/>
        <w:tabs>
          <w:tab w:leader="none" w:pos="312"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Nonoperating items include adjustments for any payments and receipts related to certain nonoperating items, net of estimated tax effects (such as income taxes on investment sales and payments related to income tax and litigation contingencies of acquired companies). Our definition of free cash flow specifically excludes any impact from the Economic Stimulus Packages and these amounts are presented separately.</w:t>
      </w:r>
    </w:p>
    <w:p>
      <w:pPr>
        <w:spacing w:after="0" w:line="1" w:lineRule="exact"/>
        <w:rPr>
          <w:rFonts w:ascii="Arial" w:cs="Arial" w:eastAsia="Arial" w:hAnsi="Arial"/>
          <w:sz w:val="14"/>
          <w:szCs w:val="14"/>
          <w:color w:val="auto"/>
        </w:rPr>
      </w:pPr>
    </w:p>
    <w:p>
      <w:pPr>
        <w:ind w:left="340" w:right="20" w:hanging="332"/>
        <w:spacing w:after="0" w:line="250" w:lineRule="auto"/>
        <w:tabs>
          <w:tab w:leader="none" w:pos="312" w:val="left"/>
        </w:tabs>
        <w:numPr>
          <w:ilvl w:val="0"/>
          <w:numId w:val="8"/>
        </w:numPr>
        <w:rPr>
          <w:rFonts w:ascii="Arial" w:cs="Arial" w:eastAsia="Arial" w:hAnsi="Arial"/>
          <w:sz w:val="14"/>
          <w:szCs w:val="14"/>
          <w:color w:val="auto"/>
        </w:rPr>
      </w:pPr>
      <w:r>
        <w:rPr>
          <w:rFonts w:ascii="Arial" w:cs="Arial" w:eastAsia="Arial" w:hAnsi="Arial"/>
          <w:sz w:val="14"/>
          <w:szCs w:val="14"/>
          <w:color w:val="auto"/>
        </w:rPr>
        <w:t>Cash taxes on operating items (including Economic Stimulus Packages) has been adjusted to exclude the impact of nonoperating items, such as for cash taxes paid related to certain investing and financing transactions. Our definition of free cash flow specifically excludes any impact from the Economic Stimulus Packages and these amounts are presented separately.</w:t>
      </w:r>
    </w:p>
    <w:p>
      <w:pPr>
        <w:sectPr>
          <w:pgSz w:w="11900" w:h="16838" w:orient="portrait"/>
          <w:cols w:equalWidth="0" w:num="1">
            <w:col w:w="11420"/>
          </w:cols>
          <w:pgMar w:left="240" w:top="105" w:right="239" w:bottom="0" w:gutter="0" w:footer="0" w:header="0"/>
        </w:sectPr>
      </w:pPr>
    </w:p>
    <w:p>
      <w:pPr>
        <w:spacing w:after="0" w:line="200" w:lineRule="exact"/>
        <w:rPr>
          <w:sz w:val="20"/>
          <w:szCs w:val="20"/>
          <w:color w:val="auto"/>
        </w:rPr>
      </w:pPr>
    </w:p>
    <w:p>
      <w:pPr>
        <w:spacing w:after="0" w:line="33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Payments of income taxes</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Nonoperating items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taxes on operating items (including Economic Stimulus Packages)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March 31,</w:t>
      </w:r>
    </w:p>
    <w:p>
      <w:pPr>
        <w:ind w:left="420"/>
        <w:spacing w:after="0" w:line="236" w:lineRule="auto"/>
        <w:tabs>
          <w:tab w:leader="none" w:pos="194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p>
    <w:tbl>
      <w:tblPr>
        <w:tblLayout w:type="fixed"/>
        <w:tblInd w:w="0" w:type="dxa"/>
        <w:tblCellMar>
          <w:top w:w="0" w:type="dxa"/>
          <w:left w:w="0" w:type="dxa"/>
          <w:bottom w:w="0" w:type="dxa"/>
          <w:right w:w="0" w:type="dxa"/>
        </w:tblCellMar>
      </w:tblPr>
      <w:tr>
        <w:trPr>
          <w:trHeight w:val="160"/>
        </w:trPr>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400" w:type="dxa"/>
            <w:vAlign w:val="bottom"/>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w:t>
            </w:r>
          </w:p>
        </w:tc>
      </w:tr>
      <w:tr>
        <w:trPr>
          <w:trHeight w:val="157"/>
        </w:trPr>
        <w:tc>
          <w:tcPr>
            <w:tcW w:w="11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45</w:t>
            </w:r>
          </w:p>
        </w:tc>
        <w:tc>
          <w:tcPr>
            <w:tcW w:w="400" w:type="dxa"/>
            <w:vAlign w:val="bottom"/>
          </w:tcPr>
          <w:p>
            <w:pPr>
              <w:spacing w:after="0"/>
              <w:rPr>
                <w:sz w:val="13"/>
                <w:szCs w:val="13"/>
                <w:color w:val="auto"/>
              </w:rPr>
            </w:pPr>
          </w:p>
        </w:tc>
        <w:tc>
          <w:tcPr>
            <w:tcW w:w="11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r>
      <w:tr>
        <w:trPr>
          <w:trHeight w:val="156"/>
        </w:trPr>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w:t>
            </w:r>
          </w:p>
        </w:tc>
        <w:tc>
          <w:tcPr>
            <w:tcW w:w="40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ectPr>
          <w:pgSz w:w="11900" w:h="16838" w:orient="portrait"/>
          <w:cols w:equalWidth="0" w:num="2">
            <w:col w:w="7520" w:space="720"/>
            <w:col w:w="3180"/>
          </w:cols>
          <w:pgMar w:left="240" w:top="105" w:right="239" w:bottom="0" w:gutter="0" w:footer="0" w:header="0"/>
          <w:type w:val="continuous"/>
        </w:sectPr>
      </w:pPr>
    </w:p>
    <w:p>
      <w:pPr>
        <w:ind w:left="340" w:right="120" w:hanging="332"/>
        <w:spacing w:after="0" w:line="244" w:lineRule="auto"/>
        <w:tabs>
          <w:tab w:leader="none" w:pos="312"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1Q17, we adopted new accounting guidance related to share-based compensation. The guidance requires excess tax benefits under share-based compensation arrangements to be classified as an operating activity rather than a financing activity as they were under prior guidance. In addition, the new guidance requires when an employer withholds shares upon exercise of options or the vesting of restricted stock for the purpose of meeting withholding tax requirements, that the cash paid for withholding taxes be classified as a financing activity, which we present in Repurchases of Common Stock Under Repurchase Program and Employee Plans. We previously recorded cash paid for withholding taxes as an operating activity in changes in operating assets and liabilities. These changes will prospectively affect our calculation of Free Cash Flow. While we have retrospectively adopted these changes in our Statement of Cash Flows and the components of Free Cash Flow, we have not adjusted Total Free Cash Flow for periods prior to January 1, 2017. The table below summarizes the impact to the components of Free Cash Flow for the share-based compensation accounting change.</w:t>
      </w:r>
    </w:p>
    <w:p>
      <w:pPr>
        <w:sectPr>
          <w:pgSz w:w="11900" w:h="16838" w:orient="portrait"/>
          <w:cols w:equalWidth="0" w:num="1">
            <w:col w:w="11420"/>
          </w:cols>
          <w:pgMar w:left="240" w:top="105"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Cash taxes on operating items (including Economic Stimulus Packages)</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Changes in operating assets and liabilities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Impact of share-based compensation accounting change</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96" w:lineRule="exact"/>
        <w:rPr>
          <w:sz w:val="20"/>
          <w:szCs w:val="20"/>
          <w:color w:val="auto"/>
        </w:rPr>
      </w:pPr>
    </w:p>
    <w:p>
      <w:pPr>
        <w:jc w:val="right"/>
        <w:ind w:right="186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2160"/>
        <w:spacing w:after="0"/>
        <w:rPr>
          <w:sz w:val="20"/>
          <w:szCs w:val="20"/>
          <w:color w:val="auto"/>
        </w:rPr>
      </w:pPr>
      <w:r>
        <w:rPr>
          <w:rFonts w:ascii="Arial" w:cs="Arial" w:eastAsia="Arial" w:hAnsi="Arial"/>
          <w:sz w:val="14"/>
          <w:szCs w:val="14"/>
          <w:color w:val="auto"/>
        </w:rPr>
        <w:t>Three Months</w:t>
      </w:r>
    </w:p>
    <w:p>
      <w:pPr>
        <w:spacing w:after="0" w:line="1" w:lineRule="exact"/>
        <w:rPr>
          <w:sz w:val="20"/>
          <w:szCs w:val="20"/>
          <w:color w:val="auto"/>
        </w:rPr>
      </w:pPr>
    </w:p>
    <w:p>
      <w:pPr>
        <w:jc w:val="center"/>
        <w:ind w:right="2160"/>
        <w:spacing w:after="0"/>
        <w:rPr>
          <w:sz w:val="20"/>
          <w:szCs w:val="20"/>
          <w:color w:val="auto"/>
        </w:rPr>
      </w:pPr>
      <w:r>
        <w:rPr>
          <w:rFonts w:ascii="Arial" w:cs="Arial" w:eastAsia="Arial" w:hAnsi="Arial"/>
          <w:sz w:val="14"/>
          <w:szCs w:val="14"/>
          <w:color w:val="auto"/>
        </w:rPr>
        <w:t>Ended</w:t>
      </w:r>
    </w:p>
    <w:p>
      <w:pPr>
        <w:spacing w:after="0" w:line="1" w:lineRule="exact"/>
        <w:rPr>
          <w:sz w:val="20"/>
          <w:szCs w:val="20"/>
          <w:color w:val="auto"/>
        </w:rPr>
      </w:pPr>
    </w:p>
    <w:p>
      <w:pPr>
        <w:jc w:val="center"/>
        <w:ind w:right="2160"/>
        <w:spacing w:after="0"/>
        <w:rPr>
          <w:sz w:val="20"/>
          <w:szCs w:val="20"/>
          <w:color w:val="auto"/>
        </w:rPr>
      </w:pPr>
      <w:r>
        <w:rPr>
          <w:rFonts w:ascii="Arial" w:cs="Arial" w:eastAsia="Arial" w:hAnsi="Arial"/>
          <w:sz w:val="14"/>
          <w:szCs w:val="14"/>
          <w:color w:val="auto"/>
        </w:rPr>
        <w:t>March 31,</w:t>
      </w:r>
    </w:p>
    <w:p>
      <w:pPr>
        <w:spacing w:after="0" w:line="1" w:lineRule="exact"/>
        <w:rPr>
          <w:sz w:val="20"/>
          <w:szCs w:val="20"/>
          <w:color w:val="auto"/>
        </w:rPr>
      </w:pPr>
    </w:p>
    <w:p>
      <w:pPr>
        <w:jc w:val="center"/>
        <w:ind w:right="2160"/>
        <w:spacing w:after="0"/>
        <w:rPr>
          <w:sz w:val="20"/>
          <w:szCs w:val="20"/>
          <w:color w:val="auto"/>
        </w:rPr>
      </w:pP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-1905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jc w:val="right"/>
        <w:ind w:right="2120"/>
        <w:spacing w:after="0"/>
        <w:rPr>
          <w:sz w:val="20"/>
          <w:szCs w:val="20"/>
          <w:color w:val="auto"/>
        </w:rPr>
      </w:pPr>
      <w:r>
        <w:rPr>
          <w:rFonts w:ascii="Arial" w:cs="Arial" w:eastAsia="Arial" w:hAnsi="Arial"/>
          <w:sz w:val="14"/>
          <w:szCs w:val="14"/>
          <w:color w:val="auto"/>
        </w:rPr>
        <w:t>$111</w:t>
      </w:r>
    </w:p>
    <w:p>
      <w:pPr>
        <w:spacing w:after="0" w:line="1" w:lineRule="exact"/>
        <w:rPr>
          <w:sz w:val="20"/>
          <w:szCs w:val="20"/>
          <w:color w:val="auto"/>
        </w:rPr>
      </w:pPr>
    </w:p>
    <w:p>
      <w:pPr>
        <w:jc w:val="right"/>
        <w:ind w:right="2120"/>
        <w:spacing w:after="0"/>
        <w:rPr>
          <w:sz w:val="20"/>
          <w:szCs w:val="20"/>
          <w:color w:val="auto"/>
        </w:rPr>
      </w:pPr>
      <w:r>
        <w:rPr>
          <w:rFonts w:ascii="Arial" w:cs="Arial" w:eastAsia="Arial" w:hAnsi="Arial"/>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-1905</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4"/>
          <w:szCs w:val="14"/>
          <w:color w:val="auto"/>
        </w:rPr>
        <w:t>$289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-1905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-84455</wp:posOffset>
            </wp:positionH>
            <wp:positionV relativeFrom="paragraph">
              <wp:posOffset>14605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26" w:lineRule="exact"/>
        <w:rPr>
          <w:sz w:val="20"/>
          <w:szCs w:val="20"/>
          <w:color w:val="auto"/>
        </w:rPr>
      </w:pPr>
    </w:p>
    <w:p>
      <w:pPr>
        <w:sectPr>
          <w:pgSz w:w="11900" w:h="16838" w:orient="portrait"/>
          <w:cols w:equalWidth="0" w:num="2">
            <w:col w:w="7660" w:space="720"/>
            <w:col w:w="3040"/>
          </w:cols>
          <w:pgMar w:left="240" w:top="105" w:right="239" w:bottom="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b w:val="1"/>
          <w:bCs w:val="1"/>
          <w:color w:val="C9C9C9"/>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454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b w:val="1"/>
          <w:bCs w:val="1"/>
          <w:color w:val="C9C9C9"/>
        </w:rPr>
        <w:t>Reconciliation of EPS Excluding Adjustments (Unaudited)</w:t>
      </w:r>
    </w:p>
    <w:p>
      <w:pPr>
        <w:sectPr>
          <w:pgSz w:w="11900" w:h="16838" w:orient="portrait"/>
          <w:cols w:equalWidth="0" w:num="1">
            <w:col w:w="11420"/>
          </w:cols>
          <w:pgMar w:left="240" w:top="105" w:right="239" w:bottom="0" w:gutter="0" w:footer="0" w:header="0"/>
          <w:type w:val="continuous"/>
        </w:sectPr>
      </w:pPr>
    </w:p>
    <w:bookmarkStart w:id="9" w:name="page10"/>
    <w:bookmarkEnd w:id="9"/>
    <w:p>
      <w:pPr>
        <w:jc w:val="center"/>
        <w:ind w:left="4940"/>
        <w:spacing w:after="0"/>
        <w:rPr>
          <w:sz w:val="20"/>
          <w:szCs w:val="20"/>
          <w:color w:val="auto"/>
        </w:rPr>
      </w:pPr>
      <w:r>
        <w:rPr>
          <w:rFonts w:ascii="Arial" w:cs="Arial" w:eastAsia="Arial" w:hAnsi="Arial"/>
          <w:sz w:val="18"/>
          <w:szCs w:val="18"/>
          <w:b w:val="1"/>
          <w:bCs w:val="1"/>
          <w:color w:val="auto"/>
        </w:rPr>
        <w:t>Three Months Ended</w:t>
      </w:r>
    </w:p>
    <w:p>
      <w:pPr>
        <w:spacing w:after="0" w:line="17" w:lineRule="exact"/>
        <w:rPr>
          <w:sz w:val="20"/>
          <w:szCs w:val="20"/>
          <w:color w:val="auto"/>
        </w:rPr>
      </w:pPr>
    </w:p>
    <w:p>
      <w:pPr>
        <w:jc w:val="center"/>
        <w:ind w:left="4940"/>
        <w:spacing w:after="0"/>
        <w:rPr>
          <w:sz w:val="20"/>
          <w:szCs w:val="20"/>
          <w:color w:val="auto"/>
        </w:rPr>
      </w:pPr>
      <w:r>
        <w:rPr>
          <w:rFonts w:ascii="Arial" w:cs="Arial" w:eastAsia="Arial" w:hAnsi="Arial"/>
          <w:sz w:val="18"/>
          <w:szCs w:val="18"/>
          <w:b w:val="1"/>
          <w:bCs w:val="1"/>
          <w:color w:val="auto"/>
        </w:rPr>
        <w:t>March 31,</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5080" w:type="dxa"/>
            <w:vAlign w:val="bottom"/>
            <w:vMerge w:val="restart"/>
          </w:tcPr>
          <w:p>
            <w:pPr>
              <w:spacing w:after="0"/>
              <w:rPr>
                <w:sz w:val="20"/>
                <w:szCs w:val="20"/>
                <w:color w:val="auto"/>
              </w:rPr>
            </w:pPr>
            <w:r>
              <w:rPr>
                <w:rFonts w:ascii="Arial" w:cs="Arial" w:eastAsia="Arial" w:hAnsi="Arial"/>
                <w:sz w:val="18"/>
                <w:szCs w:val="18"/>
                <w:color w:val="auto"/>
              </w:rPr>
              <w:t>(in millions, except per share data)</w:t>
            </w: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2016</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1700" w:type="dxa"/>
            <w:vAlign w:val="bottom"/>
            <w:vMerge w:val="restart"/>
          </w:tcPr>
          <w:p>
            <w:pPr>
              <w:ind w:left="56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auto"/>
              </w:rPr>
              <w:t>EPS</w:t>
            </w:r>
          </w:p>
        </w:tc>
        <w:tc>
          <w:tcPr>
            <w:tcW w:w="166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EPS</w:t>
            </w: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5080" w:type="dxa"/>
            <w:vAlign w:val="bottom"/>
          </w:tcPr>
          <w:p>
            <w:pPr>
              <w:spacing w:after="0"/>
              <w:rPr>
                <w:sz w:val="20"/>
                <w:szCs w:val="20"/>
                <w:color w:val="auto"/>
              </w:rPr>
            </w:pPr>
            <w:r>
              <w:rPr>
                <w:rFonts w:ascii="Arial" w:cs="Arial" w:eastAsia="Arial" w:hAnsi="Arial"/>
                <w:sz w:val="18"/>
                <w:szCs w:val="18"/>
                <w:color w:val="auto"/>
              </w:rPr>
              <w:t>Net income attributable to Comcast Corporation</w:t>
            </w:r>
          </w:p>
        </w:tc>
        <w:tc>
          <w:tcPr>
            <w:tcW w:w="170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$2,134</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$0.43</w:t>
            </w:r>
          </w:p>
        </w:tc>
        <w:tc>
          <w:tcPr>
            <w:tcW w:w="240" w:type="dxa"/>
            <w:vAlign w:val="bottom"/>
          </w:tcPr>
          <w:p>
            <w:pPr>
              <w:spacing w:after="0"/>
              <w:rPr>
                <w:sz w:val="24"/>
                <w:szCs w:val="24"/>
                <w:color w:val="auto"/>
              </w:rPr>
            </w:pPr>
          </w:p>
        </w:tc>
        <w:tc>
          <w:tcPr>
            <w:tcW w:w="1660" w:type="dxa"/>
            <w:vAlign w:val="bottom"/>
            <w:tcBorders>
              <w:top w:val="single" w:sz="8" w:color="auto"/>
            </w:tcBorders>
          </w:tcPr>
          <w:p>
            <w:pPr>
              <w:ind w:left="540"/>
              <w:spacing w:after="0"/>
              <w:rPr>
                <w:sz w:val="20"/>
                <w:szCs w:val="20"/>
                <w:color w:val="auto"/>
              </w:rPr>
            </w:pPr>
            <w:r>
              <w:rPr>
                <w:rFonts w:ascii="Arial" w:cs="Arial" w:eastAsia="Arial" w:hAnsi="Arial"/>
                <w:sz w:val="18"/>
                <w:szCs w:val="18"/>
                <w:b w:val="1"/>
                <w:bCs w:val="1"/>
                <w:color w:val="auto"/>
              </w:rPr>
              <w:t>$2,566</w:t>
            </w:r>
          </w:p>
        </w:tc>
        <w:tc>
          <w:tcPr>
            <w:tcW w:w="96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b w:val="1"/>
                <w:bCs w:val="1"/>
                <w:color w:val="auto"/>
              </w:rPr>
              <w:t>$0.53</w:t>
            </w:r>
          </w:p>
        </w:tc>
        <w:tc>
          <w:tcPr>
            <w:tcW w:w="0" w:type="dxa"/>
            <w:vAlign w:val="bottom"/>
          </w:tcPr>
          <w:p>
            <w:pPr>
              <w:spacing w:after="0"/>
              <w:rPr>
                <w:sz w:val="1"/>
                <w:szCs w:val="1"/>
                <w:color w:val="auto"/>
              </w:rPr>
            </w:pPr>
          </w:p>
        </w:tc>
      </w:tr>
      <w:tr>
        <w:trPr>
          <w:trHeight w:val="235"/>
        </w:trPr>
        <w:tc>
          <w:tcPr>
            <w:tcW w:w="5080" w:type="dxa"/>
            <w:vAlign w:val="bottom"/>
          </w:tcPr>
          <w:p>
            <w:pPr>
              <w:spacing w:after="0"/>
              <w:rPr>
                <w:sz w:val="20"/>
                <w:szCs w:val="20"/>
                <w:color w:val="auto"/>
              </w:rPr>
            </w:pPr>
            <w:r>
              <w:rPr>
                <w:rFonts w:ascii="Arial" w:cs="Arial" w:eastAsia="Arial" w:hAnsi="Arial"/>
                <w:sz w:val="18"/>
                <w:szCs w:val="18"/>
                <w:i w:val="1"/>
                <w:iCs w:val="1"/>
                <w:color w:val="auto"/>
              </w:rPr>
              <w:t>Growth %</w:t>
            </w: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i w:val="1"/>
                <w:iCs w:val="1"/>
                <w:color w:val="auto"/>
              </w:rPr>
              <w:t>20.2%</w:t>
            </w:r>
          </w:p>
        </w:tc>
        <w:tc>
          <w:tcPr>
            <w:tcW w:w="960" w:type="dxa"/>
            <w:vAlign w:val="bottom"/>
          </w:tcPr>
          <w:p>
            <w:pPr>
              <w:jc w:val="center"/>
              <w:ind w:left="190"/>
              <w:spacing w:after="0"/>
              <w:rPr>
                <w:sz w:val="20"/>
                <w:szCs w:val="20"/>
                <w:color w:val="auto"/>
              </w:rPr>
            </w:pPr>
            <w:r>
              <w:rPr>
                <w:rFonts w:ascii="Arial" w:cs="Arial" w:eastAsia="Arial" w:hAnsi="Arial"/>
                <w:sz w:val="18"/>
                <w:szCs w:val="18"/>
                <w:i w:val="1"/>
                <w:iCs w:val="1"/>
                <w:color w:val="auto"/>
              </w:rPr>
              <w:t>23.3%</w:t>
            </w:r>
          </w:p>
        </w:tc>
        <w:tc>
          <w:tcPr>
            <w:tcW w:w="0" w:type="dxa"/>
            <w:vAlign w:val="bottom"/>
          </w:tcPr>
          <w:p>
            <w:pPr>
              <w:spacing w:after="0"/>
              <w:rPr>
                <w:sz w:val="1"/>
                <w:szCs w:val="1"/>
                <w:color w:val="auto"/>
              </w:rPr>
            </w:pPr>
          </w:p>
        </w:tc>
      </w:tr>
      <w:tr>
        <w:trPr>
          <w:trHeight w:val="405"/>
        </w:trPr>
        <w:tc>
          <w:tcPr>
            <w:tcW w:w="5080" w:type="dxa"/>
            <w:vAlign w:val="bottom"/>
          </w:tcPr>
          <w:p>
            <w:pPr>
              <w:ind w:left="300"/>
              <w:spacing w:after="0"/>
              <w:rPr>
                <w:sz w:val="20"/>
                <w:szCs w:val="20"/>
                <w:color w:val="auto"/>
              </w:rPr>
            </w:pPr>
            <w:r>
              <w:rPr>
                <w:rFonts w:ascii="Arial" w:cs="Arial" w:eastAsia="Arial" w:hAnsi="Arial"/>
                <w:sz w:val="18"/>
                <w:szCs w:val="18"/>
                <w:color w:val="auto"/>
              </w:rPr>
              <w:t>Gain on sale of investment</w:t>
            </w:r>
            <w:r>
              <w:rPr>
                <w:rFonts w:ascii="Arial" w:cs="Arial" w:eastAsia="Arial" w:hAnsi="Arial"/>
                <w:sz w:val="18"/>
                <w:szCs w:val="18"/>
                <w:color w:val="auto"/>
                <w:vertAlign w:val="superscript"/>
              </w:rPr>
              <w:t>(1)</w:t>
            </w: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(67)</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81"/>
        </w:trPr>
        <w:tc>
          <w:tcPr>
            <w:tcW w:w="5080" w:type="dxa"/>
            <w:vAlign w:val="bottom"/>
            <w:vMerge w:val="restart"/>
          </w:tcPr>
          <w:p>
            <w:pPr>
              <w:spacing w:after="0"/>
              <w:rPr>
                <w:sz w:val="20"/>
                <w:szCs w:val="20"/>
                <w:color w:val="auto"/>
              </w:rPr>
            </w:pPr>
            <w:r>
              <w:rPr>
                <w:rFonts w:ascii="Arial" w:cs="Arial" w:eastAsia="Arial" w:hAnsi="Arial"/>
                <w:sz w:val="18"/>
                <w:szCs w:val="18"/>
                <w:color w:val="auto"/>
              </w:rPr>
              <w:t>Net income attributable to Comcast Corporation (excluding</w:t>
            </w:r>
          </w:p>
        </w:tc>
        <w:tc>
          <w:tcPr>
            <w:tcW w:w="17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5080" w:type="dxa"/>
            <w:vAlign w:val="bottom"/>
            <w:vMerge w:val="continue"/>
          </w:tcPr>
          <w:p>
            <w:pPr>
              <w:spacing w:after="0"/>
              <w:rPr>
                <w:sz w:val="15"/>
                <w:szCs w:val="15"/>
                <w:color w:val="auto"/>
              </w:rPr>
            </w:pPr>
          </w:p>
        </w:tc>
        <w:tc>
          <w:tcPr>
            <w:tcW w:w="1700" w:type="dxa"/>
            <w:vAlign w:val="bottom"/>
            <w:vMerge w:val="restart"/>
          </w:tcPr>
          <w:p>
            <w:pPr>
              <w:ind w:left="560"/>
              <w:spacing w:after="0"/>
              <w:rPr>
                <w:sz w:val="20"/>
                <w:szCs w:val="20"/>
                <w:color w:val="auto"/>
              </w:rPr>
            </w:pPr>
            <w:r>
              <w:rPr>
                <w:rFonts w:ascii="Arial" w:cs="Arial" w:eastAsia="Arial" w:hAnsi="Arial"/>
                <w:sz w:val="18"/>
                <w:szCs w:val="18"/>
                <w:color w:val="auto"/>
              </w:rPr>
              <w:t>$2,067</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$0.42</w:t>
            </w:r>
          </w:p>
        </w:tc>
        <w:tc>
          <w:tcPr>
            <w:tcW w:w="240" w:type="dxa"/>
            <w:vAlign w:val="bottom"/>
          </w:tcPr>
          <w:p>
            <w:pPr>
              <w:spacing w:after="0"/>
              <w:rPr>
                <w:sz w:val="15"/>
                <w:szCs w:val="15"/>
                <w:color w:val="auto"/>
              </w:rPr>
            </w:pPr>
          </w:p>
        </w:tc>
        <w:tc>
          <w:tcPr>
            <w:tcW w:w="166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$2,566</w:t>
            </w:r>
          </w:p>
        </w:tc>
        <w:tc>
          <w:tcPr>
            <w:tcW w:w="960" w:type="dxa"/>
            <w:vAlign w:val="bottom"/>
            <w:vMerge w:val="restart"/>
          </w:tcPr>
          <w:p>
            <w:pPr>
              <w:jc w:val="center"/>
              <w:ind w:left="210"/>
              <w:spacing w:after="0"/>
              <w:rPr>
                <w:sz w:val="20"/>
                <w:szCs w:val="20"/>
                <w:color w:val="auto"/>
              </w:rPr>
            </w:pPr>
            <w:r>
              <w:rPr>
                <w:rFonts w:ascii="Arial" w:cs="Arial" w:eastAsia="Arial" w:hAnsi="Arial"/>
                <w:sz w:val="18"/>
                <w:szCs w:val="18"/>
                <w:b w:val="1"/>
                <w:bCs w:val="1"/>
                <w:color w:val="auto"/>
              </w:rPr>
              <w:t>$0.53</w:t>
            </w:r>
          </w:p>
        </w:tc>
        <w:tc>
          <w:tcPr>
            <w:tcW w:w="0" w:type="dxa"/>
            <w:vAlign w:val="bottom"/>
          </w:tcPr>
          <w:p>
            <w:pPr>
              <w:spacing w:after="0"/>
              <w:rPr>
                <w:sz w:val="1"/>
                <w:szCs w:val="1"/>
                <w:color w:val="auto"/>
              </w:rPr>
            </w:pPr>
          </w:p>
        </w:tc>
      </w:tr>
      <w:tr>
        <w:trPr>
          <w:trHeight w:val="195"/>
        </w:trPr>
        <w:tc>
          <w:tcPr>
            <w:tcW w:w="5080" w:type="dxa"/>
            <w:vAlign w:val="bottom"/>
          </w:tcPr>
          <w:p>
            <w:pPr>
              <w:ind w:left="180"/>
              <w:spacing w:after="0" w:line="190" w:lineRule="exact"/>
              <w:rPr>
                <w:sz w:val="20"/>
                <w:szCs w:val="20"/>
                <w:color w:val="auto"/>
              </w:rPr>
            </w:pPr>
            <w:r>
              <w:rPr>
                <w:rFonts w:ascii="Arial" w:cs="Arial" w:eastAsia="Arial" w:hAnsi="Arial"/>
                <w:sz w:val="18"/>
                <w:szCs w:val="18"/>
                <w:color w:val="auto"/>
              </w:rPr>
              <w:t>adjustments)</w:t>
            </w:r>
          </w:p>
        </w:tc>
        <w:tc>
          <w:tcPr>
            <w:tcW w:w="17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i w:val="1"/>
                <w:iCs w:val="1"/>
                <w:color w:val="auto"/>
              </w:rPr>
              <w:t>Growth %</w:t>
            </w:r>
          </w:p>
        </w:tc>
        <w:tc>
          <w:tcPr>
            <w:tcW w:w="1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8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i w:val="1"/>
                <w:iCs w:val="1"/>
                <w:color w:val="auto"/>
              </w:rPr>
              <w:t>24.1%</w:t>
            </w:r>
          </w:p>
        </w:tc>
        <w:tc>
          <w:tcPr>
            <w:tcW w:w="960" w:type="dxa"/>
            <w:vAlign w:val="bottom"/>
          </w:tcPr>
          <w:p>
            <w:pPr>
              <w:jc w:val="center"/>
              <w:ind w:left="190"/>
              <w:spacing w:after="0"/>
              <w:rPr>
                <w:sz w:val="20"/>
                <w:szCs w:val="20"/>
                <w:color w:val="auto"/>
              </w:rPr>
            </w:pPr>
            <w:r>
              <w:rPr>
                <w:rFonts w:ascii="Arial" w:cs="Arial" w:eastAsia="Arial" w:hAnsi="Arial"/>
                <w:sz w:val="18"/>
                <w:szCs w:val="18"/>
                <w:i w:val="1"/>
                <w:iCs w:val="1"/>
                <w:color w:val="auto"/>
              </w:rPr>
              <w:t>26.2%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80" w:hanging="272"/>
        <w:spacing w:after="0" w:line="260" w:lineRule="auto"/>
        <w:tabs>
          <w:tab w:leader="none" w:pos="281" w:val="left"/>
        </w:tabs>
        <w:numPr>
          <w:ilvl w:val="0"/>
          <w:numId w:val="10"/>
        </w:numPr>
        <w:rPr>
          <w:rFonts w:ascii="Arial" w:cs="Arial" w:eastAsia="Arial" w:hAnsi="Arial"/>
          <w:sz w:val="16"/>
          <w:szCs w:val="16"/>
          <w:color w:val="auto"/>
        </w:rPr>
      </w:pPr>
      <w:r>
        <w:rPr>
          <w:rFonts w:ascii="Arial" w:cs="Arial" w:eastAsia="Arial" w:hAnsi="Arial"/>
          <w:sz w:val="16"/>
          <w:szCs w:val="16"/>
          <w:color w:val="auto"/>
        </w:rPr>
        <w:t>1st quarter 2016 net income attributable to Comcast Corporation includes $108 million of other income, $67 million net of tax, resulting from a gain on the sale of our investment in The Weather Channel’s product and technology business.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10" w:name="page11"/>
    <w:bookmarkEnd w:id="10"/>
    <w:p>
      <w:pPr>
        <w:jc w:val="right"/>
        <w:spacing w:after="0"/>
        <w:rPr>
          <w:sz w:val="20"/>
          <w:szCs w:val="20"/>
          <w:color w:val="auto"/>
        </w:rPr>
      </w:pPr>
      <w:r>
        <w:rPr>
          <w:rFonts w:ascii="Arial" w:cs="Arial" w:eastAsia="Arial" w:hAnsi="Arial"/>
          <w:sz w:val="17"/>
          <w:szCs w:val="17"/>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Adjusted EBITDA (formerly Operating Cash Flow) is the primary basis used to measure the operational strength and performance of our businesses. Free Cash Flow is an additional performance measure used as an indicator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Adjusted EBITDA is defined as net income attributable to Comcast Corporation before net (income) loss attributable to noncontrolling interests and redeemable subsidiary preferred stock, income tax expense, other income (expense) items, net, and depreciation and amortization, and excluding impairment charges related to fixed and intangible assets and gains or losses on the sale of long-lived assets, if any. Other income (expense) items, net include interest expense, investment income (loss), equity in net income (losses) of investees, and other income (expense), net (as stated in our Consolidated Statement of Income).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use Adjusted EBITDA as the measure of profit or loss for our segments, and we reconcile it to income before income taxes in the business segment footnote to our quarterly and annual consolidated financial statements. We believe our measure of Adjusted EBITDA for our segments is not a “non-GAAP financial measure” as contemplated by Regulation G adopted by the Securities and Exchange Commission. Consolidated Adjusted EBITDA is a non-GAAP financial measure.</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Free Cash Flow, which is a non-GAAP financial measure, is defined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effects (such as income taxes on investment sales and payments related to income tax and litigation contingencies of acquired companies). We believe that Free Cash Flow is also useful to investors as the basis for comparing our performance and coverage ratios with other companies in our industries, although our measure of Free Cash Flow may not be directly comparable to similar measures used by other companies.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certain circumstances, we also present “adjusted” data, to exclude the impact of certain events and certain gains, losses or other charges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 cont’d</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Non-GAAP financial measures should not be considered as substitutes for operating income (loss), net income (loss), net income (loss) attributable to Comcast Corporation, earnings per common share attributable to Comcast Corporation shareholders, net cash provided by operating activities or other measures of performance or liquidity reported in accordance with GAAP.</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Exhibit 99.1 to this Current Report on Form 8-K, we provide reconciliations of Adjusted EBITDA and Free Cash Flow in Table 4 and pro forma and “adjusted” data, when applicable, in additional Tables to the Earnings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4"/>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4"/>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2019-12-06T17:39:09Z</dcterms:created>
  <dcterms:modified xsi:type="dcterms:W3CDTF">2019-12-06T17:39:09Z</dcterms:modified>
</cp:coreProperties>
</file>