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June 26,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2760" w:type="dxa"/>
            <w:vAlign w:val="bottom"/>
          </w:tcPr>
          <w:p>
            <w:pPr>
              <w:spacing w:after="0"/>
              <w:rPr>
                <w:sz w:val="18"/>
                <w:szCs w:val="18"/>
                <w:color w:val="auto"/>
              </w:rPr>
            </w:pPr>
          </w:p>
        </w:tc>
        <w:tc>
          <w:tcPr>
            <w:tcW w:w="4740" w:type="dxa"/>
            <w:vAlign w:val="bottom"/>
          </w:tcPr>
          <w:p>
            <w:pPr>
              <w:jc w:val="center"/>
              <w:ind w:right="2185"/>
              <w:spacing w:after="0"/>
              <w:rPr>
                <w:sz w:val="20"/>
                <w:szCs w:val="20"/>
                <w:color w:val="auto"/>
              </w:rPr>
            </w:pPr>
            <w:r>
              <w:rPr>
                <w:rFonts w:ascii="Arial" w:cs="Arial" w:eastAsia="Arial" w:hAnsi="Arial"/>
                <w:sz w:val="18"/>
                <w:szCs w:val="18"/>
                <w:b w:val="1"/>
                <w:bCs w:val="1"/>
                <w:color w:val="auto"/>
                <w:w w:val="86"/>
              </w:rPr>
              <w:t>Pennsylvania</w:t>
            </w:r>
          </w:p>
        </w:tc>
      </w:tr>
      <w:tr>
        <w:trPr>
          <w:trHeight w:val="149"/>
        </w:trPr>
        <w:tc>
          <w:tcPr>
            <w:tcW w:w="2760" w:type="dxa"/>
            <w:vAlign w:val="bottom"/>
          </w:tcPr>
          <w:p>
            <w:pPr>
              <w:spacing w:after="0"/>
              <w:rPr>
                <w:sz w:val="12"/>
                <w:szCs w:val="12"/>
                <w:color w:val="auto"/>
              </w:rPr>
            </w:pPr>
          </w:p>
        </w:tc>
        <w:tc>
          <w:tcPr>
            <w:tcW w:w="4740" w:type="dxa"/>
            <w:vAlign w:val="bottom"/>
          </w:tcPr>
          <w:p>
            <w:pPr>
              <w:jc w:val="center"/>
              <w:ind w:right="2205"/>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r>
      <w:tr>
        <w:trPr>
          <w:trHeight w:val="174"/>
        </w:trPr>
        <w:tc>
          <w:tcPr>
            <w:tcW w:w="2760" w:type="dxa"/>
            <w:vAlign w:val="bottom"/>
          </w:tcPr>
          <w:p>
            <w:pPr>
              <w:spacing w:after="0"/>
              <w:rPr>
                <w:sz w:val="15"/>
                <w:szCs w:val="15"/>
                <w:color w:val="auto"/>
              </w:rPr>
            </w:pPr>
          </w:p>
        </w:tc>
        <w:tc>
          <w:tcPr>
            <w:tcW w:w="4740" w:type="dxa"/>
            <w:vAlign w:val="bottom"/>
          </w:tcPr>
          <w:p>
            <w:pPr>
              <w:jc w:val="center"/>
              <w:ind w:right="2205"/>
              <w:spacing w:after="0"/>
              <w:rPr>
                <w:sz w:val="20"/>
                <w:szCs w:val="20"/>
                <w:color w:val="auto"/>
              </w:rPr>
            </w:pPr>
            <w:r>
              <w:rPr>
                <w:rFonts w:ascii="Arial" w:cs="Arial" w:eastAsia="Arial" w:hAnsi="Arial"/>
                <w:sz w:val="14"/>
                <w:szCs w:val="14"/>
                <w:b w:val="1"/>
                <w:bCs w:val="1"/>
                <w:color w:val="auto"/>
                <w:w w:val="87"/>
              </w:rPr>
              <w:t>of incorporation)</w:t>
            </w:r>
          </w:p>
        </w:tc>
      </w:tr>
      <w:tr>
        <w:trPr>
          <w:trHeight w:val="393"/>
        </w:trPr>
        <w:tc>
          <w:tcPr>
            <w:tcW w:w="2760" w:type="dxa"/>
            <w:vAlign w:val="bottom"/>
          </w:tcPr>
          <w:p>
            <w:pPr>
              <w:jc w:val="center"/>
              <w:ind w:right="402"/>
              <w:spacing w:after="0"/>
              <w:rPr>
                <w:sz w:val="20"/>
                <w:szCs w:val="20"/>
                <w:color w:val="auto"/>
              </w:rPr>
            </w:pPr>
            <w:r>
              <w:rPr>
                <w:rFonts w:ascii="Arial" w:cs="Arial" w:eastAsia="Arial" w:hAnsi="Arial"/>
                <w:sz w:val="18"/>
                <w:szCs w:val="18"/>
                <w:b w:val="1"/>
                <w:bCs w:val="1"/>
                <w:color w:val="auto"/>
                <w:w w:val="88"/>
              </w:rPr>
              <w:t>001-32871</w:t>
            </w:r>
          </w:p>
        </w:tc>
        <w:tc>
          <w:tcPr>
            <w:tcW w:w="4740" w:type="dxa"/>
            <w:vAlign w:val="bottom"/>
          </w:tcPr>
          <w:p>
            <w:pPr>
              <w:jc w:val="center"/>
              <w:ind w:left="3585"/>
              <w:spacing w:after="0"/>
              <w:rPr>
                <w:sz w:val="20"/>
                <w:szCs w:val="20"/>
                <w:color w:val="auto"/>
              </w:rPr>
            </w:pPr>
            <w:r>
              <w:rPr>
                <w:rFonts w:ascii="Arial" w:cs="Arial" w:eastAsia="Arial" w:hAnsi="Arial"/>
                <w:sz w:val="18"/>
                <w:szCs w:val="18"/>
                <w:b w:val="1"/>
                <w:bCs w:val="1"/>
                <w:color w:val="auto"/>
                <w:w w:val="87"/>
              </w:rPr>
              <w:t>27-0000798</w:t>
            </w:r>
          </w:p>
        </w:tc>
      </w:tr>
      <w:tr>
        <w:trPr>
          <w:trHeight w:val="149"/>
        </w:trPr>
        <w:tc>
          <w:tcPr>
            <w:tcW w:w="2760" w:type="dxa"/>
            <w:vAlign w:val="bottom"/>
          </w:tcPr>
          <w:p>
            <w:pPr>
              <w:jc w:val="center"/>
              <w:ind w:right="402"/>
              <w:spacing w:after="0" w:line="149" w:lineRule="exact"/>
              <w:rPr>
                <w:sz w:val="20"/>
                <w:szCs w:val="20"/>
                <w:color w:val="auto"/>
              </w:rPr>
            </w:pPr>
            <w:r>
              <w:rPr>
                <w:rFonts w:ascii="Arial" w:cs="Arial" w:eastAsia="Arial" w:hAnsi="Arial"/>
                <w:sz w:val="14"/>
                <w:szCs w:val="14"/>
                <w:b w:val="1"/>
                <w:bCs w:val="1"/>
                <w:color w:val="auto"/>
                <w:w w:val="85"/>
              </w:rPr>
              <w:t>(Commission</w:t>
            </w:r>
          </w:p>
        </w:tc>
        <w:tc>
          <w:tcPr>
            <w:tcW w:w="4740" w:type="dxa"/>
            <w:vAlign w:val="bottom"/>
          </w:tcPr>
          <w:p>
            <w:pPr>
              <w:jc w:val="center"/>
              <w:ind w:left="3585"/>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760" w:type="dxa"/>
            <w:vAlign w:val="bottom"/>
          </w:tcPr>
          <w:p>
            <w:pPr>
              <w:jc w:val="center"/>
              <w:ind w:right="382"/>
              <w:spacing w:after="0"/>
              <w:rPr>
                <w:sz w:val="20"/>
                <w:szCs w:val="20"/>
                <w:color w:val="auto"/>
              </w:rPr>
            </w:pPr>
            <w:r>
              <w:rPr>
                <w:rFonts w:ascii="Arial" w:cs="Arial" w:eastAsia="Arial" w:hAnsi="Arial"/>
                <w:sz w:val="14"/>
                <w:szCs w:val="14"/>
                <w:b w:val="1"/>
                <w:bCs w:val="1"/>
                <w:color w:val="auto"/>
                <w:w w:val="91"/>
              </w:rPr>
              <w:t>File Number)</w:t>
            </w:r>
          </w:p>
        </w:tc>
        <w:tc>
          <w:tcPr>
            <w:tcW w:w="4740" w:type="dxa"/>
            <w:vAlign w:val="bottom"/>
          </w:tcPr>
          <w:p>
            <w:pPr>
              <w:jc w:val="center"/>
              <w:ind w:left="3605"/>
              <w:spacing w:after="0"/>
              <w:rPr>
                <w:sz w:val="20"/>
                <w:szCs w:val="20"/>
                <w:color w:val="auto"/>
              </w:rPr>
            </w:pPr>
            <w:r>
              <w:rPr>
                <w:rFonts w:ascii="Arial" w:cs="Arial" w:eastAsia="Arial" w:hAnsi="Arial"/>
                <w:sz w:val="14"/>
                <w:szCs w:val="14"/>
                <w:b w:val="1"/>
                <w:bCs w:val="1"/>
                <w:color w:val="auto"/>
                <w:w w:val="89"/>
              </w:rPr>
              <w:t>Identification No.)</w:t>
            </w:r>
          </w:p>
        </w:tc>
      </w:tr>
      <w:tr>
        <w:trPr>
          <w:trHeight w:val="391"/>
        </w:trPr>
        <w:tc>
          <w:tcPr>
            <w:tcW w:w="2760" w:type="dxa"/>
            <w:vAlign w:val="bottom"/>
          </w:tcPr>
          <w:p>
            <w:pPr>
              <w:jc w:val="center"/>
              <w:ind w:right="402"/>
              <w:spacing w:after="0"/>
              <w:rPr>
                <w:sz w:val="20"/>
                <w:szCs w:val="20"/>
                <w:color w:val="auto"/>
              </w:rPr>
            </w:pPr>
            <w:r>
              <w:rPr>
                <w:rFonts w:ascii="Arial" w:cs="Arial" w:eastAsia="Arial" w:hAnsi="Arial"/>
                <w:sz w:val="18"/>
                <w:szCs w:val="18"/>
                <w:b w:val="1"/>
                <w:bCs w:val="1"/>
                <w:color w:val="auto"/>
                <w:w w:val="87"/>
              </w:rPr>
              <w:t>One Comcast Center</w:t>
            </w:r>
          </w:p>
        </w:tc>
        <w:tc>
          <w:tcPr>
            <w:tcW w:w="4740" w:type="dxa"/>
            <w:vAlign w:val="bottom"/>
          </w:tcPr>
          <w:p>
            <w:pPr>
              <w:spacing w:after="0"/>
              <w:rPr>
                <w:sz w:val="24"/>
                <w:szCs w:val="24"/>
                <w:color w:val="auto"/>
              </w:rPr>
            </w:pPr>
          </w:p>
        </w:tc>
      </w:tr>
      <w:tr>
        <w:trPr>
          <w:trHeight w:val="231"/>
        </w:trPr>
        <w:tc>
          <w:tcPr>
            <w:tcW w:w="2760" w:type="dxa"/>
            <w:vAlign w:val="bottom"/>
          </w:tcPr>
          <w:p>
            <w:pPr>
              <w:jc w:val="center"/>
              <w:ind w:right="382"/>
              <w:spacing w:after="0"/>
              <w:rPr>
                <w:sz w:val="20"/>
                <w:szCs w:val="20"/>
                <w:color w:val="auto"/>
              </w:rPr>
            </w:pPr>
            <w:r>
              <w:rPr>
                <w:rFonts w:ascii="Arial" w:cs="Arial" w:eastAsia="Arial" w:hAnsi="Arial"/>
                <w:sz w:val="18"/>
                <w:szCs w:val="18"/>
                <w:b w:val="1"/>
                <w:bCs w:val="1"/>
                <w:color w:val="auto"/>
                <w:w w:val="89"/>
              </w:rPr>
              <w:t>Philadelphia, PA</w:t>
            </w:r>
          </w:p>
        </w:tc>
        <w:tc>
          <w:tcPr>
            <w:tcW w:w="4740" w:type="dxa"/>
            <w:vAlign w:val="bottom"/>
          </w:tcPr>
          <w:p>
            <w:pPr>
              <w:jc w:val="center"/>
              <w:ind w:left="3585"/>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2760" w:type="dxa"/>
            <w:vAlign w:val="bottom"/>
          </w:tcPr>
          <w:p>
            <w:pPr>
              <w:jc w:val="center"/>
              <w:ind w:right="3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4740" w:type="dxa"/>
            <w:vAlign w:val="bottom"/>
          </w:tcPr>
          <w:p>
            <w:pPr>
              <w:jc w:val="center"/>
              <w:ind w:left="3605"/>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July 2, 2012, Comcast Corporation (“Comcast”) expects to consummate the issuance and sale of $1,000,000,000 principal amount of its 3.125% Notes due 2022 and $1,250,000,000 principal amount of its 4.650% Notes due 2042 (collectively, the “Notes”), pursuant to an underwriting agreement dated June 26, 2012 among Comcast, the Cable Guarantors (defined below) and BNP Paribas Securities Corp., Citigroup Global Markets Inc., Merrill Lynch, Pierce, Fenner &amp; Smith Incorporated and Wells Fargo Securities, LLC, as representatives of the several underwriters named therein. The Notes will be issued pursuant to an Indenture dated as of January 7, 2003 (the “Indenture”) among Comcast, the cable guarantors named therein and The Bank of New York Mellon (formerly known as The Bank of New York), as trustee (the “Trustee”), as supplemented by the First Supplemental Indenture dated as of March 25, 2003 by and among Comcast, the cable guarantors named therein and the Trustee, and as further supplemented by the Second Supplemental Indenture dated as of August 31, 2009 by and among Comcast, the Cable Guarantors and the Trustee, and an officers’ certificate issued pursuant thereto. The Notes are guaranteed on an unsecured and unsubordinated basis by Comcast Cable Communications, LLC, Comcast Cable Holdings, LLC, Comcast MO Group, Inc. and Comcast MO of Delaware, LLC (the “Cable Guarantors”).</w:t>
      </w:r>
    </w:p>
    <w:p>
      <w:pPr>
        <w:spacing w:after="0" w:line="12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Notes are being offered pursuant to Comcast’s Registration Statement on Form S-3 filed on February 24, 2012 (Reg. No. 333-179678), including the prospectus contained therein, and a related prospectus supplement dated June 26, 2012.</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material terms and conditions of the Notes are set forth in the Form of Officers’ Certificate filed herewith as Exhibit 4.1 and incorporated by reference herein and in the Indenture filed as Exhibit 4.4 and the First Supplemental Indenture filed as Exhibit 4.5 to Comcast’s Annual Report on Form 10-K for the year ended December 31, 2008 and the Second Supplemental Indenture filed as Exhibit 4.1 to Comcast’s Current Report on Form 8-K filed on September 2, 2009.</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9.01(d)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980" w:type="dxa"/>
            <w:vAlign w:val="bottom"/>
          </w:tcPr>
          <w:p>
            <w:pPr>
              <w:spacing w:after="0"/>
              <w:rPr>
                <w:sz w:val="14"/>
                <w:szCs w:val="14"/>
                <w:color w:val="auto"/>
              </w:rPr>
            </w:pPr>
          </w:p>
        </w:tc>
      </w:tr>
      <w:tr>
        <w:trPr>
          <w:trHeight w:val="316"/>
        </w:trPr>
        <w:tc>
          <w:tcPr>
            <w:tcW w:w="520" w:type="dxa"/>
            <w:vAlign w:val="bottom"/>
          </w:tcPr>
          <w:p>
            <w:pPr>
              <w:jc w:val="right"/>
              <w:ind w:right="118"/>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3"/>
              </w:rPr>
              <w:t>Form of Officers’ Certificate setting forth the terms of the Notes</w:t>
            </w:r>
          </w:p>
        </w:tc>
      </w:tr>
      <w:tr>
        <w:trPr>
          <w:trHeight w:val="324"/>
        </w:trPr>
        <w:tc>
          <w:tcPr>
            <w:tcW w:w="520" w:type="dxa"/>
            <w:vAlign w:val="bottom"/>
          </w:tcPr>
          <w:p>
            <w:pPr>
              <w:jc w:val="right"/>
              <w:ind w:right="118"/>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Opinion of Arthur R. Block, Esq.</w:t>
            </w:r>
          </w:p>
        </w:tc>
      </w:tr>
      <w:tr>
        <w:trPr>
          <w:trHeight w:val="324"/>
        </w:trPr>
        <w:tc>
          <w:tcPr>
            <w:tcW w:w="520" w:type="dxa"/>
            <w:vAlign w:val="bottom"/>
          </w:tcPr>
          <w:p>
            <w:pPr>
              <w:jc w:val="right"/>
              <w:ind w:right="118"/>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Opinion of Davis Polk &amp; Wardwell LLP</w:t>
            </w:r>
          </w:p>
        </w:tc>
      </w:tr>
      <w:tr>
        <w:trPr>
          <w:trHeight w:val="324"/>
        </w:trPr>
        <w:tc>
          <w:tcPr>
            <w:tcW w:w="520" w:type="dxa"/>
            <w:vAlign w:val="bottom"/>
          </w:tcPr>
          <w:p>
            <w:pPr>
              <w:jc w:val="right"/>
              <w:ind w:right="118"/>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Consent of Arthur R. Block, Esq. (contained in Exhibit 5.1)</w:t>
            </w:r>
          </w:p>
        </w:tc>
      </w:tr>
      <w:tr>
        <w:trPr>
          <w:trHeight w:val="324"/>
        </w:trPr>
        <w:tc>
          <w:tcPr>
            <w:tcW w:w="520" w:type="dxa"/>
            <w:vAlign w:val="bottom"/>
          </w:tcPr>
          <w:p>
            <w:pPr>
              <w:jc w:val="right"/>
              <w:ind w:right="118"/>
              <w:spacing w:after="0"/>
              <w:rPr>
                <w:sz w:val="20"/>
                <w:szCs w:val="20"/>
                <w:color w:val="auto"/>
              </w:rPr>
            </w:pPr>
            <w:r>
              <w:rPr>
                <w:rFonts w:ascii="Arial" w:cs="Arial" w:eastAsia="Arial" w:hAnsi="Arial"/>
                <w:sz w:val="18"/>
                <w:szCs w:val="18"/>
                <w:color w:val="auto"/>
                <w:w w:val="85"/>
              </w:rPr>
              <w:t>23.2</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0"/>
              </w:rPr>
              <w:t>Consent of Davis Polk &amp; Wardwell LLP (contained in Exhibit 5.2)</w:t>
            </w:r>
          </w:p>
        </w:tc>
      </w:tr>
    </w:tbl>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auto"/>
        </w:rPr>
        <w:t>Date: June 27, 2012</w:t>
      </w:r>
      <w:r>
        <w:rPr>
          <w:sz w:val="20"/>
          <w:szCs w:val="20"/>
          <w:color w:val="auto"/>
        </w:rPr>
        <w:tab/>
      </w:r>
      <w:r>
        <w:rPr>
          <w:rFonts w:ascii="Arial" w:cs="Arial" w:eastAsia="Arial" w:hAnsi="Arial"/>
          <w:sz w:val="16"/>
          <w:szCs w:val="16"/>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10795</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Title:</w:t>
        <w:tab/>
        <w:t>Senior Vice President, General Counsel and Secretary</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4.1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2, 2012</w:t>
      </w:r>
    </w:p>
    <w:p>
      <w:pPr>
        <w:spacing w:after="0" w:line="17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Pursuant to Section 2.03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xml:space="preserve">)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named therein (the </w:t>
      </w:r>
      <w:r>
        <w:rPr>
          <w:rFonts w:ascii="Arial" w:cs="Arial" w:eastAsia="Arial" w:hAnsi="Arial"/>
          <w:sz w:val="16"/>
          <w:szCs w:val="16"/>
          <w:b w:val="1"/>
          <w:bCs w:val="1"/>
          <w:color w:val="auto"/>
        </w:rPr>
        <w:t>“Cable</w:t>
      </w:r>
      <w:r>
        <w:rPr>
          <w:rFonts w:ascii="Arial" w:cs="Arial" w:eastAsia="Arial" w:hAnsi="Arial"/>
          <w:sz w:val="16"/>
          <w:szCs w:val="16"/>
          <w:color w:val="auto"/>
        </w:rPr>
        <w:t xml:space="preserve"> </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and guaranteed on an unsecured and unsubordinated basis by the Cable Guarantors, the undersigned officers of the Company do</w:t>
      </w:r>
      <w:r>
        <w:rPr>
          <w:rFonts w:ascii="Arial" w:cs="Arial" w:eastAsia="Arial" w:hAnsi="Arial"/>
          <w:sz w:val="16"/>
          <w:szCs w:val="16"/>
          <w:b w:val="1"/>
          <w:bCs w:val="1"/>
          <w:color w:val="auto"/>
        </w:rPr>
        <w:t xml:space="preserve"> </w:t>
      </w:r>
      <w:r>
        <w:rPr>
          <w:rFonts w:ascii="Arial" w:cs="Arial" w:eastAsia="Arial" w:hAnsi="Arial"/>
          <w:sz w:val="16"/>
          <w:szCs w:val="16"/>
          <w:color w:val="auto"/>
        </w:rPr>
        <w:t>hereby certify, in connection with the issuance of the Company’s $1,000,000,000 aggregate principal amount of 3.125% Notes Due 2022 (the “</w:t>
      </w:r>
      <w:r>
        <w:rPr>
          <w:rFonts w:ascii="Arial" w:cs="Arial" w:eastAsia="Arial" w:hAnsi="Arial"/>
          <w:sz w:val="16"/>
          <w:szCs w:val="16"/>
          <w:b w:val="1"/>
          <w:bCs w:val="1"/>
          <w:color w:val="auto"/>
        </w:rPr>
        <w:t>2022 Notes</w:t>
      </w:r>
      <w:r>
        <w:rPr>
          <w:rFonts w:ascii="Arial" w:cs="Arial" w:eastAsia="Arial" w:hAnsi="Arial"/>
          <w:sz w:val="16"/>
          <w:szCs w:val="16"/>
          <w:color w:val="auto"/>
        </w:rPr>
        <w:t>”) and $1,250,000,000 aggregate principal amount of 4.650% Notes Due 2042 (the “</w:t>
      </w:r>
      <w:r>
        <w:rPr>
          <w:rFonts w:ascii="Arial" w:cs="Arial" w:eastAsia="Arial" w:hAnsi="Arial"/>
          <w:sz w:val="16"/>
          <w:szCs w:val="16"/>
          <w:b w:val="1"/>
          <w:bCs w:val="1"/>
          <w:color w:val="auto"/>
        </w:rPr>
        <w:t>2042 Notes</w:t>
      </w:r>
      <w:r>
        <w:rPr>
          <w:rFonts w:ascii="Arial" w:cs="Arial" w:eastAsia="Arial" w:hAnsi="Arial"/>
          <w:sz w:val="16"/>
          <w:szCs w:val="16"/>
          <w:color w:val="auto"/>
        </w:rPr>
        <w:t>” and together with the 2022 Notes, the “</w:t>
      </w:r>
      <w:r>
        <w:rPr>
          <w:rFonts w:ascii="Arial" w:cs="Arial" w:eastAsia="Arial" w:hAnsi="Arial"/>
          <w:sz w:val="16"/>
          <w:szCs w:val="16"/>
          <w:b w:val="1"/>
          <w:bCs w:val="1"/>
          <w:color w:val="auto"/>
        </w:rPr>
        <w:t>Notes</w:t>
      </w:r>
      <w:r>
        <w:rPr>
          <w:rFonts w:ascii="Arial" w:cs="Arial" w:eastAsia="Arial" w:hAnsi="Arial"/>
          <w:sz w:val="16"/>
          <w:szCs w:val="16"/>
          <w:color w:val="auto"/>
        </w:rPr>
        <w:t>”), that the terms of the Notes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125%</w:t>
            </w:r>
            <w:r>
              <w:rPr>
                <w:rFonts w:ascii="Arial" w:cs="Arial" w:eastAsia="Arial" w:hAnsi="Arial"/>
                <w:sz w:val="18"/>
                <w:szCs w:val="18"/>
                <w:b w:val="1"/>
                <w:bCs w:val="1"/>
                <w:color w:val="auto"/>
              </w:rPr>
              <w:t xml:space="preserve"> Notes Due 2022</w:t>
            </w:r>
          </w:p>
        </w:tc>
      </w:tr>
      <w:tr>
        <w:trPr>
          <w:trHeight w:val="20"/>
        </w:trPr>
        <w:tc>
          <w:tcPr>
            <w:tcW w:w="3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437"/>
        </w:trPr>
        <w:tc>
          <w:tcPr>
            <w:tcW w:w="388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940" w:type="dxa"/>
            <w:vAlign w:val="bottom"/>
          </w:tcPr>
          <w:p>
            <w:pPr>
              <w:spacing w:after="0"/>
              <w:rPr>
                <w:sz w:val="24"/>
                <w:szCs w:val="24"/>
                <w:color w:val="auto"/>
              </w:rPr>
            </w:pPr>
          </w:p>
        </w:tc>
        <w:tc>
          <w:tcPr>
            <w:tcW w:w="6500" w:type="dxa"/>
            <w:vAlign w:val="bottom"/>
            <w:gridSpan w:val="2"/>
          </w:tcPr>
          <w:p>
            <w:pPr>
              <w:ind w:left="1240"/>
              <w:spacing w:after="0"/>
              <w:rPr>
                <w:sz w:val="20"/>
                <w:szCs w:val="20"/>
                <w:color w:val="auto"/>
              </w:rPr>
            </w:pPr>
            <w:r>
              <w:rPr>
                <w:rFonts w:ascii="Arial" w:cs="Arial" w:eastAsia="Arial" w:hAnsi="Arial"/>
                <w:sz w:val="18"/>
                <w:szCs w:val="18"/>
                <w:color w:val="auto"/>
              </w:rPr>
              <w:t>3.125% Notes Due 2022</w:t>
            </w:r>
          </w:p>
        </w:tc>
      </w:tr>
      <w:tr>
        <w:trPr>
          <w:trHeight w:val="324"/>
        </w:trPr>
        <w:tc>
          <w:tcPr>
            <w:tcW w:w="388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7440" w:type="dxa"/>
            <w:vAlign w:val="bottom"/>
            <w:gridSpan w:val="3"/>
          </w:tcPr>
          <w:p>
            <w:pPr>
              <w:ind w:left="2180"/>
              <w:spacing w:after="0"/>
              <w:rPr>
                <w:sz w:val="20"/>
                <w:szCs w:val="20"/>
                <w:color w:val="auto"/>
              </w:rPr>
            </w:pPr>
            <w:r>
              <w:rPr>
                <w:rFonts w:ascii="Arial" w:cs="Arial" w:eastAsia="Arial" w:hAnsi="Arial"/>
                <w:sz w:val="18"/>
                <w:szCs w:val="18"/>
                <w:color w:val="auto"/>
              </w:rPr>
              <w:t>$1,000,000,000</w:t>
            </w:r>
          </w:p>
        </w:tc>
      </w:tr>
      <w:tr>
        <w:trPr>
          <w:trHeight w:val="324"/>
        </w:trPr>
        <w:tc>
          <w:tcPr>
            <w:tcW w:w="388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940" w:type="dxa"/>
            <w:vAlign w:val="bottom"/>
          </w:tcPr>
          <w:p>
            <w:pPr>
              <w:spacing w:after="0"/>
              <w:rPr>
                <w:sz w:val="24"/>
                <w:szCs w:val="24"/>
                <w:color w:val="auto"/>
              </w:rPr>
            </w:pPr>
          </w:p>
        </w:tc>
        <w:tc>
          <w:tcPr>
            <w:tcW w:w="6500" w:type="dxa"/>
            <w:vAlign w:val="bottom"/>
            <w:gridSpan w:val="2"/>
          </w:tcPr>
          <w:p>
            <w:pPr>
              <w:ind w:left="1240"/>
              <w:spacing w:after="0"/>
              <w:rPr>
                <w:sz w:val="20"/>
                <w:szCs w:val="20"/>
                <w:color w:val="auto"/>
              </w:rPr>
            </w:pPr>
            <w:r>
              <w:rPr>
                <w:rFonts w:ascii="Arial" w:cs="Arial" w:eastAsia="Arial" w:hAnsi="Arial"/>
                <w:sz w:val="18"/>
                <w:szCs w:val="18"/>
                <w:color w:val="auto"/>
              </w:rPr>
              <w:t>July 15, 2022</w:t>
            </w:r>
          </w:p>
        </w:tc>
      </w:tr>
      <w:tr>
        <w:trPr>
          <w:trHeight w:val="324"/>
        </w:trPr>
        <w:tc>
          <w:tcPr>
            <w:tcW w:w="388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720" w:type="dxa"/>
            <w:vAlign w:val="bottom"/>
            <w:gridSpan w:val="2"/>
          </w:tcPr>
          <w:p>
            <w:pPr>
              <w:ind w:left="2180"/>
              <w:spacing w:after="0"/>
              <w:rPr>
                <w:sz w:val="20"/>
                <w:szCs w:val="20"/>
                <w:color w:val="auto"/>
              </w:rPr>
            </w:pPr>
            <w:r>
              <w:rPr>
                <w:rFonts w:ascii="Arial" w:cs="Arial" w:eastAsia="Arial" w:hAnsi="Arial"/>
                <w:sz w:val="18"/>
                <w:szCs w:val="18"/>
                <w:color w:val="auto"/>
                <w:w w:val="85"/>
              </w:rPr>
              <w:t>3.125%</w:t>
            </w:r>
          </w:p>
        </w:tc>
        <w:tc>
          <w:tcPr>
            <w:tcW w:w="4720" w:type="dxa"/>
            <w:vAlign w:val="bottom"/>
          </w:tcPr>
          <w:p>
            <w:pPr>
              <w:spacing w:after="0"/>
              <w:rPr>
                <w:sz w:val="24"/>
                <w:szCs w:val="24"/>
                <w:color w:val="auto"/>
              </w:rPr>
            </w:pPr>
          </w:p>
        </w:tc>
      </w:tr>
      <w:tr>
        <w:trPr>
          <w:trHeight w:val="318"/>
        </w:trPr>
        <w:tc>
          <w:tcPr>
            <w:tcW w:w="388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940" w:type="dxa"/>
            <w:vAlign w:val="bottom"/>
          </w:tcPr>
          <w:p>
            <w:pPr>
              <w:spacing w:after="0"/>
              <w:rPr>
                <w:sz w:val="24"/>
                <w:szCs w:val="24"/>
                <w:color w:val="auto"/>
              </w:rPr>
            </w:pPr>
          </w:p>
        </w:tc>
        <w:tc>
          <w:tcPr>
            <w:tcW w:w="6500" w:type="dxa"/>
            <w:vAlign w:val="bottom"/>
            <w:gridSpan w:val="2"/>
          </w:tcPr>
          <w:p>
            <w:pPr>
              <w:ind w:left="1240"/>
              <w:spacing w:after="0"/>
              <w:rPr>
                <w:sz w:val="20"/>
                <w:szCs w:val="20"/>
                <w:color w:val="auto"/>
              </w:rPr>
            </w:pPr>
            <w:r>
              <w:rPr>
                <w:rFonts w:ascii="Arial" w:cs="Arial" w:eastAsia="Arial" w:hAnsi="Arial"/>
                <w:sz w:val="18"/>
                <w:szCs w:val="18"/>
                <w:color w:val="auto"/>
                <w:w w:val="88"/>
              </w:rPr>
              <w:t>The Company may at its option redeem the 2022 Notes in whole or in part,</w:t>
            </w:r>
          </w:p>
        </w:tc>
      </w:tr>
      <w:tr>
        <w:trPr>
          <w:trHeight w:val="216"/>
        </w:trPr>
        <w:tc>
          <w:tcPr>
            <w:tcW w:w="3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00" w:type="dxa"/>
            <w:vAlign w:val="bottom"/>
            <w:gridSpan w:val="2"/>
          </w:tcPr>
          <w:p>
            <w:pPr>
              <w:ind w:left="1240"/>
              <w:spacing w:after="0"/>
              <w:rPr>
                <w:sz w:val="20"/>
                <w:szCs w:val="20"/>
                <w:color w:val="auto"/>
              </w:rPr>
            </w:pPr>
            <w:r>
              <w:rPr>
                <w:rFonts w:ascii="Arial" w:cs="Arial" w:eastAsia="Arial" w:hAnsi="Arial"/>
                <w:sz w:val="18"/>
                <w:szCs w:val="18"/>
                <w:color w:val="auto"/>
                <w:w w:val="89"/>
              </w:rPr>
              <w:t>at any time or from time to time prior to their maturity, on at least 30 days,</w:t>
            </w:r>
          </w:p>
        </w:tc>
      </w:tr>
      <w:tr>
        <w:trPr>
          <w:trHeight w:val="216"/>
        </w:trPr>
        <w:tc>
          <w:tcPr>
            <w:tcW w:w="3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00" w:type="dxa"/>
            <w:vAlign w:val="bottom"/>
            <w:gridSpan w:val="2"/>
          </w:tcPr>
          <w:p>
            <w:pPr>
              <w:ind w:left="1240"/>
              <w:spacing w:after="0"/>
              <w:rPr>
                <w:sz w:val="20"/>
                <w:szCs w:val="20"/>
                <w:color w:val="auto"/>
              </w:rPr>
            </w:pPr>
            <w:r>
              <w:rPr>
                <w:rFonts w:ascii="Arial" w:cs="Arial" w:eastAsia="Arial" w:hAnsi="Arial"/>
                <w:sz w:val="18"/>
                <w:szCs w:val="18"/>
                <w:color w:val="auto"/>
                <w:w w:val="88"/>
              </w:rPr>
              <w:t>but not more than 60 days, prior notice mailed to the registered address of</w:t>
            </w:r>
          </w:p>
        </w:tc>
      </w:tr>
      <w:tr>
        <w:trPr>
          <w:trHeight w:val="222"/>
        </w:trPr>
        <w:tc>
          <w:tcPr>
            <w:tcW w:w="3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00" w:type="dxa"/>
            <w:vAlign w:val="bottom"/>
            <w:gridSpan w:val="2"/>
          </w:tcPr>
          <w:p>
            <w:pPr>
              <w:ind w:left="1240"/>
              <w:spacing w:after="0"/>
              <w:rPr>
                <w:sz w:val="20"/>
                <w:szCs w:val="20"/>
                <w:color w:val="auto"/>
              </w:rPr>
            </w:pPr>
            <w:r>
              <w:rPr>
                <w:rFonts w:ascii="Arial" w:cs="Arial" w:eastAsia="Arial" w:hAnsi="Arial"/>
                <w:sz w:val="18"/>
                <w:szCs w:val="18"/>
                <w:color w:val="auto"/>
              </w:rPr>
              <w:t>each holder of the 2022 Notes, at a redemption price</w:t>
            </w: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w w:val="91"/>
              </w:rPr>
              <w:t>equal to the greater of (i) 100% of the principal amount of the 2022 Notes</w:t>
            </w:r>
          </w:p>
        </w:tc>
      </w:tr>
      <w:tr>
        <w:trPr>
          <w:trHeight w:val="216"/>
        </w:trPr>
        <w:tc>
          <w:tcPr>
            <w:tcW w:w="3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w w:val="88"/>
              </w:rPr>
              <w:t>and (ii) the sum of the present values of the remaining scheduled payments</w:t>
            </w:r>
          </w:p>
        </w:tc>
      </w:tr>
      <w:tr>
        <w:trPr>
          <w:trHeight w:val="216"/>
        </w:trPr>
        <w:tc>
          <w:tcPr>
            <w:tcW w:w="3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w w:val="88"/>
              </w:rPr>
              <w:t>of principal and interest thereon (exclusive of interest accrued to the date of</w:t>
            </w:r>
          </w:p>
        </w:tc>
      </w:tr>
      <w:tr>
        <w:trPr>
          <w:trHeight w:val="216"/>
        </w:trPr>
        <w:tc>
          <w:tcPr>
            <w:tcW w:w="3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w w:val="95"/>
              </w:rPr>
              <w:t>redemption) discounted to the redemption date on a semiannual basis</w:t>
            </w:r>
          </w:p>
        </w:tc>
      </w:tr>
      <w:tr>
        <w:trPr>
          <w:trHeight w:val="216"/>
        </w:trPr>
        <w:tc>
          <w:tcPr>
            <w:tcW w:w="3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w w:val="96"/>
              </w:rPr>
              <w:t>(assuming a 360-day year consisting of twelve 30-day months) at the</w:t>
            </w:r>
          </w:p>
        </w:tc>
      </w:tr>
      <w:tr>
        <w:trPr>
          <w:trHeight w:val="216"/>
        </w:trPr>
        <w:tc>
          <w:tcPr>
            <w:tcW w:w="3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w w:val="89"/>
              </w:rPr>
              <w:t>Treasury Rate (as defined in the 2022 Notes) plus 25 basis points, plus, in</w:t>
            </w:r>
          </w:p>
        </w:tc>
      </w:tr>
      <w:tr>
        <w:trPr>
          <w:trHeight w:val="216"/>
        </w:trPr>
        <w:tc>
          <w:tcPr>
            <w:tcW w:w="3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w w:val="89"/>
              </w:rPr>
              <w:t>each case, accrued and unpaid interest thereon to the date of redemption,</w:t>
            </w:r>
          </w:p>
        </w:tc>
      </w:tr>
      <w:tr>
        <w:trPr>
          <w:trHeight w:val="222"/>
        </w:trPr>
        <w:tc>
          <w:tcPr>
            <w:tcW w:w="3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w w:val="86"/>
              </w:rPr>
              <w:t>and as further described in the Prospectus Supplement dated June 26, 2012.</w:t>
            </w:r>
          </w:p>
        </w:tc>
      </w:tr>
      <w:tr>
        <w:trPr>
          <w:trHeight w:val="318"/>
        </w:trPr>
        <w:tc>
          <w:tcPr>
            <w:tcW w:w="388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940" w:type="dxa"/>
            <w:vAlign w:val="bottom"/>
          </w:tcPr>
          <w:p>
            <w:pPr>
              <w:spacing w:after="0"/>
              <w:rPr>
                <w:sz w:val="24"/>
                <w:szCs w:val="24"/>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w w:val="87"/>
              </w:rPr>
              <w:t>The 2022 Notes need not be issued at the same time and the series may be</w:t>
            </w:r>
          </w:p>
        </w:tc>
      </w:tr>
      <w:tr>
        <w:trPr>
          <w:trHeight w:val="216"/>
        </w:trPr>
        <w:tc>
          <w:tcPr>
            <w:tcW w:w="3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w w:val="90"/>
              </w:rPr>
              <w:t>reopened for issuance of an unlimited principal amount of additional 2022</w:t>
            </w:r>
          </w:p>
        </w:tc>
      </w:tr>
      <w:tr>
        <w:trPr>
          <w:trHeight w:val="216"/>
        </w:trPr>
        <w:tc>
          <w:tcPr>
            <w:tcW w:w="3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w w:val="99"/>
              </w:rPr>
              <w:t>Notes under this series. Additional 2022 Notes of this series will be</w:t>
            </w:r>
          </w:p>
        </w:tc>
      </w:tr>
      <w:tr>
        <w:trPr>
          <w:trHeight w:val="216"/>
        </w:trPr>
        <w:tc>
          <w:tcPr>
            <w:tcW w:w="3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rPr>
              <w:t>consolidated with, and form a single series with, 2022 Notes then</w:t>
            </w:r>
          </w:p>
        </w:tc>
      </w:tr>
      <w:tr>
        <w:trPr>
          <w:trHeight w:val="216"/>
        </w:trPr>
        <w:tc>
          <w:tcPr>
            <w:tcW w:w="3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w w:val="93"/>
              </w:rPr>
              <w:t>outstanding, including for purposes of determining whether the required</w:t>
            </w:r>
          </w:p>
        </w:tc>
      </w:tr>
      <w:tr>
        <w:trPr>
          <w:trHeight w:val="216"/>
        </w:trPr>
        <w:tc>
          <w:tcPr>
            <w:tcW w:w="3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w w:val="92"/>
              </w:rPr>
              <w:t>percentage of the holders of record has given approval or consent to an</w:t>
            </w:r>
          </w:p>
        </w:tc>
      </w:tr>
      <w:tr>
        <w:trPr>
          <w:trHeight w:val="216"/>
        </w:trPr>
        <w:tc>
          <w:tcPr>
            <w:tcW w:w="3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w w:val="95"/>
              </w:rPr>
              <w:t>amendment or waiver or joined in directing the Trustee to take certain</w:t>
            </w:r>
          </w:p>
        </w:tc>
      </w:tr>
      <w:tr>
        <w:trPr>
          <w:trHeight w:val="222"/>
        </w:trPr>
        <w:tc>
          <w:tcPr>
            <w:tcW w:w="3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rPr>
              <w:t>actions on behalf of all holders.</w:t>
            </w:r>
          </w:p>
        </w:tc>
      </w:tr>
      <w:tr>
        <w:trPr>
          <w:trHeight w:val="324"/>
        </w:trPr>
        <w:tc>
          <w:tcPr>
            <w:tcW w:w="388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940" w:type="dxa"/>
            <w:vAlign w:val="bottom"/>
          </w:tcPr>
          <w:p>
            <w:pPr>
              <w:spacing w:after="0"/>
              <w:rPr>
                <w:sz w:val="24"/>
                <w:szCs w:val="24"/>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rPr>
              <w:t>None</w:t>
            </w:r>
          </w:p>
        </w:tc>
      </w:tr>
      <w:tr>
        <w:trPr>
          <w:trHeight w:val="324"/>
        </w:trPr>
        <w:tc>
          <w:tcPr>
            <w:tcW w:w="38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940" w:type="dxa"/>
            <w:vAlign w:val="bottom"/>
          </w:tcPr>
          <w:p>
            <w:pPr>
              <w:spacing w:after="0"/>
              <w:rPr>
                <w:sz w:val="24"/>
                <w:szCs w:val="24"/>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rPr>
              <w:t>None</w:t>
            </w:r>
          </w:p>
        </w:tc>
      </w:tr>
      <w:tr>
        <w:trPr>
          <w:trHeight w:val="312"/>
        </w:trPr>
        <w:tc>
          <w:tcPr>
            <w:tcW w:w="38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940" w:type="dxa"/>
            <w:vAlign w:val="bottom"/>
          </w:tcPr>
          <w:p>
            <w:pPr>
              <w:spacing w:after="0"/>
              <w:rPr>
                <w:sz w:val="24"/>
                <w:szCs w:val="24"/>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w w:val="88"/>
              </w:rPr>
              <w:t>The terms of the 2022 Notes shall include such other terms as are set forth</w:t>
            </w:r>
          </w:p>
        </w:tc>
      </w:tr>
      <w:tr>
        <w:trPr>
          <w:trHeight w:val="190"/>
        </w:trPr>
        <w:tc>
          <w:tcPr>
            <w:tcW w:w="3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560" w:type="dxa"/>
            <w:vAlign w:val="bottom"/>
            <w:gridSpan w:val="4"/>
          </w:tcPr>
          <w:p>
            <w:pPr>
              <w:ind w:left="1240"/>
              <w:spacing w:after="0" w:line="190" w:lineRule="exact"/>
              <w:rPr>
                <w:sz w:val="20"/>
                <w:szCs w:val="20"/>
                <w:color w:val="auto"/>
              </w:rPr>
            </w:pPr>
            <w:r>
              <w:rPr>
                <w:rFonts w:ascii="Arial" w:cs="Arial" w:eastAsia="Arial" w:hAnsi="Arial"/>
                <w:sz w:val="18"/>
                <w:szCs w:val="18"/>
                <w:color w:val="auto"/>
              </w:rPr>
              <w:t xml:space="preserve">in the Form of Notes Due 2022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520"/>
        </w:trPr>
        <w:tc>
          <w:tcPr>
            <w:tcW w:w="3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80" w:type="dxa"/>
            <w:vAlign w:val="bottom"/>
            <w:gridSpan w:val="2"/>
          </w:tcPr>
          <w:p>
            <w:pPr>
              <w:jc w:val="center"/>
              <w:ind w:right="3000"/>
              <w:spacing w:after="0"/>
              <w:rPr>
                <w:sz w:val="20"/>
                <w:szCs w:val="20"/>
                <w:color w:val="auto"/>
              </w:rPr>
            </w:pPr>
            <w:r>
              <w:rPr>
                <w:rFonts w:ascii="Arial" w:cs="Arial" w:eastAsia="Arial" w:hAnsi="Arial"/>
                <w:sz w:val="18"/>
                <w:szCs w:val="18"/>
                <w:b w:val="1"/>
                <w:bCs w:val="1"/>
                <w:color w:val="auto"/>
                <w:w w:val="88"/>
              </w:rPr>
              <w:t>4.</w:t>
            </w:r>
            <w:r>
              <w:rPr>
                <w:rFonts w:ascii="Arial" w:cs="Arial" w:eastAsia="Arial" w:hAnsi="Arial"/>
                <w:sz w:val="18"/>
                <w:szCs w:val="18"/>
                <w:b w:val="1"/>
                <w:bCs w:val="1"/>
                <w:u w:val="single" w:color="auto"/>
                <w:color w:val="auto"/>
                <w:w w:val="88"/>
              </w:rPr>
              <w:t>650%</w:t>
            </w:r>
            <w:r>
              <w:rPr>
                <w:rFonts w:ascii="Arial" w:cs="Arial" w:eastAsia="Arial" w:hAnsi="Arial"/>
                <w:sz w:val="18"/>
                <w:szCs w:val="18"/>
                <w:b w:val="1"/>
                <w:bCs w:val="1"/>
                <w:color w:val="auto"/>
                <w:w w:val="88"/>
              </w:rPr>
              <w:t xml:space="preserve"> Notes Due 2042</w:t>
            </w:r>
          </w:p>
        </w:tc>
        <w:tc>
          <w:tcPr>
            <w:tcW w:w="72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3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r>
      <w:tr>
        <w:trPr>
          <w:trHeight w:val="437"/>
        </w:trPr>
        <w:tc>
          <w:tcPr>
            <w:tcW w:w="388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940" w:type="dxa"/>
            <w:vAlign w:val="bottom"/>
          </w:tcPr>
          <w:p>
            <w:pPr>
              <w:spacing w:after="0"/>
              <w:rPr>
                <w:sz w:val="24"/>
                <w:szCs w:val="24"/>
                <w:color w:val="auto"/>
              </w:rPr>
            </w:pPr>
          </w:p>
        </w:tc>
        <w:tc>
          <w:tcPr>
            <w:tcW w:w="6560" w:type="dxa"/>
            <w:vAlign w:val="bottom"/>
            <w:gridSpan w:val="4"/>
          </w:tcPr>
          <w:p>
            <w:pPr>
              <w:ind w:left="1240"/>
              <w:spacing w:after="0"/>
              <w:rPr>
                <w:sz w:val="20"/>
                <w:szCs w:val="20"/>
                <w:color w:val="auto"/>
              </w:rPr>
            </w:pPr>
            <w:r>
              <w:rPr>
                <w:rFonts w:ascii="Arial" w:cs="Arial" w:eastAsia="Arial" w:hAnsi="Arial"/>
                <w:sz w:val="18"/>
                <w:szCs w:val="18"/>
                <w:color w:val="auto"/>
              </w:rPr>
              <w:t>4.650% Notes Due 2042</w:t>
            </w:r>
          </w:p>
        </w:tc>
      </w:tr>
      <w:tr>
        <w:trPr>
          <w:trHeight w:val="324"/>
        </w:trPr>
        <w:tc>
          <w:tcPr>
            <w:tcW w:w="388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5720" w:type="dxa"/>
            <w:vAlign w:val="bottom"/>
            <w:gridSpan w:val="3"/>
          </w:tcPr>
          <w:p>
            <w:pPr>
              <w:ind w:left="2180"/>
              <w:spacing w:after="0"/>
              <w:rPr>
                <w:sz w:val="20"/>
                <w:szCs w:val="20"/>
                <w:color w:val="auto"/>
              </w:rPr>
            </w:pPr>
            <w:r>
              <w:rPr>
                <w:rFonts w:ascii="Arial" w:cs="Arial" w:eastAsia="Arial" w:hAnsi="Arial"/>
                <w:sz w:val="18"/>
                <w:szCs w:val="18"/>
                <w:color w:val="auto"/>
              </w:rPr>
              <w:t>$1,250,000,000</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5"/>
        </w:trPr>
        <w:tc>
          <w:tcPr>
            <w:tcW w:w="3880" w:type="dxa"/>
            <w:vAlign w:val="bottom"/>
          </w:tcPr>
          <w:p>
            <w:pPr>
              <w:spacing w:after="0"/>
              <w:rPr>
                <w:sz w:val="24"/>
                <w:szCs w:val="24"/>
                <w:color w:val="auto"/>
              </w:rPr>
            </w:pPr>
          </w:p>
        </w:tc>
        <w:tc>
          <w:tcPr>
            <w:tcW w:w="2720" w:type="dxa"/>
            <w:vAlign w:val="bottom"/>
            <w:gridSpan w:val="2"/>
          </w:tcPr>
          <w:p>
            <w:pPr>
              <w:jc w:val="right"/>
              <w:ind w:right="752"/>
              <w:spacing w:after="0"/>
              <w:rPr>
                <w:sz w:val="20"/>
                <w:szCs w:val="20"/>
                <w:color w:val="auto"/>
              </w:rPr>
            </w:pPr>
            <w:r>
              <w:rPr>
                <w:rFonts w:ascii="Arial" w:cs="Arial" w:eastAsia="Arial" w:hAnsi="Arial"/>
                <w:sz w:val="18"/>
                <w:szCs w:val="18"/>
                <w:color w:val="auto"/>
              </w:rPr>
              <w:t>2</w:t>
            </w:r>
          </w:p>
        </w:tc>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380"/>
          </w:cols>
          <w:pgMar w:left="240" w:top="280" w:right="27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rPr>
              <w:t>July 15, 2042</w:t>
            </w:r>
          </w:p>
        </w:tc>
      </w:tr>
      <w:tr>
        <w:trPr>
          <w:trHeight w:val="324"/>
        </w:trPr>
        <w:tc>
          <w:tcPr>
            <w:tcW w:w="372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5880" w:type="dxa"/>
            <w:vAlign w:val="bottom"/>
          </w:tcPr>
          <w:p>
            <w:pPr>
              <w:ind w:left="2340"/>
              <w:spacing w:after="0"/>
              <w:rPr>
                <w:sz w:val="20"/>
                <w:szCs w:val="20"/>
                <w:color w:val="auto"/>
              </w:rPr>
            </w:pPr>
            <w:r>
              <w:rPr>
                <w:rFonts w:ascii="Arial" w:cs="Arial" w:eastAsia="Arial" w:hAnsi="Arial"/>
                <w:sz w:val="18"/>
                <w:szCs w:val="18"/>
                <w:color w:val="auto"/>
              </w:rPr>
              <w:t>4.650%</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8"/>
        </w:trPr>
        <w:tc>
          <w:tcPr>
            <w:tcW w:w="372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w w:val="88"/>
              </w:rPr>
              <w:t>The Company may at its option redeem the 2042 Notes in whole or in part,</w:t>
            </w:r>
          </w:p>
        </w:tc>
      </w:tr>
      <w:tr>
        <w:trPr>
          <w:trHeight w:val="216"/>
        </w:trPr>
        <w:tc>
          <w:tcPr>
            <w:tcW w:w="3720" w:type="dxa"/>
            <w:vAlign w:val="bottom"/>
          </w:tcPr>
          <w:p>
            <w:pPr>
              <w:spacing w:after="0"/>
              <w:rPr>
                <w:sz w:val="18"/>
                <w:szCs w:val="18"/>
                <w:color w:val="auto"/>
              </w:rPr>
            </w:pP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w w:val="89"/>
              </w:rPr>
              <w:t>at any time or from time to time prior to their maturity, on at least 30 days,</w:t>
            </w:r>
          </w:p>
        </w:tc>
      </w:tr>
      <w:tr>
        <w:trPr>
          <w:trHeight w:val="216"/>
        </w:trPr>
        <w:tc>
          <w:tcPr>
            <w:tcW w:w="3720" w:type="dxa"/>
            <w:vAlign w:val="bottom"/>
          </w:tcPr>
          <w:p>
            <w:pPr>
              <w:spacing w:after="0"/>
              <w:rPr>
                <w:sz w:val="18"/>
                <w:szCs w:val="18"/>
                <w:color w:val="auto"/>
              </w:rPr>
            </w:pP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w w:val="88"/>
              </w:rPr>
              <w:t>but not more than 60 days, prior notice mailed to the registered address of</w:t>
            </w:r>
          </w:p>
        </w:tc>
      </w:tr>
      <w:tr>
        <w:trPr>
          <w:trHeight w:val="216"/>
        </w:trPr>
        <w:tc>
          <w:tcPr>
            <w:tcW w:w="3720" w:type="dxa"/>
            <w:vAlign w:val="bottom"/>
          </w:tcPr>
          <w:p>
            <w:pPr>
              <w:spacing w:after="0"/>
              <w:rPr>
                <w:sz w:val="18"/>
                <w:szCs w:val="18"/>
                <w:color w:val="auto"/>
              </w:rPr>
            </w:pP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w w:val="87"/>
              </w:rPr>
              <w:t>each holder of the 2042 Notes, at a redemption price equal to the greater of</w:t>
            </w:r>
          </w:p>
        </w:tc>
      </w:tr>
      <w:tr>
        <w:trPr>
          <w:trHeight w:val="216"/>
        </w:trPr>
        <w:tc>
          <w:tcPr>
            <w:tcW w:w="3720" w:type="dxa"/>
            <w:vAlign w:val="bottom"/>
          </w:tcPr>
          <w:p>
            <w:pPr>
              <w:spacing w:after="0"/>
              <w:rPr>
                <w:sz w:val="18"/>
                <w:szCs w:val="18"/>
                <w:color w:val="auto"/>
              </w:rPr>
            </w:pP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w w:val="90"/>
              </w:rPr>
              <w:t>(i) 100% of the principal amount of the 2042 Notes and (ii) the sum of the</w:t>
            </w:r>
          </w:p>
        </w:tc>
      </w:tr>
      <w:tr>
        <w:trPr>
          <w:trHeight w:val="216"/>
        </w:trPr>
        <w:tc>
          <w:tcPr>
            <w:tcW w:w="3720" w:type="dxa"/>
            <w:vAlign w:val="bottom"/>
          </w:tcPr>
          <w:p>
            <w:pPr>
              <w:spacing w:after="0"/>
              <w:rPr>
                <w:sz w:val="18"/>
                <w:szCs w:val="18"/>
                <w:color w:val="auto"/>
              </w:rPr>
            </w:pP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w w:val="95"/>
              </w:rPr>
              <w:t>present values of the remaining scheduled payments of principal and</w:t>
            </w:r>
          </w:p>
        </w:tc>
      </w:tr>
      <w:tr>
        <w:trPr>
          <w:trHeight w:val="216"/>
        </w:trPr>
        <w:tc>
          <w:tcPr>
            <w:tcW w:w="3720" w:type="dxa"/>
            <w:vAlign w:val="bottom"/>
          </w:tcPr>
          <w:p>
            <w:pPr>
              <w:spacing w:after="0"/>
              <w:rPr>
                <w:sz w:val="18"/>
                <w:szCs w:val="18"/>
                <w:color w:val="auto"/>
              </w:rPr>
            </w:pP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w w:val="91"/>
              </w:rPr>
              <w:t>interest thereon (exclusive of interest accrued to the date of redemption)</w:t>
            </w:r>
          </w:p>
        </w:tc>
      </w:tr>
      <w:tr>
        <w:trPr>
          <w:trHeight w:val="216"/>
        </w:trPr>
        <w:tc>
          <w:tcPr>
            <w:tcW w:w="3720" w:type="dxa"/>
            <w:vAlign w:val="bottom"/>
          </w:tcPr>
          <w:p>
            <w:pPr>
              <w:spacing w:after="0"/>
              <w:rPr>
                <w:sz w:val="18"/>
                <w:szCs w:val="18"/>
                <w:color w:val="auto"/>
              </w:rPr>
            </w:pP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w w:val="87"/>
              </w:rPr>
              <w:t>discounted to the redemption date on a semiannual basis (assuming a 360-</w:t>
            </w:r>
          </w:p>
        </w:tc>
      </w:tr>
      <w:tr>
        <w:trPr>
          <w:trHeight w:val="216"/>
        </w:trPr>
        <w:tc>
          <w:tcPr>
            <w:tcW w:w="3720" w:type="dxa"/>
            <w:vAlign w:val="bottom"/>
          </w:tcPr>
          <w:p>
            <w:pPr>
              <w:spacing w:after="0"/>
              <w:rPr>
                <w:sz w:val="18"/>
                <w:szCs w:val="18"/>
                <w:color w:val="auto"/>
              </w:rPr>
            </w:pP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w w:val="93"/>
              </w:rPr>
              <w:t>day year consisting of twelve 30-day months) at the Treasury Rate (as</w:t>
            </w:r>
          </w:p>
        </w:tc>
      </w:tr>
      <w:tr>
        <w:trPr>
          <w:trHeight w:val="216"/>
        </w:trPr>
        <w:tc>
          <w:tcPr>
            <w:tcW w:w="3720" w:type="dxa"/>
            <w:vAlign w:val="bottom"/>
          </w:tcPr>
          <w:p>
            <w:pPr>
              <w:spacing w:after="0"/>
              <w:rPr>
                <w:sz w:val="18"/>
                <w:szCs w:val="18"/>
                <w:color w:val="auto"/>
              </w:rPr>
            </w:pP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w w:val="86"/>
              </w:rPr>
              <w:t>defined in the 2042 Notes) plus 30 basis points, plus, in each case, accrued</w:t>
            </w:r>
          </w:p>
        </w:tc>
      </w:tr>
      <w:tr>
        <w:trPr>
          <w:trHeight w:val="216"/>
        </w:trPr>
        <w:tc>
          <w:tcPr>
            <w:tcW w:w="3720" w:type="dxa"/>
            <w:vAlign w:val="bottom"/>
          </w:tcPr>
          <w:p>
            <w:pPr>
              <w:spacing w:after="0"/>
              <w:rPr>
                <w:sz w:val="18"/>
                <w:szCs w:val="18"/>
                <w:color w:val="auto"/>
              </w:rPr>
            </w:pP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w w:val="96"/>
              </w:rPr>
              <w:t>and unpaid interest thereon to the date of redemption, and as further</w:t>
            </w:r>
          </w:p>
        </w:tc>
      </w:tr>
      <w:tr>
        <w:trPr>
          <w:trHeight w:val="222"/>
        </w:trPr>
        <w:tc>
          <w:tcPr>
            <w:tcW w:w="3720" w:type="dxa"/>
            <w:vAlign w:val="bottom"/>
          </w:tcPr>
          <w:p>
            <w:pPr>
              <w:spacing w:after="0"/>
              <w:rPr>
                <w:sz w:val="19"/>
                <w:szCs w:val="19"/>
                <w:color w:val="auto"/>
              </w:rPr>
            </w:pP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rPr>
              <w:t>described in the Prospectus Supplement dated June 26, 2012.</w:t>
            </w:r>
          </w:p>
        </w:tc>
      </w:tr>
      <w:tr>
        <w:trPr>
          <w:trHeight w:val="318"/>
        </w:trPr>
        <w:tc>
          <w:tcPr>
            <w:tcW w:w="372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w w:val="86"/>
              </w:rPr>
              <w:t>The 2042 Notes need not be issued at the same time and the series may be</w:t>
            </w:r>
          </w:p>
        </w:tc>
      </w:tr>
      <w:tr>
        <w:trPr>
          <w:trHeight w:val="216"/>
        </w:trPr>
        <w:tc>
          <w:tcPr>
            <w:tcW w:w="3720" w:type="dxa"/>
            <w:vAlign w:val="bottom"/>
          </w:tcPr>
          <w:p>
            <w:pPr>
              <w:spacing w:after="0"/>
              <w:rPr>
                <w:sz w:val="18"/>
                <w:szCs w:val="18"/>
                <w:color w:val="auto"/>
              </w:rPr>
            </w:pP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w w:val="89"/>
              </w:rPr>
              <w:t>reopened for issuance of an unlimited principal amount of additional 2042</w:t>
            </w:r>
          </w:p>
        </w:tc>
      </w:tr>
      <w:tr>
        <w:trPr>
          <w:trHeight w:val="216"/>
        </w:trPr>
        <w:tc>
          <w:tcPr>
            <w:tcW w:w="3720" w:type="dxa"/>
            <w:vAlign w:val="bottom"/>
          </w:tcPr>
          <w:p>
            <w:pPr>
              <w:spacing w:after="0"/>
              <w:rPr>
                <w:sz w:val="18"/>
                <w:szCs w:val="18"/>
                <w:color w:val="auto"/>
              </w:rPr>
            </w:pP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w w:val="98"/>
              </w:rPr>
              <w:t>Notes under this series. Additional 2042 Notes of this series will be</w:t>
            </w:r>
          </w:p>
        </w:tc>
      </w:tr>
      <w:tr>
        <w:trPr>
          <w:trHeight w:val="216"/>
        </w:trPr>
        <w:tc>
          <w:tcPr>
            <w:tcW w:w="3720" w:type="dxa"/>
            <w:vAlign w:val="bottom"/>
          </w:tcPr>
          <w:p>
            <w:pPr>
              <w:spacing w:after="0"/>
              <w:rPr>
                <w:sz w:val="18"/>
                <w:szCs w:val="18"/>
                <w:color w:val="auto"/>
              </w:rPr>
            </w:pP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rPr>
              <w:t>consolidated with, and form a single series with, 2042 Notes then</w:t>
            </w:r>
          </w:p>
        </w:tc>
      </w:tr>
      <w:tr>
        <w:trPr>
          <w:trHeight w:val="216"/>
        </w:trPr>
        <w:tc>
          <w:tcPr>
            <w:tcW w:w="3720" w:type="dxa"/>
            <w:vAlign w:val="bottom"/>
          </w:tcPr>
          <w:p>
            <w:pPr>
              <w:spacing w:after="0"/>
              <w:rPr>
                <w:sz w:val="18"/>
                <w:szCs w:val="18"/>
                <w:color w:val="auto"/>
              </w:rPr>
            </w:pP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w w:val="92"/>
              </w:rPr>
              <w:t>outstanding, including for purposes of determining whether the required</w:t>
            </w:r>
          </w:p>
        </w:tc>
      </w:tr>
      <w:tr>
        <w:trPr>
          <w:trHeight w:val="216"/>
        </w:trPr>
        <w:tc>
          <w:tcPr>
            <w:tcW w:w="3720" w:type="dxa"/>
            <w:vAlign w:val="bottom"/>
          </w:tcPr>
          <w:p>
            <w:pPr>
              <w:spacing w:after="0"/>
              <w:rPr>
                <w:sz w:val="18"/>
                <w:szCs w:val="18"/>
                <w:color w:val="auto"/>
              </w:rPr>
            </w:pP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w w:val="91"/>
              </w:rPr>
              <w:t>percentage of the holders of record has given approval or consent to an</w:t>
            </w:r>
          </w:p>
        </w:tc>
      </w:tr>
      <w:tr>
        <w:trPr>
          <w:trHeight w:val="216"/>
        </w:trPr>
        <w:tc>
          <w:tcPr>
            <w:tcW w:w="3720" w:type="dxa"/>
            <w:vAlign w:val="bottom"/>
          </w:tcPr>
          <w:p>
            <w:pPr>
              <w:spacing w:after="0"/>
              <w:rPr>
                <w:sz w:val="18"/>
                <w:szCs w:val="18"/>
                <w:color w:val="auto"/>
              </w:rPr>
            </w:pP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w w:val="94"/>
              </w:rPr>
              <w:t>amendment or waiver or joined in directing the Trustee to take certain</w:t>
            </w:r>
          </w:p>
        </w:tc>
      </w:tr>
      <w:tr>
        <w:trPr>
          <w:trHeight w:val="222"/>
        </w:trPr>
        <w:tc>
          <w:tcPr>
            <w:tcW w:w="3720" w:type="dxa"/>
            <w:vAlign w:val="bottom"/>
          </w:tcPr>
          <w:p>
            <w:pPr>
              <w:spacing w:after="0"/>
              <w:rPr>
                <w:sz w:val="19"/>
                <w:szCs w:val="19"/>
                <w:color w:val="auto"/>
              </w:rPr>
            </w:pP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rPr>
              <w:t>actions on behalf of all holders.</w:t>
            </w:r>
          </w:p>
        </w:tc>
      </w:tr>
      <w:tr>
        <w:trPr>
          <w:trHeight w:val="324"/>
        </w:trPr>
        <w:tc>
          <w:tcPr>
            <w:tcW w:w="372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rPr>
              <w:t>None</w:t>
            </w:r>
          </w:p>
        </w:tc>
      </w:tr>
      <w:tr>
        <w:trPr>
          <w:trHeight w:val="324"/>
        </w:trPr>
        <w:tc>
          <w:tcPr>
            <w:tcW w:w="372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rPr>
              <w:t>None</w:t>
            </w:r>
          </w:p>
        </w:tc>
      </w:tr>
      <w:tr>
        <w:trPr>
          <w:trHeight w:val="312"/>
        </w:trPr>
        <w:tc>
          <w:tcPr>
            <w:tcW w:w="372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600" w:type="dxa"/>
            <w:vAlign w:val="bottom"/>
            <w:gridSpan w:val="3"/>
          </w:tcPr>
          <w:p>
            <w:pPr>
              <w:ind w:left="2340"/>
              <w:spacing w:after="0"/>
              <w:rPr>
                <w:sz w:val="20"/>
                <w:szCs w:val="20"/>
                <w:color w:val="auto"/>
              </w:rPr>
            </w:pPr>
            <w:r>
              <w:rPr>
                <w:rFonts w:ascii="Arial" w:cs="Arial" w:eastAsia="Arial" w:hAnsi="Arial"/>
                <w:sz w:val="18"/>
                <w:szCs w:val="18"/>
                <w:color w:val="auto"/>
                <w:w w:val="87"/>
              </w:rPr>
              <w:t>The terms of the 2042 Notes shall include such other terms as are set forth</w:t>
            </w:r>
          </w:p>
        </w:tc>
      </w:tr>
      <w:tr>
        <w:trPr>
          <w:trHeight w:val="190"/>
        </w:trPr>
        <w:tc>
          <w:tcPr>
            <w:tcW w:w="3720" w:type="dxa"/>
            <w:vAlign w:val="bottom"/>
          </w:tcPr>
          <w:p>
            <w:pPr>
              <w:spacing w:after="0"/>
              <w:rPr>
                <w:sz w:val="16"/>
                <w:szCs w:val="16"/>
                <w:color w:val="auto"/>
              </w:rPr>
            </w:pPr>
          </w:p>
        </w:tc>
        <w:tc>
          <w:tcPr>
            <w:tcW w:w="7600" w:type="dxa"/>
            <w:vAlign w:val="bottom"/>
            <w:gridSpan w:val="3"/>
          </w:tcPr>
          <w:p>
            <w:pPr>
              <w:ind w:left="2340"/>
              <w:spacing w:after="0" w:line="190" w:lineRule="exact"/>
              <w:rPr>
                <w:sz w:val="20"/>
                <w:szCs w:val="20"/>
                <w:color w:val="auto"/>
              </w:rPr>
            </w:pPr>
            <w:r>
              <w:rPr>
                <w:rFonts w:ascii="Arial" w:cs="Arial" w:eastAsia="Arial" w:hAnsi="Arial"/>
                <w:sz w:val="18"/>
                <w:szCs w:val="18"/>
                <w:color w:val="auto"/>
              </w:rPr>
              <w:t xml:space="preserve">in the Form of Notes Due 2042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532"/>
        </w:trPr>
        <w:tc>
          <w:tcPr>
            <w:tcW w:w="3720" w:type="dxa"/>
            <w:vAlign w:val="bottom"/>
          </w:tcPr>
          <w:p>
            <w:pPr>
              <w:spacing w:after="0"/>
              <w:rPr>
                <w:sz w:val="24"/>
                <w:szCs w:val="24"/>
                <w:color w:val="auto"/>
              </w:rPr>
            </w:pPr>
          </w:p>
        </w:tc>
        <w:tc>
          <w:tcPr>
            <w:tcW w:w="5880" w:type="dxa"/>
            <w:vAlign w:val="bottom"/>
          </w:tcPr>
          <w:p>
            <w:pPr>
              <w:ind w:left="1960"/>
              <w:spacing w:after="0"/>
              <w:rPr>
                <w:sz w:val="20"/>
                <w:szCs w:val="20"/>
                <w:color w:val="auto"/>
              </w:rPr>
            </w:pPr>
            <w:r>
              <w:rPr>
                <w:rFonts w:ascii="Arial" w:cs="Arial" w:eastAsia="Arial" w:hAnsi="Arial"/>
                <w:sz w:val="18"/>
                <w:szCs w:val="18"/>
                <w:color w:val="auto"/>
              </w:rPr>
              <w:t>3</w:t>
            </w:r>
          </w:p>
        </w:tc>
        <w:tc>
          <w:tcPr>
            <w:tcW w:w="72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320"/>
          </w:cols>
          <w:pgMar w:left="240" w:top="280" w:right="339" w:bottom="1440" w:gutter="0" w:footer="0" w:header="0"/>
        </w:sectPr>
      </w:pPr>
    </w:p>
    <w:bookmarkStart w:id="6" w:name="page7"/>
    <w:bookmarkEnd w:id="6"/>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80"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Senior Vice President and Treasurer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jc w:val="both"/>
        <w:ind w:left="6740"/>
        <w:spacing w:after="0"/>
        <w:tabs>
          <w:tab w:leader="none" w:pos="730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400"/>
          </w:cols>
          <w:pgMar w:left="700" w:top="280" w:right="7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2022]</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3.125% Note Due 2022</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 No.: 20030N BD2</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US20030NBD21</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9" w:lineRule="exact"/>
        <w:rPr>
          <w:sz w:val="20"/>
          <w:szCs w:val="20"/>
          <w:color w:val="auto"/>
        </w:rPr>
      </w:pPr>
    </w:p>
    <w:p>
      <w:pPr>
        <w:sectPr>
          <w:pgSz w:w="11900" w:h="16838" w:orient="portrait"/>
          <w:cols w:equalWidth="0" w:num="3">
            <w:col w:w="360" w:space="180"/>
            <w:col w:w="8220" w:space="720"/>
            <w:col w:w="1940"/>
          </w:cols>
          <w:pgMar w:left="240" w:top="274" w:right="239" w:bottom="1440" w:gutter="0" w:footer="0" w:header="0"/>
          <w:type w:val="continuous"/>
        </w:sectPr>
      </w:pPr>
    </w:p>
    <w:p>
      <w:pPr>
        <w:ind w:right="200" w:firstLine="456"/>
        <w:spacing w:after="0" w:line="275"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July 15, 2022.</w:t>
      </w:r>
    </w:p>
    <w:p>
      <w:pPr>
        <w:sectPr>
          <w:pgSz w:w="11900" w:h="16838" w:orient="portrait"/>
          <w:cols w:equalWidth="0" w:num="1">
            <w:col w:w="11420"/>
          </w:cols>
          <w:pgMar w:left="240" w:top="274" w:right="239" w:bottom="1440" w:gutter="0" w:footer="0" w:header="0"/>
          <w:type w:val="continuous"/>
        </w:sectPr>
      </w:pP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January 15 and July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January 15,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January 1 and July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Reference is made to the further provisions of this Security contained herein, which will for all purposes have the same effect as if set forth at this place.</w:t>
      </w:r>
    </w:p>
    <w:p>
      <w:pPr>
        <w:sectPr>
          <w:pgSz w:w="11900" w:h="16838" w:orient="portrait"/>
          <w:cols w:equalWidth="0" w:num="1">
            <w:col w:w="11420"/>
          </w:cols>
          <w:pgMar w:left="240" w:top="274" w:right="239" w:bottom="1440" w:gutter="0" w:footer="0" w:header="0"/>
          <w:type w:val="continuous"/>
        </w:sectPr>
      </w:pPr>
    </w:p>
    <w:bookmarkStart w:id="9" w:name="page10"/>
    <w:bookmarkEnd w:id="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tbl>
      <w:tblPr>
        <w:tblLayout w:type="fixed"/>
        <w:tblInd w:w="380" w:type="dxa"/>
        <w:tblCellMar>
          <w:top w:w="0" w:type="dxa"/>
          <w:left w:w="0" w:type="dxa"/>
          <w:bottom w:w="0" w:type="dxa"/>
          <w:right w:w="0" w:type="dxa"/>
        </w:tblCellMar>
      </w:tblP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Arthur R. Block</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Senior Vice President, General Counsel and</w:t>
            </w:r>
          </w:p>
        </w:tc>
      </w:tr>
      <w:tr>
        <w:trPr>
          <w:trHeight w:val="222"/>
        </w:trPr>
        <w:tc>
          <w:tcPr>
            <w:tcW w:w="56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Secretary</w:t>
            </w:r>
          </w:p>
        </w:tc>
      </w:tr>
    </w:tbl>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July 2,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BANK OF NEW YORK MELLON,</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0"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3.125% Note Due 2022</w:t>
      </w:r>
    </w:p>
    <w:p>
      <w:pPr>
        <w:spacing w:after="0" w:line="212"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w:t>
      </w:r>
    </w:p>
    <w:p>
      <w:pPr>
        <w:spacing w:after="0" w:line="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July 2, 2012. The Issuer will pay interest semi-annually in arrears on each Interest Payment Date, commencing January 15, 2013. Interest will be computed on the basis of a 360-day year of twelve 30-day months.</w:t>
      </w:r>
    </w:p>
    <w:p>
      <w:pPr>
        <w:spacing w:after="0" w:line="14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254"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9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2" w:name="page13"/>
    <w:bookmarkEnd w:id="12"/>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Paying Agent.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Initially,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will act as Paying Agent. The Issuer may change any Paying Agent without notice to the Holders.</w:t>
      </w:r>
    </w:p>
    <w:p>
      <w:pPr>
        <w:spacing w:after="0" w:line="32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Indenture.</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Issuer issued the Securities under an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Issuer,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Issuer, the cable guarantors named therein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24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Cable Guarantees.</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28"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3" w:name="page14"/>
    <w:bookmarkEnd w:id="13"/>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Persons Deemed Owners.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93"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54"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28"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69"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Cable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4" w:name="page15"/>
    <w:bookmarkEnd w:id="14"/>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a redemption price equal to the greater of (i) 100% of the principal amount of such Securities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in each case, 25 basis points plus accrued interest thereon to the date of redemption.</w:t>
      </w:r>
    </w:p>
    <w:p>
      <w:pPr>
        <w:spacing w:after="0" w:line="110"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32" w:lineRule="exact"/>
        <w:rPr>
          <w:sz w:val="20"/>
          <w:szCs w:val="20"/>
          <w:color w:val="auto"/>
        </w:rPr>
      </w:pPr>
    </w:p>
    <w:p>
      <w:pPr>
        <w:jc w:val="both"/>
        <w:ind w:right="8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Issue</w:t>
      </w:r>
      <w:r>
        <w:rPr>
          <w:rFonts w:ascii="Arial" w:cs="Arial" w:eastAsia="Arial" w:hAnsi="Arial"/>
          <w:sz w:val="15"/>
          <w:szCs w:val="15"/>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171"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32"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BNP Paribas Securities Corp., Citigroup Global Markets Inc., Merrill Lynch, Pierce, Fenner &amp; Smith Incorporated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Dealer</w:t>
      </w:r>
      <w:r>
        <w:rPr>
          <w:rFonts w:ascii="Arial" w:cs="Arial" w:eastAsia="Arial" w:hAnsi="Arial"/>
          <w:sz w:val="18"/>
          <w:szCs w:val="18"/>
          <w:color w:val="auto"/>
        </w:rPr>
        <w:t>”), the Issuer will substitute therefor another Primary Treasury Dealer.</w:t>
      </w:r>
    </w:p>
    <w:p>
      <w:pPr>
        <w:spacing w:after="0" w:line="136"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5" w:name="page16"/>
    <w:bookmarkEnd w:id="15"/>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(expressed in case as a percentage of its principal amount) quoted in writing to the Independent Investment Banker by such Reference Treasury Dealer at 3:30 pm New York time on the third business day preceding such redemption date.</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264"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Cable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4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54"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6" w:name="page17"/>
    <w:bookmarkEnd w:id="16"/>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93"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9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Customary abbreviations may be used in the name of a Holder of a Security or an assignee, such as: TEN COM (= tenants in common), TEN ENT</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tenants by the entireties), JT TEN (= joint tenants with right of survivorship and not as tenants in common), CUST (= Custodian), and U/G/M/A (= Uniform Gifts to Minors Act).</w:t>
      </w:r>
    </w:p>
    <w:p>
      <w:pPr>
        <w:spacing w:after="0" w:line="259"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6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80"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60" w:type="dxa"/>
            <w:vAlign w:val="bottom"/>
            <w:gridSpan w:val="4"/>
          </w:tcPr>
          <w:p>
            <w:pPr>
              <w:jc w:val="center"/>
              <w:ind w:right="2252"/>
              <w:spacing w:after="0"/>
              <w:rPr>
                <w:sz w:val="20"/>
                <w:szCs w:val="20"/>
                <w:color w:val="auto"/>
              </w:rPr>
            </w:pPr>
            <w:r>
              <w:rPr>
                <w:rFonts w:ascii="Arial" w:cs="Arial" w:eastAsia="Arial" w:hAnsi="Arial"/>
                <w:sz w:val="18"/>
                <w:szCs w:val="18"/>
                <w:color w:val="auto"/>
                <w:w w:val="86"/>
              </w:rPr>
              <w:t>(Print or type name, address and zip code of assignee or transferee)</w:t>
            </w:r>
          </w:p>
        </w:tc>
      </w:tr>
      <w:tr>
        <w:trPr>
          <w:trHeight w:val="232"/>
        </w:trPr>
        <w:tc>
          <w:tcPr>
            <w:tcW w:w="6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p>
        </w:tc>
      </w:tr>
      <w:tr>
        <w:trPr>
          <w:trHeight w:val="235"/>
        </w:trPr>
        <w:tc>
          <w:tcPr>
            <w:tcW w:w="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60" w:type="dxa"/>
            <w:vAlign w:val="bottom"/>
            <w:gridSpan w:val="4"/>
          </w:tcPr>
          <w:p>
            <w:pPr>
              <w:jc w:val="center"/>
              <w:ind w:right="2272"/>
              <w:spacing w:after="0"/>
              <w:rPr>
                <w:sz w:val="20"/>
                <w:szCs w:val="20"/>
                <w:color w:val="auto"/>
              </w:rPr>
            </w:pPr>
            <w:r>
              <w:rPr>
                <w:rFonts w:ascii="Arial" w:cs="Arial" w:eastAsia="Arial" w:hAnsi="Arial"/>
                <w:sz w:val="18"/>
                <w:szCs w:val="18"/>
                <w:color w:val="auto"/>
                <w:w w:val="89"/>
              </w:rPr>
              <w:t>(Insert Social Security or other identifying number of assignee or transferee)</w:t>
            </w:r>
          </w:p>
        </w:tc>
      </w:tr>
      <w:tr>
        <w:trPr>
          <w:trHeight w:val="378"/>
        </w:trPr>
        <w:tc>
          <w:tcPr>
            <w:tcW w:w="236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9060" w:type="dxa"/>
            <w:vAlign w:val="bottom"/>
            <w:gridSpan w:val="4"/>
          </w:tcPr>
          <w:p>
            <w:pPr>
              <w:ind w:left="1120"/>
              <w:spacing w:after="0"/>
              <w:rPr>
                <w:sz w:val="20"/>
                <w:szCs w:val="20"/>
                <w:color w:val="auto"/>
              </w:rPr>
            </w:pPr>
            <w:r>
              <w:rPr>
                <w:rFonts w:ascii="Arial" w:cs="Arial" w:eastAsia="Arial" w:hAnsi="Arial"/>
                <w:sz w:val="18"/>
                <w:szCs w:val="18"/>
                <w:color w:val="auto"/>
                <w:w w:val="94"/>
              </w:rPr>
              <w:t>agent to transfer this Security on the books of the Issuer. The agent may substitute another to act for him.</w:t>
            </w:r>
          </w:p>
        </w:tc>
      </w:tr>
      <w:tr>
        <w:trPr>
          <w:trHeight w:val="420"/>
        </w:trPr>
        <w:tc>
          <w:tcPr>
            <w:tcW w:w="2360" w:type="dxa"/>
            <w:vAlign w:val="bottom"/>
            <w:gridSpan w:val="2"/>
          </w:tcPr>
          <w:p>
            <w:pPr>
              <w:spacing w:after="0"/>
              <w:rPr>
                <w:sz w:val="20"/>
                <w:szCs w:val="20"/>
                <w:color w:val="auto"/>
              </w:rPr>
            </w:pPr>
            <w:r>
              <w:rPr>
                <w:rFonts w:ascii="Arial" w:cs="Arial" w:eastAsia="Arial" w:hAnsi="Arial"/>
                <w:sz w:val="18"/>
                <w:szCs w:val="18"/>
                <w:color w:val="auto"/>
              </w:rPr>
              <w:t>Dated:</w:t>
            </w:r>
          </w:p>
        </w:tc>
        <w:tc>
          <w:tcPr>
            <w:tcW w:w="2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0" w:type="dxa"/>
            <w:vAlign w:val="bottom"/>
            <w:gridSpan w:val="2"/>
          </w:tcPr>
          <w:p>
            <w:pPr>
              <w:ind w:left="480"/>
              <w:spacing w:after="0"/>
              <w:rPr>
                <w:sz w:val="20"/>
                <w:szCs w:val="20"/>
                <w:color w:val="auto"/>
              </w:rPr>
            </w:pPr>
            <w:r>
              <w:rPr>
                <w:rFonts w:ascii="Arial" w:cs="Arial" w:eastAsia="Arial" w:hAnsi="Arial"/>
                <w:sz w:val="18"/>
                <w:szCs w:val="18"/>
                <w:color w:val="auto"/>
              </w:rPr>
              <w:t>Signed:</w:t>
            </w:r>
          </w:p>
        </w:tc>
      </w:tr>
      <w:tr>
        <w:trPr>
          <w:trHeight w:val="216"/>
        </w:trPr>
        <w:tc>
          <w:tcPr>
            <w:tcW w:w="6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(Signed exactly as name appears on the other side of this</w:t>
            </w:r>
          </w:p>
        </w:tc>
      </w:tr>
      <w:tr>
        <w:trPr>
          <w:trHeight w:val="222"/>
        </w:trPr>
        <w:tc>
          <w:tcPr>
            <w:tcW w:w="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Security)</w:t>
            </w:r>
          </w:p>
        </w:tc>
      </w:tr>
      <w:tr>
        <w:trPr>
          <w:trHeight w:val="420"/>
        </w:trPr>
        <w:tc>
          <w:tcPr>
            <w:tcW w:w="236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2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0"/>
              </w:rPr>
              <w:t>Participant in a recognized Signature Guarantee Medallion Program (or other</w:t>
            </w:r>
          </w:p>
        </w:tc>
      </w:tr>
      <w:tr>
        <w:trPr>
          <w:trHeight w:val="222"/>
        </w:trPr>
        <w:tc>
          <w:tcPr>
            <w:tcW w:w="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signature guarantor program reasonably acceptable to the Trustee)</w:t>
            </w:r>
          </w:p>
        </w:tc>
      </w:tr>
      <w:tr>
        <w:trPr>
          <w:trHeight w:val="365"/>
        </w:trPr>
        <w:tc>
          <w:tcPr>
            <w:tcW w:w="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60" w:type="dxa"/>
            <w:vAlign w:val="bottom"/>
            <w:gridSpan w:val="2"/>
          </w:tcPr>
          <w:p>
            <w:pPr>
              <w:jc w:val="center"/>
              <w:ind w:left="3152"/>
              <w:spacing w:after="0"/>
              <w:rPr>
                <w:sz w:val="20"/>
                <w:szCs w:val="20"/>
                <w:color w:val="auto"/>
              </w:rPr>
            </w:pPr>
            <w:r>
              <w:rPr>
                <w:rFonts w:ascii="Arial" w:cs="Arial" w:eastAsia="Arial" w:hAnsi="Arial"/>
                <w:sz w:val="18"/>
                <w:szCs w:val="18"/>
                <w:color w:val="auto"/>
                <w:w w:val="89"/>
              </w:rPr>
              <w:t>10</w:t>
            </w:r>
          </w:p>
        </w:tc>
        <w:tc>
          <w:tcPr>
            <w:tcW w:w="1160" w:type="dxa"/>
            <w:vAlign w:val="bottom"/>
          </w:tcPr>
          <w:p>
            <w:pPr>
              <w:spacing w:after="0"/>
              <w:rPr>
                <w:sz w:val="24"/>
                <w:szCs w:val="24"/>
                <w:color w:val="auto"/>
              </w:rPr>
            </w:pPr>
          </w:p>
        </w:tc>
        <w:tc>
          <w:tcPr>
            <w:tcW w:w="44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2042]</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4.650% Note Due 2042</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 No.: 20030N BE0</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US20030NBE04</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9" w:lineRule="exact"/>
        <w:rPr>
          <w:sz w:val="20"/>
          <w:szCs w:val="20"/>
          <w:color w:val="auto"/>
        </w:rPr>
      </w:pPr>
    </w:p>
    <w:p>
      <w:pPr>
        <w:sectPr>
          <w:pgSz w:w="11900" w:h="16838" w:orient="portrait"/>
          <w:cols w:equalWidth="0" w:num="3">
            <w:col w:w="360" w:space="180"/>
            <w:col w:w="8240" w:space="720"/>
            <w:col w:w="1920"/>
          </w:cols>
          <w:pgMar w:left="240" w:top="274" w:right="239" w:bottom="1440" w:gutter="0" w:footer="0" w:header="0"/>
          <w:type w:val="continuous"/>
        </w:sectPr>
      </w:pPr>
    </w:p>
    <w:p>
      <w:pPr>
        <w:ind w:right="200" w:firstLine="456"/>
        <w:spacing w:after="0" w:line="275"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July 15, 2042.</w:t>
      </w:r>
    </w:p>
    <w:p>
      <w:pPr>
        <w:sectPr>
          <w:pgSz w:w="11900" w:h="16838" w:orient="portrait"/>
          <w:cols w:equalWidth="0" w:num="1">
            <w:col w:w="11420"/>
          </w:cols>
          <w:pgMar w:left="240" w:top="274" w:right="239" w:bottom="1440" w:gutter="0" w:footer="0" w:header="0"/>
          <w:type w:val="continuous"/>
        </w:sectPr>
      </w:pP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January 15 and July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January 15,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January 1 and July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Reference is made to the further provisions of this Security contained herein, which will for all purposes have the same effect as if set forth at this place.</w:t>
      </w:r>
    </w:p>
    <w:p>
      <w:pPr>
        <w:sectPr>
          <w:pgSz w:w="11900" w:h="16838" w:orient="portrait"/>
          <w:cols w:equalWidth="0" w:num="1">
            <w:col w:w="11420"/>
          </w:cols>
          <w:pgMar w:left="240" w:top="274" w:right="239" w:bottom="1440" w:gutter="0" w:footer="0" w:header="0"/>
          <w:type w:val="continuous"/>
        </w:sectPr>
      </w:pPr>
    </w:p>
    <w:bookmarkStart w:id="19" w:name="page20"/>
    <w:bookmarkEnd w:id="1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tbl>
      <w:tblPr>
        <w:tblLayout w:type="fixed"/>
        <w:tblInd w:w="380" w:type="dxa"/>
        <w:tblCellMar>
          <w:top w:w="0" w:type="dxa"/>
          <w:left w:w="0" w:type="dxa"/>
          <w:bottom w:w="0" w:type="dxa"/>
          <w:right w:w="0" w:type="dxa"/>
        </w:tblCellMar>
      </w:tblP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Arthur R. Block</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Senior Vice President, General Counsel and</w:t>
            </w:r>
          </w:p>
        </w:tc>
      </w:tr>
      <w:tr>
        <w:trPr>
          <w:trHeight w:val="222"/>
        </w:trPr>
        <w:tc>
          <w:tcPr>
            <w:tcW w:w="56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Secretary</w:t>
            </w:r>
          </w:p>
        </w:tc>
      </w:tr>
    </w:tbl>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July 2,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BANK OF NEW YORK MELLON,</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0" w:right="1440"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4.650% Note Due 2042</w:t>
      </w:r>
    </w:p>
    <w:p>
      <w:pPr>
        <w:spacing w:after="0" w:line="21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w:t>
      </w:r>
    </w:p>
    <w:p>
      <w:pPr>
        <w:spacing w:after="0" w:line="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July 2, 2012. The Issuer will pay interest semi-annually in arrears on each Interest Payment Date, commencing January 15, 2013. Interest will be computed on the basis of a 360-day year of twelve 30-day months.</w:t>
      </w:r>
    </w:p>
    <w:p>
      <w:pPr>
        <w:spacing w:after="0" w:line="14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254"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9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2" w:name="page23"/>
    <w:bookmarkEnd w:id="22"/>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Paying Agent.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Initially,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will act as Paying Agent. The Issuer may change any Paying Agent without notice to the Holders.</w:t>
      </w:r>
    </w:p>
    <w:p>
      <w:pPr>
        <w:spacing w:after="0" w:line="322"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Indenture.</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Issuer issued the Securities under an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Issuer,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Issuer, the cable guarantors named therein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24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Cable Guarantees.</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28"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3" w:name="page24"/>
    <w:bookmarkEnd w:id="23"/>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Persons Deemed Owners.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93"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54"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28"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69"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Cable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24" w:name="page25"/>
    <w:bookmarkEnd w:id="24"/>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a redemption price equal to the greater of (i) 100% of the principal amount of such Securities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in each case, 30 basis points plus accrued interest thereon to the date of redemption.</w:t>
      </w:r>
    </w:p>
    <w:p>
      <w:pPr>
        <w:spacing w:after="0" w:line="110"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32" w:lineRule="exact"/>
        <w:rPr>
          <w:sz w:val="20"/>
          <w:szCs w:val="20"/>
          <w:color w:val="auto"/>
        </w:rPr>
      </w:pPr>
    </w:p>
    <w:p>
      <w:pPr>
        <w:jc w:val="both"/>
        <w:ind w:right="8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Issue</w:t>
      </w:r>
      <w:r>
        <w:rPr>
          <w:rFonts w:ascii="Arial" w:cs="Arial" w:eastAsia="Arial" w:hAnsi="Arial"/>
          <w:sz w:val="15"/>
          <w:szCs w:val="15"/>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171"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32"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BNP Paribas Securities Corp., Citigroup Global Markets Inc., Merrill Lynch, Pierce, Fenner &amp; Smith Incorporated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Dealer</w:t>
      </w:r>
      <w:r>
        <w:rPr>
          <w:rFonts w:ascii="Arial" w:cs="Arial" w:eastAsia="Arial" w:hAnsi="Arial"/>
          <w:sz w:val="18"/>
          <w:szCs w:val="18"/>
          <w:color w:val="auto"/>
        </w:rPr>
        <w:t>”), the Issuer will substitute therefor another Primary Treasury Dealer.</w:t>
      </w:r>
    </w:p>
    <w:p>
      <w:pPr>
        <w:spacing w:after="0" w:line="136"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5" w:name="page26"/>
    <w:bookmarkEnd w:id="25"/>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(expressed in case as a percentage of its principal amount) quoted in writing to the Independent Investment Banker by such Reference Treasury Dealer at 3:30 pm New York time on the third business day preceding such redemption date.</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264"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Cable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4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54"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6" w:name="page27"/>
    <w:bookmarkEnd w:id="26"/>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93"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9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Customary abbreviations may be used in the name of a Holder of a Security or an assignee, such as: TEN COM (= tenants in common), TEN ENT</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tenants by the entireties), JT TEN (= joint tenants with right of survivorship and not as tenants in common), CUST (= Custodian), and U/G/M/A (= Uniform Gifts to Minors Act).</w:t>
      </w:r>
    </w:p>
    <w:p>
      <w:pPr>
        <w:spacing w:after="0" w:line="259"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62"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80" w:right="3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60" w:type="dxa"/>
            <w:vAlign w:val="bottom"/>
            <w:gridSpan w:val="4"/>
          </w:tcPr>
          <w:p>
            <w:pPr>
              <w:jc w:val="center"/>
              <w:ind w:right="2252"/>
              <w:spacing w:after="0"/>
              <w:rPr>
                <w:sz w:val="20"/>
                <w:szCs w:val="20"/>
                <w:color w:val="auto"/>
              </w:rPr>
            </w:pPr>
            <w:r>
              <w:rPr>
                <w:rFonts w:ascii="Arial" w:cs="Arial" w:eastAsia="Arial" w:hAnsi="Arial"/>
                <w:sz w:val="18"/>
                <w:szCs w:val="18"/>
                <w:color w:val="auto"/>
                <w:w w:val="86"/>
              </w:rPr>
              <w:t>(Print or type name, address and zip code of assignee or transferee)</w:t>
            </w:r>
          </w:p>
        </w:tc>
      </w:tr>
      <w:tr>
        <w:trPr>
          <w:trHeight w:val="446"/>
        </w:trPr>
        <w:tc>
          <w:tcPr>
            <w:tcW w:w="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60" w:type="dxa"/>
            <w:vAlign w:val="bottom"/>
            <w:gridSpan w:val="4"/>
          </w:tcPr>
          <w:p>
            <w:pPr>
              <w:jc w:val="center"/>
              <w:ind w:right="2272"/>
              <w:spacing w:after="0"/>
              <w:rPr>
                <w:sz w:val="20"/>
                <w:szCs w:val="20"/>
                <w:color w:val="auto"/>
              </w:rPr>
            </w:pPr>
            <w:r>
              <w:rPr>
                <w:rFonts w:ascii="Arial" w:cs="Arial" w:eastAsia="Arial" w:hAnsi="Arial"/>
                <w:sz w:val="18"/>
                <w:szCs w:val="18"/>
                <w:color w:val="auto"/>
                <w:w w:val="89"/>
              </w:rPr>
              <w:t>(Insert Social Security or other identifying number of assignee or transferee)</w:t>
            </w:r>
          </w:p>
        </w:tc>
      </w:tr>
      <w:tr>
        <w:trPr>
          <w:trHeight w:val="378"/>
        </w:trPr>
        <w:tc>
          <w:tcPr>
            <w:tcW w:w="236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9060" w:type="dxa"/>
            <w:vAlign w:val="bottom"/>
            <w:gridSpan w:val="4"/>
          </w:tcPr>
          <w:p>
            <w:pPr>
              <w:ind w:left="1120"/>
              <w:spacing w:after="0"/>
              <w:rPr>
                <w:sz w:val="20"/>
                <w:szCs w:val="20"/>
                <w:color w:val="auto"/>
              </w:rPr>
            </w:pPr>
            <w:r>
              <w:rPr>
                <w:rFonts w:ascii="Arial" w:cs="Arial" w:eastAsia="Arial" w:hAnsi="Arial"/>
                <w:sz w:val="18"/>
                <w:szCs w:val="18"/>
                <w:color w:val="auto"/>
                <w:w w:val="94"/>
              </w:rPr>
              <w:t>agent to transfer this Security on the books of the Issuer. The agent may substitute another to act for him.</w:t>
            </w:r>
          </w:p>
        </w:tc>
      </w:tr>
      <w:tr>
        <w:trPr>
          <w:trHeight w:val="420"/>
        </w:trPr>
        <w:tc>
          <w:tcPr>
            <w:tcW w:w="2360" w:type="dxa"/>
            <w:vAlign w:val="bottom"/>
            <w:gridSpan w:val="2"/>
          </w:tcPr>
          <w:p>
            <w:pPr>
              <w:spacing w:after="0"/>
              <w:rPr>
                <w:sz w:val="20"/>
                <w:szCs w:val="20"/>
                <w:color w:val="auto"/>
              </w:rPr>
            </w:pPr>
            <w:r>
              <w:rPr>
                <w:rFonts w:ascii="Arial" w:cs="Arial" w:eastAsia="Arial" w:hAnsi="Arial"/>
                <w:sz w:val="18"/>
                <w:szCs w:val="18"/>
                <w:color w:val="auto"/>
              </w:rPr>
              <w:t>Dated:</w:t>
            </w:r>
          </w:p>
        </w:tc>
        <w:tc>
          <w:tcPr>
            <w:tcW w:w="2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0" w:type="dxa"/>
            <w:vAlign w:val="bottom"/>
            <w:gridSpan w:val="2"/>
          </w:tcPr>
          <w:p>
            <w:pPr>
              <w:ind w:left="480"/>
              <w:spacing w:after="0"/>
              <w:rPr>
                <w:sz w:val="20"/>
                <w:szCs w:val="20"/>
                <w:color w:val="auto"/>
              </w:rPr>
            </w:pPr>
            <w:r>
              <w:rPr>
                <w:rFonts w:ascii="Arial" w:cs="Arial" w:eastAsia="Arial" w:hAnsi="Arial"/>
                <w:sz w:val="18"/>
                <w:szCs w:val="18"/>
                <w:color w:val="auto"/>
              </w:rPr>
              <w:t>Signed:</w:t>
            </w:r>
          </w:p>
        </w:tc>
      </w:tr>
      <w:tr>
        <w:trPr>
          <w:trHeight w:val="216"/>
        </w:trPr>
        <w:tc>
          <w:tcPr>
            <w:tcW w:w="6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(Signed exactly as name appears on the other side of this</w:t>
            </w:r>
          </w:p>
        </w:tc>
      </w:tr>
      <w:tr>
        <w:trPr>
          <w:trHeight w:val="222"/>
        </w:trPr>
        <w:tc>
          <w:tcPr>
            <w:tcW w:w="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Security)</w:t>
            </w:r>
          </w:p>
        </w:tc>
      </w:tr>
      <w:tr>
        <w:trPr>
          <w:trHeight w:val="420"/>
        </w:trPr>
        <w:tc>
          <w:tcPr>
            <w:tcW w:w="236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2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0"/>
              </w:rPr>
              <w:t>Participant in a recognized Signature Guarantee Medallion Program (or other</w:t>
            </w:r>
          </w:p>
        </w:tc>
      </w:tr>
      <w:tr>
        <w:trPr>
          <w:trHeight w:val="222"/>
        </w:trPr>
        <w:tc>
          <w:tcPr>
            <w:tcW w:w="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signature guarantor program reasonably acceptable to the Trustee)</w:t>
            </w:r>
          </w:p>
        </w:tc>
      </w:tr>
      <w:tr>
        <w:trPr>
          <w:trHeight w:val="365"/>
        </w:trPr>
        <w:tc>
          <w:tcPr>
            <w:tcW w:w="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60" w:type="dxa"/>
            <w:vAlign w:val="bottom"/>
            <w:gridSpan w:val="2"/>
          </w:tcPr>
          <w:p>
            <w:pPr>
              <w:jc w:val="center"/>
              <w:ind w:left="3152"/>
              <w:spacing w:after="0"/>
              <w:rPr>
                <w:sz w:val="20"/>
                <w:szCs w:val="20"/>
                <w:color w:val="auto"/>
              </w:rPr>
            </w:pPr>
            <w:r>
              <w:rPr>
                <w:rFonts w:ascii="Arial" w:cs="Arial" w:eastAsia="Arial" w:hAnsi="Arial"/>
                <w:sz w:val="18"/>
                <w:szCs w:val="18"/>
                <w:color w:val="auto"/>
                <w:w w:val="89"/>
              </w:rPr>
              <w:t>10</w:t>
            </w:r>
          </w:p>
        </w:tc>
        <w:tc>
          <w:tcPr>
            <w:tcW w:w="1160" w:type="dxa"/>
            <w:vAlign w:val="bottom"/>
          </w:tcPr>
          <w:p>
            <w:pPr>
              <w:spacing w:after="0"/>
              <w:rPr>
                <w:sz w:val="24"/>
                <w:szCs w:val="24"/>
                <w:color w:val="auto"/>
              </w:rPr>
            </w:pPr>
          </w:p>
        </w:tc>
        <w:tc>
          <w:tcPr>
            <w:tcW w:w="44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171"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June 27,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am Senior Vice President, General Counsel and Secretary of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have acted for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Company in connection with the issuance by the Company, pursuant to the Underwriting Agreement dated June 26, 2012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among the Company, the Cable Guarantors (as defined below) and BNP Paribas Securities Corp., Citigroup Global Markets Inc., Merrill Lynch, Pierce, Fenner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Smith Incorporated and Wells Fargo Securities, LLC, as representatives of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 of $1,000,000,000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 of its 3.125% Notes Due 2022 and $1,250,000,000 aggregate principal amount of its 4.650% Notes Due 2042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Supplemental Indenture dated as of March 25, 2003 by and among the Company, the cable guarantors named therein and the Trustee, and as further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supplemented by the Second Supplemental Indenture dated as of August 31, 2009 by and among the Company, the cable guarantors named therein (the “</w:t>
      </w:r>
      <w:r>
        <w:rPr>
          <w:rFonts w:ascii="Arial" w:cs="Arial" w:eastAsia="Arial" w:hAnsi="Arial"/>
          <w:sz w:val="16"/>
          <w:szCs w:val="16"/>
          <w:b w:val="1"/>
          <w:bCs w:val="1"/>
          <w:color w:val="auto"/>
        </w:rPr>
        <w:t>Cable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Guarantors</w:t>
      </w:r>
      <w:r>
        <w:rPr>
          <w:rFonts w:ascii="Arial" w:cs="Arial" w:eastAsia="Arial" w:hAnsi="Arial"/>
          <w:sz w:val="18"/>
          <w:szCs w:val="18"/>
          <w:color w:val="auto"/>
        </w:rPr>
        <w:t>”) and the Trustee, and guaranteed on an unsecured and unsubordinated basis by the Cable Guarantors.</w:t>
      </w:r>
    </w:p>
    <w:p>
      <w:pPr>
        <w:sectPr>
          <w:pgSz w:w="11900" w:h="16838" w:orient="portrait"/>
          <w:cols w:equalWidth="0" w:num="1">
            <w:col w:w="11420"/>
          </w:cols>
          <w:pgMar w:left="240" w:top="125" w:right="239" w:bottom="1440" w:gutter="0" w:footer="0" w:header="0"/>
        </w:sectPr>
      </w:pPr>
    </w:p>
    <w:bookmarkStart w:id="29" w:name="page30"/>
    <w:bookmarkEnd w:id="29"/>
    <w:p>
      <w:pPr>
        <w:spacing w:after="0"/>
        <w:tabs>
          <w:tab w:leader="none" w:pos="5900" w:val="left"/>
          <w:tab w:leader="none" w:pos="91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June 27, 2012</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I am of the opinion that:</w:t>
      </w:r>
    </w:p>
    <w:p>
      <w:pPr>
        <w:spacing w:after="0" w:line="171" w:lineRule="exact"/>
        <w:rPr>
          <w:sz w:val="20"/>
          <w:szCs w:val="20"/>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 hereby consent to the filing of this opinion as an exhibit to a report on Form 8-K filed by the Company on the date hereof and its incorporation by reference into the Company’s registration statement on Form S-3 (File No. 333-179678).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This opinion is rendered solely to you in connection with the above matter. This opinion may not be relied upon by you for any other purpose or relied upon by or furnished to any other person without my prior written consent.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ectPr>
          <w:pgSz w:w="11900" w:h="16838" w:orient="portrait"/>
          <w:cols w:equalWidth="0" w:num="1">
            <w:col w:w="11200"/>
          </w:cols>
          <w:pgMar w:left="240" w:top="280" w:right="4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DAVIS POLK &amp; WARDWELL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June 27,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acted as counsel to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issuance by the Company, pursuant to the Underwriting Agreement dated June 26, 2012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Cable Guarantors (as defined below) and BNP Paribas Securities Corp., Citigroup Global Markets Inc., Merrill Lynch, Pierce, Fenner &amp; Smith Incorporated and Wells Fargo Securities, LLC, as representatives of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 of $1,000,000,000 aggregate principal amount of its 3.125% Notes Due 2022 and $1,250,000,000 aggregate principal amount of its 4.650% Notes Due 2042 (collectively,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Company,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named therein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the Trustee, and guaranteed (the “</w:t>
      </w:r>
      <w:r>
        <w:rPr>
          <w:rFonts w:ascii="Arial" w:cs="Arial" w:eastAsia="Arial" w:hAnsi="Arial"/>
          <w:sz w:val="16"/>
          <w:szCs w:val="16"/>
          <w:b w:val="1"/>
          <w:bCs w:val="1"/>
          <w:color w:val="auto"/>
        </w:rPr>
        <w:t>Cable Guarantees</w:t>
      </w:r>
      <w:r>
        <w:rPr>
          <w:rFonts w:ascii="Arial" w:cs="Arial" w:eastAsia="Arial" w:hAnsi="Arial"/>
          <w:sz w:val="16"/>
          <w:szCs w:val="16"/>
          <w:color w:val="auto"/>
        </w:rPr>
        <w:t>”) on an unsecured and unsubordinated basis by the Cable Guarantors.</w:t>
      </w:r>
    </w:p>
    <w:p>
      <w:pPr>
        <w:spacing w:after="0" w:line="12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We, as your counsel,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we are of the opinion that:</w:t>
      </w:r>
    </w:p>
    <w:p>
      <w:pPr>
        <w:spacing w:after="0" w:line="171" w:lineRule="exact"/>
        <w:rPr>
          <w:sz w:val="20"/>
          <w:szCs w:val="20"/>
          <w:color w:val="auto"/>
        </w:rPr>
      </w:pPr>
    </w:p>
    <w:p>
      <w:pPr>
        <w:ind w:right="120" w:firstLine="8"/>
        <w:spacing w:after="0" w:line="298" w:lineRule="auto"/>
        <w:tabs>
          <w:tab w:leader="none" w:pos="2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Trustee and the Company, the Indenture is a valid and binding agreement of the Company and the Cable Guarantors, enforceable against the Company and the Cable Guarantors in accordance with its terms, subject to applicable bankruptcy, 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w:t>
      </w:r>
    </w:p>
    <w:p>
      <w:pPr>
        <w:sectPr>
          <w:pgSz w:w="11900" w:h="16838" w:orient="portrait"/>
          <w:cols w:equalWidth="0" w:num="1">
            <w:col w:w="11420"/>
          </w:cols>
          <w:pgMar w:left="240" w:top="125" w:right="239" w:bottom="1440" w:gutter="0" w:footer="0" w:header="0"/>
        </w:sectPr>
      </w:pPr>
    </w:p>
    <w:bookmarkStart w:id="31" w:name="page32"/>
    <w:bookmarkEnd w:id="31"/>
    <w:p>
      <w:pPr>
        <w:spacing w:after="0"/>
        <w:tabs>
          <w:tab w:leader="none" w:pos="5900" w:val="left"/>
          <w:tab w:leader="none" w:pos="91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June 27, 2012</w:t>
      </w:r>
    </w:p>
    <w:p>
      <w:pPr>
        <w:spacing w:after="0" w:line="15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conclusions expressed above, (ii) any provision of the Indenture that purports to avoid the effect of fraudulent conveyance, fraudulent transfer or similar provision of applicable law by limiting the amount of any Guarantor’s obligation or (iii) the validity, legally binding effect or enforceability of any provision that permits holders to collect any portion of stated principal amount upon acceleration of the Notes to the extent determined to constitute unearned interest.</w:t>
      </w:r>
    </w:p>
    <w:p>
      <w:pPr>
        <w:spacing w:after="0" w:line="107" w:lineRule="exact"/>
        <w:rPr>
          <w:sz w:val="20"/>
          <w:szCs w:val="20"/>
          <w:color w:val="auto"/>
        </w:rPr>
      </w:pPr>
    </w:p>
    <w:p>
      <w:pPr>
        <w:ind w:firstLine="8"/>
        <w:spacing w:after="0" w:line="289" w:lineRule="auto"/>
        <w:tabs>
          <w:tab w:leader="none" w:pos="2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Cable Guarantees have been duly authorized, and, assuming the Notes have been duly authorized by the Company, when the Notes have been duly executed and authenticated in accordance with the provisions of the Indenture and delivered to and paid for by the Underwriters in accordance with the terms of the Underwriting Agreement, the Notes will be valid and binding obligations of the Company and the Cable Guarantees will be valid and binding obligations of the Cable Guarantors, in each case enforceable against the Cable Guarantors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(i) the effect of fraudulent conveyance, fraudulent transfer or similar provision of applicable law on the conclusions expressed above or (ii) the validity, legally binding effect or enforceability of any provision that permits holders to collect any portion of stated principal amount upon acceleration of the Notes to the extent determined to constitute unearned interest.</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members of the Bar of the States of New York and California and the foregoing opinion is limited to the laws of the State of New York, the federal laws of the United States of America and the General Corporation Law of the State of Delaware.</w:t>
      </w:r>
    </w:p>
    <w:p>
      <w:pPr>
        <w:spacing w:after="0" w:line="13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We hereby consent to the filing of this opinion as an exhibit to a report on Form 8-K filed by the Company on the date hereof and its incorporation by reference into the Company’s registration statement on Form S-3 (File No. 333-179678). In addition, we consent to the reference to our name under the caption “Legal Matters” in the prospectus, which is a part of the registration statement. In giving this consent, we do not admit that we are in the category of persons whose consent is required under Section 7 of the Securities Act of 1933, as amended.</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opinion is rendered solely to you in connection with the above matter. This opinion may not be relied upon by you for any other purpose or relied upon by or furnished to any other person without our prior written consent.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decimal"/>
      <w:start w:val="2"/>
    </w:lvl>
  </w:abstractNum>
  <w:abstractNum w:abstractNumId="3">
    <w:nsid w:val="2D1D5AE9"/>
    <w:multiLevelType w:val="hybridMultilevel"/>
    <w:lvl w:ilvl="0">
      <w:lvlJc w:val="left"/>
      <w:lvlText w:val="%1."/>
      <w:numFmt w:val="decimal"/>
      <w:start w:val="3"/>
    </w:lvl>
  </w:abstractNum>
  <w:abstractNum w:abstractNumId="4">
    <w:nsid w:val="6763845E"/>
    <w:multiLevelType w:val="hybridMultilevel"/>
    <w:lvl w:ilvl="0">
      <w:lvlJc w:val="left"/>
      <w:lvlText w:val="%1."/>
      <w:numFmt w:val="decimal"/>
      <w:start w:val="4"/>
    </w:lvl>
  </w:abstractNum>
  <w:abstractNum w:abstractNumId="5">
    <w:nsid w:val="75A2A8D4"/>
    <w:multiLevelType w:val="hybridMultilevel"/>
    <w:lvl w:ilvl="0">
      <w:lvlJc w:val="left"/>
      <w:lvlText w:val="%1."/>
      <w:numFmt w:val="decimal"/>
      <w:start w:val="5"/>
    </w:lvl>
  </w:abstractNum>
  <w:abstractNum w:abstractNumId="6">
    <w:nsid w:val="8EDBDAB"/>
    <w:multiLevelType w:val="hybridMultilevel"/>
    <w:lvl w:ilvl="0">
      <w:lvlJc w:val="left"/>
      <w:lvlText w:val="%1."/>
      <w:numFmt w:val="decimal"/>
      <w:start w:val="6"/>
    </w:lvl>
  </w:abstractNum>
  <w:abstractNum w:abstractNumId="7">
    <w:nsid w:val="79838CB2"/>
    <w:multiLevelType w:val="hybridMultilevel"/>
    <w:lvl w:ilvl="0">
      <w:lvlJc w:val="left"/>
      <w:lvlText w:val="%1."/>
      <w:numFmt w:val="decimal"/>
      <w:start w:val="7"/>
    </w:lvl>
  </w:abstractNum>
  <w:abstractNum w:abstractNumId="8">
    <w:nsid w:val="4353D0CD"/>
    <w:multiLevelType w:val="hybridMultilevel"/>
    <w:lvl w:ilvl="0">
      <w:lvlJc w:val="left"/>
      <w:lvlText w:val="%1."/>
      <w:numFmt w:val="decimal"/>
      <w:start w:val="8"/>
    </w:lvl>
  </w:abstractNum>
  <w:abstractNum w:abstractNumId="9">
    <w:nsid w:val="B03E0C6"/>
    <w:multiLevelType w:val="hybridMultilevel"/>
    <w:lvl w:ilvl="0">
      <w:lvlJc w:val="left"/>
      <w:lvlText w:val="%1."/>
      <w:numFmt w:val="decimal"/>
      <w:start w:val="9"/>
    </w:lvl>
  </w:abstractNum>
  <w:abstractNum w:abstractNumId="10">
    <w:nsid w:val="189A769B"/>
    <w:multiLevelType w:val="hybridMultilevel"/>
    <w:lvl w:ilvl="0">
      <w:lvlJc w:val="left"/>
      <w:lvlText w:val="%1."/>
      <w:numFmt w:val="decimal"/>
      <w:start w:val="10"/>
    </w:lvl>
  </w:abstractNum>
  <w:abstractNum w:abstractNumId="11">
    <w:nsid w:val="54E49EB4"/>
    <w:multiLevelType w:val="hybridMultilevel"/>
    <w:lvl w:ilvl="0">
      <w:lvlJc w:val="left"/>
      <w:lvlText w:val="%1."/>
      <w:numFmt w:val="decimal"/>
      <w:start w:val="11"/>
    </w:lvl>
  </w:abstractNum>
  <w:abstractNum w:abstractNumId="12">
    <w:nsid w:val="71F32454"/>
    <w:multiLevelType w:val="hybridMultilevel"/>
    <w:lvl w:ilvl="0">
      <w:lvlJc w:val="left"/>
      <w:lvlText w:val="%1."/>
      <w:numFmt w:val="decimal"/>
      <w:start w:val="12"/>
    </w:lvl>
  </w:abstractNum>
  <w:abstractNum w:abstractNumId="13">
    <w:nsid w:val="2CA88611"/>
    <w:multiLevelType w:val="hybridMultilevel"/>
    <w:lvl w:ilvl="0">
      <w:lvlJc w:val="left"/>
      <w:lvlText w:val="%1."/>
      <w:numFmt w:val="decimal"/>
      <w:start w:val="13"/>
    </w:lvl>
  </w:abstractNum>
  <w:abstractNum w:abstractNumId="14">
    <w:nsid w:val="836C40E"/>
    <w:multiLevelType w:val="hybridMultilevel"/>
    <w:lvl w:ilvl="0">
      <w:lvlJc w:val="left"/>
      <w:lvlText w:val="%1."/>
      <w:numFmt w:val="decimal"/>
      <w:start w:val="14"/>
    </w:lvl>
  </w:abstractNum>
  <w:abstractNum w:abstractNumId="15">
    <w:nsid w:val="2901D82"/>
    <w:multiLevelType w:val="hybridMultilevel"/>
    <w:lvl w:ilvl="0">
      <w:lvlJc w:val="left"/>
      <w:lvlText w:val="%1."/>
      <w:numFmt w:val="decimal"/>
      <w:start w:val="15"/>
    </w:lvl>
  </w:abstractNum>
  <w:abstractNum w:abstractNumId="16">
    <w:nsid w:val="3A95F874"/>
    <w:multiLevelType w:val="hybridMultilevel"/>
    <w:lvl w:ilvl="0">
      <w:lvlJc w:val="left"/>
      <w:lvlText w:val="%1."/>
      <w:numFmt w:val="decimal"/>
      <w:start w:val="16"/>
    </w:lvl>
  </w:abstractNum>
  <w:abstractNum w:abstractNumId="17">
    <w:nsid w:val="8138641"/>
    <w:multiLevelType w:val="hybridMultilevel"/>
    <w:lvl w:ilvl="0">
      <w:lvlJc w:val="left"/>
      <w:lvlText w:val="%1."/>
      <w:numFmt w:val="decimal"/>
      <w:start w:val="17"/>
    </w:lvl>
  </w:abstractNum>
  <w:abstractNum w:abstractNumId="18">
    <w:nsid w:val="1E7FF521"/>
    <w:multiLevelType w:val="hybridMultilevel"/>
    <w:lvl w:ilvl="0">
      <w:lvlJc w:val="left"/>
      <w:lvlText w:val="%1."/>
      <w:numFmt w:val="decimal"/>
      <w:start w:val="18"/>
    </w:lvl>
  </w:abstractNum>
  <w:abstractNum w:abstractNumId="19">
    <w:nsid w:val="7C3DBD3D"/>
    <w:multiLevelType w:val="hybridMultilevel"/>
    <w:lvl w:ilvl="0">
      <w:lvlJc w:val="left"/>
      <w:lvlText w:val="%1."/>
      <w:numFmt w:val="decimal"/>
      <w:start w:val="19"/>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2"/>
    </w:lvl>
  </w:abstractNum>
  <w:abstractNum w:abstractNumId="22">
    <w:nsid w:val="22221A70"/>
    <w:multiLevelType w:val="hybridMultilevel"/>
    <w:lvl w:ilvl="0">
      <w:lvlJc w:val="left"/>
      <w:lvlText w:val="%1."/>
      <w:numFmt w:val="decimal"/>
      <w:start w:val="3"/>
    </w:lvl>
  </w:abstractNum>
  <w:abstractNum w:abstractNumId="23">
    <w:nsid w:val="4516DDE9"/>
    <w:multiLevelType w:val="hybridMultilevel"/>
    <w:lvl w:ilvl="0">
      <w:lvlJc w:val="left"/>
      <w:lvlText w:val="%1."/>
      <w:numFmt w:val="decimal"/>
      <w:start w:val="4"/>
    </w:lvl>
  </w:abstractNum>
  <w:abstractNum w:abstractNumId="24">
    <w:nsid w:val="3006C83E"/>
    <w:multiLevelType w:val="hybridMultilevel"/>
    <w:lvl w:ilvl="0">
      <w:lvlJc w:val="left"/>
      <w:lvlText w:val="%1."/>
      <w:numFmt w:val="decimal"/>
      <w:start w:val="5"/>
    </w:lvl>
  </w:abstractNum>
  <w:abstractNum w:abstractNumId="25">
    <w:nsid w:val="614FD4A1"/>
    <w:multiLevelType w:val="hybridMultilevel"/>
    <w:lvl w:ilvl="0">
      <w:lvlJc w:val="left"/>
      <w:lvlText w:val="%1."/>
      <w:numFmt w:val="decimal"/>
      <w:start w:val="6"/>
    </w:lvl>
  </w:abstractNum>
  <w:abstractNum w:abstractNumId="26">
    <w:nsid w:val="419AC241"/>
    <w:multiLevelType w:val="hybridMultilevel"/>
    <w:lvl w:ilvl="0">
      <w:lvlJc w:val="left"/>
      <w:lvlText w:val="%1."/>
      <w:numFmt w:val="decimal"/>
      <w:start w:val="7"/>
    </w:lvl>
  </w:abstractNum>
  <w:abstractNum w:abstractNumId="27">
    <w:nsid w:val="5577F8E1"/>
    <w:multiLevelType w:val="hybridMultilevel"/>
    <w:lvl w:ilvl="0">
      <w:lvlJc w:val="left"/>
      <w:lvlText w:val="%1."/>
      <w:numFmt w:val="decimal"/>
      <w:start w:val="8"/>
    </w:lvl>
  </w:abstractNum>
  <w:abstractNum w:abstractNumId="28">
    <w:nsid w:val="440BADFC"/>
    <w:multiLevelType w:val="hybridMultilevel"/>
    <w:lvl w:ilvl="0">
      <w:lvlJc w:val="left"/>
      <w:lvlText w:val="%1."/>
      <w:numFmt w:val="decimal"/>
      <w:start w:val="9"/>
    </w:lvl>
  </w:abstractNum>
  <w:abstractNum w:abstractNumId="29">
    <w:nsid w:val="5072367"/>
    <w:multiLevelType w:val="hybridMultilevel"/>
    <w:lvl w:ilvl="0">
      <w:lvlJc w:val="left"/>
      <w:lvlText w:val="%1."/>
      <w:numFmt w:val="decimal"/>
      <w:start w:val="10"/>
    </w:lvl>
  </w:abstractNum>
  <w:abstractNum w:abstractNumId="30">
    <w:nsid w:val="3804823E"/>
    <w:multiLevelType w:val="hybridMultilevel"/>
    <w:lvl w:ilvl="0">
      <w:lvlJc w:val="left"/>
      <w:lvlText w:val="%1."/>
      <w:numFmt w:val="decimal"/>
      <w:start w:val="11"/>
    </w:lvl>
  </w:abstractNum>
  <w:abstractNum w:abstractNumId="31">
    <w:nsid w:val="77465F01"/>
    <w:multiLevelType w:val="hybridMultilevel"/>
    <w:lvl w:ilvl="0">
      <w:lvlJc w:val="left"/>
      <w:lvlText w:val="%1."/>
      <w:numFmt w:val="decimal"/>
      <w:start w:val="12"/>
    </w:lvl>
  </w:abstractNum>
  <w:abstractNum w:abstractNumId="32">
    <w:nsid w:val="7724C67E"/>
    <w:multiLevelType w:val="hybridMultilevel"/>
    <w:lvl w:ilvl="0">
      <w:lvlJc w:val="left"/>
      <w:lvlText w:val="%1."/>
      <w:numFmt w:val="decimal"/>
      <w:start w:val="13"/>
    </w:lvl>
  </w:abstractNum>
  <w:abstractNum w:abstractNumId="33">
    <w:nsid w:val="5C482A97"/>
    <w:multiLevelType w:val="hybridMultilevel"/>
    <w:lvl w:ilvl="0">
      <w:lvlJc w:val="left"/>
      <w:lvlText w:val="%1."/>
      <w:numFmt w:val="decimal"/>
      <w:start w:val="14"/>
    </w:lvl>
  </w:abstractNum>
  <w:abstractNum w:abstractNumId="34">
    <w:nsid w:val="2463B9EA"/>
    <w:multiLevelType w:val="hybridMultilevel"/>
    <w:lvl w:ilvl="0">
      <w:lvlJc w:val="left"/>
      <w:lvlText w:val="%1."/>
      <w:numFmt w:val="decimal"/>
      <w:start w:val="15"/>
    </w:lvl>
  </w:abstractNum>
  <w:abstractNum w:abstractNumId="35">
    <w:nsid w:val="5E884ADC"/>
    <w:multiLevelType w:val="hybridMultilevel"/>
    <w:lvl w:ilvl="0">
      <w:lvlJc w:val="left"/>
      <w:lvlText w:val="%1."/>
      <w:numFmt w:val="decimal"/>
      <w:start w:val="16"/>
    </w:lvl>
  </w:abstractNum>
  <w:abstractNum w:abstractNumId="36">
    <w:nsid w:val="51EAD36B"/>
    <w:multiLevelType w:val="hybridMultilevel"/>
    <w:lvl w:ilvl="0">
      <w:lvlJc w:val="left"/>
      <w:lvlText w:val="%1."/>
      <w:numFmt w:val="decimal"/>
      <w:start w:val="17"/>
    </w:lvl>
  </w:abstractNum>
  <w:abstractNum w:abstractNumId="37">
    <w:nsid w:val="2D517796"/>
    <w:multiLevelType w:val="hybridMultilevel"/>
    <w:lvl w:ilvl="0">
      <w:lvlJc w:val="left"/>
      <w:lvlText w:val="%1."/>
      <w:numFmt w:val="decimal"/>
      <w:start w:val="18"/>
    </w:lvl>
  </w:abstractNum>
  <w:abstractNum w:abstractNumId="38">
    <w:nsid w:val="580BD78F"/>
    <w:multiLevelType w:val="hybridMultilevel"/>
    <w:lvl w:ilvl="0">
      <w:lvlJc w:val="left"/>
      <w:lvlText w:val="%1."/>
      <w:numFmt w:val="decimal"/>
      <w:start w:val="19"/>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2019-12-09T15:20:00Z</dcterms:created>
  <dcterms:modified xsi:type="dcterms:W3CDTF">2019-12-09T15:20:00Z</dcterms:modified>
</cp:coreProperties>
</file>