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United States Securities and Exchange Commission on August 2,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COMCAST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p>
      <w:pPr>
        <w:spacing w:after="0" w:line="273" w:lineRule="exact"/>
        <w:rPr>
          <w:sz w:val="24"/>
          <w:szCs w:val="24"/>
          <w:color w:val="auto"/>
        </w:rPr>
      </w:pPr>
    </w:p>
    <w:p>
      <w:pPr>
        <w:ind w:left="2400"/>
        <w:spacing w:after="0"/>
        <w:rPr>
          <w:sz w:val="20"/>
          <w:szCs w:val="20"/>
          <w:color w:val="auto"/>
        </w:rPr>
      </w:pPr>
      <w:r>
        <w:rPr>
          <w:rFonts w:ascii="Arial" w:cs="Arial" w:eastAsia="Arial" w:hAnsi="Arial"/>
          <w:sz w:val="15"/>
          <w:szCs w:val="15"/>
          <w:b w:val="1"/>
          <w:bCs w:val="1"/>
          <w:color w:val="auto"/>
        </w:rPr>
        <w:t>Pennsylvania</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27-0000798</w:t>
      </w:r>
    </w:p>
    <w:p>
      <w:pPr>
        <w:spacing w:after="0" w:line="44" w:lineRule="exact"/>
        <w:rPr>
          <w:sz w:val="24"/>
          <w:szCs w:val="24"/>
          <w:color w:val="auto"/>
        </w:rPr>
      </w:pPr>
    </w:p>
    <w:p>
      <w:pPr>
        <w:sectPr>
          <w:pgSz w:w="11900" w:h="16838" w:orient="portrait"/>
          <w:cols w:equalWidth="0" w:num="2">
            <w:col w:w="7500" w:space="720"/>
            <w:col w:w="3200"/>
          </w:cols>
          <w:pgMar w:left="240" w:top="233" w:right="239" w:bottom="1440" w:gutter="0" w:footer="0" w:header="0"/>
          <w:type w:val="continuous"/>
        </w:sectPr>
      </w:pPr>
    </w:p>
    <w:p>
      <w:pPr>
        <w:ind w:left="204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20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90" w:lineRule="exact"/>
        <w:rPr>
          <w:sz w:val="24"/>
          <w:szCs w:val="24"/>
          <w:color w:val="auto"/>
        </w:rPr>
      </w:pPr>
    </w:p>
    <w:p>
      <w:pPr>
        <w:sectPr>
          <w:pgSz w:w="11900" w:h="16838" w:orient="portrait"/>
          <w:cols w:equalWidth="0" w:num="2">
            <w:col w:w="7400" w:space="720"/>
            <w:col w:w="3300"/>
          </w:cols>
          <w:pgMar w:left="240" w:top="233"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One Comcast Center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Philadelphia, PA 19103-2838</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(215) 286-1700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119380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p>
      <w:pPr>
        <w:spacing w:after="0" w:line="268" w:lineRule="exact"/>
        <w:rPr>
          <w:sz w:val="24"/>
          <w:szCs w:val="24"/>
          <w:color w:val="auto"/>
        </w:rPr>
      </w:pPr>
    </w:p>
    <w:p>
      <w:pPr>
        <w:ind w:left="2760"/>
        <w:spacing w:after="0"/>
        <w:rPr>
          <w:sz w:val="20"/>
          <w:szCs w:val="20"/>
          <w:color w:val="auto"/>
        </w:rPr>
      </w:pPr>
      <w:r>
        <w:rPr>
          <w:rFonts w:ascii="Arial" w:cs="Arial" w:eastAsia="Arial" w:hAnsi="Arial"/>
          <w:sz w:val="18"/>
          <w:szCs w:val="18"/>
          <w:b w:val="1"/>
          <w:bCs w:val="1"/>
          <w:color w:val="auto"/>
        </w:rPr>
        <w:t>COMCAST CORPORATION 2002 EMPLOYEE STOCK PURCHASE PLAN</w:t>
      </w:r>
    </w:p>
    <w:p>
      <w:pPr>
        <w:spacing w:after="0" w:line="21"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COMCAST-NBCUNIVERSAL 2011 EMPLOYEE STOCK PURCHASE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Arthur R. Block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Comcast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Philadelphia, PA 19103-2838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(215) 286-1700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ind w:right="420"/>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40" w:type="dxa"/>
            <w:vAlign w:val="bottom"/>
            <w:gridSpan w:val="2"/>
          </w:tcPr>
          <w:p>
            <w:pPr>
              <w:spacing w:after="0"/>
              <w:rPr>
                <w:sz w:val="20"/>
                <w:szCs w:val="20"/>
                <w:color w:val="auto"/>
              </w:rPr>
            </w:pPr>
            <w:r>
              <w:rPr>
                <w:rFonts w:ascii="Arial" w:cs="Arial" w:eastAsia="Arial" w:hAnsi="Arial"/>
                <w:sz w:val="18"/>
                <w:szCs w:val="18"/>
                <w:color w:val="auto"/>
                <w:w w:val="96"/>
              </w:rPr>
              <w:t>Large accelerated filer</w:t>
            </w:r>
          </w:p>
        </w:tc>
        <w:tc>
          <w:tcPr>
            <w:tcW w:w="19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840" w:type="dxa"/>
            <w:vAlign w:val="bottom"/>
            <w:gridSpan w:val="2"/>
          </w:tcPr>
          <w:p>
            <w:pPr>
              <w:ind w:left="600"/>
              <w:spacing w:after="0"/>
              <w:rPr>
                <w:sz w:val="20"/>
                <w:szCs w:val="20"/>
                <w:color w:val="auto"/>
              </w:rPr>
            </w:pPr>
            <w:r>
              <w:rPr>
                <w:rFonts w:ascii="Arial" w:cs="Arial" w:eastAsia="Arial" w:hAnsi="Arial"/>
                <w:sz w:val="18"/>
                <w:szCs w:val="18"/>
                <w:color w:val="auto"/>
                <w:w w:val="94"/>
              </w:rPr>
              <w:t>Accelerated filer</w:t>
            </w:r>
          </w:p>
        </w:tc>
        <w:tc>
          <w:tcPr>
            <w:tcW w:w="1140" w:type="dxa"/>
            <w:vAlign w:val="bottom"/>
          </w:tcPr>
          <w:p>
            <w:pPr>
              <w:spacing w:after="0"/>
              <w:rPr>
                <w:sz w:val="23"/>
                <w:szCs w:val="23"/>
                <w:color w:val="auto"/>
              </w:rPr>
            </w:pPr>
          </w:p>
        </w:tc>
        <w:tc>
          <w:tcPr>
            <w:tcW w:w="18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19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98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18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58"/>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90"/>
        </w:trPr>
        <w:tc>
          <w:tcPr>
            <w:tcW w:w="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5"/>
          </w:tcPr>
          <w:p>
            <w:pPr>
              <w:ind w:left="38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Borders>
              <w:right w:val="single" w:sz="8" w:color="auto"/>
            </w:tcBorders>
          </w:tcPr>
          <w:p>
            <w:pPr>
              <w:jc w:val="center"/>
              <w:ind w:right="70"/>
              <w:spacing w:after="0" w:line="118" w:lineRule="exact"/>
              <w:rPr>
                <w:sz w:val="20"/>
                <w:szCs w:val="20"/>
                <w:color w:val="auto"/>
              </w:rPr>
            </w:pPr>
            <w:r>
              <w:rPr>
                <w:rFonts w:ascii="Arial" w:cs="Arial" w:eastAsia="Arial" w:hAnsi="Arial"/>
                <w:sz w:val="12"/>
                <w:szCs w:val="12"/>
                <w:b w:val="1"/>
                <w:bCs w:val="1"/>
                <w:color w:val="auto"/>
                <w:w w:val="97"/>
              </w:rPr>
              <w:t>Proposed</w:t>
            </w:r>
          </w:p>
        </w:tc>
        <w:tc>
          <w:tcPr>
            <w:tcW w:w="1600" w:type="dxa"/>
            <w:vAlign w:val="bottom"/>
            <w:tcBorders>
              <w:right w:val="single" w:sz="8" w:color="auto"/>
            </w:tcBorders>
          </w:tcPr>
          <w:p>
            <w:pPr>
              <w:jc w:val="center"/>
              <w:ind w:left="25"/>
              <w:spacing w:after="0" w:line="118" w:lineRule="exact"/>
              <w:rPr>
                <w:sz w:val="20"/>
                <w:szCs w:val="20"/>
                <w:color w:val="auto"/>
              </w:rPr>
            </w:pPr>
            <w:r>
              <w:rPr>
                <w:rFonts w:ascii="Arial" w:cs="Arial" w:eastAsia="Arial" w:hAnsi="Arial"/>
                <w:sz w:val="12"/>
                <w:szCs w:val="12"/>
                <w:b w:val="1"/>
                <w:bCs w:val="1"/>
                <w:color w:val="auto"/>
                <w:w w:val="97"/>
              </w:rPr>
              <w:t>Proposed</w:t>
            </w: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70"/>
              <w:spacing w:after="0" w:line="149" w:lineRule="exact"/>
              <w:rPr>
                <w:sz w:val="20"/>
                <w:szCs w:val="20"/>
                <w:color w:val="auto"/>
              </w:rPr>
            </w:pPr>
            <w:r>
              <w:rPr>
                <w:rFonts w:ascii="Arial" w:cs="Arial" w:eastAsia="Arial" w:hAnsi="Arial"/>
                <w:sz w:val="14"/>
                <w:szCs w:val="14"/>
                <w:b w:val="1"/>
                <w:bCs w:val="1"/>
                <w:color w:val="auto"/>
                <w:w w:val="88"/>
              </w:rPr>
              <w:t>maximum</w:t>
            </w:r>
          </w:p>
        </w:tc>
        <w:tc>
          <w:tcPr>
            <w:tcW w:w="1600" w:type="dxa"/>
            <w:vAlign w:val="bottom"/>
            <w:tcBorders>
              <w:right w:val="single" w:sz="8" w:color="auto"/>
            </w:tcBorders>
          </w:tcPr>
          <w:p>
            <w:pPr>
              <w:jc w:val="center"/>
              <w:ind w:left="25"/>
              <w:spacing w:after="0" w:line="149" w:lineRule="exact"/>
              <w:rPr>
                <w:sz w:val="20"/>
                <w:szCs w:val="20"/>
                <w:color w:val="auto"/>
              </w:rPr>
            </w:pPr>
            <w:r>
              <w:rPr>
                <w:rFonts w:ascii="Arial" w:cs="Arial" w:eastAsia="Arial" w:hAnsi="Arial"/>
                <w:sz w:val="14"/>
                <w:szCs w:val="14"/>
                <w:b w:val="1"/>
                <w:bCs w:val="1"/>
                <w:color w:val="auto"/>
                <w:w w:val="88"/>
              </w:rPr>
              <w:t>maximum</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900" w:type="dxa"/>
            <w:vAlign w:val="bottom"/>
          </w:tcPr>
          <w:p>
            <w:pPr>
              <w:jc w:val="center"/>
              <w:ind w:right="262"/>
              <w:spacing w:after="0" w:line="149" w:lineRule="exact"/>
              <w:rPr>
                <w:sz w:val="20"/>
                <w:szCs w:val="20"/>
                <w:color w:val="auto"/>
              </w:rPr>
            </w:pPr>
            <w:r>
              <w:rPr>
                <w:rFonts w:ascii="Arial" w:cs="Arial" w:eastAsia="Arial" w:hAnsi="Arial"/>
                <w:sz w:val="14"/>
                <w:szCs w:val="14"/>
                <w:b w:val="1"/>
                <w:bCs w:val="1"/>
                <w:color w:val="auto"/>
                <w:w w:val="87"/>
              </w:rPr>
              <w:t>Title of</w:t>
            </w:r>
          </w:p>
        </w:tc>
        <w:tc>
          <w:tcPr>
            <w:tcW w:w="8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83"/>
              </w:rPr>
              <w:t>to be</w:t>
            </w: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70"/>
              <w:spacing w:after="0" w:line="149" w:lineRule="exact"/>
              <w:rPr>
                <w:sz w:val="20"/>
                <w:szCs w:val="20"/>
                <w:color w:val="auto"/>
              </w:rPr>
            </w:pPr>
            <w:r>
              <w:rPr>
                <w:rFonts w:ascii="Arial" w:cs="Arial" w:eastAsia="Arial" w:hAnsi="Arial"/>
                <w:sz w:val="14"/>
                <w:szCs w:val="14"/>
                <w:b w:val="1"/>
                <w:bCs w:val="1"/>
                <w:color w:val="auto"/>
                <w:w w:val="87"/>
              </w:rPr>
              <w:t>offering price</w:t>
            </w:r>
          </w:p>
        </w:tc>
        <w:tc>
          <w:tcPr>
            <w:tcW w:w="160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83"/>
              </w:rPr>
              <w:t>aggregate</w:t>
            </w:r>
          </w:p>
        </w:tc>
        <w:tc>
          <w:tcPr>
            <w:tcW w:w="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18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center"/>
              <w:ind w:right="262"/>
              <w:spacing w:after="0"/>
              <w:rPr>
                <w:sz w:val="20"/>
                <w:szCs w:val="20"/>
                <w:color w:val="auto"/>
              </w:rPr>
            </w:pPr>
            <w:r>
              <w:rPr>
                <w:rFonts w:ascii="Arial" w:cs="Arial" w:eastAsia="Arial" w:hAnsi="Arial"/>
                <w:sz w:val="14"/>
                <w:szCs w:val="14"/>
                <w:b w:val="1"/>
                <w:bCs w:val="1"/>
                <w:color w:val="auto"/>
                <w:w w:val="84"/>
              </w:rPr>
              <w:t>securities to be registered</w:t>
            </w: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86"/>
              </w:rPr>
              <w:t>registered (1)(2)</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4"/>
                <w:szCs w:val="14"/>
                <w:b w:val="1"/>
                <w:bCs w:val="1"/>
                <w:color w:val="auto"/>
                <w:w w:val="85"/>
              </w:rPr>
              <w:t>per share (3)</w:t>
            </w:r>
          </w:p>
        </w:tc>
        <w:tc>
          <w:tcPr>
            <w:tcW w:w="1600" w:type="dxa"/>
            <w:vAlign w:val="bottom"/>
            <w:tcBorders>
              <w:bottom w:val="single" w:sz="8" w:color="auto"/>
              <w:right w:val="single" w:sz="8" w:color="auto"/>
            </w:tcBorders>
          </w:tcPr>
          <w:p>
            <w:pPr>
              <w:jc w:val="center"/>
              <w:ind w:left="25"/>
              <w:spacing w:after="0"/>
              <w:rPr>
                <w:sz w:val="20"/>
                <w:szCs w:val="20"/>
                <w:color w:val="auto"/>
              </w:rPr>
            </w:pPr>
            <w:r>
              <w:rPr>
                <w:rFonts w:ascii="Arial" w:cs="Arial" w:eastAsia="Arial" w:hAnsi="Arial"/>
                <w:sz w:val="14"/>
                <w:szCs w:val="14"/>
                <w:b w:val="1"/>
                <w:bCs w:val="1"/>
                <w:color w:val="auto"/>
                <w:w w:val="88"/>
              </w:rPr>
              <w:t>offering price (3)</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registration fee (3)</w:t>
            </w:r>
          </w:p>
        </w:tc>
        <w:tc>
          <w:tcPr>
            <w:tcW w:w="180" w:type="dxa"/>
            <w:vAlign w:val="bottom"/>
            <w:tcBorders>
              <w:bottom w:val="single" w:sz="8" w:color="auto"/>
            </w:tcBorders>
          </w:tcPr>
          <w:p>
            <w:pPr>
              <w:spacing w:after="0"/>
              <w:rPr>
                <w:sz w:val="15"/>
                <w:szCs w:val="15"/>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Class A Common Stock</w:t>
            </w:r>
          </w:p>
        </w:tc>
        <w:tc>
          <w:tcPr>
            <w:tcW w:w="190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gridSpan w:val="2"/>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11,000,000</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87"/>
              </w:rPr>
              <w:t>$31.90</w:t>
            </w:r>
          </w:p>
        </w:tc>
        <w:tc>
          <w:tcPr>
            <w:tcW w:w="160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8"/>
                <w:szCs w:val="18"/>
                <w:color w:val="auto"/>
                <w:w w:val="87"/>
              </w:rPr>
              <w:t>$350,900,000</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$40,214</w:t>
            </w:r>
          </w:p>
        </w:tc>
        <w:tc>
          <w:tcPr>
            <w:tcW w:w="18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460" w:right="60" w:hanging="452"/>
        <w:spacing w:after="0" w:line="252"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registers 11,000,000 shares of Class A common stock, par value $0.01 (the “Class A Common Stock”), of Comcast Corporation (the “Registrant”), 9,000,000 of which are issuable pursuant to the Comcast Corporation 2002 Employee Stock Purchase Plan, as amended and restated, and 2,000,000 of which are issuable pursuant to the Comcast-NBCUniversal 2011 Employee Stock Purchase Plan, as amended and restated (together, the “Plans”).</w:t>
      </w:r>
    </w:p>
    <w:p>
      <w:pPr>
        <w:spacing w:after="0" w:line="1"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there shall also be deemed covered hereby such additional shares as may result from anti-dilution adjustments under the Plans and that may hereinafter be offered or issued to prevent dilution resulting from stock splits, stock dividends, recapitalizations or certain other capital adjustments.</w:t>
      </w:r>
    </w:p>
    <w:p>
      <w:pPr>
        <w:spacing w:after="0" w:line="1" w:lineRule="exact"/>
        <w:rPr>
          <w:rFonts w:ascii="Arial" w:cs="Arial" w:eastAsia="Arial" w:hAnsi="Arial"/>
          <w:sz w:val="18"/>
          <w:szCs w:val="18"/>
          <w:color w:val="auto"/>
        </w:rPr>
      </w:pPr>
    </w:p>
    <w:p>
      <w:pPr>
        <w:ind w:left="460" w:right="30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pursuant to paragraphs (c) and (h) of Rule 457 of the Securities Act of 1933, as amended (the “Securities Act”), solely for the purpose of calculating the registration fee on the basis of the high and low sales prices of shares of Class A Common Stock on the Nasdaq Global Select Market on July 26,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ind w:left="4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Registration of Additional Shares under the Comcast Corporation 2002 Employee Stock Purchase Plan</w:t>
      </w:r>
    </w:p>
    <w:p>
      <w:pPr>
        <w:spacing w:after="0" w:line="9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Pursuant to General Instruction E of Form S-8, this registration statement on Form S-8 is being filed to register an additional 9,000,000 shares of the Registrant’s Class A Common Stock, which are securities of the same class and relate to the same employee benefit plan, the Comcast Corporation 2002 Employee Stock Purchase Plan, as amended and restated, as those shares registered on the Registrant’s registration statements on Form S-8 previously filed with the Commission on November 19, 2002 (Registration No. 333-101295, as amended by post-effective amendment no. 1 filed on December 4, 2002), December 4, 2002 (Registration No. 333-101645), January 4, 2006 (Registration No. 333-130844), and August 21, 2009 (Registration No. 333-161468), all of which are hereby incorporated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Registration of Additional Shares under the Comcast-NBCUniversal 2011 Employee Stock Purchase Plan</w:t>
      </w:r>
    </w:p>
    <w:p>
      <w:pPr>
        <w:spacing w:after="0" w:line="9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Pursuant to General Instruction E of Form S-8, this registration statement on Form S-8 is being filed to register an additional 2,000,000 shares of the Registrant’s Class A Common Stock, which are securities of the same class and relate to the same employee benefit plan, the Comcast-NBCUniversal 2011 Employee Stock Purchase Plan, as amended and restated, as those shares registered on the Registrant’s registration statement on Form S-8 previously filed with the Commission on May 23, 2011 (Registration No. 333-174417), which is hereby incorporated by reference.</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Information Required in the Registration Statement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9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Sections 1741 through 1750 of Subchapter D, Chapter 17, of the Pennsylvania Business Corporation Law of 1988 (the “BCL”) contain provisions for mandatory and discretionary indemnification of a corporation’s directors, officers and other personnel, and related matters.</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Section 1741,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to which any of them is a party by reason of his being a director, officer, employee or agent of the corporation or serving at the request of the corporation as a director, officer, employee or agent of another corporation, partnership, joint venture, trust or other enterprise if he acted in good faith and in a manner he reasonably believed to be in, or not opposed to, the best interests of the corporation and, with respect to any criminal proceeding, has no reasonable cause to believe his conduct was unlawful. Under Section 1743, indemnification against expenses actually and reasonably incurred, is mandatory to the extent that the director, officer, employee or agent has been successful on the merits or otherwise in defense of any action or proceeding relating to third-party or derivative and corporate actions or in defense of any claim, issue or matter therein.</w:t>
      </w:r>
    </w:p>
    <w:p>
      <w:pPr>
        <w:spacing w:after="0" w:line="118" w:lineRule="exact"/>
        <w:rPr>
          <w:sz w:val="20"/>
          <w:szCs w:val="20"/>
          <w:color w:val="auto"/>
        </w:rPr>
      </w:pPr>
    </w:p>
    <w:p>
      <w:pPr>
        <w:ind w:right="320" w:firstLine="456"/>
        <w:spacing w:after="0" w:line="335" w:lineRule="auto"/>
        <w:rPr>
          <w:sz w:val="20"/>
          <w:szCs w:val="20"/>
          <w:color w:val="auto"/>
        </w:rPr>
      </w:pPr>
      <w:r>
        <w:rPr>
          <w:rFonts w:ascii="Arial" w:cs="Arial" w:eastAsia="Arial" w:hAnsi="Arial"/>
          <w:sz w:val="15"/>
          <w:szCs w:val="15"/>
          <w:color w:val="auto"/>
        </w:rPr>
        <w:t>Section 1742 provides for indemnification in derivative and corporate actions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expenses that the court deems proper.</w:t>
      </w:r>
    </w:p>
    <w:p>
      <w:pPr>
        <w:spacing w:after="0" w:line="8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Section 1744 provides that, unless ordered by a court, any indemnification under Section 1741 or 1742 shall be made by the corporation only as authorized in the specific case upon a determination that the representative met the applicable standard of conduct set forth in those sections and such determination shall be made: (1) by the board of</w:t>
      </w:r>
    </w:p>
    <w:p>
      <w:pPr>
        <w:sectPr>
          <w:pgSz w:w="11900" w:h="16838" w:orient="portrait"/>
          <w:cols w:equalWidth="0" w:num="1">
            <w:col w:w="11400"/>
          </w:cols>
          <w:pgMar w:left="240" w:top="274" w:right="259" w:bottom="1440" w:gutter="0" w:footer="0" w:header="0"/>
        </w:sectPr>
      </w:pPr>
    </w:p>
    <w:bookmarkStart w:id="2" w:name="page3"/>
    <w:bookmarkEnd w:id="2"/>
    <w:p>
      <w:pPr>
        <w:ind w:right="6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by majority vote of a quorum of directors not parties to the action or proceeding; (2) if a quorum is not obtainable and a majority of disinterested directors so directs, by independent legal counsel in a written opinion; or (3) by the shareholders.</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Section 1745 provides that expenses incurred by an officer, director, employee or agent in defending a civil or criminal action or proceeding may be paid by the corporation in advance of the final disposition of such action or proceeding upon receipt of an undertaking by or on behalf of such person to repay such amount if it shall ultimately be determined that he is not entitled to be indemnified by the corporation. Advancement of expenses must be authorized by the board of directors.</w:t>
      </w:r>
    </w:p>
    <w:p>
      <w:pPr>
        <w:spacing w:after="0" w:line="14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Section 1746 provides generally that except in any case where the act or failure to act giving rise to the claim for indemnification is determined by the court to have constituted willful misconduct or recklessness, the indemnification and advancement of expenses provided by this Subchapter of the 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w:t>
      </w:r>
    </w:p>
    <w:p>
      <w:pPr>
        <w:spacing w:after="0" w:line="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Section 1746 also provides that a corporation may create a fund of any nature, which may, but need not be, under the control of a trustee, or otherwise secure or insure in any manner its indemnification obligations.</w:t>
      </w:r>
    </w:p>
    <w:p>
      <w:pPr>
        <w:spacing w:after="0" w:line="13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Section 1747 grants a corporation the power to purchase and maintain insurance on behalf of any person who is or was a representative of the corporation or is or was serving at the request of the corporation as a representative of another corporation, partnership, joint venture, trust or other enterprise, against any liability incurred by him in any such capacity, whether or not the corporation would have the power to indemnify him against that liability under this Subchapter of the BCL.</w:t>
      </w:r>
    </w:p>
    <w:p>
      <w:pPr>
        <w:spacing w:after="0" w:line="143"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Sections 1748 and 1749 extend the indemnification and advancement of expenses provisions contained in Sections 1741 through 1750 of the BCL to constituent corporations absorbed in a consolidation, merger or division, as well as the surviving or new corporations surviving or resulting therefrom and to representatives serving as fiduciaries of employee benefit plans.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Section 1750 provides that the indemnification and advancement of expenses provided by, or granted pursuant to, Sections 1741 through 1750 of the BCL shall, unless otherwise provided when authorized or ratified, continue as to a person who has ceased to be a representative of the corporation and shall inure to the benefit of the heirs and personal representatives of such person.</w:t>
      </w:r>
    </w:p>
    <w:p>
      <w:pPr>
        <w:spacing w:after="0" w:line="14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Section 7.01 of the Registrant’s By-laws provides that the Registrant will indemnify any director or officer of the Registrant (including those who have ceased serving in any such capacity) to the fullest extent permitted by Pennsylvania law against all expense, liability and loss reasonably incurred or suffered by such person in connection with any threatened pending or completed action, suit, claim, counterclaim, cross claim, arbitration, alternate dispute resolution mechanism, investigation, inquiry, administrative hearing or any other threatened, actual or completed proceeding (a “Proceeding”) arising out of or related to such person’s service at any time as a director or officer of the Registrant or in any capacity at the request or for the benefit of the Registrant or in any other capacity for another corporation or other enterprise. No indemnification pursuant to Section 7.01 may be made, however, in any case where the act or failure to act giving rise to the claim for indemnification is determined by a court to have constituted willful misconduct or recklessness.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7.01 further provides that the right to indemnification includes the right to have the expenses incurred by the indemnified person in defending any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Proceeding paid by the Registrant in advance of the final disposition of the Proceeding to the fullest extent permitted by Pennsylvania law.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7.01 provides that, to the extent that an indemnified person has been successful on the merits or otherwise in defense of any Proceeding or in defense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claim, issue or matter therein, the Registrant shall indemnify such person against expenses actually and reasonably incurred by such person in connection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therewith. Section 7.01 also provides that the Registrant may purchase and maintain insurance for the benefit of any person on behalf of whom insurance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permitted to be purchased by Pennsylvania law against any expense, liability or loss whether or not the Registrant would have the power to indemnify such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person under Pennsylvania or other law. The Registrant may also purchase and maintain insurance to insure its indemnification obligations, whether arising under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By-laws or otherwise. Furthermore, Section 7.01 states that the</w:t>
      </w:r>
    </w:p>
    <w:p>
      <w:pPr>
        <w:sectPr>
          <w:pgSz w:w="11900" w:h="16838" w:orient="portrait"/>
          <w:cols w:equalWidth="0" w:num="1">
            <w:col w:w="11420"/>
          </w:cols>
          <w:pgMar w:left="240" w:top="280" w:right="239" w:bottom="1440" w:gutter="0" w:footer="0" w:header="0"/>
        </w:sectPr>
      </w:pPr>
    </w:p>
    <w:bookmarkStart w:id="3" w:name="page4"/>
    <w:bookmarkEnd w:id="3"/>
    <w:p>
      <w:pPr>
        <w:ind w:right="2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Registrant may create a fund of any nature or otherwise may secure in any manner its indemnification obligations, whether arising under the By-laws or otherwise. Indemnification pursuant to Section 7.01 shall continue as to an indemnified person who has ceased to be a director or officer and shall inure to the benefit of his heirs, executors and administrators. The rights to indemnification and to the advancement of expenses provided in or pursuant to Article 7 of the By-laws are not exclusive of any other rights that any person may have or acquire under any provision of the By-Laws or otherwise.</w:t>
      </w:r>
    </w:p>
    <w:p>
      <w:pPr>
        <w:spacing w:after="0" w:line="11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Section 7.02 of the Registrant’s By-laws states that the provisions of the By-laws relating to indemnification constitute a contract between the Registrant and each of its directors and officers which may be modified as to any director and officer only with that person’s consent or as provided in Section 7.02. Furthermore, any repeal or amendment of the indemnification provisions of the By-laws adverse to any director or officer will apply only on a prospective basis. In addition, no repeal or amendment of the By-laws may affect the indemnification provisions of the By-laws so as either to reduce the limitation of directors’ liability or limit indemnification or the advancement of expenses in any manner unless adopted by (a) the unanimous vote of the directors of the Registrant then serving or (b) the affirmative vote of shareholders entitled to cast at least 80% of the votes that all shareholders are entitled to cast in the election of directors, provided that no such amendment will have a retroactive effect inconsistent with the preceding sentence.</w:t>
      </w:r>
    </w:p>
    <w:p>
      <w:pPr>
        <w:spacing w:after="0" w:line="11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Registrant has entered into indemnification agreements with each of its directors pursuant to which the Registrant has agreed to indemnify each director and hold him or her harmless from and against any and all expenses and liabilities reasonably incurred by such director by reason of his or her service as a director of the Registrant, or service in any other capacity of any other corporation or enterprise at the request or for the benefit of the Registrant, to the fullest extent permitted by applicable law. Pursuant to such indemnification agreements, the Registrant also has agreed to pay or reimburse any expenses reasonably incurred by any such director by reason of his or her service as a director of the Registrant, or service in any other capacity of any other corporation or enterprise at the request or for the benefit of the Registrant; provided that the Registrant’s obligation to pay or reimburse any such expenses prior to the final disposition of a Proceeding is subject to the condition that, if, when and to the extent a final, non-appealable judgment of a court of competent jurisdiction determines that such director would not be permitted to be indemnified by law, then the Registrant shall be entitled to be reimbursed promptly by such director for all such amounts theretofore paid. The Registrant is not obligated under such indemnification agreements to indemnify a director or pay or reimburse any expenses (i) in connection with any claims arising under applicable laws concerning insider trading or claims for an accounting of profits from the purchase or sale of the Registrant’s securities by such director within the meaning of Section 16(b) of the Securities Exchange Act of 1934, as amended, unless such director is ultimately successful with respect to such claim (it being understood that the Registrant’s obligations pursuant to the foregoing sentence shall remain in full force and effect with respect to such claims); or (ii) in connection with any action, suit or proceeding initiated by such director (other than to establish or enforce such director’s rights under the indemnification agreement) against the Registrant or its directors, officers, employees or other indemnitees, unless the Board of Directors authorized such action, suit or proceeding before its initiation.</w:t>
      </w:r>
    </w:p>
    <w:p>
      <w:pPr>
        <w:spacing w:after="0" w:line="24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Pepper Hamilton LLP</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Pepper Hamilton LLP (contained in Exhibit 5.1)</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(contained in the signature pages hereto)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undersigned Registrant hereby undertakes:</w:t>
      </w:r>
    </w:p>
    <w:p>
      <w:pPr>
        <w:spacing w:after="0" w:line="171" w:lineRule="exact"/>
        <w:rPr>
          <w:sz w:val="20"/>
          <w:szCs w:val="20"/>
          <w:color w:val="auto"/>
        </w:rPr>
      </w:pPr>
    </w:p>
    <w:p>
      <w:pPr>
        <w:ind w:left="1160" w:hanging="239"/>
        <w:spacing w:after="0"/>
        <w:tabs>
          <w:tab w:leader="none" w:pos="11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w:t>
      </w:r>
    </w:p>
    <w:p>
      <w:pPr>
        <w:sectPr>
          <w:pgSz w:w="11900" w:h="16838" w:orient="portrait"/>
          <w:cols w:equalWidth="0" w:num="1">
            <w:col w:w="11380"/>
          </w:cols>
          <w:pgMar w:left="240" w:top="280" w:right="279" w:bottom="1440" w:gutter="0" w:footer="0" w:header="0"/>
        </w:sectPr>
      </w:pPr>
    </w:p>
    <w:bookmarkStart w:id="4" w:name="page5"/>
    <w:bookmarkEnd w:id="4"/>
    <w:p>
      <w:pPr>
        <w:ind w:left="14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39" w:lineRule="exact"/>
        <w:rPr>
          <w:sz w:val="20"/>
          <w:szCs w:val="20"/>
          <w:color w:val="auto"/>
        </w:rPr>
      </w:pPr>
    </w:p>
    <w:p>
      <w:pPr>
        <w:ind w:left="1480" w:right="340" w:hanging="567"/>
        <w:spacing w:after="0" w:line="268"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2"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Provided, however, that paragraphs (a)(1)(i) and (a)(1)(ii)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140" w:lineRule="exact"/>
        <w:rPr>
          <w:sz w:val="20"/>
          <w:szCs w:val="20"/>
          <w:color w:val="auto"/>
        </w:rPr>
      </w:pPr>
    </w:p>
    <w:p>
      <w:pPr>
        <w:ind w:right="140" w:firstLine="921"/>
        <w:spacing w:after="0" w:line="259" w:lineRule="auto"/>
        <w:tabs>
          <w:tab w:leader="none" w:pos="1162"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remove from registration by means of a post-effective amendment any of the securities being registered that remain unsold at the termination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offering.</w:t>
      </w:r>
    </w:p>
    <w:p>
      <w:pPr>
        <w:spacing w:after="0" w:line="165" w:lineRule="exact"/>
        <w:rPr>
          <w:sz w:val="20"/>
          <w:szCs w:val="20"/>
          <w:color w:val="auto"/>
        </w:rPr>
      </w:pPr>
    </w:p>
    <w:p>
      <w:pPr>
        <w:jc w:val="both"/>
        <w:ind w:right="120" w:firstLine="921"/>
        <w:spacing w:after="0" w:line="256" w:lineRule="auto"/>
        <w:tabs>
          <w:tab w:leader="none" w:pos="1158"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43" w:lineRule="exact"/>
        <w:rPr>
          <w:rFonts w:ascii="Arial" w:cs="Arial" w:eastAsia="Arial" w:hAnsi="Arial"/>
          <w:sz w:val="18"/>
          <w:szCs w:val="18"/>
          <w:color w:val="auto"/>
        </w:rPr>
      </w:pPr>
    </w:p>
    <w:p>
      <w:pPr>
        <w:ind w:firstLine="921"/>
        <w:spacing w:after="0" w:line="290" w:lineRule="auto"/>
        <w:tabs>
          <w:tab w:leader="none" w:pos="1152"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1400"/>
          </w:cols>
          <w:pgMar w:left="240" w:top="280" w:right="25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Philadelphia, Commonwealth of Pennsylvania, on August 2, 2012.</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2"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Arthur R. Block</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Senior Vice President, General Counsel and Secretary</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each of Brian L. Roberts, Michael J. Angelakis, David L. Cohen, Arthur R. Block and Lawrence J. Salva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or their substitute or substitutes, may lawfully do or cause to be done by virtue hereof.</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ectPr>
          <w:pgSz w:w="11900" w:h="16838" w:orient="portrait"/>
          <w:cols w:equalWidth="0" w:num="1">
            <w:col w:w="11380"/>
          </w:cols>
          <w:pgMar w:left="240" w:top="274" w:right="279" w:bottom="1440" w:gutter="0" w:footer="0" w:header="0"/>
        </w:sectPr>
      </w:pP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60" w:type="dxa"/>
            <w:vAlign w:val="bottom"/>
          </w:tcPr>
          <w:p>
            <w:pPr>
              <w:spacing w:after="0"/>
              <w:rPr>
                <w:sz w:val="15"/>
                <w:szCs w:val="15"/>
                <w:color w:val="auto"/>
              </w:rPr>
            </w:pPr>
          </w:p>
        </w:tc>
        <w:tc>
          <w:tcPr>
            <w:tcW w:w="2880" w:type="dxa"/>
            <w:vAlign w:val="bottom"/>
          </w:tcPr>
          <w:p>
            <w:pPr>
              <w:jc w:val="center"/>
              <w:ind w:right="1273"/>
              <w:spacing w:after="0"/>
              <w:rPr>
                <w:sz w:val="20"/>
                <w:szCs w:val="20"/>
                <w:color w:val="auto"/>
              </w:rPr>
            </w:pPr>
            <w:r>
              <w:rPr>
                <w:rFonts w:ascii="Arial" w:cs="Arial" w:eastAsia="Arial" w:hAnsi="Arial"/>
                <w:sz w:val="14"/>
                <w:szCs w:val="14"/>
                <w:b w:val="1"/>
                <w:bCs w:val="1"/>
                <w:color w:val="auto"/>
                <w:w w:val="86"/>
              </w:rPr>
              <w:t>Signature</w:t>
            </w:r>
          </w:p>
        </w:tc>
      </w:tr>
      <w:tr>
        <w:trPr>
          <w:trHeight w:val="418"/>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w:t>
            </w:r>
          </w:p>
        </w:tc>
        <w:tc>
          <w:tcPr>
            <w:tcW w:w="2880" w:type="dxa"/>
            <w:vAlign w:val="bottom"/>
            <w:tcBorders>
              <w:bottom w:val="single" w:sz="8" w:color="auto"/>
            </w:tcBorders>
          </w:tcPr>
          <w:p>
            <w:pPr>
              <w:jc w:val="center"/>
              <w:ind w:right="1293"/>
              <w:spacing w:after="0"/>
              <w:rPr>
                <w:sz w:val="20"/>
                <w:szCs w:val="20"/>
                <w:color w:val="auto"/>
              </w:rPr>
            </w:pPr>
            <w:r>
              <w:rPr>
                <w:rFonts w:ascii="Arial" w:cs="Arial" w:eastAsia="Arial" w:hAnsi="Arial"/>
                <w:sz w:val="18"/>
                <w:szCs w:val="18"/>
                <w:color w:val="auto"/>
                <w:w w:val="90"/>
              </w:rPr>
              <w:t>Brian L. Roberts</w:t>
            </w:r>
          </w:p>
        </w:tc>
      </w:tr>
      <w:tr>
        <w:trPr>
          <w:trHeight w:val="222"/>
        </w:trPr>
        <w:tc>
          <w:tcPr>
            <w:tcW w:w="1360" w:type="dxa"/>
            <w:vAlign w:val="bottom"/>
          </w:tcPr>
          <w:p>
            <w:pPr>
              <w:spacing w:after="0"/>
              <w:rPr>
                <w:sz w:val="19"/>
                <w:szCs w:val="19"/>
                <w:color w:val="auto"/>
              </w:rPr>
            </w:pPr>
          </w:p>
        </w:tc>
        <w:tc>
          <w:tcPr>
            <w:tcW w:w="2880" w:type="dxa"/>
            <w:vAlign w:val="bottom"/>
          </w:tcPr>
          <w:p>
            <w:pPr>
              <w:jc w:val="center"/>
              <w:ind w:right="1273"/>
              <w:spacing w:after="0"/>
              <w:rPr>
                <w:sz w:val="20"/>
                <w:szCs w:val="20"/>
                <w:color w:val="auto"/>
              </w:rPr>
            </w:pPr>
            <w:r>
              <w:rPr>
                <w:rFonts w:ascii="Arial" w:cs="Arial" w:eastAsia="Arial" w:hAnsi="Arial"/>
                <w:sz w:val="18"/>
                <w:szCs w:val="18"/>
                <w:color w:val="auto"/>
                <w:w w:val="89"/>
              </w:rPr>
              <w:t>Brian L. Roberts</w:t>
            </w:r>
          </w:p>
        </w:tc>
      </w:tr>
      <w:tr>
        <w:trPr>
          <w:trHeight w:val="433"/>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w:t>
            </w:r>
          </w:p>
        </w:tc>
        <w:tc>
          <w:tcPr>
            <w:tcW w:w="2880" w:type="dxa"/>
            <w:vAlign w:val="bottom"/>
            <w:tcBorders>
              <w:bottom w:val="single" w:sz="8" w:color="auto"/>
            </w:tcBorders>
          </w:tcPr>
          <w:p>
            <w:pPr>
              <w:jc w:val="center"/>
              <w:ind w:right="1273"/>
              <w:spacing w:after="0"/>
              <w:rPr>
                <w:sz w:val="20"/>
                <w:szCs w:val="20"/>
                <w:color w:val="auto"/>
              </w:rPr>
            </w:pPr>
            <w:r>
              <w:rPr>
                <w:rFonts w:ascii="Arial" w:cs="Arial" w:eastAsia="Arial" w:hAnsi="Arial"/>
                <w:sz w:val="18"/>
                <w:szCs w:val="18"/>
                <w:color w:val="auto"/>
                <w:w w:val="86"/>
              </w:rPr>
              <w:t>Ralph J. Roberts</w:t>
            </w:r>
          </w:p>
        </w:tc>
      </w:tr>
      <w:tr>
        <w:trPr>
          <w:trHeight w:val="222"/>
        </w:trPr>
        <w:tc>
          <w:tcPr>
            <w:tcW w:w="1360" w:type="dxa"/>
            <w:vAlign w:val="bottom"/>
          </w:tcPr>
          <w:p>
            <w:pPr>
              <w:spacing w:after="0"/>
              <w:rPr>
                <w:sz w:val="19"/>
                <w:szCs w:val="19"/>
                <w:color w:val="auto"/>
              </w:rPr>
            </w:pPr>
          </w:p>
        </w:tc>
        <w:tc>
          <w:tcPr>
            <w:tcW w:w="2880" w:type="dxa"/>
            <w:vAlign w:val="bottom"/>
          </w:tcPr>
          <w:p>
            <w:pPr>
              <w:jc w:val="center"/>
              <w:ind w:right="1273"/>
              <w:spacing w:after="0"/>
              <w:rPr>
                <w:sz w:val="20"/>
                <w:szCs w:val="20"/>
                <w:color w:val="auto"/>
              </w:rPr>
            </w:pPr>
            <w:r>
              <w:rPr>
                <w:rFonts w:ascii="Arial" w:cs="Arial" w:eastAsia="Arial" w:hAnsi="Arial"/>
                <w:sz w:val="18"/>
                <w:szCs w:val="18"/>
                <w:color w:val="auto"/>
                <w:w w:val="86"/>
              </w:rPr>
              <w:t>Ralph J. Roberts</w:t>
            </w:r>
          </w:p>
        </w:tc>
      </w:tr>
      <w:tr>
        <w:trPr>
          <w:trHeight w:val="433"/>
        </w:trPr>
        <w:tc>
          <w:tcPr>
            <w:tcW w:w="13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/s/</w:t>
            </w:r>
          </w:p>
        </w:tc>
        <w:tc>
          <w:tcPr>
            <w:tcW w:w="2880" w:type="dxa"/>
            <w:vAlign w:val="bottom"/>
            <w:tcBorders>
              <w:bottom w:val="single" w:sz="8" w:color="auto"/>
            </w:tcBorders>
          </w:tcPr>
          <w:p>
            <w:pPr>
              <w:jc w:val="center"/>
              <w:ind w:right="1273"/>
              <w:spacing w:after="0"/>
              <w:rPr>
                <w:sz w:val="20"/>
                <w:szCs w:val="20"/>
                <w:color w:val="auto"/>
              </w:rPr>
            </w:pPr>
            <w:r>
              <w:rPr>
                <w:rFonts w:ascii="Arial" w:cs="Arial" w:eastAsia="Arial" w:hAnsi="Arial"/>
                <w:sz w:val="18"/>
                <w:szCs w:val="18"/>
                <w:color w:val="auto"/>
                <w:w w:val="90"/>
              </w:rPr>
              <w:t>Michael J. Angelakis</w:t>
            </w:r>
          </w:p>
        </w:tc>
      </w:tr>
      <w:tr>
        <w:trPr>
          <w:trHeight w:val="222"/>
        </w:trPr>
        <w:tc>
          <w:tcPr>
            <w:tcW w:w="1360" w:type="dxa"/>
            <w:vAlign w:val="bottom"/>
          </w:tcPr>
          <w:p>
            <w:pPr>
              <w:spacing w:after="0"/>
              <w:rPr>
                <w:sz w:val="19"/>
                <w:szCs w:val="19"/>
                <w:color w:val="auto"/>
              </w:rPr>
            </w:pPr>
          </w:p>
        </w:tc>
        <w:tc>
          <w:tcPr>
            <w:tcW w:w="2880" w:type="dxa"/>
            <w:vAlign w:val="bottom"/>
          </w:tcPr>
          <w:p>
            <w:pPr>
              <w:jc w:val="center"/>
              <w:ind w:right="1273"/>
              <w:spacing w:after="0"/>
              <w:rPr>
                <w:sz w:val="20"/>
                <w:szCs w:val="20"/>
                <w:color w:val="auto"/>
              </w:rPr>
            </w:pPr>
            <w:r>
              <w:rPr>
                <w:rFonts w:ascii="Arial" w:cs="Arial" w:eastAsia="Arial" w:hAnsi="Arial"/>
                <w:sz w:val="18"/>
                <w:szCs w:val="18"/>
                <w:color w:val="auto"/>
                <w:w w:val="90"/>
              </w:rPr>
              <w:t>Michael J. Angelakis</w:t>
            </w:r>
          </w:p>
        </w:tc>
      </w:tr>
      <w:tr>
        <w:trPr>
          <w:trHeight w:val="433"/>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w:t>
            </w:r>
          </w:p>
        </w:tc>
        <w:tc>
          <w:tcPr>
            <w:tcW w:w="2880" w:type="dxa"/>
            <w:vAlign w:val="bottom"/>
            <w:tcBorders>
              <w:bottom w:val="single" w:sz="8" w:color="auto"/>
            </w:tcBorders>
          </w:tcPr>
          <w:p>
            <w:pPr>
              <w:jc w:val="center"/>
              <w:ind w:right="1273"/>
              <w:spacing w:after="0"/>
              <w:rPr>
                <w:sz w:val="20"/>
                <w:szCs w:val="20"/>
                <w:color w:val="auto"/>
              </w:rPr>
            </w:pPr>
            <w:r>
              <w:rPr>
                <w:rFonts w:ascii="Arial" w:cs="Arial" w:eastAsia="Arial" w:hAnsi="Arial"/>
                <w:sz w:val="18"/>
                <w:szCs w:val="18"/>
                <w:color w:val="auto"/>
                <w:w w:val="87"/>
              </w:rPr>
              <w:t>Lawrence J. Salva</w:t>
            </w:r>
          </w:p>
        </w:tc>
      </w:tr>
      <w:tr>
        <w:trPr>
          <w:trHeight w:val="222"/>
        </w:trPr>
        <w:tc>
          <w:tcPr>
            <w:tcW w:w="1360" w:type="dxa"/>
            <w:vAlign w:val="bottom"/>
          </w:tcPr>
          <w:p>
            <w:pPr>
              <w:spacing w:after="0"/>
              <w:rPr>
                <w:sz w:val="19"/>
                <w:szCs w:val="19"/>
                <w:color w:val="auto"/>
              </w:rPr>
            </w:pPr>
          </w:p>
        </w:tc>
        <w:tc>
          <w:tcPr>
            <w:tcW w:w="2880" w:type="dxa"/>
            <w:vAlign w:val="bottom"/>
          </w:tcPr>
          <w:p>
            <w:pPr>
              <w:jc w:val="center"/>
              <w:ind w:right="1273"/>
              <w:spacing w:after="0"/>
              <w:rPr>
                <w:sz w:val="20"/>
                <w:szCs w:val="20"/>
                <w:color w:val="auto"/>
              </w:rPr>
            </w:pPr>
            <w:r>
              <w:rPr>
                <w:rFonts w:ascii="Arial" w:cs="Arial" w:eastAsia="Arial" w:hAnsi="Arial"/>
                <w:sz w:val="18"/>
                <w:szCs w:val="18"/>
                <w:color w:val="auto"/>
                <w:w w:val="87"/>
              </w:rPr>
              <w:t>Lawrence J. Salva</w:t>
            </w:r>
          </w:p>
        </w:tc>
      </w:tr>
      <w:tr>
        <w:trPr>
          <w:trHeight w:val="433"/>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w:t>
            </w:r>
          </w:p>
        </w:tc>
        <w:tc>
          <w:tcPr>
            <w:tcW w:w="2880" w:type="dxa"/>
            <w:vAlign w:val="bottom"/>
            <w:tcBorders>
              <w:bottom w:val="single" w:sz="8" w:color="auto"/>
            </w:tcBorders>
          </w:tcPr>
          <w:p>
            <w:pPr>
              <w:jc w:val="center"/>
              <w:ind w:right="1273"/>
              <w:spacing w:after="0"/>
              <w:rPr>
                <w:sz w:val="20"/>
                <w:szCs w:val="20"/>
                <w:color w:val="auto"/>
              </w:rPr>
            </w:pPr>
            <w:r>
              <w:rPr>
                <w:rFonts w:ascii="Arial" w:cs="Arial" w:eastAsia="Arial" w:hAnsi="Arial"/>
                <w:sz w:val="18"/>
                <w:szCs w:val="18"/>
                <w:color w:val="auto"/>
                <w:w w:val="87"/>
              </w:rPr>
              <w:t>Kenneth J. Bacon</w:t>
            </w:r>
          </w:p>
        </w:tc>
      </w:tr>
      <w:tr>
        <w:trPr>
          <w:trHeight w:val="222"/>
        </w:trPr>
        <w:tc>
          <w:tcPr>
            <w:tcW w:w="1360" w:type="dxa"/>
            <w:vAlign w:val="bottom"/>
          </w:tcPr>
          <w:p>
            <w:pPr>
              <w:spacing w:after="0"/>
              <w:rPr>
                <w:sz w:val="19"/>
                <w:szCs w:val="19"/>
                <w:color w:val="auto"/>
              </w:rPr>
            </w:pPr>
          </w:p>
        </w:tc>
        <w:tc>
          <w:tcPr>
            <w:tcW w:w="2880" w:type="dxa"/>
            <w:vAlign w:val="bottom"/>
          </w:tcPr>
          <w:p>
            <w:pPr>
              <w:jc w:val="center"/>
              <w:ind w:right="1273"/>
              <w:spacing w:after="0"/>
              <w:rPr>
                <w:sz w:val="20"/>
                <w:szCs w:val="20"/>
                <w:color w:val="auto"/>
              </w:rPr>
            </w:pPr>
            <w:r>
              <w:rPr>
                <w:rFonts w:ascii="Arial" w:cs="Arial" w:eastAsia="Arial" w:hAnsi="Arial"/>
                <w:sz w:val="18"/>
                <w:szCs w:val="18"/>
                <w:color w:val="auto"/>
                <w:w w:val="87"/>
              </w:rPr>
              <w:t>Kenneth J. Bacon</w:t>
            </w:r>
          </w:p>
        </w:tc>
      </w:tr>
      <w:tr>
        <w:trPr>
          <w:trHeight w:val="433"/>
        </w:trPr>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/s/</w:t>
            </w:r>
          </w:p>
        </w:tc>
        <w:tc>
          <w:tcPr>
            <w:tcW w:w="2880" w:type="dxa"/>
            <w:vAlign w:val="bottom"/>
            <w:tcBorders>
              <w:bottom w:val="single" w:sz="8" w:color="auto"/>
            </w:tcBorders>
          </w:tcPr>
          <w:p>
            <w:pPr>
              <w:jc w:val="center"/>
              <w:ind w:right="1273"/>
              <w:spacing w:after="0"/>
              <w:rPr>
                <w:sz w:val="20"/>
                <w:szCs w:val="20"/>
                <w:color w:val="auto"/>
              </w:rPr>
            </w:pPr>
            <w:r>
              <w:rPr>
                <w:rFonts w:ascii="Arial" w:cs="Arial" w:eastAsia="Arial" w:hAnsi="Arial"/>
                <w:sz w:val="18"/>
                <w:szCs w:val="18"/>
                <w:color w:val="auto"/>
                <w:w w:val="92"/>
              </w:rPr>
              <w:t>Sheldon M. Bonovitz</w:t>
            </w:r>
          </w:p>
        </w:tc>
      </w:tr>
      <w:tr>
        <w:trPr>
          <w:trHeight w:val="222"/>
        </w:trPr>
        <w:tc>
          <w:tcPr>
            <w:tcW w:w="1360" w:type="dxa"/>
            <w:vAlign w:val="bottom"/>
          </w:tcPr>
          <w:p>
            <w:pPr>
              <w:spacing w:after="0"/>
              <w:rPr>
                <w:sz w:val="19"/>
                <w:szCs w:val="19"/>
                <w:color w:val="auto"/>
              </w:rPr>
            </w:pPr>
          </w:p>
        </w:tc>
        <w:tc>
          <w:tcPr>
            <w:tcW w:w="2880" w:type="dxa"/>
            <w:vAlign w:val="bottom"/>
          </w:tcPr>
          <w:p>
            <w:pPr>
              <w:jc w:val="center"/>
              <w:ind w:right="1273"/>
              <w:spacing w:after="0"/>
              <w:rPr>
                <w:sz w:val="20"/>
                <w:szCs w:val="20"/>
                <w:color w:val="auto"/>
              </w:rPr>
            </w:pPr>
            <w:r>
              <w:rPr>
                <w:rFonts w:ascii="Arial" w:cs="Arial" w:eastAsia="Arial" w:hAnsi="Arial"/>
                <w:sz w:val="18"/>
                <w:szCs w:val="18"/>
                <w:color w:val="auto"/>
                <w:w w:val="92"/>
              </w:rPr>
              <w:t>Sheldon M. Bonovitz</w:t>
            </w:r>
          </w:p>
        </w:tc>
      </w:tr>
      <w:tr>
        <w:trPr>
          <w:trHeight w:val="433"/>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w:t>
            </w:r>
          </w:p>
        </w:tc>
        <w:tc>
          <w:tcPr>
            <w:tcW w:w="2880" w:type="dxa"/>
            <w:vAlign w:val="bottom"/>
            <w:tcBorders>
              <w:bottom w:val="single" w:sz="8" w:color="auto"/>
            </w:tcBorders>
          </w:tcPr>
          <w:p>
            <w:pPr>
              <w:jc w:val="center"/>
              <w:ind w:right="1293"/>
              <w:spacing w:after="0"/>
              <w:rPr>
                <w:sz w:val="20"/>
                <w:szCs w:val="20"/>
                <w:color w:val="auto"/>
              </w:rPr>
            </w:pPr>
            <w:r>
              <w:rPr>
                <w:rFonts w:ascii="Arial" w:cs="Arial" w:eastAsia="Arial" w:hAnsi="Arial"/>
                <w:sz w:val="18"/>
                <w:szCs w:val="18"/>
                <w:color w:val="auto"/>
                <w:w w:val="86"/>
              </w:rPr>
              <w:t>Joseph J. Collins</w:t>
            </w:r>
          </w:p>
        </w:tc>
      </w:tr>
      <w:tr>
        <w:trPr>
          <w:trHeight w:val="222"/>
        </w:trPr>
        <w:tc>
          <w:tcPr>
            <w:tcW w:w="1360" w:type="dxa"/>
            <w:vAlign w:val="bottom"/>
          </w:tcPr>
          <w:p>
            <w:pPr>
              <w:spacing w:after="0"/>
              <w:rPr>
                <w:sz w:val="19"/>
                <w:szCs w:val="19"/>
                <w:color w:val="auto"/>
              </w:rPr>
            </w:pPr>
          </w:p>
        </w:tc>
        <w:tc>
          <w:tcPr>
            <w:tcW w:w="2880" w:type="dxa"/>
            <w:vAlign w:val="bottom"/>
          </w:tcPr>
          <w:p>
            <w:pPr>
              <w:jc w:val="center"/>
              <w:ind w:right="1273"/>
              <w:spacing w:after="0"/>
              <w:rPr>
                <w:sz w:val="20"/>
                <w:szCs w:val="20"/>
                <w:color w:val="auto"/>
              </w:rPr>
            </w:pPr>
            <w:r>
              <w:rPr>
                <w:rFonts w:ascii="Arial" w:cs="Arial" w:eastAsia="Arial" w:hAnsi="Arial"/>
                <w:sz w:val="18"/>
                <w:szCs w:val="18"/>
                <w:color w:val="auto"/>
                <w:w w:val="88"/>
              </w:rPr>
              <w:t>Joseph J. Collins</w:t>
            </w:r>
          </w:p>
        </w:tc>
      </w:tr>
      <w:tr>
        <w:trPr>
          <w:trHeight w:val="433"/>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w:t>
            </w:r>
          </w:p>
        </w:tc>
        <w:tc>
          <w:tcPr>
            <w:tcW w:w="2880" w:type="dxa"/>
            <w:vAlign w:val="bottom"/>
            <w:tcBorders>
              <w:bottom w:val="single" w:sz="8" w:color="auto"/>
            </w:tcBorders>
          </w:tcPr>
          <w:p>
            <w:pPr>
              <w:jc w:val="center"/>
              <w:ind w:right="1273"/>
              <w:spacing w:after="0"/>
              <w:rPr>
                <w:sz w:val="20"/>
                <w:szCs w:val="20"/>
                <w:color w:val="auto"/>
              </w:rPr>
            </w:pPr>
            <w:r>
              <w:rPr>
                <w:rFonts w:ascii="Arial" w:cs="Arial" w:eastAsia="Arial" w:hAnsi="Arial"/>
                <w:sz w:val="18"/>
                <w:szCs w:val="18"/>
                <w:color w:val="auto"/>
                <w:w w:val="90"/>
              </w:rPr>
              <w:t>J. Michael Cook</w:t>
            </w:r>
          </w:p>
        </w:tc>
      </w:tr>
      <w:tr>
        <w:trPr>
          <w:trHeight w:val="222"/>
        </w:trPr>
        <w:tc>
          <w:tcPr>
            <w:tcW w:w="1360" w:type="dxa"/>
            <w:vAlign w:val="bottom"/>
          </w:tcPr>
          <w:p>
            <w:pPr>
              <w:spacing w:after="0"/>
              <w:rPr>
                <w:sz w:val="19"/>
                <w:szCs w:val="19"/>
                <w:color w:val="auto"/>
              </w:rPr>
            </w:pPr>
          </w:p>
        </w:tc>
        <w:tc>
          <w:tcPr>
            <w:tcW w:w="2880" w:type="dxa"/>
            <w:vAlign w:val="bottom"/>
          </w:tcPr>
          <w:p>
            <w:pPr>
              <w:jc w:val="center"/>
              <w:ind w:right="1273"/>
              <w:spacing w:after="0"/>
              <w:rPr>
                <w:sz w:val="20"/>
                <w:szCs w:val="20"/>
                <w:color w:val="auto"/>
              </w:rPr>
            </w:pPr>
            <w:r>
              <w:rPr>
                <w:rFonts w:ascii="Arial" w:cs="Arial" w:eastAsia="Arial" w:hAnsi="Arial"/>
                <w:sz w:val="18"/>
                <w:szCs w:val="18"/>
                <w:color w:val="auto"/>
                <w:w w:val="90"/>
              </w:rPr>
              <w:t>J. Michael Cook</w:t>
            </w:r>
          </w:p>
        </w:tc>
      </w:tr>
    </w:tbl>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4760" w:type="dxa"/>
            <w:vAlign w:val="bottom"/>
          </w:tcPr>
          <w:p>
            <w:pPr>
              <w:jc w:val="center"/>
              <w:ind w:right="194"/>
              <w:spacing w:after="0"/>
              <w:rPr>
                <w:sz w:val="20"/>
                <w:szCs w:val="20"/>
                <w:color w:val="auto"/>
              </w:rPr>
            </w:pPr>
            <w:r>
              <w:rPr>
                <w:rFonts w:ascii="Arial" w:cs="Arial" w:eastAsia="Arial" w:hAnsi="Arial"/>
                <w:sz w:val="14"/>
                <w:szCs w:val="14"/>
                <w:b w:val="1"/>
                <w:bCs w:val="1"/>
                <w:color w:val="auto"/>
                <w:w w:val="97"/>
              </w:rPr>
              <w:t>Title</w:t>
            </w:r>
          </w:p>
        </w:tc>
        <w:tc>
          <w:tcPr>
            <w:tcW w:w="1340" w:type="dxa"/>
            <w:vAlign w:val="bottom"/>
          </w:tcPr>
          <w:p>
            <w:pPr>
              <w:ind w:left="920"/>
              <w:spacing w:after="0"/>
              <w:rPr>
                <w:sz w:val="20"/>
                <w:szCs w:val="20"/>
                <w:color w:val="auto"/>
              </w:rPr>
            </w:pPr>
            <w:r>
              <w:rPr>
                <w:rFonts w:ascii="Arial" w:cs="Arial" w:eastAsia="Arial" w:hAnsi="Arial"/>
                <w:sz w:val="14"/>
                <w:szCs w:val="14"/>
                <w:b w:val="1"/>
                <w:bCs w:val="1"/>
                <w:color w:val="auto"/>
              </w:rPr>
              <w:t>Date</w:t>
            </w:r>
          </w:p>
        </w:tc>
      </w:tr>
      <w:tr>
        <w:trPr>
          <w:trHeight w:val="444"/>
        </w:trPr>
        <w:tc>
          <w:tcPr>
            <w:tcW w:w="4760" w:type="dxa"/>
            <w:vAlign w:val="bottom"/>
          </w:tcPr>
          <w:p>
            <w:pPr>
              <w:jc w:val="center"/>
              <w:ind w:right="194"/>
              <w:spacing w:after="0"/>
              <w:rPr>
                <w:sz w:val="20"/>
                <w:szCs w:val="20"/>
                <w:color w:val="auto"/>
              </w:rPr>
            </w:pPr>
            <w:r>
              <w:rPr>
                <w:rFonts w:ascii="Arial" w:cs="Arial" w:eastAsia="Arial" w:hAnsi="Arial"/>
                <w:sz w:val="18"/>
                <w:szCs w:val="18"/>
                <w:color w:val="auto"/>
                <w:w w:val="90"/>
              </w:rPr>
              <w:t>Chairman and CEO; Director (Principal Executive Officer)</w:t>
            </w:r>
          </w:p>
        </w:tc>
        <w:tc>
          <w:tcPr>
            <w:tcW w:w="1340" w:type="dxa"/>
            <w:vAlign w:val="bottom"/>
          </w:tcPr>
          <w:p>
            <w:pPr>
              <w:ind w:left="260"/>
              <w:spacing w:after="0"/>
              <w:rPr>
                <w:sz w:val="20"/>
                <w:szCs w:val="20"/>
                <w:color w:val="auto"/>
              </w:rPr>
            </w:pPr>
            <w:r>
              <w:rPr>
                <w:rFonts w:ascii="Arial" w:cs="Arial" w:eastAsia="Arial" w:hAnsi="Arial"/>
                <w:sz w:val="18"/>
                <w:szCs w:val="18"/>
                <w:color w:val="auto"/>
                <w:w w:val="87"/>
              </w:rPr>
              <w:t>August 2, 2012</w:t>
            </w:r>
          </w:p>
        </w:tc>
      </w:tr>
      <w:tr>
        <w:trPr>
          <w:trHeight w:val="675"/>
        </w:trPr>
        <w:tc>
          <w:tcPr>
            <w:tcW w:w="4760" w:type="dxa"/>
            <w:vAlign w:val="bottom"/>
          </w:tcPr>
          <w:p>
            <w:pPr>
              <w:jc w:val="center"/>
              <w:ind w:right="194"/>
              <w:spacing w:after="0"/>
              <w:rPr>
                <w:sz w:val="20"/>
                <w:szCs w:val="20"/>
                <w:color w:val="auto"/>
              </w:rPr>
            </w:pPr>
            <w:r>
              <w:rPr>
                <w:rFonts w:ascii="Arial" w:cs="Arial" w:eastAsia="Arial" w:hAnsi="Arial"/>
                <w:sz w:val="18"/>
                <w:szCs w:val="18"/>
                <w:color w:val="auto"/>
                <w:w w:val="88"/>
              </w:rPr>
              <w:t>Founder; Chairman Emeritus of the Board</w:t>
            </w:r>
          </w:p>
        </w:tc>
        <w:tc>
          <w:tcPr>
            <w:tcW w:w="1340" w:type="dxa"/>
            <w:vAlign w:val="bottom"/>
          </w:tcPr>
          <w:p>
            <w:pPr>
              <w:ind w:left="260"/>
              <w:spacing w:after="0"/>
              <w:rPr>
                <w:sz w:val="20"/>
                <w:szCs w:val="20"/>
                <w:color w:val="auto"/>
              </w:rPr>
            </w:pPr>
            <w:r>
              <w:rPr>
                <w:rFonts w:ascii="Arial" w:cs="Arial" w:eastAsia="Arial" w:hAnsi="Arial"/>
                <w:sz w:val="18"/>
                <w:szCs w:val="18"/>
                <w:color w:val="auto"/>
                <w:w w:val="87"/>
              </w:rPr>
              <w:t>August 2, 2012</w:t>
            </w:r>
          </w:p>
        </w:tc>
      </w:tr>
      <w:tr>
        <w:trPr>
          <w:trHeight w:val="675"/>
        </w:trPr>
        <w:tc>
          <w:tcPr>
            <w:tcW w:w="4760" w:type="dxa"/>
            <w:vAlign w:val="bottom"/>
          </w:tcPr>
          <w:p>
            <w:pPr>
              <w:jc w:val="center"/>
              <w:ind w:right="214"/>
              <w:spacing w:after="0"/>
              <w:rPr>
                <w:sz w:val="20"/>
                <w:szCs w:val="20"/>
                <w:color w:val="auto"/>
              </w:rPr>
            </w:pPr>
            <w:r>
              <w:rPr>
                <w:rFonts w:ascii="Arial" w:cs="Arial" w:eastAsia="Arial" w:hAnsi="Arial"/>
                <w:sz w:val="18"/>
                <w:szCs w:val="18"/>
                <w:color w:val="auto"/>
                <w:w w:val="90"/>
              </w:rPr>
              <w:t>Vice Chairman and CFO (Principal Financial Officer)</w:t>
            </w:r>
          </w:p>
        </w:tc>
        <w:tc>
          <w:tcPr>
            <w:tcW w:w="1340" w:type="dxa"/>
            <w:vAlign w:val="bottom"/>
          </w:tcPr>
          <w:p>
            <w:pPr>
              <w:ind w:left="260"/>
              <w:spacing w:after="0"/>
              <w:rPr>
                <w:sz w:val="20"/>
                <w:szCs w:val="20"/>
                <w:color w:val="auto"/>
              </w:rPr>
            </w:pPr>
            <w:r>
              <w:rPr>
                <w:rFonts w:ascii="Arial" w:cs="Arial" w:eastAsia="Arial" w:hAnsi="Arial"/>
                <w:sz w:val="18"/>
                <w:szCs w:val="18"/>
                <w:color w:val="auto"/>
                <w:w w:val="87"/>
              </w:rPr>
              <w:t>August 2, 2012</w:t>
            </w:r>
          </w:p>
        </w:tc>
      </w:tr>
      <w:tr>
        <w:trPr>
          <w:trHeight w:val="669"/>
        </w:trPr>
        <w:tc>
          <w:tcPr>
            <w:tcW w:w="4760" w:type="dxa"/>
            <w:vAlign w:val="bottom"/>
          </w:tcPr>
          <w:p>
            <w:pPr>
              <w:jc w:val="center"/>
              <w:ind w:right="194"/>
              <w:spacing w:after="0"/>
              <w:rPr>
                <w:sz w:val="20"/>
                <w:szCs w:val="20"/>
                <w:color w:val="auto"/>
              </w:rPr>
            </w:pPr>
            <w:r>
              <w:rPr>
                <w:rFonts w:ascii="Arial" w:cs="Arial" w:eastAsia="Arial" w:hAnsi="Arial"/>
                <w:sz w:val="18"/>
                <w:szCs w:val="18"/>
                <w:color w:val="auto"/>
                <w:w w:val="90"/>
              </w:rPr>
              <w:t>Senior Vice President, Chief Accounting Officer and Controller</w:t>
            </w:r>
          </w:p>
        </w:tc>
        <w:tc>
          <w:tcPr>
            <w:tcW w:w="1340" w:type="dxa"/>
            <w:vAlign w:val="bottom"/>
          </w:tcPr>
          <w:p>
            <w:pPr>
              <w:ind w:left="260"/>
              <w:spacing w:after="0"/>
              <w:rPr>
                <w:sz w:val="20"/>
                <w:szCs w:val="20"/>
                <w:color w:val="auto"/>
              </w:rPr>
            </w:pPr>
            <w:r>
              <w:rPr>
                <w:rFonts w:ascii="Arial" w:cs="Arial" w:eastAsia="Arial" w:hAnsi="Arial"/>
                <w:sz w:val="18"/>
                <w:szCs w:val="18"/>
                <w:color w:val="auto"/>
                <w:w w:val="87"/>
              </w:rPr>
              <w:t>August 2, 2012</w:t>
            </w:r>
          </w:p>
        </w:tc>
      </w:tr>
      <w:tr>
        <w:trPr>
          <w:trHeight w:val="222"/>
        </w:trPr>
        <w:tc>
          <w:tcPr>
            <w:tcW w:w="4760" w:type="dxa"/>
            <w:vAlign w:val="bottom"/>
          </w:tcPr>
          <w:p>
            <w:pPr>
              <w:jc w:val="center"/>
              <w:ind w:right="194"/>
              <w:spacing w:after="0"/>
              <w:rPr>
                <w:sz w:val="20"/>
                <w:szCs w:val="20"/>
                <w:color w:val="auto"/>
              </w:rPr>
            </w:pPr>
            <w:r>
              <w:rPr>
                <w:rFonts w:ascii="Arial" w:cs="Arial" w:eastAsia="Arial" w:hAnsi="Arial"/>
                <w:sz w:val="18"/>
                <w:szCs w:val="18"/>
                <w:color w:val="auto"/>
                <w:w w:val="92"/>
              </w:rPr>
              <w:t>(Principal Accounting Officer)</w:t>
            </w:r>
          </w:p>
        </w:tc>
        <w:tc>
          <w:tcPr>
            <w:tcW w:w="1340" w:type="dxa"/>
            <w:vAlign w:val="bottom"/>
          </w:tcPr>
          <w:p>
            <w:pPr>
              <w:spacing w:after="0"/>
              <w:rPr>
                <w:sz w:val="19"/>
                <w:szCs w:val="19"/>
                <w:color w:val="auto"/>
              </w:rPr>
            </w:pPr>
          </w:p>
        </w:tc>
      </w:tr>
      <w:tr>
        <w:trPr>
          <w:trHeight w:val="459"/>
        </w:trPr>
        <w:tc>
          <w:tcPr>
            <w:tcW w:w="4760" w:type="dxa"/>
            <w:vAlign w:val="bottom"/>
          </w:tcPr>
          <w:p>
            <w:pPr>
              <w:jc w:val="center"/>
              <w:ind w:right="194"/>
              <w:spacing w:after="0"/>
              <w:rPr>
                <w:sz w:val="20"/>
                <w:szCs w:val="20"/>
                <w:color w:val="auto"/>
              </w:rPr>
            </w:pPr>
            <w:r>
              <w:rPr>
                <w:rFonts w:ascii="Arial" w:cs="Arial" w:eastAsia="Arial" w:hAnsi="Arial"/>
                <w:sz w:val="18"/>
                <w:szCs w:val="18"/>
                <w:color w:val="auto"/>
                <w:w w:val="95"/>
              </w:rPr>
              <w:t>Director</w:t>
            </w:r>
          </w:p>
        </w:tc>
        <w:tc>
          <w:tcPr>
            <w:tcW w:w="1340" w:type="dxa"/>
            <w:vAlign w:val="bottom"/>
          </w:tcPr>
          <w:p>
            <w:pPr>
              <w:ind w:left="260"/>
              <w:spacing w:after="0"/>
              <w:rPr>
                <w:sz w:val="20"/>
                <w:szCs w:val="20"/>
                <w:color w:val="auto"/>
              </w:rPr>
            </w:pPr>
            <w:r>
              <w:rPr>
                <w:rFonts w:ascii="Arial" w:cs="Arial" w:eastAsia="Arial" w:hAnsi="Arial"/>
                <w:sz w:val="18"/>
                <w:szCs w:val="18"/>
                <w:color w:val="auto"/>
                <w:w w:val="87"/>
              </w:rPr>
              <w:t>August 2, 2012</w:t>
            </w:r>
          </w:p>
        </w:tc>
      </w:tr>
      <w:tr>
        <w:trPr>
          <w:trHeight w:val="675"/>
        </w:trPr>
        <w:tc>
          <w:tcPr>
            <w:tcW w:w="4760" w:type="dxa"/>
            <w:vAlign w:val="bottom"/>
          </w:tcPr>
          <w:p>
            <w:pPr>
              <w:jc w:val="center"/>
              <w:ind w:right="194"/>
              <w:spacing w:after="0"/>
              <w:rPr>
                <w:sz w:val="20"/>
                <w:szCs w:val="20"/>
                <w:color w:val="auto"/>
              </w:rPr>
            </w:pPr>
            <w:r>
              <w:rPr>
                <w:rFonts w:ascii="Arial" w:cs="Arial" w:eastAsia="Arial" w:hAnsi="Arial"/>
                <w:sz w:val="18"/>
                <w:szCs w:val="18"/>
                <w:color w:val="auto"/>
                <w:w w:val="95"/>
              </w:rPr>
              <w:t>Director</w:t>
            </w:r>
          </w:p>
        </w:tc>
        <w:tc>
          <w:tcPr>
            <w:tcW w:w="1340" w:type="dxa"/>
            <w:vAlign w:val="bottom"/>
          </w:tcPr>
          <w:p>
            <w:pPr>
              <w:ind w:left="260"/>
              <w:spacing w:after="0"/>
              <w:rPr>
                <w:sz w:val="20"/>
                <w:szCs w:val="20"/>
                <w:color w:val="auto"/>
              </w:rPr>
            </w:pPr>
            <w:r>
              <w:rPr>
                <w:rFonts w:ascii="Arial" w:cs="Arial" w:eastAsia="Arial" w:hAnsi="Arial"/>
                <w:sz w:val="18"/>
                <w:szCs w:val="18"/>
                <w:color w:val="auto"/>
                <w:w w:val="87"/>
              </w:rPr>
              <w:t>August 2, 2012</w:t>
            </w:r>
          </w:p>
        </w:tc>
      </w:tr>
      <w:tr>
        <w:trPr>
          <w:trHeight w:val="675"/>
        </w:trPr>
        <w:tc>
          <w:tcPr>
            <w:tcW w:w="4760" w:type="dxa"/>
            <w:vAlign w:val="bottom"/>
          </w:tcPr>
          <w:p>
            <w:pPr>
              <w:jc w:val="center"/>
              <w:ind w:right="194"/>
              <w:spacing w:after="0"/>
              <w:rPr>
                <w:sz w:val="20"/>
                <w:szCs w:val="20"/>
                <w:color w:val="auto"/>
              </w:rPr>
            </w:pPr>
            <w:r>
              <w:rPr>
                <w:rFonts w:ascii="Arial" w:cs="Arial" w:eastAsia="Arial" w:hAnsi="Arial"/>
                <w:sz w:val="18"/>
                <w:szCs w:val="18"/>
                <w:color w:val="auto"/>
                <w:w w:val="95"/>
              </w:rPr>
              <w:t>Director</w:t>
            </w:r>
          </w:p>
        </w:tc>
        <w:tc>
          <w:tcPr>
            <w:tcW w:w="1340" w:type="dxa"/>
            <w:vAlign w:val="bottom"/>
          </w:tcPr>
          <w:p>
            <w:pPr>
              <w:ind w:left="260"/>
              <w:spacing w:after="0"/>
              <w:rPr>
                <w:sz w:val="20"/>
                <w:szCs w:val="20"/>
                <w:color w:val="auto"/>
              </w:rPr>
            </w:pPr>
            <w:r>
              <w:rPr>
                <w:rFonts w:ascii="Arial" w:cs="Arial" w:eastAsia="Arial" w:hAnsi="Arial"/>
                <w:sz w:val="18"/>
                <w:szCs w:val="18"/>
                <w:color w:val="auto"/>
                <w:w w:val="87"/>
              </w:rPr>
              <w:t>August 2, 2012</w:t>
            </w:r>
          </w:p>
        </w:tc>
      </w:tr>
      <w:tr>
        <w:trPr>
          <w:trHeight w:val="675"/>
        </w:trPr>
        <w:tc>
          <w:tcPr>
            <w:tcW w:w="4760" w:type="dxa"/>
            <w:vAlign w:val="bottom"/>
          </w:tcPr>
          <w:p>
            <w:pPr>
              <w:jc w:val="center"/>
              <w:ind w:right="194"/>
              <w:spacing w:after="0"/>
              <w:rPr>
                <w:sz w:val="20"/>
                <w:szCs w:val="20"/>
                <w:color w:val="auto"/>
              </w:rPr>
            </w:pPr>
            <w:r>
              <w:rPr>
                <w:rFonts w:ascii="Arial" w:cs="Arial" w:eastAsia="Arial" w:hAnsi="Arial"/>
                <w:sz w:val="18"/>
                <w:szCs w:val="18"/>
                <w:color w:val="auto"/>
                <w:w w:val="95"/>
              </w:rPr>
              <w:t>Director</w:t>
            </w:r>
          </w:p>
        </w:tc>
        <w:tc>
          <w:tcPr>
            <w:tcW w:w="1340" w:type="dxa"/>
            <w:vAlign w:val="bottom"/>
          </w:tcPr>
          <w:p>
            <w:pPr>
              <w:ind w:left="260"/>
              <w:spacing w:after="0"/>
              <w:rPr>
                <w:sz w:val="20"/>
                <w:szCs w:val="20"/>
                <w:color w:val="auto"/>
              </w:rPr>
            </w:pPr>
            <w:r>
              <w:rPr>
                <w:rFonts w:ascii="Arial" w:cs="Arial" w:eastAsia="Arial" w:hAnsi="Arial"/>
                <w:sz w:val="18"/>
                <w:szCs w:val="18"/>
                <w:color w:val="auto"/>
                <w:w w:val="87"/>
              </w:rPr>
              <w:t>August 2, 2012</w:t>
            </w:r>
          </w:p>
        </w:tc>
      </w:tr>
    </w:tbl>
    <w:p>
      <w:pPr>
        <w:sectPr>
          <w:pgSz w:w="11900" w:h="16838" w:orient="portrait"/>
          <w:cols w:equalWidth="0" w:num="2">
            <w:col w:w="4240" w:space="560"/>
            <w:col w:w="6580"/>
          </w:cols>
          <w:pgMar w:left="240" w:top="274" w:right="279" w:bottom="144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40" w:type="dxa"/>
            <w:vAlign w:val="bottom"/>
          </w:tcPr>
          <w:p>
            <w:pPr>
              <w:spacing w:after="0"/>
              <w:rPr>
                <w:sz w:val="15"/>
                <w:szCs w:val="15"/>
                <w:color w:val="auto"/>
              </w:rPr>
            </w:pPr>
          </w:p>
        </w:tc>
        <w:tc>
          <w:tcPr>
            <w:tcW w:w="2900" w:type="dxa"/>
            <w:vAlign w:val="bottom"/>
          </w:tcPr>
          <w:p>
            <w:pPr>
              <w:jc w:val="center"/>
              <w:ind w:right="1254"/>
              <w:spacing w:after="0"/>
              <w:rPr>
                <w:sz w:val="20"/>
                <w:szCs w:val="20"/>
                <w:color w:val="auto"/>
              </w:rPr>
            </w:pPr>
            <w:r>
              <w:rPr>
                <w:rFonts w:ascii="Arial" w:cs="Arial" w:eastAsia="Arial" w:hAnsi="Arial"/>
                <w:sz w:val="14"/>
                <w:szCs w:val="14"/>
                <w:b w:val="1"/>
                <w:bCs w:val="1"/>
                <w:color w:val="auto"/>
                <w:w w:val="86"/>
              </w:rPr>
              <w:t>Signature</w:t>
            </w:r>
          </w:p>
        </w:tc>
      </w:tr>
      <w:tr>
        <w:trPr>
          <w:trHeight w:val="418"/>
        </w:trPr>
        <w:tc>
          <w:tcPr>
            <w:tcW w:w="134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w w:val="83"/>
              </w:rPr>
              <w:t>/s/</w:t>
            </w:r>
          </w:p>
        </w:tc>
        <w:tc>
          <w:tcPr>
            <w:tcW w:w="2900" w:type="dxa"/>
            <w:vAlign w:val="bottom"/>
            <w:tcBorders>
              <w:bottom w:val="single" w:sz="8" w:color="auto"/>
            </w:tcBorders>
          </w:tcPr>
          <w:p>
            <w:pPr>
              <w:jc w:val="center"/>
              <w:ind w:right="1254"/>
              <w:spacing w:after="0"/>
              <w:rPr>
                <w:sz w:val="20"/>
                <w:szCs w:val="20"/>
                <w:color w:val="auto"/>
              </w:rPr>
            </w:pPr>
            <w:r>
              <w:rPr>
                <w:rFonts w:ascii="Arial" w:cs="Arial" w:eastAsia="Arial" w:hAnsi="Arial"/>
                <w:sz w:val="18"/>
                <w:szCs w:val="18"/>
                <w:color w:val="auto"/>
                <w:w w:val="89"/>
              </w:rPr>
              <w:t>Gerald L. Hassell</w:t>
            </w:r>
          </w:p>
        </w:tc>
      </w:tr>
      <w:tr>
        <w:trPr>
          <w:trHeight w:val="222"/>
        </w:trPr>
        <w:tc>
          <w:tcPr>
            <w:tcW w:w="1340" w:type="dxa"/>
            <w:vAlign w:val="bottom"/>
          </w:tcPr>
          <w:p>
            <w:pPr>
              <w:spacing w:after="0"/>
              <w:rPr>
                <w:sz w:val="19"/>
                <w:szCs w:val="19"/>
                <w:color w:val="auto"/>
              </w:rPr>
            </w:pPr>
          </w:p>
        </w:tc>
        <w:tc>
          <w:tcPr>
            <w:tcW w:w="2900" w:type="dxa"/>
            <w:vAlign w:val="bottom"/>
          </w:tcPr>
          <w:p>
            <w:pPr>
              <w:jc w:val="center"/>
              <w:ind w:right="1254"/>
              <w:spacing w:after="0"/>
              <w:rPr>
                <w:sz w:val="20"/>
                <w:szCs w:val="20"/>
                <w:color w:val="auto"/>
              </w:rPr>
            </w:pPr>
            <w:r>
              <w:rPr>
                <w:rFonts w:ascii="Arial" w:cs="Arial" w:eastAsia="Arial" w:hAnsi="Arial"/>
                <w:sz w:val="18"/>
                <w:szCs w:val="18"/>
                <w:color w:val="auto"/>
                <w:w w:val="89"/>
              </w:rPr>
              <w:t>Gerald L. Hassell</w:t>
            </w:r>
          </w:p>
        </w:tc>
      </w:tr>
      <w:tr>
        <w:trPr>
          <w:trHeight w:val="433"/>
        </w:trPr>
        <w:tc>
          <w:tcPr>
            <w:tcW w:w="13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/s/</w:t>
            </w:r>
          </w:p>
        </w:tc>
        <w:tc>
          <w:tcPr>
            <w:tcW w:w="2900" w:type="dxa"/>
            <w:vAlign w:val="bottom"/>
            <w:tcBorders>
              <w:bottom w:val="single" w:sz="8" w:color="auto"/>
            </w:tcBorders>
          </w:tcPr>
          <w:p>
            <w:pPr>
              <w:jc w:val="center"/>
              <w:ind w:right="1254"/>
              <w:spacing w:after="0"/>
              <w:rPr>
                <w:sz w:val="20"/>
                <w:szCs w:val="20"/>
                <w:color w:val="auto"/>
              </w:rPr>
            </w:pPr>
            <w:r>
              <w:rPr>
                <w:rFonts w:ascii="Arial" w:cs="Arial" w:eastAsia="Arial" w:hAnsi="Arial"/>
                <w:sz w:val="18"/>
                <w:szCs w:val="18"/>
                <w:color w:val="auto"/>
                <w:w w:val="91"/>
              </w:rPr>
              <w:t>Jeffrey A. Honickman</w:t>
            </w:r>
          </w:p>
        </w:tc>
      </w:tr>
      <w:tr>
        <w:trPr>
          <w:trHeight w:val="222"/>
        </w:trPr>
        <w:tc>
          <w:tcPr>
            <w:tcW w:w="1340" w:type="dxa"/>
            <w:vAlign w:val="bottom"/>
          </w:tcPr>
          <w:p>
            <w:pPr>
              <w:spacing w:after="0"/>
              <w:rPr>
                <w:sz w:val="19"/>
                <w:szCs w:val="19"/>
                <w:color w:val="auto"/>
              </w:rPr>
            </w:pPr>
          </w:p>
        </w:tc>
        <w:tc>
          <w:tcPr>
            <w:tcW w:w="2900" w:type="dxa"/>
            <w:vAlign w:val="bottom"/>
          </w:tcPr>
          <w:p>
            <w:pPr>
              <w:jc w:val="center"/>
              <w:ind w:right="1254"/>
              <w:spacing w:after="0"/>
              <w:rPr>
                <w:sz w:val="20"/>
                <w:szCs w:val="20"/>
                <w:color w:val="auto"/>
              </w:rPr>
            </w:pPr>
            <w:r>
              <w:rPr>
                <w:rFonts w:ascii="Arial" w:cs="Arial" w:eastAsia="Arial" w:hAnsi="Arial"/>
                <w:sz w:val="18"/>
                <w:szCs w:val="18"/>
                <w:color w:val="auto"/>
                <w:w w:val="91"/>
              </w:rPr>
              <w:t>Jeffrey A. Honickman</w:t>
            </w:r>
          </w:p>
        </w:tc>
      </w:tr>
      <w:tr>
        <w:trPr>
          <w:trHeight w:val="433"/>
        </w:trPr>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/s/</w:t>
            </w:r>
          </w:p>
        </w:tc>
        <w:tc>
          <w:tcPr>
            <w:tcW w:w="2900" w:type="dxa"/>
            <w:vAlign w:val="bottom"/>
            <w:tcBorders>
              <w:bottom w:val="single" w:sz="8" w:color="auto"/>
            </w:tcBorders>
          </w:tcPr>
          <w:p>
            <w:pPr>
              <w:jc w:val="center"/>
              <w:ind w:right="1274"/>
              <w:spacing w:after="0"/>
              <w:rPr>
                <w:sz w:val="20"/>
                <w:szCs w:val="20"/>
                <w:color w:val="auto"/>
              </w:rPr>
            </w:pPr>
            <w:r>
              <w:rPr>
                <w:rFonts w:ascii="Arial" w:cs="Arial" w:eastAsia="Arial" w:hAnsi="Arial"/>
                <w:sz w:val="18"/>
                <w:szCs w:val="18"/>
                <w:color w:val="auto"/>
                <w:w w:val="88"/>
              </w:rPr>
              <w:t>Eduardo G. Mestre</w:t>
            </w:r>
          </w:p>
        </w:tc>
      </w:tr>
      <w:tr>
        <w:trPr>
          <w:trHeight w:val="222"/>
        </w:trPr>
        <w:tc>
          <w:tcPr>
            <w:tcW w:w="1340" w:type="dxa"/>
            <w:vAlign w:val="bottom"/>
          </w:tcPr>
          <w:p>
            <w:pPr>
              <w:spacing w:after="0"/>
              <w:rPr>
                <w:sz w:val="19"/>
                <w:szCs w:val="19"/>
                <w:color w:val="auto"/>
              </w:rPr>
            </w:pPr>
          </w:p>
        </w:tc>
        <w:tc>
          <w:tcPr>
            <w:tcW w:w="2900" w:type="dxa"/>
            <w:vAlign w:val="bottom"/>
          </w:tcPr>
          <w:p>
            <w:pPr>
              <w:jc w:val="center"/>
              <w:ind w:right="1234"/>
              <w:spacing w:after="0"/>
              <w:rPr>
                <w:sz w:val="20"/>
                <w:szCs w:val="20"/>
                <w:color w:val="auto"/>
              </w:rPr>
            </w:pPr>
            <w:r>
              <w:rPr>
                <w:rFonts w:ascii="Arial" w:cs="Arial" w:eastAsia="Arial" w:hAnsi="Arial"/>
                <w:sz w:val="18"/>
                <w:szCs w:val="18"/>
                <w:color w:val="auto"/>
                <w:w w:val="88"/>
              </w:rPr>
              <w:t>Eduardo G. Mestre</w:t>
            </w:r>
          </w:p>
        </w:tc>
      </w:tr>
      <w:tr>
        <w:trPr>
          <w:trHeight w:val="433"/>
        </w:trPr>
        <w:tc>
          <w:tcPr>
            <w:tcW w:w="13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/s/</w:t>
            </w:r>
          </w:p>
        </w:tc>
        <w:tc>
          <w:tcPr>
            <w:tcW w:w="2900" w:type="dxa"/>
            <w:vAlign w:val="bottom"/>
            <w:tcBorders>
              <w:bottom w:val="single" w:sz="8" w:color="auto"/>
            </w:tcBorders>
          </w:tcPr>
          <w:p>
            <w:pPr>
              <w:jc w:val="center"/>
              <w:ind w:right="1254"/>
              <w:spacing w:after="0"/>
              <w:rPr>
                <w:sz w:val="20"/>
                <w:szCs w:val="20"/>
                <w:color w:val="auto"/>
              </w:rPr>
            </w:pPr>
            <w:r>
              <w:rPr>
                <w:rFonts w:ascii="Arial" w:cs="Arial" w:eastAsia="Arial" w:hAnsi="Arial"/>
                <w:sz w:val="18"/>
                <w:szCs w:val="18"/>
                <w:color w:val="auto"/>
                <w:w w:val="87"/>
              </w:rPr>
              <w:t>Johnathan A. Rodgers</w:t>
            </w:r>
          </w:p>
        </w:tc>
      </w:tr>
      <w:tr>
        <w:trPr>
          <w:trHeight w:val="222"/>
        </w:trPr>
        <w:tc>
          <w:tcPr>
            <w:tcW w:w="1340" w:type="dxa"/>
            <w:vAlign w:val="bottom"/>
          </w:tcPr>
          <w:p>
            <w:pPr>
              <w:spacing w:after="0"/>
              <w:rPr>
                <w:sz w:val="19"/>
                <w:szCs w:val="19"/>
                <w:color w:val="auto"/>
              </w:rPr>
            </w:pPr>
          </w:p>
        </w:tc>
        <w:tc>
          <w:tcPr>
            <w:tcW w:w="2900" w:type="dxa"/>
            <w:vAlign w:val="bottom"/>
          </w:tcPr>
          <w:p>
            <w:pPr>
              <w:jc w:val="center"/>
              <w:ind w:right="1254"/>
              <w:spacing w:after="0"/>
              <w:rPr>
                <w:sz w:val="20"/>
                <w:szCs w:val="20"/>
                <w:color w:val="auto"/>
              </w:rPr>
            </w:pPr>
            <w:r>
              <w:rPr>
                <w:rFonts w:ascii="Arial" w:cs="Arial" w:eastAsia="Arial" w:hAnsi="Arial"/>
                <w:sz w:val="18"/>
                <w:szCs w:val="18"/>
                <w:color w:val="auto"/>
                <w:w w:val="87"/>
              </w:rPr>
              <w:t>Johnathan A. Rodgers</w:t>
            </w:r>
          </w:p>
        </w:tc>
      </w:tr>
      <w:tr>
        <w:trPr>
          <w:trHeight w:val="434"/>
        </w:trPr>
        <w:tc>
          <w:tcPr>
            <w:tcW w:w="13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r>
        <w:trPr>
          <w:trHeight w:val="221"/>
        </w:trPr>
        <w:tc>
          <w:tcPr>
            <w:tcW w:w="1340" w:type="dxa"/>
            <w:vAlign w:val="bottom"/>
          </w:tcPr>
          <w:p>
            <w:pPr>
              <w:spacing w:after="0"/>
              <w:rPr>
                <w:sz w:val="19"/>
                <w:szCs w:val="19"/>
                <w:color w:val="auto"/>
              </w:rPr>
            </w:pPr>
          </w:p>
        </w:tc>
        <w:tc>
          <w:tcPr>
            <w:tcW w:w="2900" w:type="dxa"/>
            <w:vAlign w:val="bottom"/>
          </w:tcPr>
          <w:p>
            <w:pPr>
              <w:jc w:val="center"/>
              <w:ind w:right="1254"/>
              <w:spacing w:after="0"/>
              <w:rPr>
                <w:sz w:val="20"/>
                <w:szCs w:val="20"/>
                <w:color w:val="auto"/>
              </w:rPr>
            </w:pPr>
            <w:r>
              <w:rPr>
                <w:rFonts w:ascii="Arial" w:cs="Arial" w:eastAsia="Arial" w:hAnsi="Arial"/>
                <w:sz w:val="18"/>
                <w:szCs w:val="18"/>
                <w:color w:val="auto"/>
                <w:w w:val="89"/>
              </w:rPr>
              <w:t>Dr. Judith Rodin</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840" w:type="dxa"/>
            <w:vAlign w:val="bottom"/>
          </w:tcPr>
          <w:p>
            <w:pPr>
              <w:jc w:val="center"/>
              <w:ind w:right="1156"/>
              <w:spacing w:after="0"/>
              <w:rPr>
                <w:sz w:val="20"/>
                <w:szCs w:val="20"/>
                <w:color w:val="auto"/>
              </w:rPr>
            </w:pPr>
            <w:r>
              <w:rPr>
                <w:rFonts w:ascii="Arial" w:cs="Arial" w:eastAsia="Arial" w:hAnsi="Arial"/>
                <w:sz w:val="14"/>
                <w:szCs w:val="14"/>
                <w:b w:val="1"/>
                <w:bCs w:val="1"/>
                <w:color w:val="auto"/>
                <w:w w:val="97"/>
              </w:rPr>
              <w:t>Title</w:t>
            </w:r>
          </w:p>
        </w:tc>
        <w:tc>
          <w:tcPr>
            <w:tcW w:w="2320" w:type="dxa"/>
            <w:vAlign w:val="bottom"/>
          </w:tcPr>
          <w:p>
            <w:pPr>
              <w:ind w:left="1900"/>
              <w:spacing w:after="0"/>
              <w:rPr>
                <w:sz w:val="20"/>
                <w:szCs w:val="20"/>
                <w:color w:val="auto"/>
              </w:rPr>
            </w:pPr>
            <w:r>
              <w:rPr>
                <w:rFonts w:ascii="Arial" w:cs="Arial" w:eastAsia="Arial" w:hAnsi="Arial"/>
                <w:sz w:val="14"/>
                <w:szCs w:val="14"/>
                <w:b w:val="1"/>
                <w:bCs w:val="1"/>
                <w:color w:val="auto"/>
              </w:rPr>
              <w:t>Date</w:t>
            </w:r>
          </w:p>
        </w:tc>
      </w:tr>
      <w:tr>
        <w:trPr>
          <w:trHeight w:val="444"/>
        </w:trPr>
        <w:tc>
          <w:tcPr>
            <w:tcW w:w="1840" w:type="dxa"/>
            <w:vAlign w:val="bottom"/>
          </w:tcPr>
          <w:p>
            <w:pPr>
              <w:jc w:val="center"/>
              <w:ind w:right="1156"/>
              <w:spacing w:after="0"/>
              <w:rPr>
                <w:sz w:val="20"/>
                <w:szCs w:val="20"/>
                <w:color w:val="auto"/>
              </w:rPr>
            </w:pPr>
            <w:r>
              <w:rPr>
                <w:rFonts w:ascii="Arial" w:cs="Arial" w:eastAsia="Arial" w:hAnsi="Arial"/>
                <w:sz w:val="18"/>
                <w:szCs w:val="18"/>
                <w:color w:val="auto"/>
                <w:w w:val="95"/>
              </w:rPr>
              <w:t>Director</w:t>
            </w:r>
          </w:p>
        </w:tc>
        <w:tc>
          <w:tcPr>
            <w:tcW w:w="2320" w:type="dxa"/>
            <w:vAlign w:val="bottom"/>
          </w:tcPr>
          <w:p>
            <w:pPr>
              <w:ind w:left="1240"/>
              <w:spacing w:after="0"/>
              <w:rPr>
                <w:sz w:val="20"/>
                <w:szCs w:val="20"/>
                <w:color w:val="auto"/>
              </w:rPr>
            </w:pPr>
            <w:r>
              <w:rPr>
                <w:rFonts w:ascii="Arial" w:cs="Arial" w:eastAsia="Arial" w:hAnsi="Arial"/>
                <w:sz w:val="18"/>
                <w:szCs w:val="18"/>
                <w:color w:val="auto"/>
                <w:w w:val="87"/>
              </w:rPr>
              <w:t>August 2, 2012</w:t>
            </w:r>
          </w:p>
        </w:tc>
      </w:tr>
      <w:tr>
        <w:trPr>
          <w:trHeight w:val="675"/>
        </w:trPr>
        <w:tc>
          <w:tcPr>
            <w:tcW w:w="1840" w:type="dxa"/>
            <w:vAlign w:val="bottom"/>
          </w:tcPr>
          <w:p>
            <w:pPr>
              <w:jc w:val="center"/>
              <w:ind w:right="1156"/>
              <w:spacing w:after="0"/>
              <w:rPr>
                <w:sz w:val="20"/>
                <w:szCs w:val="20"/>
                <w:color w:val="auto"/>
              </w:rPr>
            </w:pPr>
            <w:r>
              <w:rPr>
                <w:rFonts w:ascii="Arial" w:cs="Arial" w:eastAsia="Arial" w:hAnsi="Arial"/>
                <w:sz w:val="18"/>
                <w:szCs w:val="18"/>
                <w:color w:val="auto"/>
                <w:w w:val="95"/>
              </w:rPr>
              <w:t>Director</w:t>
            </w:r>
          </w:p>
        </w:tc>
        <w:tc>
          <w:tcPr>
            <w:tcW w:w="2320" w:type="dxa"/>
            <w:vAlign w:val="bottom"/>
          </w:tcPr>
          <w:p>
            <w:pPr>
              <w:ind w:left="1240"/>
              <w:spacing w:after="0"/>
              <w:rPr>
                <w:sz w:val="20"/>
                <w:szCs w:val="20"/>
                <w:color w:val="auto"/>
              </w:rPr>
            </w:pPr>
            <w:r>
              <w:rPr>
                <w:rFonts w:ascii="Arial" w:cs="Arial" w:eastAsia="Arial" w:hAnsi="Arial"/>
                <w:sz w:val="18"/>
                <w:szCs w:val="18"/>
                <w:color w:val="auto"/>
                <w:w w:val="87"/>
              </w:rPr>
              <w:t>August 2, 2012</w:t>
            </w:r>
          </w:p>
        </w:tc>
      </w:tr>
      <w:tr>
        <w:trPr>
          <w:trHeight w:val="675"/>
        </w:trPr>
        <w:tc>
          <w:tcPr>
            <w:tcW w:w="1840" w:type="dxa"/>
            <w:vAlign w:val="bottom"/>
          </w:tcPr>
          <w:p>
            <w:pPr>
              <w:jc w:val="center"/>
              <w:ind w:right="1156"/>
              <w:spacing w:after="0"/>
              <w:rPr>
                <w:sz w:val="20"/>
                <w:szCs w:val="20"/>
                <w:color w:val="auto"/>
              </w:rPr>
            </w:pPr>
            <w:r>
              <w:rPr>
                <w:rFonts w:ascii="Arial" w:cs="Arial" w:eastAsia="Arial" w:hAnsi="Arial"/>
                <w:sz w:val="18"/>
                <w:szCs w:val="18"/>
                <w:color w:val="auto"/>
                <w:w w:val="95"/>
              </w:rPr>
              <w:t>Director</w:t>
            </w:r>
          </w:p>
        </w:tc>
        <w:tc>
          <w:tcPr>
            <w:tcW w:w="2320" w:type="dxa"/>
            <w:vAlign w:val="bottom"/>
          </w:tcPr>
          <w:p>
            <w:pPr>
              <w:ind w:left="1240"/>
              <w:spacing w:after="0"/>
              <w:rPr>
                <w:sz w:val="20"/>
                <w:szCs w:val="20"/>
                <w:color w:val="auto"/>
              </w:rPr>
            </w:pPr>
            <w:r>
              <w:rPr>
                <w:rFonts w:ascii="Arial" w:cs="Arial" w:eastAsia="Arial" w:hAnsi="Arial"/>
                <w:sz w:val="18"/>
                <w:szCs w:val="18"/>
                <w:color w:val="auto"/>
                <w:w w:val="87"/>
              </w:rPr>
              <w:t>August 2, 2012</w:t>
            </w:r>
          </w:p>
        </w:tc>
      </w:tr>
      <w:tr>
        <w:trPr>
          <w:trHeight w:val="675"/>
        </w:trPr>
        <w:tc>
          <w:tcPr>
            <w:tcW w:w="1840" w:type="dxa"/>
            <w:vAlign w:val="bottom"/>
          </w:tcPr>
          <w:p>
            <w:pPr>
              <w:jc w:val="center"/>
              <w:ind w:right="1156"/>
              <w:spacing w:after="0"/>
              <w:rPr>
                <w:sz w:val="20"/>
                <w:szCs w:val="20"/>
                <w:color w:val="auto"/>
              </w:rPr>
            </w:pPr>
            <w:r>
              <w:rPr>
                <w:rFonts w:ascii="Arial" w:cs="Arial" w:eastAsia="Arial" w:hAnsi="Arial"/>
                <w:sz w:val="18"/>
                <w:szCs w:val="18"/>
                <w:color w:val="auto"/>
                <w:w w:val="95"/>
              </w:rPr>
              <w:t>Director</w:t>
            </w:r>
          </w:p>
        </w:tc>
        <w:tc>
          <w:tcPr>
            <w:tcW w:w="2320" w:type="dxa"/>
            <w:vAlign w:val="bottom"/>
          </w:tcPr>
          <w:p>
            <w:pPr>
              <w:ind w:left="1240"/>
              <w:spacing w:after="0"/>
              <w:rPr>
                <w:sz w:val="20"/>
                <w:szCs w:val="20"/>
                <w:color w:val="auto"/>
              </w:rPr>
            </w:pPr>
            <w:r>
              <w:rPr>
                <w:rFonts w:ascii="Arial" w:cs="Arial" w:eastAsia="Arial" w:hAnsi="Arial"/>
                <w:sz w:val="18"/>
                <w:szCs w:val="18"/>
                <w:color w:val="auto"/>
                <w:w w:val="87"/>
              </w:rPr>
              <w:t>August 2, 2012</w:t>
            </w:r>
          </w:p>
        </w:tc>
      </w:tr>
      <w:tr>
        <w:trPr>
          <w:trHeight w:val="675"/>
        </w:trPr>
        <w:tc>
          <w:tcPr>
            <w:tcW w:w="1840" w:type="dxa"/>
            <w:vAlign w:val="bottom"/>
          </w:tcPr>
          <w:p>
            <w:pPr>
              <w:jc w:val="center"/>
              <w:ind w:right="1156"/>
              <w:spacing w:after="0"/>
              <w:rPr>
                <w:sz w:val="20"/>
                <w:szCs w:val="20"/>
                <w:color w:val="auto"/>
              </w:rPr>
            </w:pPr>
            <w:r>
              <w:rPr>
                <w:rFonts w:ascii="Arial" w:cs="Arial" w:eastAsia="Arial" w:hAnsi="Arial"/>
                <w:sz w:val="18"/>
                <w:szCs w:val="18"/>
                <w:color w:val="auto"/>
                <w:w w:val="95"/>
              </w:rPr>
              <w:t>Director</w:t>
            </w:r>
          </w:p>
        </w:tc>
        <w:tc>
          <w:tcPr>
            <w:tcW w:w="2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-2193290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ectPr>
          <w:pgSz w:w="11900" w:h="16838" w:orient="portrait"/>
          <w:cols w:equalWidth="0" w:num="2">
            <w:col w:w="6020" w:space="720"/>
            <w:col w:w="4160"/>
          </w:cols>
          <w:pgMar w:left="240" w:top="275" w:right="7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20" w:type="dxa"/>
            <w:vAlign w:val="bottom"/>
          </w:tcPr>
          <w:p>
            <w:pPr>
              <w:ind w:left="3020"/>
              <w:spacing w:after="0"/>
              <w:rPr>
                <w:sz w:val="20"/>
                <w:szCs w:val="20"/>
                <w:color w:val="auto"/>
              </w:rPr>
            </w:pPr>
            <w:r>
              <w:rPr>
                <w:rFonts w:ascii="Arial" w:cs="Arial" w:eastAsia="Arial" w:hAnsi="Arial"/>
                <w:sz w:val="18"/>
                <w:szCs w:val="18"/>
                <w:color w:val="auto"/>
                <w:w w:val="98"/>
              </w:rPr>
              <w:t>EXHIBIT INDEX</w:t>
            </w:r>
          </w:p>
        </w:tc>
      </w:tr>
      <w:tr>
        <w:trPr>
          <w:trHeight w:val="342"/>
        </w:trPr>
        <w:tc>
          <w:tcPr>
            <w:tcW w:w="480" w:type="dxa"/>
            <w:vAlign w:val="bottom"/>
          </w:tcPr>
          <w:p>
            <w:pPr>
              <w:jc w:val="right"/>
              <w:spacing w:after="0"/>
              <w:rPr>
                <w:sz w:val="20"/>
                <w:szCs w:val="20"/>
                <w:color w:val="auto"/>
              </w:rPr>
            </w:pPr>
            <w:r>
              <w:rPr>
                <w:rFonts w:ascii="Arial" w:cs="Arial" w:eastAsia="Arial" w:hAnsi="Arial"/>
                <w:sz w:val="14"/>
                <w:szCs w:val="14"/>
                <w:color w:val="auto"/>
                <w:w w:val="99"/>
              </w:rPr>
              <w:t>Exhibit</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159"/>
        </w:trPr>
        <w:tc>
          <w:tcPr>
            <w:tcW w:w="480" w:type="dxa"/>
            <w:vAlign w:val="bottom"/>
          </w:tcPr>
          <w:p>
            <w:pPr>
              <w:jc w:val="right"/>
              <w:spacing w:after="0" w:line="159" w:lineRule="exact"/>
              <w:rPr>
                <w:sz w:val="20"/>
                <w:szCs w:val="20"/>
                <w:color w:val="auto"/>
              </w:rPr>
            </w:pPr>
            <w:r>
              <w:rPr>
                <w:rFonts w:ascii="Arial" w:cs="Arial" w:eastAsia="Arial" w:hAnsi="Arial"/>
                <w:sz w:val="14"/>
                <w:szCs w:val="14"/>
                <w:color w:val="auto"/>
                <w:w w:val="88"/>
              </w:rPr>
              <w:t>Number</w:t>
            </w:r>
          </w:p>
        </w:tc>
        <w:tc>
          <w:tcPr>
            <w:tcW w:w="5880" w:type="dxa"/>
            <w:vAlign w:val="bottom"/>
            <w:gridSpan w:val="3"/>
          </w:tcPr>
          <w:p>
            <w:pPr>
              <w:ind w:left="440"/>
              <w:spacing w:after="0" w:line="159" w:lineRule="exact"/>
              <w:rPr>
                <w:sz w:val="20"/>
                <w:szCs w:val="20"/>
                <w:color w:val="auto"/>
              </w:rPr>
            </w:pPr>
            <w:r>
              <w:rPr>
                <w:rFonts w:ascii="Arial" w:cs="Arial" w:eastAsia="Arial" w:hAnsi="Arial"/>
                <w:sz w:val="14"/>
                <w:szCs w:val="14"/>
                <w:color w:val="auto"/>
              </w:rPr>
              <w:t>Exhibit Description</w:t>
            </w:r>
          </w:p>
        </w:tc>
      </w:tr>
      <w:tr>
        <w:trPr>
          <w:trHeight w:val="20"/>
        </w:trPr>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316"/>
        </w:trPr>
        <w:tc>
          <w:tcPr>
            <w:tcW w:w="480" w:type="dxa"/>
            <w:vAlign w:val="bottom"/>
          </w:tcPr>
          <w:p>
            <w:pPr>
              <w:jc w:val="right"/>
              <w:ind w:right="79"/>
              <w:spacing w:after="0"/>
              <w:rPr>
                <w:sz w:val="20"/>
                <w:szCs w:val="20"/>
                <w:color w:val="auto"/>
              </w:rPr>
            </w:pPr>
            <w:r>
              <w:rPr>
                <w:rFonts w:ascii="Arial" w:cs="Arial" w:eastAsia="Arial" w:hAnsi="Arial"/>
                <w:sz w:val="18"/>
                <w:szCs w:val="18"/>
                <w:color w:val="auto"/>
              </w:rPr>
              <w:t>5.1</w:t>
            </w:r>
          </w:p>
        </w:tc>
        <w:tc>
          <w:tcPr>
            <w:tcW w:w="5880" w:type="dxa"/>
            <w:vAlign w:val="bottom"/>
            <w:gridSpan w:val="3"/>
          </w:tcPr>
          <w:p>
            <w:pPr>
              <w:ind w:left="440"/>
              <w:spacing w:after="0"/>
              <w:rPr>
                <w:sz w:val="20"/>
                <w:szCs w:val="20"/>
                <w:color w:val="auto"/>
              </w:rPr>
            </w:pPr>
            <w:r>
              <w:rPr>
                <w:rFonts w:ascii="Arial" w:cs="Arial" w:eastAsia="Arial" w:hAnsi="Arial"/>
                <w:sz w:val="18"/>
                <w:szCs w:val="18"/>
                <w:color w:val="auto"/>
              </w:rPr>
              <w:t>Opinion of Pepper Hamilton LLP</w:t>
            </w:r>
          </w:p>
        </w:tc>
      </w:tr>
      <w:tr>
        <w:trPr>
          <w:trHeight w:val="324"/>
        </w:trPr>
        <w:tc>
          <w:tcPr>
            <w:tcW w:w="480" w:type="dxa"/>
            <w:vAlign w:val="bottom"/>
          </w:tcPr>
          <w:p>
            <w:pPr>
              <w:jc w:val="right"/>
              <w:ind w:right="79"/>
              <w:spacing w:after="0"/>
              <w:rPr>
                <w:sz w:val="20"/>
                <w:szCs w:val="20"/>
                <w:color w:val="auto"/>
              </w:rPr>
            </w:pPr>
            <w:r>
              <w:rPr>
                <w:rFonts w:ascii="Arial" w:cs="Arial" w:eastAsia="Arial" w:hAnsi="Arial"/>
                <w:sz w:val="18"/>
                <w:szCs w:val="18"/>
                <w:color w:val="auto"/>
                <w:w w:val="85"/>
              </w:rPr>
              <w:t>23.1</w:t>
            </w:r>
          </w:p>
        </w:tc>
        <w:tc>
          <w:tcPr>
            <w:tcW w:w="5880" w:type="dxa"/>
            <w:vAlign w:val="bottom"/>
            <w:gridSpan w:val="3"/>
          </w:tcPr>
          <w:p>
            <w:pPr>
              <w:ind w:left="440"/>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480" w:type="dxa"/>
            <w:vAlign w:val="bottom"/>
          </w:tcPr>
          <w:p>
            <w:pPr>
              <w:jc w:val="right"/>
              <w:ind w:right="79"/>
              <w:spacing w:after="0"/>
              <w:rPr>
                <w:sz w:val="20"/>
                <w:szCs w:val="20"/>
                <w:color w:val="auto"/>
              </w:rPr>
            </w:pPr>
            <w:r>
              <w:rPr>
                <w:rFonts w:ascii="Arial" w:cs="Arial" w:eastAsia="Arial" w:hAnsi="Arial"/>
                <w:sz w:val="18"/>
                <w:szCs w:val="18"/>
                <w:color w:val="auto"/>
                <w:w w:val="85"/>
              </w:rPr>
              <w:t>23.2</w:t>
            </w:r>
          </w:p>
        </w:tc>
        <w:tc>
          <w:tcPr>
            <w:tcW w:w="5880" w:type="dxa"/>
            <w:vAlign w:val="bottom"/>
            <w:gridSpan w:val="3"/>
          </w:tcPr>
          <w:p>
            <w:pPr>
              <w:ind w:left="440"/>
              <w:spacing w:after="0"/>
              <w:rPr>
                <w:sz w:val="20"/>
                <w:szCs w:val="20"/>
                <w:color w:val="auto"/>
              </w:rPr>
            </w:pPr>
            <w:r>
              <w:rPr>
                <w:rFonts w:ascii="Arial" w:cs="Arial" w:eastAsia="Arial" w:hAnsi="Arial"/>
                <w:sz w:val="18"/>
                <w:szCs w:val="18"/>
                <w:color w:val="auto"/>
              </w:rPr>
              <w:t>Consent of Pepper Hamilton LLP (contained in Exhibit 5.1)</w:t>
            </w:r>
          </w:p>
        </w:tc>
      </w:tr>
      <w:tr>
        <w:trPr>
          <w:trHeight w:val="324"/>
        </w:trPr>
        <w:tc>
          <w:tcPr>
            <w:tcW w:w="480" w:type="dxa"/>
            <w:vAlign w:val="bottom"/>
          </w:tcPr>
          <w:p>
            <w:pPr>
              <w:jc w:val="right"/>
              <w:ind w:right="79"/>
              <w:spacing w:after="0"/>
              <w:rPr>
                <w:sz w:val="20"/>
                <w:szCs w:val="20"/>
                <w:color w:val="auto"/>
              </w:rPr>
            </w:pPr>
            <w:r>
              <w:rPr>
                <w:rFonts w:ascii="Arial" w:cs="Arial" w:eastAsia="Arial" w:hAnsi="Arial"/>
                <w:sz w:val="18"/>
                <w:szCs w:val="18"/>
                <w:color w:val="auto"/>
                <w:w w:val="85"/>
              </w:rPr>
              <w:t>24.1</w:t>
            </w:r>
          </w:p>
        </w:tc>
        <w:tc>
          <w:tcPr>
            <w:tcW w:w="5880" w:type="dxa"/>
            <w:vAlign w:val="bottom"/>
            <w:gridSpan w:val="3"/>
          </w:tcPr>
          <w:p>
            <w:pPr>
              <w:ind w:left="440"/>
              <w:spacing w:after="0"/>
              <w:rPr>
                <w:sz w:val="20"/>
                <w:szCs w:val="20"/>
                <w:color w:val="auto"/>
              </w:rPr>
            </w:pPr>
            <w:r>
              <w:rPr>
                <w:rFonts w:ascii="Arial" w:cs="Arial" w:eastAsia="Arial" w:hAnsi="Arial"/>
                <w:sz w:val="18"/>
                <w:szCs w:val="18"/>
                <w:color w:val="auto"/>
              </w:rPr>
              <w:t>Power of Attorney (contained in the signature pages hereto)</w:t>
            </w:r>
          </w:p>
        </w:tc>
      </w:tr>
    </w:tbl>
    <w:p>
      <w:pPr>
        <w:ind w:left="440"/>
        <w:spacing w:after="0"/>
        <w:rPr>
          <w:sz w:val="20"/>
          <w:szCs w:val="20"/>
          <w:color w:val="auto"/>
        </w:rPr>
        <w:sectPr>
          <w:pgSz w:w="11900" w:h="16838" w:orient="portrait"/>
          <w:cols w:equalWidth="0" w:num="1">
            <w:col w:w="10219"/>
          </w:cols>
          <w:pgMar w:left="240" w:top="28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PEPPER HAMILTON LLP]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2,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20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Registration Statement on Form S-8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320" w:firstLine="913"/>
        <w:spacing w:after="0" w:line="259" w:lineRule="auto"/>
        <w:rPr>
          <w:sz w:val="20"/>
          <w:szCs w:val="20"/>
          <w:color w:val="auto"/>
        </w:rPr>
      </w:pPr>
      <w:r>
        <w:rPr>
          <w:rFonts w:ascii="Arial" w:cs="Arial" w:eastAsia="Arial" w:hAnsi="Arial"/>
          <w:sz w:val="18"/>
          <w:szCs w:val="18"/>
          <w:color w:val="auto"/>
        </w:rPr>
        <w:t>Reference is made to a registration statement on Form S-8 of Comcast Corporation (the “Company”) which is being filed with the Securities and Exchange Commission (the “Registration Statement”). Capitalized terms not otherwise defined herein shall have the meanings ascribed to them in the Registration Statement.</w:t>
      </w:r>
    </w:p>
    <w:p>
      <w:pPr>
        <w:spacing w:after="0" w:line="140"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The Registration Statement relates to 11,000,000 shares of Class A Common Stock, par value $0.01, of the Company (the “Shares”), 9,000,000 of which may be issued by the Company pursuant to the Comcast Corporation 2002 Employee Stock Purchase Plan (the “Comcast Employee Stock Purchase Plan”), and 2,000,000 of which may be issued by the Company pursuant to the Comcast-NBCUniversal 2011 Employee Stock Purchase Plan (the “Comcast-NBCU Employee Stock Purchase Plan”, and together with the Comcast Employee Stock Purchase Plan, the “Plans”).</w:t>
      </w:r>
    </w:p>
    <w:p>
      <w:pPr>
        <w:spacing w:after="0" w:line="11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In connection with our representation of the Company, as a basis for our opinions hereinafter set forth, we have examined the Registration Statement, including the exhibits thereto, the Company’s Articles of Incorporation, as amended and restated, the Company’s By-laws, as amended and restated, the Plans and such other documents as we have deemed appropriate in rendering this opinion. As to matters of fact, we have relied on representations of officers of the Company. In our examination, we have assumed the genuineness of all signatures, the authenticity of all documents submitted to us as originals and the authenticity of all documents submitted to us as copies of originals.</w:t>
      </w:r>
    </w:p>
    <w:p>
      <w:pPr>
        <w:spacing w:after="0" w:line="143"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Based on the foregoing, we are of the opinion that the Shares, when issued in accordance with the terms of the Plans, will be validly issued, fully paid and non-assessable. This opinion is being furnished to you solely for submission to the Securities and Exchange Commission as an exhibit to the Registration Statement and, accordingly, may not be relied upon, quoted in any manner to, or delivered to any other person or entity, without in each instance our prior written consent.</w:t>
      </w:r>
    </w:p>
    <w:p>
      <w:pPr>
        <w:spacing w:after="0" w:line="143" w:lineRule="exact"/>
        <w:rPr>
          <w:sz w:val="20"/>
          <w:szCs w:val="20"/>
          <w:color w:val="auto"/>
        </w:rPr>
      </w:pPr>
    </w:p>
    <w:p>
      <w:pPr>
        <w:ind w:right="160" w:firstLine="913"/>
        <w:spacing w:after="0" w:line="298" w:lineRule="auto"/>
        <w:rPr>
          <w:sz w:val="20"/>
          <w:szCs w:val="20"/>
          <w:color w:val="auto"/>
        </w:rPr>
      </w:pPr>
      <w:r>
        <w:rPr>
          <w:rFonts w:ascii="Arial" w:cs="Arial" w:eastAsia="Arial" w:hAnsi="Arial"/>
          <w:sz w:val="16"/>
          <w:szCs w:val="16"/>
          <w:color w:val="auto"/>
        </w:rPr>
        <w:t>Our opinion is limited to the Business Corporation Law of the Commonwealth of Pennsylvania, as amended, including the statutory provisions and all applicable provisions of the Constitution of the Commonwealth of Pennsylvania and reported judicial decisions interpreting these laws, and the federal securities laws, each as in effect on the date hereof. We assume no obligation to supplement this opinion if any applicable law changes after the date hereof or if we become aware of any fact that might change the opinion expressed herein after the date hereof.</w:t>
      </w:r>
    </w:p>
    <w:p>
      <w:pPr>
        <w:spacing w:after="0" w:line="113"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such consent, we do not thereby admit that we come within the category of persons whose consent is required under Section 7 of the Securities Act of 1933 or the rules or regulations of the Securities and Exchange Commission thereunder.</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Pepper Hamilton LLP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Pepper Hamilton LLP</w:t>
      </w:r>
    </w:p>
    <w:p>
      <w:pPr>
        <w:sectPr>
          <w:pgSz w:w="11900" w:h="16838" w:orient="portrait"/>
          <w:cols w:equalWidth="0" w:num="1">
            <w:col w:w="11420"/>
          </w:cols>
          <w:pgMar w:left="240" w:top="125"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6"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We consent to the incorporation by reference in this Registration Statement on Form S-8 of our reports dated February 22, 2012, relating to the consolidated financial statements and financial statement schedule of Comcast Corporation, and the effectiveness of Comcast Corporation’s internal control over financial reporting, appearing in the Annual Report on Form 10-K of Comcast Corporation for the year ended December 31, 2011.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1, 2012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Roman"/>
      <w:start w:val="1"/>
    </w:lvl>
    <w:lvl w:ilvl="1">
      <w:lvlJc w:val="left"/>
      <w:lvlText w:val="(%2)"/>
      <w:numFmt w:val="decimal"/>
      <w:start w:val="1"/>
    </w:lvl>
  </w:abstractNum>
  <w:abstractNum w:abstractNumId="2">
    <w:nsid w:val="238E1F29"/>
    <w:multiLevelType w:val="hybridMultilevel"/>
    <w:lvl w:ilvl="0">
      <w:lvlJc w:val="left"/>
      <w:lvlText w:val="(%1)"/>
      <w:numFmt w:val="lowerRoman"/>
      <w:start w:val="1"/>
    </w:lvl>
    <w:lvl w:ilvl="1">
      <w:lvlJc w:val="left"/>
      <w:lvlText w:val="%2"/>
      <w:numFmt w:val="decimal"/>
      <w:start w:val="1"/>
    </w:lvl>
  </w:abstractNum>
  <w:abstractNum w:abstractNumId="3">
    <w:nsid w:val="46E87CCD"/>
    <w:multiLevelType w:val="hybridMultilevel"/>
    <w:lvl w:ilvl="0">
      <w:lvlJc w:val="left"/>
      <w:lvlText w:val="(%1)"/>
      <w:numFmt w:val="lowerRoman"/>
      <w:start w:val="3"/>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2019-12-09T15:07:05Z</dcterms:created>
  <dcterms:modified xsi:type="dcterms:W3CDTF">2019-12-09T15:07:05Z</dcterms:modified>
</cp:coreProperties>
</file>