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333-158816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June 15th, 2009</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0"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$700,000,000 5.70% NOTES DUE 2019</w:t>
      </w:r>
    </w:p>
    <w:p>
      <w:pPr>
        <w:spacing w:after="0" w:line="2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$800,000,000 6.55% NOTES DUE 2039</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33" w:right="239" w:bottom="144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Holdings,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5.70% Notes due 2019</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46" w:lineRule="exact"/>
        <w:rPr>
          <w:sz w:val="24"/>
          <w:szCs w:val="24"/>
          <w:color w:val="auto"/>
        </w:rPr>
      </w:pPr>
    </w:p>
    <w:p>
      <w:pPr>
        <w:ind w:left="3100"/>
        <w:spacing w:after="0"/>
        <w:rPr>
          <w:sz w:val="20"/>
          <w:szCs w:val="20"/>
          <w:color w:val="auto"/>
        </w:rPr>
      </w:pPr>
      <w:r>
        <w:rPr>
          <w:rFonts w:ascii="Arial" w:cs="Arial" w:eastAsia="Arial" w:hAnsi="Arial"/>
          <w:sz w:val="15"/>
          <w:szCs w:val="15"/>
          <w:color w:val="auto"/>
        </w:rPr>
        <w:t>6.55% Notes due 2039</w:t>
      </w:r>
    </w:p>
    <w:p>
      <w:pPr>
        <w:sectPr>
          <w:pgSz w:w="11900" w:h="16838" w:orient="portrait"/>
          <w:cols w:equalWidth="0" w:num="1">
            <w:col w:w="11420"/>
          </w:cols>
          <w:pgMar w:left="240" w:top="233" w:right="239" w:bottom="1440" w:gutter="0" w:footer="0" w:header="0"/>
          <w:type w:val="continuous"/>
        </w:sectPr>
      </w:pPr>
    </w:p>
    <w:p>
      <w:pPr>
        <w:spacing w:after="0" w:line="2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ind w:right="60"/>
        <w:spacing w:after="0" w:line="294" w:lineRule="auto"/>
        <w:rPr>
          <w:sz w:val="20"/>
          <w:szCs w:val="20"/>
          <w:color w:val="auto"/>
        </w:rPr>
      </w:pPr>
      <w:r>
        <w:rPr>
          <w:rFonts w:ascii="Arial" w:cs="Arial" w:eastAsia="Arial" w:hAnsi="Arial"/>
          <w:sz w:val="16"/>
          <w:szCs w:val="16"/>
          <w:color w:val="auto"/>
        </w:rPr>
        <w:t>The Company intends to use the proceeds from this offering, after deducting fees and expenses, for repayment of outstanding borrowings under its revolving credit facility, repurchases of outstanding debt in public or privately negotiated transactions, and for working capital and general corporate purposes. As of June 11, 2009, the Company had a balance of $1,000,000,000 outstanding under its revolving credit facility at an interest rate of 0.66875% and for which the loan commitment maturity is January 30, 2013.</w:t>
      </w:r>
    </w:p>
    <w:p>
      <w:pPr>
        <w:spacing w:after="0" w:line="164"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Indenture dated as of January 7, 2003 by and among the Company, the Cable Guarantors (other than Comcast MO of</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Delaware, LLC) and The Bank of New York Mellon (formerly known as The Bank of New York), as Trustee (the</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Trustee</w:t>
      </w:r>
      <w:r>
        <w:rPr>
          <w:rFonts w:ascii="Arial" w:cs="Arial" w:eastAsia="Arial" w:hAnsi="Arial"/>
          <w:sz w:val="15"/>
          <w:szCs w:val="15"/>
          <w:color w:val="auto"/>
        </w:rPr>
        <w:t>”), as amended by the First Supplemental Indenture dated as of March 25, 2003 by and among the Company,</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Cable Guarantors and the Trustee</w:t>
      </w:r>
    </w:p>
    <w:p>
      <w:pPr>
        <w:sectPr>
          <w:pgSz w:w="11900" w:h="16838" w:orient="portrait"/>
          <w:cols w:equalWidth="0" w:num="2">
            <w:col w:w="2380" w:space="720"/>
            <w:col w:w="83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-205105</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7119"/>
          </w:cols>
          <w:pgMar w:left="240" w:top="274" w:right="1440"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Expected Ratings: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Moody’s: Baa1; S&amp;P: BBB+; Fitch: BBB+ </w:t>
      </w:r>
      <w:r>
        <w:rPr>
          <w:rFonts w:ascii="Arial" w:cs="Arial" w:eastAsia="Arial" w:hAnsi="Arial"/>
          <w:sz w:val="10"/>
          <w:szCs w:val="10"/>
          <w:color w:val="auto"/>
        </w:rPr>
        <w:t>1</w:t>
      </w:r>
    </w:p>
    <w:p>
      <w:pPr>
        <w:spacing w:after="0" w:line="200" w:lineRule="exact"/>
        <w:rPr>
          <w:sz w:val="20"/>
          <w:szCs w:val="20"/>
          <w:color w:val="auto"/>
        </w:rPr>
      </w:pPr>
    </w:p>
    <w:p>
      <w:pPr>
        <w:sectPr>
          <w:pgSz w:w="11900" w:h="16838" w:orient="portrait"/>
          <w:cols w:equalWidth="0" w:num="2">
            <w:col w:w="2380" w:space="720"/>
            <w:col w:w="711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w:t>
      </w:r>
    </w:p>
    <w:p>
      <w:pPr>
        <w:sectPr>
          <w:pgSz w:w="11900" w:h="16838" w:orient="portrait"/>
          <w:cols w:equalWidth="0" w:num="1">
            <w:col w:w="10219"/>
          </w:cols>
          <w:pgMar w:left="240" w:top="274" w:right="1440"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Managers: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Banc of America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BNP Paribas Securities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200" w:lineRule="exact"/>
        <w:rPr>
          <w:sz w:val="20"/>
          <w:szCs w:val="20"/>
          <w:color w:val="auto"/>
        </w:rPr>
      </w:pPr>
    </w:p>
    <w:p>
      <w:pPr>
        <w:sectPr>
          <w:pgSz w:w="11900" w:h="16838" w:orient="portrait"/>
          <w:cols w:equalWidth="0" w:num="2">
            <w:col w:w="2380" w:space="720"/>
            <w:col w:w="7119"/>
          </w:cols>
          <w:pgMar w:left="240" w:top="274"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Daiwa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Lloyds TSB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BNY Mellon Capital Markets, LLC</w:t>
      </w:r>
    </w:p>
    <w:p>
      <w:pPr>
        <w:spacing w:after="0" w:line="200" w:lineRule="exact"/>
        <w:rPr>
          <w:sz w:val="20"/>
          <w:szCs w:val="20"/>
          <w:color w:val="auto"/>
        </w:rPr>
      </w:pPr>
    </w:p>
    <w:p>
      <w:pPr>
        <w:sectPr>
          <w:pgSz w:w="11900" w:h="16838" w:orient="portrait"/>
          <w:cols w:equalWidth="0" w:num="2">
            <w:col w:w="2380" w:space="720"/>
            <w:col w:w="7119"/>
          </w:cols>
          <w:pgMar w:left="240" w:top="274"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Blaylock Robert Van,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Cabrera Capital Markets,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Doley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Guzman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Beal &amp;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Muriel Siebert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Utendahl Capital Group, LLC</w:t>
      </w:r>
    </w:p>
    <w:p>
      <w:pPr>
        <w:spacing w:after="0" w:line="200" w:lineRule="exact"/>
        <w:rPr>
          <w:sz w:val="20"/>
          <w:szCs w:val="20"/>
          <w:color w:val="auto"/>
        </w:rPr>
      </w:pPr>
    </w:p>
    <w:p>
      <w:pPr>
        <w:sectPr>
          <w:pgSz w:w="11900" w:h="16838" w:orient="portrait"/>
          <w:cols w:equalWidth="0" w:num="2">
            <w:col w:w="2380" w:space="720"/>
            <w:col w:w="7119"/>
          </w:cols>
          <w:pgMar w:left="240" w:top="274" w:right="1440"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June 15, 2009</w:t>
      </w:r>
    </w:p>
    <w:p>
      <w:pPr>
        <w:spacing w:after="0" w:line="205" w:lineRule="exact"/>
        <w:rPr>
          <w:sz w:val="20"/>
          <w:szCs w:val="20"/>
          <w:color w:val="auto"/>
        </w:rPr>
      </w:pPr>
    </w:p>
    <w:p>
      <w:pPr>
        <w:sectPr>
          <w:pgSz w:w="11900" w:h="16838" w:orient="portrait"/>
          <w:cols w:equalWidth="0" w:num="2">
            <w:col w:w="2380" w:space="720"/>
            <w:col w:w="711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June 18, 2009 (T+3)</w:t>
      </w:r>
    </w:p>
    <w:p>
      <w:pPr>
        <w:spacing w:after="0" w:line="165" w:lineRule="exact"/>
        <w:rPr>
          <w:sz w:val="20"/>
          <w:szCs w:val="20"/>
          <w:color w:val="auto"/>
        </w:rPr>
      </w:pPr>
    </w:p>
    <w:p>
      <w:pPr>
        <w:sectPr>
          <w:pgSz w:w="11900" w:h="16838" w:orient="portrait"/>
          <w:cols w:equalWidth="0" w:num="2">
            <w:col w:w="2380" w:space="720"/>
            <w:col w:w="7119"/>
          </w:cols>
          <w:pgMar w:left="240" w:top="274" w:right="1440" w:bottom="1440" w:gutter="0" w:footer="0" w:header="0"/>
          <w:type w:val="continuous"/>
        </w:sectPr>
      </w:pPr>
    </w:p>
    <w:p>
      <w:pPr>
        <w:ind w:left="5680" w:right="559" w:hanging="5672"/>
        <w:spacing w:after="0" w:line="425" w:lineRule="auto"/>
        <w:tabs>
          <w:tab w:leader="none" w:pos="464" w:val="left"/>
        </w:tabs>
        <w:numPr>
          <w:ilvl w:val="0"/>
          <w:numId w:val="1"/>
        </w:numPr>
        <w:rPr>
          <w:rFonts w:ascii="Arial" w:cs="Arial" w:eastAsia="Arial" w:hAnsi="Arial"/>
          <w:sz w:val="11"/>
          <w:szCs w:val="11"/>
          <w:color w:val="auto"/>
        </w:rPr>
      </w:pPr>
      <w:r>
        <w:rPr>
          <w:rFonts w:ascii="Arial" w:cs="Arial" w:eastAsia="Arial" w:hAnsi="Arial"/>
          <w:sz w:val="18"/>
          <w:szCs w:val="18"/>
          <w:color w:val="auto"/>
        </w:rPr>
        <w:t>A securities rating is not a recommendation to buy, sell or hold securities and may be subject to revision or withdrawal at any time. 2</w:t>
      </w:r>
    </w:p>
    <w:p>
      <w:pPr>
        <w:sectPr>
          <w:pgSz w:w="11900" w:h="16838" w:orient="portrait"/>
          <w:cols w:equalWidth="0" w:num="1">
            <w:col w:w="10219"/>
          </w:cols>
          <w:pgMar w:left="240" w:top="274"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5.</w:t>
            </w:r>
            <w:r>
              <w:rPr>
                <w:rFonts w:ascii="Arial" w:cs="Arial" w:eastAsia="Arial" w:hAnsi="Arial"/>
                <w:sz w:val="18"/>
                <w:szCs w:val="18"/>
                <w:b w:val="1"/>
                <w:bCs w:val="1"/>
                <w:u w:val="single" w:color="auto"/>
                <w:color w:val="auto"/>
                <w:w w:val="88"/>
              </w:rPr>
              <w:t>70%</w:t>
            </w:r>
            <w:r>
              <w:rPr>
                <w:rFonts w:ascii="Arial" w:cs="Arial" w:eastAsia="Arial" w:hAnsi="Arial"/>
                <w:sz w:val="18"/>
                <w:szCs w:val="18"/>
                <w:b w:val="1"/>
                <w:bCs w:val="1"/>
                <w:color w:val="auto"/>
                <w:w w:val="88"/>
              </w:rPr>
              <w:t xml:space="preserve"> Notes Due 2019</w:t>
            </w:r>
          </w:p>
        </w:tc>
        <w:tc>
          <w:tcPr>
            <w:tcW w:w="760" w:type="dxa"/>
            <w:vAlign w:val="bottom"/>
          </w:tcPr>
          <w:p>
            <w:pPr>
              <w:spacing w:after="0"/>
              <w:rPr>
                <w:sz w:val="17"/>
                <w:szCs w:val="17"/>
                <w:color w:val="auto"/>
              </w:rPr>
            </w:pPr>
          </w:p>
        </w:tc>
        <w:tc>
          <w:tcPr>
            <w:tcW w:w="8940" w:type="dxa"/>
            <w:vAlign w:val="bottom"/>
          </w:tcPr>
          <w:p>
            <w:pPr>
              <w:spacing w:after="0"/>
              <w:rPr>
                <w:sz w:val="17"/>
                <w:szCs w:val="17"/>
                <w:color w:val="auto"/>
              </w:rPr>
            </w:pPr>
          </w:p>
        </w:tc>
      </w:tr>
      <w:tr>
        <w:trPr>
          <w:trHeight w:val="43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w:t>
            </w:r>
          </w:p>
        </w:tc>
        <w:tc>
          <w:tcPr>
            <w:tcW w:w="8940" w:type="dxa"/>
            <w:vAlign w:val="bottom"/>
          </w:tcPr>
          <w:p>
            <w:pPr>
              <w:ind w:left="640"/>
              <w:spacing w:after="0"/>
              <w:rPr>
                <w:sz w:val="20"/>
                <w:szCs w:val="20"/>
                <w:color w:val="auto"/>
              </w:rPr>
            </w:pPr>
            <w:r>
              <w:rPr>
                <w:rFonts w:ascii="Arial" w:cs="Arial" w:eastAsia="Arial" w:hAnsi="Arial"/>
                <w:sz w:val="18"/>
                <w:szCs w:val="18"/>
                <w:color w:val="auto"/>
              </w:rPr>
              <w:t>$700,000,000</w:t>
            </w: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8940" w:type="dxa"/>
            <w:vAlign w:val="bottom"/>
          </w:tcPr>
          <w:p>
            <w:pPr>
              <w:spacing w:after="0"/>
              <w:rPr>
                <w:sz w:val="19"/>
                <w:szCs w:val="19"/>
                <w:color w:val="auto"/>
              </w:rPr>
            </w:pPr>
          </w:p>
        </w:tc>
      </w:tr>
      <w:tr>
        <w:trPr>
          <w:trHeight w:val="44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940" w:type="dxa"/>
            <w:vAlign w:val="bottom"/>
          </w:tcPr>
          <w:p>
            <w:pPr>
              <w:ind w:left="640"/>
              <w:spacing w:after="0"/>
              <w:rPr>
                <w:sz w:val="20"/>
                <w:szCs w:val="20"/>
                <w:color w:val="auto"/>
              </w:rPr>
            </w:pPr>
            <w:r>
              <w:rPr>
                <w:rFonts w:ascii="Arial" w:cs="Arial" w:eastAsia="Arial" w:hAnsi="Arial"/>
                <w:sz w:val="18"/>
                <w:szCs w:val="18"/>
                <w:color w:val="auto"/>
              </w:rPr>
              <w:t>July 1, 2019</w:t>
            </w:r>
          </w:p>
        </w:tc>
      </w:tr>
      <w:tr>
        <w:trPr>
          <w:trHeight w:val="42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940" w:type="dxa"/>
            <w:vAlign w:val="bottom"/>
          </w:tcPr>
          <w:p>
            <w:pPr>
              <w:ind w:left="640"/>
              <w:spacing w:after="0"/>
              <w:rPr>
                <w:sz w:val="20"/>
                <w:szCs w:val="20"/>
                <w:color w:val="auto"/>
              </w:rPr>
            </w:pPr>
            <w:r>
              <w:rPr>
                <w:rFonts w:ascii="Arial" w:cs="Arial" w:eastAsia="Arial" w:hAnsi="Arial"/>
                <w:sz w:val="18"/>
                <w:szCs w:val="18"/>
                <w:color w:val="auto"/>
                <w:w w:val="88"/>
              </w:rPr>
              <w:t>5.70% per annum, accruing from June 18, 2009 (calculated on the basis of a 360-day year consisting of twelve 30-day</w:t>
            </w:r>
          </w:p>
        </w:tc>
      </w:tr>
      <w:tr>
        <w:trPr>
          <w:trHeight w:val="222"/>
        </w:trPr>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months)</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940" w:type="dxa"/>
            <w:vAlign w:val="bottom"/>
          </w:tcPr>
          <w:p>
            <w:pPr>
              <w:ind w:left="640"/>
              <w:spacing w:after="0"/>
              <w:rPr>
                <w:sz w:val="20"/>
                <w:szCs w:val="20"/>
                <w:color w:val="auto"/>
              </w:rPr>
            </w:pPr>
            <w:r>
              <w:rPr>
                <w:rFonts w:ascii="Arial" w:cs="Arial" w:eastAsia="Arial" w:hAnsi="Arial"/>
                <w:sz w:val="18"/>
                <w:szCs w:val="18"/>
                <w:color w:val="auto"/>
              </w:rPr>
              <w:t>January 1 and July 1 commencing January 1, 2010</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8940" w:type="dxa"/>
            <w:vAlign w:val="bottom"/>
          </w:tcPr>
          <w:p>
            <w:pPr>
              <w:ind w:left="640"/>
              <w:spacing w:after="0"/>
              <w:rPr>
                <w:sz w:val="20"/>
                <w:szCs w:val="20"/>
                <w:color w:val="auto"/>
              </w:rPr>
            </w:pPr>
            <w:r>
              <w:rPr>
                <w:rFonts w:ascii="Arial" w:cs="Arial" w:eastAsia="Arial" w:hAnsi="Arial"/>
                <w:sz w:val="18"/>
                <w:szCs w:val="18"/>
                <w:color w:val="auto"/>
              </w:rPr>
              <w:t>UST 3.125% due May 2019</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8940" w:type="dxa"/>
            <w:vAlign w:val="bottom"/>
          </w:tcPr>
          <w:p>
            <w:pPr>
              <w:ind w:left="640"/>
              <w:spacing w:after="0"/>
              <w:rPr>
                <w:sz w:val="20"/>
                <w:szCs w:val="20"/>
                <w:color w:val="auto"/>
              </w:rPr>
            </w:pPr>
            <w:r>
              <w:rPr>
                <w:rFonts w:ascii="Arial" w:cs="Arial" w:eastAsia="Arial" w:hAnsi="Arial"/>
                <w:sz w:val="18"/>
                <w:szCs w:val="18"/>
                <w:color w:val="auto"/>
              </w:rPr>
              <w:t>95-00+ (3.731%)</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940" w:type="dxa"/>
            <w:vAlign w:val="bottom"/>
          </w:tcPr>
          <w:p>
            <w:pPr>
              <w:ind w:left="640"/>
              <w:spacing w:after="0"/>
              <w:rPr>
                <w:sz w:val="20"/>
                <w:szCs w:val="20"/>
                <w:color w:val="auto"/>
              </w:rPr>
            </w:pPr>
            <w:r>
              <w:rPr>
                <w:rFonts w:ascii="Arial" w:cs="Arial" w:eastAsia="Arial" w:hAnsi="Arial"/>
                <w:sz w:val="18"/>
                <w:szCs w:val="18"/>
                <w:color w:val="auto"/>
              </w:rPr>
              <w:t>+200 bps</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940" w:type="dxa"/>
            <w:vAlign w:val="bottom"/>
          </w:tcPr>
          <w:p>
            <w:pPr>
              <w:ind w:left="640"/>
              <w:spacing w:after="0"/>
              <w:rPr>
                <w:sz w:val="20"/>
                <w:szCs w:val="20"/>
                <w:color w:val="auto"/>
              </w:rPr>
            </w:pPr>
            <w:r>
              <w:rPr>
                <w:rFonts w:ascii="Arial" w:cs="Arial" w:eastAsia="Arial" w:hAnsi="Arial"/>
                <w:sz w:val="18"/>
                <w:szCs w:val="18"/>
                <w:color w:val="auto"/>
              </w:rPr>
              <w:t>5.731%</w:t>
            </w:r>
          </w:p>
        </w:tc>
      </w:tr>
      <w:tr>
        <w:trPr>
          <w:trHeight w:val="420"/>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Makewhole</w:t>
            </w:r>
          </w:p>
        </w:tc>
        <w:tc>
          <w:tcPr>
            <w:tcW w:w="8940" w:type="dxa"/>
            <w:vAlign w:val="bottom"/>
          </w:tcPr>
          <w:p>
            <w:pPr>
              <w:ind w:left="640"/>
              <w:spacing w:after="0"/>
              <w:rPr>
                <w:sz w:val="20"/>
                <w:szCs w:val="20"/>
                <w:color w:val="auto"/>
              </w:rPr>
            </w:pPr>
            <w:r>
              <w:rPr>
                <w:rFonts w:ascii="Arial" w:cs="Arial" w:eastAsia="Arial" w:hAnsi="Arial"/>
                <w:sz w:val="18"/>
                <w:szCs w:val="18"/>
                <w:color w:val="auto"/>
                <w:w w:val="95"/>
              </w:rPr>
              <w:t>The 5.70% Notes due 2019 are redeemable at the option of the Company at any time, in whole or in part, at a</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Redemption:</w:t>
            </w:r>
          </w:p>
        </w:tc>
        <w:tc>
          <w:tcPr>
            <w:tcW w:w="8940" w:type="dxa"/>
            <w:vAlign w:val="bottom"/>
          </w:tcPr>
          <w:p>
            <w:pPr>
              <w:ind w:left="640"/>
              <w:spacing w:after="0"/>
              <w:rPr>
                <w:sz w:val="20"/>
                <w:szCs w:val="20"/>
                <w:color w:val="auto"/>
              </w:rPr>
            </w:pPr>
            <w:r>
              <w:rPr>
                <w:rFonts w:ascii="Arial" w:cs="Arial" w:eastAsia="Arial" w:hAnsi="Arial"/>
                <w:sz w:val="18"/>
                <w:szCs w:val="18"/>
                <w:color w:val="auto"/>
                <w:w w:val="88"/>
              </w:rPr>
              <w:t>redemption price equal to the greater of (i) 100% of the principal amount of such notes and (ii) the sum of the present</w:t>
            </w:r>
          </w:p>
        </w:tc>
      </w:tr>
      <w:tr>
        <w:trPr>
          <w:trHeight w:val="216"/>
        </w:trPr>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w w:val="95"/>
              </w:rPr>
              <w:t>values of remaining scheduled payments of principal and interest (exclusive of interest accrued to the date of</w:t>
            </w:r>
          </w:p>
        </w:tc>
      </w:tr>
      <w:tr>
        <w:trPr>
          <w:trHeight w:val="216"/>
        </w:trPr>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w w:val="87"/>
              </w:rPr>
              <w:t>redemption) discounted to the redemption date on a semiannual basis at the Treasury Rate plus 35 basis points, plus in</w:t>
            </w:r>
          </w:p>
        </w:tc>
      </w:tr>
      <w:tr>
        <w:trPr>
          <w:trHeight w:val="222"/>
        </w:trPr>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each case accrued interest thereon to the date of redemption.</w:t>
            </w:r>
          </w:p>
        </w:tc>
      </w:tr>
      <w:tr>
        <w:trPr>
          <w:trHeight w:val="42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940" w:type="dxa"/>
            <w:vAlign w:val="bottom"/>
          </w:tcPr>
          <w:p>
            <w:pPr>
              <w:ind w:left="640"/>
              <w:spacing w:after="0"/>
              <w:rPr>
                <w:sz w:val="20"/>
                <w:szCs w:val="20"/>
                <w:color w:val="auto"/>
              </w:rPr>
            </w:pPr>
            <w:r>
              <w:rPr>
                <w:rFonts w:ascii="Arial" w:cs="Arial" w:eastAsia="Arial" w:hAnsi="Arial"/>
                <w:sz w:val="18"/>
                <w:szCs w:val="18"/>
                <w:color w:val="auto"/>
                <w:w w:val="94"/>
              </w:rPr>
              <w:t>An unlimited amount of additional 5.70% Notes due 2019 may be issued. The 5.70% Notes due 2019 and any</w:t>
            </w:r>
          </w:p>
        </w:tc>
      </w:tr>
      <w:tr>
        <w:trPr>
          <w:trHeight w:val="216"/>
        </w:trPr>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w w:val="92"/>
              </w:rPr>
              <w:t>additional 5.70% Notes due 2019 that may be issued may be treated as a single series for all purposes under the</w:t>
            </w:r>
          </w:p>
        </w:tc>
      </w:tr>
      <w:tr>
        <w:trPr>
          <w:trHeight w:val="222"/>
        </w:trPr>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indenture.</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8940" w:type="dxa"/>
            <w:vAlign w:val="bottom"/>
          </w:tcPr>
          <w:p>
            <w:pPr>
              <w:ind w:left="640"/>
              <w:spacing w:after="0"/>
              <w:rPr>
                <w:sz w:val="20"/>
                <w:szCs w:val="20"/>
                <w:color w:val="auto"/>
              </w:rPr>
            </w:pPr>
            <w:r>
              <w:rPr>
                <w:rFonts w:ascii="Arial" w:cs="Arial" w:eastAsia="Arial" w:hAnsi="Arial"/>
                <w:sz w:val="18"/>
                <w:szCs w:val="18"/>
                <w:color w:val="auto"/>
              </w:rPr>
              <w:t>20030NAZ4</w:t>
            </w:r>
          </w:p>
        </w:tc>
      </w:tr>
      <w:tr>
        <w:trPr>
          <w:trHeight w:val="44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940" w:type="dxa"/>
            <w:vAlign w:val="bottom"/>
          </w:tcPr>
          <w:p>
            <w:pPr>
              <w:ind w:left="640"/>
              <w:spacing w:after="0"/>
              <w:rPr>
                <w:sz w:val="20"/>
                <w:szCs w:val="20"/>
                <w:color w:val="auto"/>
              </w:rPr>
            </w:pPr>
            <w:r>
              <w:rPr>
                <w:rFonts w:ascii="Arial" w:cs="Arial" w:eastAsia="Arial" w:hAnsi="Arial"/>
                <w:sz w:val="18"/>
                <w:szCs w:val="18"/>
                <w:color w:val="auto"/>
              </w:rPr>
              <w:t>99.763% plus accrued interest, if any, from June 18, 2009</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Gross Spread:</w:t>
            </w:r>
          </w:p>
        </w:tc>
        <w:tc>
          <w:tcPr>
            <w:tcW w:w="8940" w:type="dxa"/>
            <w:vAlign w:val="bottom"/>
          </w:tcPr>
          <w:p>
            <w:pPr>
              <w:ind w:left="640"/>
              <w:spacing w:after="0"/>
              <w:rPr>
                <w:sz w:val="20"/>
                <w:szCs w:val="20"/>
                <w:color w:val="auto"/>
              </w:rPr>
            </w:pPr>
            <w:r>
              <w:rPr>
                <w:rFonts w:ascii="Arial" w:cs="Arial" w:eastAsia="Arial" w:hAnsi="Arial"/>
                <w:sz w:val="18"/>
                <w:szCs w:val="18"/>
                <w:color w:val="auto"/>
              </w:rPr>
              <w:t>0.450%</w:t>
            </w:r>
          </w:p>
        </w:tc>
      </w:tr>
      <w:tr>
        <w:trPr>
          <w:trHeight w:val="420"/>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Net proceeds to</w:t>
            </w:r>
          </w:p>
        </w:tc>
        <w:tc>
          <w:tcPr>
            <w:tcW w:w="8940" w:type="dxa"/>
            <w:vAlign w:val="bottom"/>
          </w:tcPr>
          <w:p>
            <w:pPr>
              <w:ind w:left="640"/>
              <w:spacing w:after="0"/>
              <w:rPr>
                <w:sz w:val="20"/>
                <w:szCs w:val="20"/>
                <w:color w:val="auto"/>
              </w:rPr>
            </w:pPr>
            <w:r>
              <w:rPr>
                <w:rFonts w:ascii="Arial" w:cs="Arial" w:eastAsia="Arial" w:hAnsi="Arial"/>
                <w:sz w:val="18"/>
                <w:szCs w:val="18"/>
                <w:color w:val="auto"/>
              </w:rPr>
              <w:t>99.313% per $1,000 principal amount of Notes due 2019; $695,191,000 total</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Comcast, before</w:t>
            </w:r>
          </w:p>
        </w:tc>
        <w:tc>
          <w:tcPr>
            <w:tcW w:w="8940" w:type="dxa"/>
            <w:vAlign w:val="bottom"/>
          </w:tcPr>
          <w:p>
            <w:pPr>
              <w:spacing w:after="0"/>
              <w:rPr>
                <w:sz w:val="18"/>
                <w:szCs w:val="18"/>
                <w:color w:val="auto"/>
              </w:rPr>
            </w:pP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940" w:type="dxa"/>
            <w:vAlign w:val="bottom"/>
          </w:tcPr>
          <w:p>
            <w:pPr>
              <w:spacing w:after="0"/>
              <w:rPr>
                <w:sz w:val="19"/>
                <w:szCs w:val="19"/>
                <w:color w:val="auto"/>
              </w:rPr>
            </w:pPr>
          </w:p>
        </w:tc>
      </w:tr>
      <w:tr>
        <w:trPr>
          <w:trHeight w:val="378"/>
        </w:trPr>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40" w:type="dxa"/>
            <w:vAlign w:val="bottom"/>
          </w:tcPr>
          <w:p>
            <w:pPr>
              <w:ind w:left="3220"/>
              <w:spacing w:after="0"/>
              <w:rPr>
                <w:sz w:val="20"/>
                <w:szCs w:val="20"/>
                <w:color w:val="auto"/>
              </w:rPr>
            </w:pPr>
            <w:r>
              <w:rPr>
                <w:rFonts w:ascii="Arial" w:cs="Arial" w:eastAsia="Arial" w:hAnsi="Arial"/>
                <w:sz w:val="18"/>
                <w:szCs w:val="18"/>
                <w:color w:val="auto"/>
              </w:rPr>
              <w:t>3</w:t>
            </w:r>
          </w:p>
        </w:tc>
      </w:tr>
    </w:tbl>
    <w:p>
      <w:pPr>
        <w:ind w:left="3220"/>
        <w:spacing w:after="0"/>
        <w:rPr>
          <w:sz w:val="20"/>
          <w:szCs w:val="20"/>
          <w:color w:val="auto"/>
        </w:rPr>
        <w:sectPr>
          <w:pgSz w:w="11900" w:h="16838" w:orient="portrait"/>
          <w:cols w:equalWidth="0" w:num="1">
            <w:col w:w="11400"/>
          </w:cols>
          <w:pgMar w:left="240" w:top="257"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6.</w:t>
            </w:r>
            <w:r>
              <w:rPr>
                <w:rFonts w:ascii="Arial" w:cs="Arial" w:eastAsia="Arial" w:hAnsi="Arial"/>
                <w:sz w:val="18"/>
                <w:szCs w:val="18"/>
                <w:b w:val="1"/>
                <w:bCs w:val="1"/>
                <w:u w:val="single" w:color="auto"/>
                <w:color w:val="auto"/>
                <w:w w:val="88"/>
              </w:rPr>
              <w:t>55%</w:t>
            </w:r>
            <w:r>
              <w:rPr>
                <w:rFonts w:ascii="Arial" w:cs="Arial" w:eastAsia="Arial" w:hAnsi="Arial"/>
                <w:sz w:val="18"/>
                <w:szCs w:val="18"/>
                <w:b w:val="1"/>
                <w:bCs w:val="1"/>
                <w:color w:val="auto"/>
                <w:w w:val="88"/>
              </w:rPr>
              <w:t xml:space="preserve"> Notes Due 2039</w:t>
            </w:r>
          </w:p>
        </w:tc>
        <w:tc>
          <w:tcPr>
            <w:tcW w:w="760" w:type="dxa"/>
            <w:vAlign w:val="bottom"/>
          </w:tcPr>
          <w:p>
            <w:pPr>
              <w:spacing w:after="0"/>
              <w:rPr>
                <w:sz w:val="17"/>
                <w:szCs w:val="17"/>
                <w:color w:val="auto"/>
              </w:rPr>
            </w:pPr>
          </w:p>
        </w:tc>
        <w:tc>
          <w:tcPr>
            <w:tcW w:w="8940" w:type="dxa"/>
            <w:vAlign w:val="bottom"/>
          </w:tcPr>
          <w:p>
            <w:pPr>
              <w:spacing w:after="0"/>
              <w:rPr>
                <w:sz w:val="17"/>
                <w:szCs w:val="17"/>
                <w:color w:val="auto"/>
              </w:rPr>
            </w:pPr>
          </w:p>
        </w:tc>
      </w:tr>
      <w:tr>
        <w:trPr>
          <w:trHeight w:val="43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w:t>
            </w:r>
          </w:p>
        </w:tc>
        <w:tc>
          <w:tcPr>
            <w:tcW w:w="8940" w:type="dxa"/>
            <w:vAlign w:val="bottom"/>
          </w:tcPr>
          <w:p>
            <w:pPr>
              <w:ind w:left="640"/>
              <w:spacing w:after="0"/>
              <w:rPr>
                <w:sz w:val="20"/>
                <w:szCs w:val="20"/>
                <w:color w:val="auto"/>
              </w:rPr>
            </w:pPr>
            <w:r>
              <w:rPr>
                <w:rFonts w:ascii="Arial" w:cs="Arial" w:eastAsia="Arial" w:hAnsi="Arial"/>
                <w:sz w:val="18"/>
                <w:szCs w:val="18"/>
                <w:color w:val="auto"/>
              </w:rPr>
              <w:t>$800,000,000</w:t>
            </w: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8940" w:type="dxa"/>
            <w:vAlign w:val="bottom"/>
          </w:tcPr>
          <w:p>
            <w:pPr>
              <w:spacing w:after="0"/>
              <w:rPr>
                <w:sz w:val="19"/>
                <w:szCs w:val="19"/>
                <w:color w:val="auto"/>
              </w:rPr>
            </w:pPr>
          </w:p>
        </w:tc>
      </w:tr>
      <w:tr>
        <w:trPr>
          <w:trHeight w:val="44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940" w:type="dxa"/>
            <w:vAlign w:val="bottom"/>
          </w:tcPr>
          <w:p>
            <w:pPr>
              <w:ind w:left="640"/>
              <w:spacing w:after="0"/>
              <w:rPr>
                <w:sz w:val="20"/>
                <w:szCs w:val="20"/>
                <w:color w:val="auto"/>
              </w:rPr>
            </w:pPr>
            <w:r>
              <w:rPr>
                <w:rFonts w:ascii="Arial" w:cs="Arial" w:eastAsia="Arial" w:hAnsi="Arial"/>
                <w:sz w:val="18"/>
                <w:szCs w:val="18"/>
                <w:color w:val="auto"/>
              </w:rPr>
              <w:t>July 1, 2039</w:t>
            </w:r>
          </w:p>
        </w:tc>
      </w:tr>
      <w:tr>
        <w:trPr>
          <w:trHeight w:val="42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940" w:type="dxa"/>
            <w:vAlign w:val="bottom"/>
          </w:tcPr>
          <w:p>
            <w:pPr>
              <w:ind w:left="640"/>
              <w:spacing w:after="0"/>
              <w:rPr>
                <w:sz w:val="20"/>
                <w:szCs w:val="20"/>
                <w:color w:val="auto"/>
              </w:rPr>
            </w:pPr>
            <w:r>
              <w:rPr>
                <w:rFonts w:ascii="Arial" w:cs="Arial" w:eastAsia="Arial" w:hAnsi="Arial"/>
                <w:sz w:val="18"/>
                <w:szCs w:val="18"/>
                <w:color w:val="auto"/>
                <w:w w:val="88"/>
              </w:rPr>
              <w:t>6.55% per annum, accruing from June 18, 2009 (calculated on the basis of a 360-day year consisting of twelve 30-day</w:t>
            </w:r>
          </w:p>
        </w:tc>
      </w:tr>
      <w:tr>
        <w:trPr>
          <w:trHeight w:val="222"/>
        </w:trPr>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months)</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940" w:type="dxa"/>
            <w:vAlign w:val="bottom"/>
          </w:tcPr>
          <w:p>
            <w:pPr>
              <w:ind w:left="640"/>
              <w:spacing w:after="0"/>
              <w:rPr>
                <w:sz w:val="20"/>
                <w:szCs w:val="20"/>
                <w:color w:val="auto"/>
              </w:rPr>
            </w:pPr>
            <w:r>
              <w:rPr>
                <w:rFonts w:ascii="Arial" w:cs="Arial" w:eastAsia="Arial" w:hAnsi="Arial"/>
                <w:sz w:val="18"/>
                <w:szCs w:val="18"/>
                <w:color w:val="auto"/>
              </w:rPr>
              <w:t>January 1 and July 1 commencing January 1, 2010</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8940" w:type="dxa"/>
            <w:vAlign w:val="bottom"/>
          </w:tcPr>
          <w:p>
            <w:pPr>
              <w:ind w:left="640"/>
              <w:spacing w:after="0"/>
              <w:rPr>
                <w:sz w:val="20"/>
                <w:szCs w:val="20"/>
                <w:color w:val="auto"/>
              </w:rPr>
            </w:pPr>
            <w:r>
              <w:rPr>
                <w:rFonts w:ascii="Arial" w:cs="Arial" w:eastAsia="Arial" w:hAnsi="Arial"/>
                <w:sz w:val="18"/>
                <w:szCs w:val="18"/>
                <w:color w:val="auto"/>
              </w:rPr>
              <w:t>UST 3.50% due February 2039</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8940" w:type="dxa"/>
            <w:vAlign w:val="bottom"/>
          </w:tcPr>
          <w:p>
            <w:pPr>
              <w:ind w:left="640"/>
              <w:spacing w:after="0"/>
              <w:rPr>
                <w:sz w:val="20"/>
                <w:szCs w:val="20"/>
                <w:color w:val="auto"/>
              </w:rPr>
            </w:pPr>
            <w:r>
              <w:rPr>
                <w:rFonts w:ascii="Arial" w:cs="Arial" w:eastAsia="Arial" w:hAnsi="Arial"/>
                <w:sz w:val="18"/>
                <w:szCs w:val="18"/>
                <w:color w:val="auto"/>
              </w:rPr>
              <w:t>82-14+ (4.588%)</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940" w:type="dxa"/>
            <w:vAlign w:val="bottom"/>
          </w:tcPr>
          <w:p>
            <w:pPr>
              <w:ind w:left="640"/>
              <w:spacing w:after="0"/>
              <w:rPr>
                <w:sz w:val="20"/>
                <w:szCs w:val="20"/>
                <w:color w:val="auto"/>
              </w:rPr>
            </w:pPr>
            <w:r>
              <w:rPr>
                <w:rFonts w:ascii="Arial" w:cs="Arial" w:eastAsia="Arial" w:hAnsi="Arial"/>
                <w:sz w:val="18"/>
                <w:szCs w:val="18"/>
                <w:color w:val="auto"/>
              </w:rPr>
              <w:t>+200 bps</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940" w:type="dxa"/>
            <w:vAlign w:val="bottom"/>
          </w:tcPr>
          <w:p>
            <w:pPr>
              <w:ind w:left="640"/>
              <w:spacing w:after="0"/>
              <w:rPr>
                <w:sz w:val="20"/>
                <w:szCs w:val="20"/>
                <w:color w:val="auto"/>
              </w:rPr>
            </w:pPr>
            <w:r>
              <w:rPr>
                <w:rFonts w:ascii="Arial" w:cs="Arial" w:eastAsia="Arial" w:hAnsi="Arial"/>
                <w:sz w:val="18"/>
                <w:szCs w:val="18"/>
                <w:color w:val="auto"/>
              </w:rPr>
              <w:t>6.588%</w:t>
            </w:r>
          </w:p>
        </w:tc>
      </w:tr>
      <w:tr>
        <w:trPr>
          <w:trHeight w:val="420"/>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Makewhole</w:t>
            </w:r>
          </w:p>
        </w:tc>
        <w:tc>
          <w:tcPr>
            <w:tcW w:w="8940" w:type="dxa"/>
            <w:vAlign w:val="bottom"/>
          </w:tcPr>
          <w:p>
            <w:pPr>
              <w:ind w:left="640"/>
              <w:spacing w:after="0"/>
              <w:rPr>
                <w:sz w:val="20"/>
                <w:szCs w:val="20"/>
                <w:color w:val="auto"/>
              </w:rPr>
            </w:pPr>
            <w:r>
              <w:rPr>
                <w:rFonts w:ascii="Arial" w:cs="Arial" w:eastAsia="Arial" w:hAnsi="Arial"/>
                <w:sz w:val="18"/>
                <w:szCs w:val="18"/>
                <w:color w:val="auto"/>
                <w:w w:val="95"/>
              </w:rPr>
              <w:t>The 6.55% Notes due 2039 are redeemable at the option of the Company at any time, in whole or in part, at a</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Redemption:</w:t>
            </w:r>
          </w:p>
        </w:tc>
        <w:tc>
          <w:tcPr>
            <w:tcW w:w="8940" w:type="dxa"/>
            <w:vAlign w:val="bottom"/>
          </w:tcPr>
          <w:p>
            <w:pPr>
              <w:ind w:left="640"/>
              <w:spacing w:after="0"/>
              <w:rPr>
                <w:sz w:val="20"/>
                <w:szCs w:val="20"/>
                <w:color w:val="auto"/>
              </w:rPr>
            </w:pPr>
            <w:r>
              <w:rPr>
                <w:rFonts w:ascii="Arial" w:cs="Arial" w:eastAsia="Arial" w:hAnsi="Arial"/>
                <w:sz w:val="18"/>
                <w:szCs w:val="18"/>
                <w:color w:val="auto"/>
                <w:w w:val="88"/>
              </w:rPr>
              <w:t>redemption price equal to the greater of (i) 100% of the principal amount of such notes and (ii) the sum of the present</w:t>
            </w:r>
          </w:p>
        </w:tc>
      </w:tr>
      <w:tr>
        <w:trPr>
          <w:trHeight w:val="216"/>
        </w:trPr>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w w:val="95"/>
              </w:rPr>
              <w:t>values of remaining scheduled payments of principal and interest (exclusive of interest accrued to the date of</w:t>
            </w:r>
          </w:p>
        </w:tc>
      </w:tr>
      <w:tr>
        <w:trPr>
          <w:trHeight w:val="216"/>
        </w:trPr>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w w:val="87"/>
              </w:rPr>
              <w:t>redemption) discounted to the redemption date on a semiannual basis at the Treasury Rate plus 35 basis points, plus in</w:t>
            </w:r>
          </w:p>
        </w:tc>
      </w:tr>
      <w:tr>
        <w:trPr>
          <w:trHeight w:val="222"/>
        </w:trPr>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each case accrued interest thereon to the date of redemption.</w:t>
            </w:r>
          </w:p>
        </w:tc>
      </w:tr>
      <w:tr>
        <w:trPr>
          <w:trHeight w:val="42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940" w:type="dxa"/>
            <w:vAlign w:val="bottom"/>
          </w:tcPr>
          <w:p>
            <w:pPr>
              <w:ind w:left="640"/>
              <w:spacing w:after="0"/>
              <w:rPr>
                <w:sz w:val="20"/>
                <w:szCs w:val="20"/>
                <w:color w:val="auto"/>
              </w:rPr>
            </w:pPr>
            <w:r>
              <w:rPr>
                <w:rFonts w:ascii="Arial" w:cs="Arial" w:eastAsia="Arial" w:hAnsi="Arial"/>
                <w:sz w:val="18"/>
                <w:szCs w:val="18"/>
                <w:color w:val="auto"/>
                <w:w w:val="94"/>
              </w:rPr>
              <w:t>An unlimited amount of additional 6.55% Notes due 2039 may be issued. The 6.55% Notes due 2039 and any</w:t>
            </w:r>
          </w:p>
        </w:tc>
      </w:tr>
      <w:tr>
        <w:trPr>
          <w:trHeight w:val="216"/>
        </w:trPr>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w w:val="92"/>
              </w:rPr>
              <w:t>additional 6.55% Notes due 2039 that may be issued may be treated as a single series for all purposes under the</w:t>
            </w:r>
          </w:p>
        </w:tc>
      </w:tr>
      <w:tr>
        <w:trPr>
          <w:trHeight w:val="222"/>
        </w:trPr>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indenture.</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8940" w:type="dxa"/>
            <w:vAlign w:val="bottom"/>
          </w:tcPr>
          <w:p>
            <w:pPr>
              <w:ind w:left="640"/>
              <w:spacing w:after="0"/>
              <w:rPr>
                <w:sz w:val="20"/>
                <w:szCs w:val="20"/>
                <w:color w:val="auto"/>
              </w:rPr>
            </w:pPr>
            <w:r>
              <w:rPr>
                <w:rFonts w:ascii="Arial" w:cs="Arial" w:eastAsia="Arial" w:hAnsi="Arial"/>
                <w:sz w:val="18"/>
                <w:szCs w:val="18"/>
                <w:color w:val="auto"/>
              </w:rPr>
              <w:t>20030NAY7</w:t>
            </w:r>
          </w:p>
        </w:tc>
      </w:tr>
      <w:tr>
        <w:trPr>
          <w:trHeight w:val="44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940" w:type="dxa"/>
            <w:vAlign w:val="bottom"/>
          </w:tcPr>
          <w:p>
            <w:pPr>
              <w:ind w:left="640"/>
              <w:spacing w:after="0"/>
              <w:rPr>
                <w:sz w:val="20"/>
                <w:szCs w:val="20"/>
                <w:color w:val="auto"/>
              </w:rPr>
            </w:pPr>
            <w:r>
              <w:rPr>
                <w:rFonts w:ascii="Arial" w:cs="Arial" w:eastAsia="Arial" w:hAnsi="Arial"/>
                <w:sz w:val="18"/>
                <w:szCs w:val="18"/>
                <w:color w:val="auto"/>
              </w:rPr>
              <w:t>99.502% plus accrued interest, if any, from June 18, 2009</w:t>
            </w: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Gross Spread:</w:t>
            </w:r>
          </w:p>
        </w:tc>
        <w:tc>
          <w:tcPr>
            <w:tcW w:w="8940" w:type="dxa"/>
            <w:vAlign w:val="bottom"/>
          </w:tcPr>
          <w:p>
            <w:pPr>
              <w:ind w:left="640"/>
              <w:spacing w:after="0"/>
              <w:rPr>
                <w:sz w:val="20"/>
                <w:szCs w:val="20"/>
                <w:color w:val="auto"/>
              </w:rPr>
            </w:pPr>
            <w:r>
              <w:rPr>
                <w:rFonts w:ascii="Arial" w:cs="Arial" w:eastAsia="Arial" w:hAnsi="Arial"/>
                <w:sz w:val="18"/>
                <w:szCs w:val="18"/>
                <w:color w:val="auto"/>
              </w:rPr>
              <w:t>0.875%</w:t>
            </w:r>
          </w:p>
        </w:tc>
      </w:tr>
      <w:tr>
        <w:trPr>
          <w:trHeight w:val="420"/>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Net proceeds to</w:t>
            </w:r>
          </w:p>
        </w:tc>
        <w:tc>
          <w:tcPr>
            <w:tcW w:w="8940" w:type="dxa"/>
            <w:vAlign w:val="bottom"/>
          </w:tcPr>
          <w:p>
            <w:pPr>
              <w:ind w:left="640"/>
              <w:spacing w:after="0"/>
              <w:rPr>
                <w:sz w:val="20"/>
                <w:szCs w:val="20"/>
                <w:color w:val="auto"/>
              </w:rPr>
            </w:pPr>
            <w:r>
              <w:rPr>
                <w:rFonts w:ascii="Arial" w:cs="Arial" w:eastAsia="Arial" w:hAnsi="Arial"/>
                <w:sz w:val="18"/>
                <w:szCs w:val="18"/>
                <w:color w:val="auto"/>
              </w:rPr>
              <w:t>98.627% per $1,000 principal amount of Notes due 2039; $789,016,000 total</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Comcast, before</w:t>
            </w:r>
          </w:p>
        </w:tc>
        <w:tc>
          <w:tcPr>
            <w:tcW w:w="8940" w:type="dxa"/>
            <w:vAlign w:val="bottom"/>
          </w:tcPr>
          <w:p>
            <w:pPr>
              <w:spacing w:after="0"/>
              <w:rPr>
                <w:sz w:val="18"/>
                <w:szCs w:val="18"/>
                <w:color w:val="auto"/>
              </w:rPr>
            </w:pP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940" w:type="dxa"/>
            <w:vAlign w:val="bottom"/>
          </w:tcPr>
          <w:p>
            <w:pPr>
              <w:spacing w:after="0"/>
              <w:rPr>
                <w:sz w:val="19"/>
                <w:szCs w:val="19"/>
                <w:color w:val="auto"/>
              </w:rPr>
            </w:pPr>
          </w:p>
        </w:tc>
      </w:tr>
      <w:tr>
        <w:trPr>
          <w:trHeight w:val="378"/>
        </w:trPr>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40" w:type="dxa"/>
            <w:vAlign w:val="bottom"/>
          </w:tcPr>
          <w:p>
            <w:pPr>
              <w:ind w:left="3220"/>
              <w:spacing w:after="0"/>
              <w:rPr>
                <w:sz w:val="20"/>
                <w:szCs w:val="20"/>
                <w:color w:val="auto"/>
              </w:rPr>
            </w:pPr>
            <w:r>
              <w:rPr>
                <w:rFonts w:ascii="Arial" w:cs="Arial" w:eastAsia="Arial" w:hAnsi="Arial"/>
                <w:sz w:val="18"/>
                <w:szCs w:val="18"/>
                <w:color w:val="auto"/>
              </w:rPr>
              <w:t>4</w:t>
            </w:r>
          </w:p>
        </w:tc>
      </w:tr>
    </w:tbl>
    <w:p>
      <w:pPr>
        <w:ind w:left="3220"/>
        <w:spacing w:after="0"/>
        <w:rPr>
          <w:sz w:val="20"/>
          <w:szCs w:val="20"/>
          <w:color w:val="auto"/>
        </w:rPr>
        <w:sectPr>
          <w:pgSz w:w="11900" w:h="16838" w:orient="portrait"/>
          <w:cols w:equalWidth="0" w:num="1">
            <w:col w:w="11400"/>
          </w:cols>
          <w:pgMar w:left="240" w:top="257"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Banc of America Securities LLC toll-free at 800-294-1322, Barclays Capital Inc. toll-free at 888-603-5847, BNP Paribas Securities Corp. toll-free at 800-854-5674 or Wachovia Capital Markets, LLC toll-free at 800-326-5897.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2019-12-10T22:03:36Z</dcterms:created>
  <dcterms:modified xsi:type="dcterms:W3CDTF">2019-12-10T22:03:36Z</dcterms:modified>
</cp:coreProperties>
</file>