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40" w:type="dxa"/>
            <w:vAlign w:val="bottom"/>
            <w:tcBorders>
              <w:right w:val="single" w:sz="8" w:color="auto"/>
            </w:tcBorders>
            <w:vMerge w:val="continue"/>
          </w:tcPr>
          <w:p>
            <w:pPr>
              <w:spacing w:after="0"/>
              <w:rPr>
                <w:sz w:val="11"/>
                <w:szCs w:val="11"/>
                <w:color w:val="auto"/>
              </w:rPr>
            </w:pPr>
          </w:p>
        </w:tc>
        <w:tc>
          <w:tcPr>
            <w:tcW w:w="1600" w:type="dxa"/>
            <w:vAlign w:val="bottom"/>
            <w:tcBorders>
              <w:right w:val="single" w:sz="8" w:color="auto"/>
            </w:tcBorders>
          </w:tcPr>
          <w:p>
            <w:pPr>
              <w:jc w:val="center"/>
              <w:ind w:left="9"/>
              <w:spacing w:after="0" w:line="135" w:lineRule="exact"/>
              <w:rPr>
                <w:sz w:val="20"/>
                <w:szCs w:val="20"/>
                <w:color w:val="auto"/>
              </w:rPr>
            </w:pPr>
            <w:r>
              <w:rPr>
                <w:rFonts w:ascii="Arial" w:cs="Arial" w:eastAsia="Arial" w:hAnsi="Arial"/>
                <w:sz w:val="14"/>
                <w:szCs w:val="14"/>
                <w:b w:val="1"/>
                <w:bCs w:val="1"/>
                <w:color w:val="auto"/>
                <w:w w:val="87"/>
              </w:rPr>
              <w:t>Aggregate Offering</w:t>
            </w:r>
          </w:p>
        </w:tc>
        <w:tc>
          <w:tcPr>
            <w:tcW w:w="1560" w:type="dxa"/>
            <w:vAlign w:val="bottom"/>
          </w:tcPr>
          <w:p>
            <w:pPr>
              <w:jc w:val="center"/>
              <w:ind w:left="27"/>
              <w:spacing w:after="0" w:line="135"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560" w:type="dxa"/>
            <w:vAlign w:val="bottom"/>
            <w:tcBorders>
              <w:bottom w:val="single" w:sz="8" w:color="auto"/>
            </w:tcBorders>
          </w:tcPr>
          <w:p>
            <w:pPr>
              <w:jc w:val="center"/>
              <w:ind w:left="7"/>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4.05% Notes due 2046</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$1,430,000,000</w:t>
            </w:r>
          </w:p>
        </w:tc>
        <w:tc>
          <w:tcPr>
            <w:tcW w:w="1560" w:type="dxa"/>
            <w:vAlign w:val="bottom"/>
            <w:tcBorders>
              <w:bottom w:val="single" w:sz="8" w:color="auto"/>
            </w:tcBorders>
          </w:tcPr>
          <w:p>
            <w:pPr>
              <w:jc w:val="center"/>
              <w:ind w:left="7"/>
              <w:spacing w:after="0"/>
              <w:rPr>
                <w:sz w:val="20"/>
                <w:szCs w:val="20"/>
                <w:color w:val="auto"/>
              </w:rPr>
            </w:pPr>
            <w:r>
              <w:rPr>
                <w:rFonts w:ascii="Arial" w:cs="Arial" w:eastAsia="Arial" w:hAnsi="Arial"/>
                <w:sz w:val="18"/>
                <w:szCs w:val="18"/>
                <w:color w:val="auto"/>
                <w:w w:val="87"/>
              </w:rPr>
              <w:t>$144,001.00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(1)</w:t>
        <w:tab/>
        <w:t>Calculated in accordance with Rule 457(r) of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Filed Pursuant to Rule 424(b)(2)</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333-191239</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PROSPECTUS SUPPLEMENT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(To prospectus dated November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73660</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$1,430,000,000 4.05%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We are offering U.S. $1,430,000,000 of 4.05% notes due 2046 (the “notes”). The notes will bear interest at a rate of 4.05% per year and will mature on August 1, 2046 unless earlier redeemed.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will pay interest on the notes on February 1 and August 1 of each year, beginning on August 1, 2016 (short first coupon).</w:t>
      </w:r>
    </w:p>
    <w:p>
      <w:pPr>
        <w:spacing w:after="0" w:line="84" w:lineRule="exact"/>
        <w:rPr>
          <w:sz w:val="20"/>
          <w:szCs w:val="20"/>
          <w:color w:val="auto"/>
        </w:rPr>
      </w:pPr>
    </w:p>
    <w:p>
      <w:pPr>
        <w:ind w:right="20" w:firstLine="342"/>
        <w:spacing w:after="0" w:line="264" w:lineRule="auto"/>
        <w:rPr>
          <w:sz w:val="20"/>
          <w:szCs w:val="20"/>
          <w:color w:val="auto"/>
        </w:rPr>
      </w:pPr>
      <w:r>
        <w:rPr>
          <w:rFonts w:ascii="Arial" w:cs="Arial" w:eastAsia="Arial" w:hAnsi="Arial"/>
          <w:sz w:val="13"/>
          <w:szCs w:val="13"/>
          <w:color w:val="auto"/>
        </w:rPr>
        <w:t>We may redeem the notes, in whole but not in part, on each August 1 on or after August 1, 2019 at a redemption price equal to 100% of the principal amount of the notes being redeemed plus accrued and unpaid interest to, but not including, the redemption date. See “Description of Notes—Optional Redemption” on page S-9 of this prospectus supplement. In addition, we may redeem the notes, in whole but not in part, at any time at our option, in the event of certain developments affecting United States taxation. See “Description of Notes—Redemption for Tax Reasons.”</w:t>
      </w:r>
    </w:p>
    <w:p>
      <w:pPr>
        <w:spacing w:after="0" w:line="60" w:lineRule="exact"/>
        <w:rPr>
          <w:sz w:val="20"/>
          <w:szCs w:val="20"/>
          <w:color w:val="auto"/>
        </w:rPr>
      </w:pPr>
    </w:p>
    <w:p>
      <w:pPr>
        <w:ind w:right="220" w:firstLine="342"/>
        <w:spacing w:after="0" w:line="253" w:lineRule="auto"/>
        <w:rPr>
          <w:sz w:val="20"/>
          <w:szCs w:val="20"/>
          <w:color w:val="auto"/>
        </w:rPr>
      </w:pPr>
      <w:r>
        <w:rPr>
          <w:rFonts w:ascii="Arial" w:cs="Arial" w:eastAsia="Arial" w:hAnsi="Arial"/>
          <w:sz w:val="14"/>
          <w:szCs w:val="14"/>
          <w:color w:val="auto"/>
        </w:rPr>
        <w:t>The notes will be unsecured and will rank equally with all of our and the guarantors’ unsecured and unsubordinated indebtedness. The notes will be fully and unconditionally guaranteed by our wholly-owned subsidiaries named in this prospectus supplement and in the accompanying prospectus.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is no sinking fund for the notes. The notes will be issued in minimum denominations of U.S. $100,000 and multiples of U.S.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9" w:lineRule="exact"/>
        <w:rPr>
          <w:sz w:val="20"/>
          <w:szCs w:val="20"/>
          <w:color w:val="auto"/>
        </w:rPr>
      </w:pPr>
    </w:p>
    <w:p>
      <w:pPr>
        <w:jc w:val="both"/>
        <w:ind w:right="300" w:firstLine="45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these securities involves certain risks. See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S-5 of this prospectus supplement and “Item 1A— Risk Factors” beginning on page 25 of Comcast Corporation’s (“Comcast”) Annual Report on Form 10-K for the year ended December 31, 2015, which is incorporated by reference herein.</w:t>
      </w:r>
    </w:p>
    <w:p>
      <w:pPr>
        <w:spacing w:after="0" w:line="68" w:lineRule="exact"/>
        <w:rPr>
          <w:sz w:val="20"/>
          <w:szCs w:val="20"/>
          <w:color w:val="auto"/>
        </w:rPr>
      </w:pPr>
    </w:p>
    <w:p>
      <w:pPr>
        <w:ind w:right="60" w:firstLine="342"/>
        <w:spacing w:after="0" w:line="229" w:lineRule="auto"/>
        <w:rPr>
          <w:sz w:val="20"/>
          <w:szCs w:val="20"/>
          <w:color w:val="auto"/>
        </w:rPr>
      </w:pPr>
      <w:r>
        <w:rPr>
          <w:rFonts w:ascii="Arial" w:cs="Arial" w:eastAsia="Arial" w:hAnsi="Arial"/>
          <w:sz w:val="14"/>
          <w:szCs w:val="14"/>
          <w:color w:val="auto"/>
        </w:rPr>
        <w:t>Application will be made to the Taipei Exchange (the “TPEx”) for the listing of, and permission to deal in, the notes by way of debt issues only to “professional institutional investors” as defined under Paragraph 2 of Article 4 of the Financial Consumer Protection Act of the Republic of China (the “ROC”), and such permission is expected to become effective on or about May 26, 2016. The TPEx is not responsible for the content of this prospectus supplement or the accompanying prospectus, and no representation is made by the TPEx as to the accuracy or completeness of this prospectus supplement or the accompanying prospectus. The TPEx expressly disclaims any and all liability for any losses arising from, or as a result of the reliance on, all or part of the contents of this prospectus supplement or the accompanying prospectus. Admission to the listing and trading of the notes on the TPEx shall not be taken as an indication of the merits of us or the notes. No assurance can be given that such application will be approved, or that the TPEx listing will be maintained.</w:t>
      </w:r>
    </w:p>
    <w:p>
      <w:pPr>
        <w:spacing w:after="0" w:line="78" w:lineRule="exact"/>
        <w:rPr>
          <w:sz w:val="20"/>
          <w:szCs w:val="20"/>
          <w:color w:val="auto"/>
        </w:rPr>
      </w:pPr>
    </w:p>
    <w:p>
      <w:pPr>
        <w:ind w:right="40" w:firstLine="342"/>
        <w:spacing w:after="0" w:line="228" w:lineRule="auto"/>
        <w:rPr>
          <w:sz w:val="20"/>
          <w:szCs w:val="20"/>
          <w:color w:val="auto"/>
        </w:rPr>
      </w:pPr>
      <w:r>
        <w:rPr>
          <w:rFonts w:ascii="Arial" w:cs="Arial" w:eastAsia="Arial" w:hAnsi="Arial"/>
          <w:sz w:val="14"/>
          <w:szCs w:val="14"/>
          <w:color w:val="auto"/>
        </w:rPr>
        <w:t>The notes have not been, and shall not be, offered, sold or re-sold, directly or indirectly, to investors other than “professional institutional investors” as defined under Paragraph 2 of Article 4 of the Financial Consumer Protection Act, which currently include: overseas or domestic (i) banks, securities firms, futures firms and insurance companies (excluding insurance agencies, insurance brokers and insurance notaries), the foregoing as further defined in more details in Paragraph 3 of Article 2 of the Organization Act of the Financial Supervisory Commission, (ii) fund management companies, government investment institutions, government funds, pension funds, mutual funds, unit trusts, and funds managed by financial service enterprises pursuant to the Securities Investment Trust and Consulting Act, the Future Trading Act or the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Price to Investors</w:t>
            </w:r>
          </w:p>
        </w:tc>
        <w:tc>
          <w:tcPr>
            <w:tcW w:w="760" w:type="dxa"/>
            <w:vAlign w:val="bottom"/>
            <w:vMerge w:val="restart"/>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Selling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Proceeds to Us</w:t>
            </w:r>
          </w:p>
        </w:tc>
        <w:tc>
          <w:tcPr>
            <w:tcW w:w="0" w:type="dxa"/>
            <w:vAlign w:val="bottom"/>
          </w:tcPr>
          <w:p>
            <w:pPr>
              <w:spacing w:after="0"/>
              <w:rPr>
                <w:sz w:val="1"/>
                <w:szCs w:val="1"/>
                <w:color w:val="auto"/>
              </w:rPr>
            </w:pPr>
          </w:p>
        </w:tc>
      </w:tr>
      <w:tr>
        <w:trPr>
          <w:trHeight w:val="171"/>
        </w:trPr>
        <w:tc>
          <w:tcPr>
            <w:tcW w:w="4980" w:type="dxa"/>
            <w:vAlign w:val="bottom"/>
            <w:vMerge w:val="restart"/>
          </w:tcPr>
          <w:p>
            <w:pPr>
              <w:spacing w:after="0"/>
              <w:rPr>
                <w:sz w:val="20"/>
                <w:szCs w:val="20"/>
                <w:color w:val="auto"/>
              </w:rPr>
            </w:pPr>
            <w:r>
              <w:rPr>
                <w:rFonts w:ascii="Arial" w:cs="Arial" w:eastAsia="Arial" w:hAnsi="Arial"/>
                <w:sz w:val="14"/>
                <w:szCs w:val="14"/>
                <w:color w:val="auto"/>
              </w:rPr>
              <w:t>Per note due 2046</w:t>
            </w:r>
            <w:r>
              <w:rPr>
                <w:rFonts w:ascii="Arial" w:cs="Arial" w:eastAsia="Arial" w:hAnsi="Arial"/>
                <w:sz w:val="12"/>
                <w:szCs w:val="12"/>
                <w:color w:val="auto"/>
              </w:rPr>
              <w:t>(1)</w:t>
            </w:r>
          </w:p>
        </w:tc>
        <w:tc>
          <w:tcPr>
            <w:tcW w:w="108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Discount</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Before Expenses</w:t>
            </w:r>
            <w:r>
              <w:rPr>
                <w:rFonts w:ascii="Arial" w:cs="Arial" w:eastAsia="Arial" w:hAnsi="Arial"/>
                <w:sz w:val="12"/>
                <w:szCs w:val="12"/>
                <w:b w:val="1"/>
                <w:bCs w:val="1"/>
                <w:color w:val="auto"/>
                <w:w w:val="88"/>
              </w:rPr>
              <w:t>(2)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980" w:type="dxa"/>
            <w:vAlign w:val="bottom"/>
            <w:vMerge w:val="continue"/>
          </w:tcPr>
          <w:p>
            <w:pPr>
              <w:spacing w:after="0"/>
              <w:rPr>
                <w:sz w:val="10"/>
                <w:szCs w:val="10"/>
                <w:color w:val="auto"/>
              </w:rPr>
            </w:pPr>
          </w:p>
        </w:tc>
        <w:tc>
          <w:tcPr>
            <w:tcW w:w="1840" w:type="dxa"/>
            <w:vAlign w:val="bottom"/>
            <w:gridSpan w:val="2"/>
          </w:tcPr>
          <w:p>
            <w:pPr>
              <w:jc w:val="right"/>
              <w:ind w:right="640"/>
              <w:spacing w:after="0" w:line="123" w:lineRule="exact"/>
              <w:rPr>
                <w:sz w:val="20"/>
                <w:szCs w:val="20"/>
                <w:color w:val="auto"/>
              </w:rPr>
            </w:pPr>
            <w:r>
              <w:rPr>
                <w:rFonts w:ascii="Arial" w:cs="Arial" w:eastAsia="Arial" w:hAnsi="Arial"/>
                <w:sz w:val="14"/>
                <w:szCs w:val="14"/>
                <w:color w:val="auto"/>
              </w:rPr>
              <w:t>100.000%</w:t>
            </w:r>
          </w:p>
        </w:tc>
        <w:tc>
          <w:tcPr>
            <w:tcW w:w="1120" w:type="dxa"/>
            <w:vAlign w:val="bottom"/>
            <w:gridSpan w:val="2"/>
          </w:tcPr>
          <w:p>
            <w:pPr>
              <w:jc w:val="right"/>
              <w:ind w:right="340"/>
              <w:spacing w:after="0" w:line="123" w:lineRule="exact"/>
              <w:rPr>
                <w:sz w:val="20"/>
                <w:szCs w:val="20"/>
                <w:color w:val="auto"/>
              </w:rPr>
            </w:pPr>
            <w:r>
              <w:rPr>
                <w:rFonts w:ascii="Arial" w:cs="Arial" w:eastAsia="Arial" w:hAnsi="Arial"/>
                <w:sz w:val="14"/>
                <w:szCs w:val="14"/>
                <w:color w:val="auto"/>
              </w:rPr>
              <w:t>0.100%</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99.250%</w:t>
            </w:r>
          </w:p>
        </w:tc>
        <w:tc>
          <w:tcPr>
            <w:tcW w:w="0" w:type="dxa"/>
            <w:vAlign w:val="bottom"/>
          </w:tcPr>
          <w:p>
            <w:pPr>
              <w:spacing w:after="0"/>
              <w:rPr>
                <w:sz w:val="1"/>
                <w:szCs w:val="1"/>
                <w:color w:val="auto"/>
              </w:rPr>
            </w:pPr>
          </w:p>
        </w:tc>
      </w:tr>
      <w:tr>
        <w:trPr>
          <w:trHeight w:val="182"/>
        </w:trPr>
        <w:tc>
          <w:tcPr>
            <w:tcW w:w="4980" w:type="dxa"/>
            <w:vAlign w:val="bottom"/>
          </w:tcPr>
          <w:p>
            <w:pPr>
              <w:spacing w:after="0"/>
              <w:rPr>
                <w:sz w:val="20"/>
                <w:szCs w:val="20"/>
                <w:color w:val="auto"/>
              </w:rPr>
            </w:pPr>
            <w:r>
              <w:rPr>
                <w:rFonts w:ascii="Arial" w:cs="Arial" w:eastAsia="Arial" w:hAnsi="Arial"/>
                <w:sz w:val="14"/>
                <w:szCs w:val="14"/>
                <w:color w:val="auto"/>
              </w:rPr>
              <w:t>Total</w:t>
            </w:r>
          </w:p>
        </w:tc>
        <w:tc>
          <w:tcPr>
            <w:tcW w:w="1840" w:type="dxa"/>
            <w:vAlign w:val="bottom"/>
            <w:gridSpan w:val="2"/>
          </w:tcPr>
          <w:p>
            <w:pPr>
              <w:jc w:val="right"/>
              <w:ind w:right="760"/>
              <w:spacing w:after="0"/>
              <w:rPr>
                <w:sz w:val="20"/>
                <w:szCs w:val="20"/>
                <w:color w:val="auto"/>
              </w:rPr>
            </w:pPr>
            <w:r>
              <w:rPr>
                <w:rFonts w:ascii="Arial" w:cs="Arial" w:eastAsia="Arial" w:hAnsi="Arial"/>
                <w:sz w:val="14"/>
                <w:szCs w:val="14"/>
                <w:color w:val="auto"/>
                <w:w w:val="97"/>
              </w:rPr>
              <w:t>$   1,430,000,000</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w w:val="86"/>
              </w:rPr>
              <w:t>$ 1,430,000</w:t>
            </w: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1,419,275,000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if any, from May 26, 2016, if settlement occurs after that date.</w:t>
      </w:r>
    </w:p>
    <w:p>
      <w:pPr>
        <w:ind w:left="340" w:right="60" w:hanging="332"/>
        <w:spacing w:after="0" w:line="227"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net proceeds to us reflect the initial price to investors set forth above as reduced by (a) the selling discount set forth above and (b) an aggregate fee of $9,295,000 that we will pay to Morgan Stanley &amp; Co. LLC, Deutsche Bank AG, Taipei Branch, Mizuho Securities USA Inc. and TD Securities (USA) LLC (each a “structuring agent” and together, the “structuring agents”) in connection with structuring services that they provided in connection with the notes. Morgan Stanley &amp; Co. LLC and Deutsche Bank AG, Taipei Branch (only in its capacity as structuring agent and not as manager) have agreed to reimburse us for certain of our expenses. Each structuring agent, other than Deutsche Bank AG, Taipei Branch, is an entity not licensed in the ROC, has not offered or sold, and will not subscribe for or sell or underwrite, any notes offered hereby. See “Selling.”</w:t>
      </w:r>
    </w:p>
    <w:p>
      <w:pPr>
        <w:spacing w:after="0" w:line="73" w:lineRule="exact"/>
        <w:rPr>
          <w:sz w:val="20"/>
          <w:szCs w:val="20"/>
          <w:color w:val="auto"/>
        </w:rPr>
      </w:pPr>
    </w:p>
    <w:p>
      <w:pPr>
        <w:ind w:right="160" w:firstLine="342"/>
        <w:spacing w:after="0" w:line="25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2" w:lineRule="exact"/>
        <w:rPr>
          <w:sz w:val="20"/>
          <w:szCs w:val="20"/>
          <w:color w:val="auto"/>
        </w:rPr>
      </w:pPr>
    </w:p>
    <w:p>
      <w:pPr>
        <w:ind w:right="280" w:firstLine="342"/>
        <w:spacing w:after="0" w:line="291" w:lineRule="auto"/>
        <w:rPr>
          <w:sz w:val="20"/>
          <w:szCs w:val="20"/>
          <w:color w:val="auto"/>
        </w:rPr>
      </w:pPr>
      <w:r>
        <w:rPr>
          <w:rFonts w:ascii="Arial" w:cs="Arial" w:eastAsia="Arial" w:hAnsi="Arial"/>
          <w:sz w:val="13"/>
          <w:szCs w:val="13"/>
          <w:color w:val="auto"/>
        </w:rPr>
        <w:t>The manager expects to deliver the notes to investors in book-entry delivery only form through the facilities of Clearstream Banking, société anonyme (“Clearstream”) and Euroclear Bank S.A./N.V. as operator of the Euroclear System (“Euroclear”), on or about May 26, 2016, which is the ninth business day following the date of this prospectus supplement. See “Selling.”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116205</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Book-Running Manager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AG, Taipei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163195</wp:posOffset>
            </wp:positionV>
            <wp:extent cx="2032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date of this prospectus supplement is May 13, 2016.</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0" w:type="dxa"/>
            <w:vAlign w:val="bottom"/>
            <w:gridSpan w:val="5"/>
          </w:tcPr>
          <w:p>
            <w:pPr>
              <w:jc w:val="center"/>
              <w:ind w:right="400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0" w:type="dxa"/>
            <w:vAlign w:val="bottom"/>
            <w:gridSpan w:val="5"/>
          </w:tcPr>
          <w:p>
            <w:pPr>
              <w:jc w:val="center"/>
              <w:ind w:right="4000"/>
              <w:spacing w:after="0"/>
              <w:rPr>
                <w:sz w:val="20"/>
                <w:szCs w:val="20"/>
                <w:color w:val="auto"/>
              </w:rPr>
            </w:pPr>
            <w:r>
              <w:rPr>
                <w:rFonts w:ascii="Arial" w:cs="Arial" w:eastAsia="Arial" w:hAnsi="Arial"/>
                <w:sz w:val="18"/>
                <w:szCs w:val="18"/>
                <w:b w:val="1"/>
                <w:bCs w:val="1"/>
                <w:color w:val="auto"/>
                <w:w w:val="87"/>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80" w:type="dxa"/>
            <w:vAlign w:val="bottom"/>
            <w:gridSpan w:val="15"/>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Where You Can Find More Information</w:t>
              </w:r>
            </w:hyperlink>
          </w:p>
        </w:tc>
        <w:tc>
          <w:tcPr>
            <w:tcW w:w="8040" w:type="dxa"/>
            <w:vAlign w:val="bottom"/>
            <w:gridSpan w:val="8"/>
            <w:vMerge w:val="restart"/>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0000EE"/>
            </w:tcBorders>
            <w:gridSpan w:val="15"/>
            <w:vMerge w:val="continue"/>
          </w:tcPr>
          <w:p>
            <w:pPr>
              <w:spacing w:after="0"/>
              <w:rPr>
                <w:sz w:val="13"/>
                <w:szCs w:val="13"/>
                <w:color w:val="auto"/>
              </w:rPr>
            </w:pPr>
          </w:p>
        </w:tc>
        <w:tc>
          <w:tcPr>
            <w:tcW w:w="8040" w:type="dxa"/>
            <w:vAlign w:val="bottom"/>
            <w:gridSpan w:val="8"/>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Information Incorporated by Reference</w:t>
              </w:r>
            </w:hyperlink>
          </w:p>
        </w:tc>
        <w:tc>
          <w:tcPr>
            <w:tcW w:w="8080" w:type="dxa"/>
            <w:vAlign w:val="bottom"/>
            <w:gridSpan w:val="9"/>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848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1000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974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Ratios of Earnings to Fixed Charges and of Earnings to Combined Fixed Charges and Preferred</w:t>
              </w:r>
            </w:hyperlink>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Dividends</w:t>
              </w:r>
            </w:hyperlink>
          </w:p>
        </w:tc>
        <w:tc>
          <w:tcPr>
            <w:tcW w:w="404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Notes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Material U.S. Federal Income Tax Consequences for Non-U.S. Holders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ROC Taxation</w:t>
              </w:r>
            </w:hyperlink>
          </w:p>
        </w:tc>
        <w:tc>
          <w:tcPr>
            <w:tcW w:w="4080" w:type="dxa"/>
            <w:vAlign w:val="bottom"/>
            <w:tcBorders>
              <w:top w:val="single" w:sz="8" w:color="0000EE"/>
            </w:tcBorders>
            <w:gridSpan w:val="13"/>
          </w:tcPr>
          <w:p>
            <w:pPr>
              <w:spacing w:after="0"/>
              <w:rPr>
                <w:sz w:val="17"/>
                <w:szCs w:val="17"/>
                <w:color w:val="auto"/>
              </w:rPr>
            </w:pPr>
          </w:p>
        </w:tc>
        <w:tc>
          <w:tcPr>
            <w:tcW w:w="578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Selling</w:t>
              </w:r>
            </w:hyperlink>
          </w:p>
        </w:tc>
        <w:tc>
          <w:tcPr>
            <w:tcW w:w="10400" w:type="dxa"/>
            <w:vAlign w:val="bottom"/>
            <w:gridSpan w:val="2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Legal Matters</w:t>
              </w:r>
            </w:hyperlink>
          </w:p>
        </w:tc>
        <w:tc>
          <w:tcPr>
            <w:tcW w:w="9900" w:type="dxa"/>
            <w:vAlign w:val="bottom"/>
            <w:gridSpan w:val="1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S-25</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80" w:type="dxa"/>
            <w:vAlign w:val="bottom"/>
            <w:gridSpan w:val="4"/>
          </w:tcPr>
          <w:p>
            <w:pPr>
              <w:jc w:val="center"/>
              <w:ind w:right="4620"/>
              <w:spacing w:after="0"/>
              <w:rPr>
                <w:sz w:val="20"/>
                <w:szCs w:val="20"/>
                <w:color w:val="auto"/>
              </w:rPr>
            </w:pPr>
            <w:r>
              <w:rPr>
                <w:rFonts w:ascii="Arial" w:cs="Arial" w:eastAsia="Arial" w:hAnsi="Arial"/>
                <w:sz w:val="18"/>
                <w:szCs w:val="18"/>
                <w:b w:val="1"/>
                <w:bCs w:val="1"/>
                <w:color w:val="auto"/>
                <w:w w:val="85"/>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92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The Companies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Caution Concerning Forward-Looking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Use of Proceeds</w:t>
              </w:r>
            </w:hyperlink>
          </w:p>
        </w:tc>
        <w:tc>
          <w:tcPr>
            <w:tcW w:w="2440" w:type="dxa"/>
            <w:vAlign w:val="bottom"/>
            <w:tcBorders>
              <w:top w:val="single" w:sz="8" w:color="0000EE"/>
            </w:tcBorders>
            <w:gridSpan w:val="9"/>
          </w:tcPr>
          <w:p>
            <w:pPr>
              <w:spacing w:after="0"/>
              <w:rPr>
                <w:sz w:val="17"/>
                <w:szCs w:val="17"/>
                <w:color w:val="auto"/>
              </w:rPr>
            </w:pPr>
          </w:p>
        </w:tc>
        <w:tc>
          <w:tcPr>
            <w:tcW w:w="730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Dividend Policy</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Ratios of Earnings to Fixed Charges and of Earnings to Combined Fixed Charges and Preferred Dividends</w:t>
              </w:r>
            </w:hyperlink>
          </w:p>
        </w:tc>
        <w:tc>
          <w:tcPr>
            <w:tcW w:w="3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Description of Debt Securities and Guarantees</w:t>
              </w:r>
            </w:hyperlink>
          </w:p>
        </w:tc>
        <w:tc>
          <w:tcPr>
            <w:tcW w:w="75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Global Securities</w:t>
              </w:r>
            </w:hyperlink>
          </w:p>
        </w:tc>
        <w:tc>
          <w:tcPr>
            <w:tcW w:w="966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Capital Stock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Plan of Distribution</w:t>
              </w:r>
            </w:hyperlink>
          </w:p>
        </w:tc>
        <w:tc>
          <w:tcPr>
            <w:tcW w:w="560" w:type="dxa"/>
            <w:vAlign w:val="bottom"/>
            <w:tcBorders>
              <w:top w:val="single" w:sz="8" w:color="0000EE"/>
            </w:tcBorders>
            <w:gridSpan w:val="2"/>
          </w:tcPr>
          <w:p>
            <w:pPr>
              <w:spacing w:after="0"/>
              <w:rPr>
                <w:sz w:val="17"/>
                <w:szCs w:val="17"/>
                <w:color w:val="auto"/>
              </w:rPr>
            </w:pPr>
          </w:p>
        </w:tc>
        <w:tc>
          <w:tcPr>
            <w:tcW w:w="88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Legal Matters</w:t>
              </w:r>
            </w:hyperlink>
          </w:p>
        </w:tc>
        <w:tc>
          <w:tcPr>
            <w:tcW w:w="990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Experts</w:t>
              </w:r>
            </w:hyperlink>
          </w:p>
        </w:tc>
        <w:tc>
          <w:tcPr>
            <w:tcW w:w="1036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Available Information</w:t>
              </w:r>
            </w:hyperlink>
          </w:p>
        </w:tc>
        <w:tc>
          <w:tcPr>
            <w:tcW w:w="932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Incorporation of Certain Documents by Reference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not, and the manager has not, authorized anyone to provide you any information other than that contained or incorporated by reference in this prospectus supplement, the accompanying prospectus or in any free writing prospectus prepared by or on behalf of us or to which we have referred you. Neither we nor the manager take any responsibility for, or can provide any assurance as to the reliability of, any other information that others may give you. If information in this prospectus supplement is inconsistent with the accompanying prospectus, you should rely on this prospectus supplement. We are not, and the manager is not, making an offer of these securities in any jurisdiction where the offer or sale is not permitted. You should not assume that the information provided in this prospectus supplement, the accompanying prospectus or the documents incorporated by reference in this prospectus supplement and in the accompanying prospectus is accurate as of any date other than their respective dates. Our business, financial condition, results of operations and prospects may have changed since those dates.</w:t>
      </w:r>
    </w:p>
    <w:p>
      <w:pPr>
        <w:spacing w:after="0" w:line="179"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References herein to “U.S. $”, “$” and “dollars” are to the currency of the United States. The financial information presented in this prospectus supplement and the accompanying prospectus has been prepared in accordance with Generally Accepted Accounting Principles in the United States.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proxy statements and information statements and amendments to reports filed or furnished pursuant to the Securities Exchange Act of 1934, as amended (the “Exchange Act”), with the Securities and Exchange Commission (the “SEC”). You may read and copy any materials we file at the SEC’s Public Reference Room at 100 F Street, N.E., Washington, D.C. 20549. Please call the SEC at 1-888-SEC-0330 for further information about the Public Reference Room. The SEC also maintains an internet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periodic and current reports, proxy and information statements, and other information regarding registrants that file electronically with the SEC.</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supplement is part of a registration statement that we filed with the SEC, using a “shelf” registration process under the Securities Act of 1933, as amended (the “Securities Act”), relating to the securities to be offered. This prospectus supplement does not contain all of the information set forth in the registration statement, certain parts of which are omitted in accordance with the rules and regulations of the SEC. For further information with respect to Comcast and the notes offered by this prospectus supplement, reference is hereby made to the registration statement. The registration statement, including the exhibits thereto, may be inspected at the Public Reference Room maintained by the SEC at the address set forth above or may be obtained at the SEC’s website set forth above. Statements contained herein concerning any document filed as an exhibit are not necessarily complete, and, in each instance, reference is made to the copy of such document filed as an exhibit to the registration statement. Each such statement is qualified in its entirety by such reference.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7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and NBCUniversal’s combined Annual Report on Form 10-K for the year ended December 31, 2015, filed on February 5, 2016.</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and NBCUniversal’s combined Quarterly Reports on Form 10-Q for the quarter ended March 31, 2016, filed on April 27, 2016.</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Current Reports on Form 8-K and amendments thereto filed on February 17, 2016, February 23, 2016 and March 30, 2016.</w:t>
      </w:r>
    </w:p>
    <w:p>
      <w:pPr>
        <w:spacing w:after="0" w:line="142"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3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6538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200" w:right="240" w:firstLine="443"/>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83" w:lineRule="exact"/>
        <w:rPr>
          <w:sz w:val="20"/>
          <w:szCs w:val="20"/>
          <w:color w:val="auto"/>
        </w:rPr>
      </w:pPr>
    </w:p>
    <w:p>
      <w:pPr>
        <w:ind w:left="1060" w:right="240" w:hanging="431"/>
        <w:spacing w:after="0" w:line="26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 customers and sell advertising.</w:t>
      </w:r>
    </w:p>
    <w:p>
      <w:pPr>
        <w:spacing w:after="0" w:line="81" w:lineRule="exact"/>
        <w:rPr>
          <w:rFonts w:ascii="Arial" w:cs="Arial" w:eastAsia="Arial" w:hAnsi="Arial"/>
          <w:sz w:val="18"/>
          <w:szCs w:val="18"/>
          <w:color w:val="auto"/>
        </w:rPr>
      </w:pPr>
    </w:p>
    <w:p>
      <w:pPr>
        <w:ind w:left="1060" w:right="20" w:hanging="431"/>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studio production operations.</w:t>
      </w:r>
    </w:p>
    <w:p>
      <w:pPr>
        <w:spacing w:after="0" w:line="67" w:lineRule="exact"/>
        <w:rPr>
          <w:rFonts w:ascii="Arial" w:cs="Arial" w:eastAsia="Arial" w:hAnsi="Arial"/>
          <w:sz w:val="18"/>
          <w:szCs w:val="18"/>
          <w:color w:val="auto"/>
        </w:rPr>
      </w:pPr>
    </w:p>
    <w:p>
      <w:pPr>
        <w:ind w:left="1060" w:right="440" w:hanging="431"/>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studio production operations.</w:t>
      </w:r>
    </w:p>
    <w:p>
      <w:pPr>
        <w:spacing w:after="0" w:line="67" w:lineRule="exact"/>
        <w:rPr>
          <w:rFonts w:ascii="Arial" w:cs="Arial" w:eastAsia="Arial" w:hAnsi="Arial"/>
          <w:sz w:val="18"/>
          <w:szCs w:val="18"/>
          <w:color w:val="auto"/>
        </w:rPr>
      </w:pPr>
    </w:p>
    <w:p>
      <w:pPr>
        <w:ind w:left="1060" w:right="40" w:hanging="431"/>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67" w:lineRule="exact"/>
        <w:rPr>
          <w:rFonts w:ascii="Arial" w:cs="Arial" w:eastAsia="Arial" w:hAnsi="Arial"/>
          <w:sz w:val="18"/>
          <w:szCs w:val="18"/>
          <w:color w:val="auto"/>
        </w:rPr>
      </w:pPr>
    </w:p>
    <w:p>
      <w:pPr>
        <w:ind w:left="1060" w:right="700" w:hanging="431"/>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 In November 2015,</w:t>
      </w:r>
      <w:r>
        <w:rPr>
          <w:rFonts w:ascii="Arial" w:cs="Arial" w:eastAsia="Arial" w:hAnsi="Arial"/>
          <w:sz w:val="18"/>
          <w:szCs w:val="18"/>
          <w:b w:val="1"/>
          <w:bCs w:val="1"/>
          <w:color w:val="auto"/>
        </w:rPr>
        <w:t xml:space="preserve"> </w:t>
      </w:r>
      <w:r>
        <w:rPr>
          <w:rFonts w:ascii="Arial" w:cs="Arial" w:eastAsia="Arial" w:hAnsi="Arial"/>
          <w:sz w:val="18"/>
          <w:szCs w:val="18"/>
          <w:color w:val="auto"/>
        </w:rPr>
        <w:t>NBCUniversal acquired a 51% interest in the Universal Studios theme park located in Osaka, Japan.</w:t>
      </w:r>
    </w:p>
    <w:p>
      <w:pPr>
        <w:spacing w:after="0" w:line="166" w:lineRule="exact"/>
        <w:rPr>
          <w:sz w:val="20"/>
          <w:szCs w:val="20"/>
          <w:color w:val="auto"/>
        </w:rPr>
      </w:pPr>
    </w:p>
    <w:p>
      <w:pPr>
        <w:ind w:left="200" w:right="640" w:firstLine="443"/>
        <w:spacing w:after="0" w:line="277"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70"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During the three months ended March 31, 2016, our Cable Communications segment generated 65% of our consolidated revenue and 77% of our operating income before depreciation and amortization.</w:t>
      </w:r>
    </w:p>
    <w:p>
      <w:pPr>
        <w:spacing w:after="0" w:line="170" w:lineRule="exact"/>
        <w:rPr>
          <w:sz w:val="20"/>
          <w:szCs w:val="20"/>
          <w:color w:val="auto"/>
        </w:rPr>
      </w:pPr>
    </w:p>
    <w:p>
      <w:pPr>
        <w:ind w:left="200" w:right="520" w:firstLine="443"/>
        <w:spacing w:after="0" w:line="286" w:lineRule="auto"/>
        <w:rPr>
          <w:sz w:val="20"/>
          <w:szCs w:val="20"/>
          <w:color w:val="auto"/>
        </w:rPr>
      </w:pPr>
      <w:r>
        <w:rPr>
          <w:rFonts w:ascii="Arial" w:cs="Arial" w:eastAsia="Arial" w:hAnsi="Arial"/>
          <w:sz w:val="17"/>
          <w:szCs w:val="17"/>
          <w:color w:val="auto"/>
        </w:rPr>
        <w:t>On April 28, 2016, we entered into an agreement to acquire the outstanding stock of DreamWorks Animation SKG, Inc., a global family entertainment company, for $41 per share in cash or approximately $3.8 billion. The acquisition is expected to close by the end of 2016, subject to antitrust approvals in the U.S. and abroad, as well as the satisfaction of other customary closing conditions.</w:t>
      </w:r>
    </w:p>
    <w:p>
      <w:pPr>
        <w:spacing w:after="0" w:line="166" w:lineRule="exact"/>
        <w:rPr>
          <w:sz w:val="20"/>
          <w:szCs w:val="20"/>
          <w:color w:val="auto"/>
        </w:rPr>
      </w:pPr>
    </w:p>
    <w:p>
      <w:pPr>
        <w:ind w:left="200" w:right="240" w:firstLine="443"/>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200" w:right="200" w:hanging="3"/>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053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2053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480"/>
        <w:spacing w:after="0" w:line="264" w:lineRule="auto"/>
        <w:rPr>
          <w:sz w:val="20"/>
          <w:szCs w:val="20"/>
          <w:color w:val="auto"/>
        </w:rPr>
      </w:pPr>
      <w:r>
        <w:rPr>
          <w:rFonts w:ascii="Arial" w:cs="Arial" w:eastAsia="Arial" w:hAnsi="Arial"/>
          <w:sz w:val="18"/>
          <w:szCs w:val="18"/>
          <w:color w:val="auto"/>
        </w:rPr>
        <w:t>Communications”) and NBCUniversal. In this prospectus supplement, we refer to these guarantors as the guarantors and to these guarantees as the guarantees. Effective October 1, 2015, three former guarantors, Comcast Cable Holdings, LLC, Comcast MO of Delaware, LLC and Comcast MO Group, LLC, merged with and into Comcast Cable Communications.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06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237" w:lineRule="exact"/>
        <w:rPr>
          <w:sz w:val="20"/>
          <w:szCs w:val="20"/>
          <w:color w:val="auto"/>
        </w:rPr>
      </w:pPr>
    </w:p>
    <w:p>
      <w:pPr>
        <w:ind w:left="200" w:right="280" w:firstLine="443"/>
        <w:spacing w:after="0" w:line="277"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7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637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0" w:lineRule="exact"/>
        <w:rPr>
          <w:sz w:val="20"/>
          <w:szCs w:val="20"/>
          <w:color w:val="auto"/>
        </w:rPr>
      </w:pPr>
    </w:p>
    <w:p>
      <w:pPr>
        <w:sectPr>
          <w:pgSz w:w="11900" w:h="16838" w:orient="portrait"/>
          <w:cols w:equalWidth="0" w:num="2">
            <w:col w:w="3340" w:space="720"/>
            <w:col w:w="720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$1,430,000,000 aggregate principal amount of 4.05% Notes due 2046.</w:t>
      </w:r>
    </w:p>
    <w:p>
      <w:pPr>
        <w:spacing w:after="0" w:line="200" w:lineRule="exact"/>
        <w:rPr>
          <w:sz w:val="20"/>
          <w:szCs w:val="20"/>
          <w:color w:val="auto"/>
        </w:rPr>
      </w:pPr>
    </w:p>
    <w:p>
      <w:pPr>
        <w:sectPr>
          <w:pgSz w:w="11900" w:h="16838" w:orient="portrait"/>
          <w:cols w:equalWidth="0" w:num="2">
            <w:col w:w="3340" w:space="720"/>
            <w:col w:w="720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August 1, 2046.</w:t>
      </w:r>
    </w:p>
    <w:p>
      <w:pPr>
        <w:spacing w:after="0" w:line="211" w:lineRule="exact"/>
        <w:rPr>
          <w:sz w:val="20"/>
          <w:szCs w:val="20"/>
          <w:color w:val="auto"/>
        </w:rPr>
      </w:pPr>
    </w:p>
    <w:p>
      <w:pPr>
        <w:sectPr>
          <w:pgSz w:w="11900" w:h="16838" w:orient="portrait"/>
          <w:cols w:equalWidth="0" w:num="2">
            <w:col w:w="3340" w:space="720"/>
            <w:col w:w="7200"/>
          </w:cols>
          <w:pgMar w:left="240" w:top="459" w:right="39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notes will bear interest from May 26, 2016 at the rate of 4.05% per annum, payable semiannually in cash in arrears on February 1 and August 1, beginning on August 1, 2016 (short first coupon).</w:t>
      </w:r>
    </w:p>
    <w:p>
      <w:pPr>
        <w:spacing w:after="0" w:line="200" w:lineRule="exact"/>
        <w:rPr>
          <w:sz w:val="20"/>
          <w:szCs w:val="20"/>
          <w:color w:val="auto"/>
        </w:rPr>
      </w:pPr>
    </w:p>
    <w:p>
      <w:pPr>
        <w:sectPr>
          <w:pgSz w:w="11900" w:h="16838" w:orient="portrait"/>
          <w:cols w:equalWidth="0" w:num="2">
            <w:col w:w="3340" w:space="720"/>
            <w:col w:w="7200"/>
          </w:cols>
          <w:pgMar w:left="240" w:top="459" w:right="39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The notes will be unsecured and will rank equally with all of our and the guarantors’ unsecured and unsubordinated indebtedness.</w:t>
      </w:r>
    </w:p>
    <w:p>
      <w:pPr>
        <w:spacing w:after="0" w:line="197" w:lineRule="exact"/>
        <w:rPr>
          <w:sz w:val="20"/>
          <w:szCs w:val="20"/>
          <w:color w:val="auto"/>
        </w:rPr>
      </w:pPr>
    </w:p>
    <w:p>
      <w:pPr>
        <w:sectPr>
          <w:pgSz w:w="11900" w:h="16838" w:orient="portrait"/>
          <w:cols w:equalWidth="0" w:num="2">
            <w:col w:w="3340" w:space="720"/>
            <w:col w:w="720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Currency of Payments</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The notes will be denominated in U.S. dollars and we will pay principal, interest and any premium in U.S. dollars.</w:t>
      </w:r>
    </w:p>
    <w:p>
      <w:pPr>
        <w:spacing w:after="0" w:line="197" w:lineRule="exact"/>
        <w:rPr>
          <w:sz w:val="20"/>
          <w:szCs w:val="20"/>
          <w:color w:val="auto"/>
        </w:rPr>
      </w:pPr>
    </w:p>
    <w:p>
      <w:pPr>
        <w:sectPr>
          <w:pgSz w:w="11900" w:h="16838" w:orient="portrait"/>
          <w:cols w:equalWidth="0" w:num="2">
            <w:col w:w="3340" w:space="720"/>
            <w:col w:w="720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Additional Amounts</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Subject to certain exceptions and limitations set forth herein, we will pay additional amounts as may be necessary to ensure that every net payment on a note to a holder who is not a United States person, after deduction or withholding by us or our paying agent for or on account of any present or future tax, assessment or other governmental charge imposed upon or as a result of such payment by the United States or any political subdivision or taxing authority of the United States, will not be less than the amount provided in such note to be then due and payable. See “Description of Notes— Payment of Additional Amounts.”</w:t>
      </w:r>
    </w:p>
    <w:p>
      <w:pPr>
        <w:spacing w:after="0" w:line="200" w:lineRule="exact"/>
        <w:rPr>
          <w:sz w:val="20"/>
          <w:szCs w:val="20"/>
          <w:color w:val="auto"/>
        </w:rPr>
      </w:pPr>
    </w:p>
    <w:p>
      <w:pPr>
        <w:sectPr>
          <w:pgSz w:w="11900" w:h="16838" w:orient="portrait"/>
          <w:cols w:equalWidth="0" w:num="2">
            <w:col w:w="3340" w:space="720"/>
            <w:col w:w="7200"/>
          </w:cols>
          <w:pgMar w:left="240" w:top="459" w:right="39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Guarantors</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Arial" w:cs="Arial" w:eastAsia="Arial" w:hAnsi="Arial"/>
          <w:sz w:val="16"/>
          <w:szCs w:val="16"/>
          <w:color w:val="auto"/>
        </w:rPr>
        <w:t>Comcast Cable Communications and NBCUniversal.</w:t>
      </w:r>
    </w:p>
    <w:p>
      <w:pPr>
        <w:spacing w:after="0" w:line="200" w:lineRule="exact"/>
        <w:rPr>
          <w:sz w:val="20"/>
          <w:szCs w:val="20"/>
          <w:color w:val="auto"/>
        </w:rPr>
      </w:pPr>
    </w:p>
    <w:p>
      <w:pPr>
        <w:sectPr>
          <w:pgSz w:w="11900" w:h="16838" w:orient="portrait"/>
          <w:cols w:equalWidth="0" w:num="2">
            <w:col w:w="3340" w:space="720"/>
            <w:col w:w="720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Guarantees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guarantors will fully and unconditionally guarantee the notes, including the payment of principal, premium, if any, and interest. The guarantees will rank equally with all other general unsecured and unsubordinated obligations of the guarantors.</w:t>
      </w:r>
    </w:p>
    <w:p>
      <w:pPr>
        <w:spacing w:after="0" w:line="200" w:lineRule="exact"/>
        <w:rPr>
          <w:sz w:val="20"/>
          <w:szCs w:val="20"/>
          <w:color w:val="auto"/>
        </w:rPr>
      </w:pPr>
    </w:p>
    <w:p>
      <w:pPr>
        <w:sectPr>
          <w:pgSz w:w="11900" w:h="16838" w:orient="portrait"/>
          <w:cols w:equalWidth="0" w:num="2">
            <w:col w:w="3340" w:space="720"/>
            <w:col w:w="7200"/>
          </w:cols>
          <w:pgMar w:left="240" w:top="459" w:right="39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60"/>
        <w:spacing w:after="0" w:line="302" w:lineRule="auto"/>
        <w:rPr>
          <w:sz w:val="20"/>
          <w:szCs w:val="20"/>
          <w:color w:val="auto"/>
        </w:rPr>
      </w:pPr>
      <w:r>
        <w:rPr>
          <w:rFonts w:ascii="Arial" w:cs="Arial" w:eastAsia="Arial" w:hAnsi="Arial"/>
          <w:sz w:val="16"/>
          <w:szCs w:val="16"/>
          <w:color w:val="auto"/>
        </w:rPr>
        <w:t>We may, at our option, redeem the notes, in whole but not in part, on each August 1 on or after August 1, 2019. Any redemption described in this paragraph must be on not less than 30 nor more than 60 days’ notice and will be at a redemption price equal to 100% of the principal amount of the notes being redeemed plus accrued and unpaid interest to, but not including, the redemption date.</w:t>
      </w:r>
    </w:p>
    <w:p>
      <w:pPr>
        <w:spacing w:after="0" w:line="181" w:lineRule="exact"/>
        <w:rPr>
          <w:sz w:val="20"/>
          <w:szCs w:val="20"/>
          <w:color w:val="auto"/>
        </w:rPr>
      </w:pPr>
    </w:p>
    <w:p>
      <w:pPr>
        <w:sectPr>
          <w:pgSz w:w="11900" w:h="16838" w:orient="portrait"/>
          <w:cols w:equalWidth="0" w:num="2">
            <w:col w:w="3340" w:space="720"/>
            <w:col w:w="720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Redemption for Tax Reasons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7"/>
          <w:szCs w:val="17"/>
          <w:color w:val="auto"/>
        </w:rPr>
        <w:t>We may redeem the notes, in whole but not in part, in the event of certain changes in the tax laws of the United States (or any taxing authority in the United States). This redemption would be at 100% of the principal amount of the notes to be redeemed (plus any accrued interest and additional amounts then payable with respect to the notes to, but not including, the redemption date). See “Description of Notes—Redemption for Tax Reasons.”</w:t>
      </w:r>
    </w:p>
    <w:p>
      <w:pPr>
        <w:spacing w:after="0" w:line="200" w:lineRule="exact"/>
        <w:rPr>
          <w:sz w:val="20"/>
          <w:szCs w:val="20"/>
          <w:color w:val="auto"/>
        </w:rPr>
      </w:pPr>
    </w:p>
    <w:p>
      <w:pPr>
        <w:sectPr>
          <w:pgSz w:w="11900" w:h="16838" w:orient="portrait"/>
          <w:cols w:equalWidth="0" w:num="2">
            <w:col w:w="3340" w:space="720"/>
            <w:col w:w="7200"/>
          </w:cols>
          <w:pgMar w:left="240" w:top="459" w:right="39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260"/>
          </w:cols>
          <w:pgMar w:left="240" w:top="459" w:right="3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3" w:lineRule="exact"/>
        <w:rPr>
          <w:sz w:val="20"/>
          <w:szCs w:val="20"/>
          <w:color w:val="auto"/>
        </w:rPr>
      </w:pPr>
    </w:p>
    <w:p>
      <w:pPr>
        <w:ind w:left="200" w:right="240"/>
        <w:spacing w:after="0" w:line="261" w:lineRule="auto"/>
        <w:rPr>
          <w:sz w:val="20"/>
          <w:szCs w:val="20"/>
          <w:color w:val="auto"/>
        </w:rPr>
      </w:pPr>
      <w:r>
        <w:rPr>
          <w:rFonts w:ascii="Arial" w:cs="Arial" w:eastAsia="Arial" w:hAnsi="Arial"/>
          <w:sz w:val="18"/>
          <w:szCs w:val="18"/>
          <w:color w:val="auto"/>
        </w:rPr>
        <w:t>We intend to use the net proceeds from the offering, after deducting the selling discount, structuring fee and expenses, for working capital and general corporate purposes.</w:t>
      </w:r>
    </w:p>
    <w:p>
      <w:pPr>
        <w:sectPr>
          <w:pgSz w:w="11900" w:h="16838" w:orient="portrait"/>
          <w:cols w:equalWidth="0" w:num="1">
            <w:col w:w="11240"/>
          </w:cols>
          <w:pgMar w:left="240" w:top="459" w:right="419" w:bottom="1440" w:gutter="0" w:footer="0" w:header="0"/>
        </w:sect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Book-Entry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notes will be issued in book-entry form and will be represented by global notes deposited with, or on behalf of, a common depositary on behalf of Euroclear and Clearstream and registered in the name of the common depositary or its nominee. Beneficial interests in any of the notes will be shown on, and transfers will be effected only through, records maintained by Euroclear and Clearstream and their participants, and these beneficial interests may not be exchanged for certificated notes, except in limited circumstances. See “Description of Notes—Book-Entry System” in this prospectus supplement.</w:t>
      </w:r>
    </w:p>
    <w:p>
      <w:pPr>
        <w:spacing w:after="0" w:line="200"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ind w:right="80"/>
        <w:spacing w:after="0" w:line="270" w:lineRule="auto"/>
        <w:rPr>
          <w:sz w:val="20"/>
          <w:szCs w:val="20"/>
          <w:color w:val="auto"/>
        </w:rPr>
      </w:pPr>
      <w:r>
        <w:rPr>
          <w:rFonts w:ascii="Arial" w:cs="Arial" w:eastAsia="Arial" w:hAnsi="Arial"/>
          <w:sz w:val="17"/>
          <w:szCs w:val="17"/>
          <w:color w:val="auto"/>
        </w:rPr>
        <w:t>To the extent permitted by applicable authorities in the ROC and subject to the receipt of all necessary regulatory and listing approvals from such authorities, including but not limited to the TPEx and the Taiwan Securities Association (the “TSA”), we may from time to time, without notice to or the consent of the holders of notes, create and issue further notes ranking equally and ratably with such notes in all respects, or in all respects except for the payment of interest accruing prior to the issue date or except for the first payment of interest following the issue date of those further notes; provided, that if such additional notes are not fungible with the notes offered hereby for U.S. federal income tax purposes, such additional notes will have one or more separate ISIN numbers. Any further notes will have the same terms as to status, redemption or otherwise as the notes.</w:t>
      </w:r>
    </w:p>
    <w:p>
      <w:pPr>
        <w:spacing w:after="0" w:line="200"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Bank of New York Mellon.</w:t>
      </w:r>
    </w:p>
    <w:p>
      <w:pPr>
        <w:spacing w:after="0" w:line="200"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Markets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notes are offered for sale in those jurisdictions in the United States, Europe and Asia where it is legal to make such offers. See “Selling.”</w:t>
      </w:r>
    </w:p>
    <w:p>
      <w:pPr>
        <w:spacing w:after="0" w:line="197"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ind w:right="420"/>
        <w:spacing w:after="0" w:line="264" w:lineRule="auto"/>
        <w:rPr>
          <w:sz w:val="20"/>
          <w:szCs w:val="20"/>
          <w:color w:val="auto"/>
        </w:rPr>
      </w:pPr>
      <w:r>
        <w:rPr>
          <w:rFonts w:ascii="Arial" w:cs="Arial" w:eastAsia="Arial" w:hAnsi="Arial"/>
          <w:sz w:val="18"/>
          <w:szCs w:val="18"/>
          <w:color w:val="auto"/>
        </w:rPr>
        <w:t>Application will be made for the notes to be admitted to listing on the Taipei Exchange. No assurance can be given that such application will be approved, or that the TPEx listing will be maintained.</w:t>
      </w:r>
    </w:p>
    <w:p>
      <w:pPr>
        <w:spacing w:after="0" w:line="200"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You should consider carefully all the information set forth and incorporated by reference in this prospectus supplement and the accompanying prospectus and, in particular, you should evaluate the specific factors set forth under the heading “Risk Factors” beginning on page S-5 of this prospectus supplement and described under “Risk Factors” in our Annual Report on Form 10-K for the year ended December 31, 2015, as well as the other information contained or incorporated herein by reference, before investing in any of the notes offered hereby.</w:t>
      </w:r>
    </w:p>
    <w:p>
      <w:pPr>
        <w:spacing w:after="0" w:line="200"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ind w:right="720"/>
        <w:spacing w:after="0" w:line="277" w:lineRule="auto"/>
        <w:rPr>
          <w:sz w:val="20"/>
          <w:szCs w:val="20"/>
          <w:color w:val="auto"/>
        </w:rPr>
      </w:pPr>
      <w:r>
        <w:rPr>
          <w:rFonts w:ascii="Arial" w:cs="Arial" w:eastAsia="Arial" w:hAnsi="Arial"/>
          <w:sz w:val="18"/>
          <w:szCs w:val="18"/>
          <w:color w:val="auto"/>
        </w:rPr>
        <w:t>The indenture governing the notes is, and the notes will be, governed by, and construed in accordance with, the laws of the State of New York.</w:t>
      </w:r>
    </w:p>
    <w:p>
      <w:pPr>
        <w:spacing w:after="0" w:line="200" w:lineRule="exact"/>
        <w:rPr>
          <w:sz w:val="20"/>
          <w:szCs w:val="20"/>
          <w:color w:val="auto"/>
        </w:rPr>
      </w:pPr>
    </w:p>
    <w:p>
      <w:pPr>
        <w:sectPr>
          <w:pgSz w:w="11900" w:h="16838" w:orient="portrait"/>
          <w:cols w:equalWidth="0" w:num="2">
            <w:col w:w="3340" w:space="720"/>
            <w:col w:w="7180"/>
          </w:cols>
          <w:pgMar w:left="240" w:top="459" w:right="41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An investment in the notes involves certain risks. You should carefully consider the risk factors described under “Risk Factors” in our Annual Report on Form 10-K for the year ended December 31, 2015, as well as the other information included or incorporated by reference in this prospectus supplement and the accompanying prospectus, before making an investment decision. Additional risks and uncertainties not now known to us or that we now deem immaterial may also adversely affect our business or financial performance. Our business, financial condition, results of operations or cash flows could be materially adversely affected by any of these risks. The market or trading price of the notes could decline due to any of these risks or other factors, and you may lose all or part of your investment.</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to the risks relating to us described in our reports described above and any subsequent filings, the following are additional risks relating to an investment in the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trading markets for the notes may not develop.</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 public market exists for the notes. Application will be made for the listing of the notes on the TPEx. No assurances can be given as to whether the notes will be, or will remain, listed on the TPEx or whether a trading market for the notes will develop or as to the liquidity of any such trading market. If the notes fail to or cease to be listed on the TPEx, certain investors may not invest in, or continue to hold or invest in, the notes. If any of the notes are traded after their initial issue, they may trade at a discount or premium from their initial offering price, depending on prevailing interest rates, the market for similar securities and the market for the notes and other factors, including general economic conditions and our financial condition, performance and prospects. No assurance can be given as to the future price level of the notes after their initial issue. The notes may be sold to a limited number of investors, and liquidity of the notes may be adversely affected if a significant portion of the notes are bought by a limited number of investors.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 the clearing systems is subject to minimum denomination requirements.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terms of the notes provide that notes will be issued with a minimum denomination of $100,000 and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may adversely affect your return on the notes.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the right to redeem the notes, in whole but not in part, prior to maturity on each August 1 on or after August 1, 2019. We may also redeem the notes, in whole but not in part, prior to maturity if certain events occur involving U.S. taxation. The redemption price in each case will not include a premium. We may redeem the notes at times when prevailing interest rates may be relatively low. Accordingly, you may not be able to reinvest the amount received upon a redemption in a comparable security at an effective interest rate as high as that of the notes.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intend to use the net proceeds from the offering, after deducting the selling discount, structuring fee and expenses, for working capital and general corporate purposes.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Three Months</w:t>
            </w: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5"/>
        </w:trPr>
        <w:tc>
          <w:tcPr>
            <w:tcW w:w="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Ended March 31,</w:t>
            </w: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1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42"/>
        </w:trPr>
        <w:tc>
          <w:tcPr>
            <w:tcW w:w="40" w:type="dxa"/>
            <w:vAlign w:val="bottom"/>
          </w:tcPr>
          <w:p>
            <w:pPr>
              <w:spacing w:after="0"/>
              <w:rPr>
                <w:sz w:val="12"/>
                <w:szCs w:val="12"/>
                <w:color w:val="auto"/>
              </w:rPr>
            </w:pPr>
          </w:p>
        </w:tc>
        <w:tc>
          <w:tcPr>
            <w:tcW w:w="1360" w:type="dxa"/>
            <w:vAlign w:val="bottom"/>
          </w:tcPr>
          <w:p>
            <w:pPr>
              <w:jc w:val="right"/>
              <w:ind w:right="422"/>
              <w:spacing w:after="0" w:line="142" w:lineRule="exact"/>
              <w:rPr>
                <w:sz w:val="20"/>
                <w:szCs w:val="20"/>
                <w:color w:val="auto"/>
              </w:rPr>
            </w:pPr>
            <w:r>
              <w:rPr>
                <w:rFonts w:ascii="Arial" w:cs="Arial" w:eastAsia="Arial" w:hAnsi="Arial"/>
                <w:sz w:val="14"/>
                <w:szCs w:val="14"/>
                <w:b w:val="1"/>
                <w:bCs w:val="1"/>
                <w:color w:val="auto"/>
              </w:rPr>
              <w:t>2016</w:t>
            </w:r>
          </w:p>
        </w:tc>
        <w:tc>
          <w:tcPr>
            <w:tcW w:w="1040" w:type="dxa"/>
            <w:vAlign w:val="bottom"/>
            <w:gridSpan w:val="2"/>
          </w:tcPr>
          <w:p>
            <w:pPr>
              <w:spacing w:after="0"/>
              <w:rPr>
                <w:sz w:val="12"/>
                <w:szCs w:val="12"/>
                <w:color w:val="auto"/>
              </w:rPr>
            </w:pPr>
          </w:p>
        </w:tc>
        <w:tc>
          <w:tcPr>
            <w:tcW w:w="116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2"/>
                <w:szCs w:val="12"/>
                <w:color w:val="auto"/>
              </w:rPr>
            </w:pPr>
          </w:p>
        </w:tc>
        <w:tc>
          <w:tcPr>
            <w:tcW w:w="116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2014</w:t>
            </w:r>
          </w:p>
        </w:tc>
        <w:tc>
          <w:tcPr>
            <w:tcW w:w="162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12"/>
                <w:szCs w:val="12"/>
                <w:color w:val="auto"/>
              </w:rPr>
            </w:pPr>
          </w:p>
        </w:tc>
        <w:tc>
          <w:tcPr>
            <w:tcW w:w="116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2"/>
                <w:szCs w:val="12"/>
                <w:color w:val="auto"/>
              </w:rPr>
            </w:pPr>
          </w:p>
        </w:tc>
        <w:tc>
          <w:tcPr>
            <w:tcW w:w="114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2011</w:t>
            </w:r>
          </w:p>
        </w:tc>
      </w:tr>
      <w:tr>
        <w:trPr>
          <w:trHeight w:val="224"/>
        </w:trPr>
        <w:tc>
          <w:tcPr>
            <w:tcW w:w="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5.40x</w:t>
            </w:r>
          </w:p>
        </w:tc>
        <w:tc>
          <w:tcPr>
            <w:tcW w:w="40" w:type="dxa"/>
            <w:vAlign w:val="bottom"/>
            <w:tcBorders>
              <w:top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5.48x</w:t>
            </w:r>
          </w:p>
        </w:tc>
        <w:tc>
          <w:tcPr>
            <w:tcW w:w="7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5.22x</w:t>
            </w:r>
          </w:p>
        </w:tc>
        <w:tc>
          <w:tcPr>
            <w:tcW w:w="760" w:type="dxa"/>
            <w:vAlign w:val="bottom"/>
          </w:tcPr>
          <w:p>
            <w:pPr>
              <w:spacing w:after="0"/>
              <w:rPr>
                <w:sz w:val="19"/>
                <w:szCs w:val="19"/>
                <w:color w:val="auto"/>
              </w:rPr>
            </w:pPr>
          </w:p>
        </w:tc>
        <w:tc>
          <w:tcPr>
            <w:tcW w:w="8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86"/>
              </w:rPr>
              <w:t>4.85x</w:t>
            </w:r>
          </w:p>
        </w:tc>
        <w:tc>
          <w:tcPr>
            <w:tcW w:w="7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4.82x</w:t>
            </w:r>
          </w:p>
        </w:tc>
        <w:tc>
          <w:tcPr>
            <w:tcW w:w="7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4.04x</w:t>
            </w:r>
          </w:p>
        </w:tc>
      </w:tr>
    </w:tbl>
    <w:p>
      <w:pPr>
        <w:spacing w:after="0" w:line="18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5" w:lineRule="exact"/>
        <w:rPr>
          <w:sz w:val="20"/>
          <w:szCs w:val="20"/>
          <w:color w:val="auto"/>
        </w:rPr>
      </w:pPr>
    </w:p>
    <w:p>
      <w:pPr>
        <w:ind w:right="240" w:firstLine="8"/>
        <w:spacing w:after="0" w:line="254"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offering $1,430,000,000 aggregate principal amount of our 4.05% Notes due 2046. The notes will be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Copies of the indenture and the form of notes are available from us upon request.</w:t>
      </w:r>
    </w:p>
    <w:p>
      <w:pPr>
        <w:spacing w:after="0" w:line="178"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will initially issue a total of $1,430,000,000 aggregate principal amount of 4.05% Senior Notes that will mature on August 1, 2046 (the “notes”), unless earlier redeemed. We may issue additional notes as described under “—Further Issuances.”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redeem the notes, in whole but not in part, on each August 1 on or after August 1, 2019 as described under “—Optional Redemption” below.</w:t>
      </w:r>
    </w:p>
    <w:p>
      <w:pPr>
        <w:spacing w:after="0" w:line="24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may also redeem the notes, in whole but not in part, prior to maturity if certain events occur involving U.S. taxation. If any of these special tax events do occur, the notes will be redeemed at a redemption price of 100% of their principal amount plus any accrued interest and additional amounts payable with respect to the notes to, but not including, the redemption date. See “—Redemption for Tax Reasons.”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in registered form in denominations of $100,000 and multiples of $1,000 in excess thereof.</w:t>
      </w:r>
    </w:p>
    <w:p>
      <w:pPr>
        <w:spacing w:after="0" w:line="225"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term “business day” when used with respect to any note means any day, other than a Saturday or Sunday, which is not a day on which banking institutions in the City of New York, London or Taipei, are authorized or required by law, regulation or executive order to close.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subject to any sinking fund.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subject to compliance with applicable law, at any time purchase notes in the open market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Interest on the notes will accrue from May 26, 2016 at the rate of 4.05% per annum, payable semi-annually in arrears on February 1 and August 1 of each year, beginning on August 1, 2016 (short first coupon). Interest on the notes will be paid to the person in whose name that note is registered at the close of business on January 15 or July 15, as the case may be, immediately preceding the relevant interest payment date. Interest on the notes will be computed on the basis of a 360-day year composed of twelve 30-day months. If any interest or other payment date of a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may be, to the date of that payment on the next succeeding business day. Unless we default on a payment, no interest will accrue for that period from and after the applicable interest payment date, maturity date or redemption date. All payment dates with respect to the notes, whether at maturity, upon earlier redemption or on any interest payment date, shall be determined in accordance with the time-zone applicable to The City of New York. Because of time zone differences, the interest payment date on which we make payment may not be the same business day in the applicable jurisdiction of the relevant holder of notes. In addition, deliveries, payments and other communications involving the notes are likely to be carried out through Euroclear and Clearstream, which means such transaction can only be carried out on days when those systems are open for business. Those systems may not be open for business on days when banks, brokers and other institutions are open for business in the United States or Taiwan. See also “—Book-Entry System—Clearance and Settlement Procedures”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 or Exchange</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Principal of and premium, if any, and interest on the notes will be payable at the office of the paying agent in London, United Kingdom and any other location we designate. The notes may be registered for transfer or exchanged without payment of any charge (other than any tax or other governmental charge payable in connection therewith) at the office of the registrar in New York, New York. Initially, the paying agent’s office in London, United Kingdom and the registrar’s office in New York, New York will serve as our office and agency for these respective purposes. We may elect that payment of interest on notes be made by wire transfer or by check mailed to the address of the appropriate person as it appears on the security register. So long as the registered owner of the notes is a common depositary of Euroclear and Clearstream or their nominee, payment of principal and interest shall be made in accordance with the requirements of Euroclear and Clearstream. See “—Book-Entry System” below.</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are not required to transfer or exchange any note selected for redemption during a period of 15 days before the electronic delivery or mailing of a notice of redemption of notes to be redeemed.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that note for all purposes.</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Subject to applicable escheat laws, all amounts of principal and of premium, if any, and interest on the notes paid by us that remain unclaimed two years after such payment was due and payable will be repaid to us upon our request, and the holders of such notes will thereafter look solely to us for payment.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the option to redeem the notes then outstanding, in whole but not in part, on each August 1 on or after August 1, 2019. Any redemption described in this paragraph will be at a redemption price equal to 100% of the principal amount of the notes being redeemed plus accrued and unpaid interest to, but not including, the redemption date. We will calculate the redemption price in connection with any redemption hereunder. Unless we default in payment of the redemption price, on and after the redemption date, interest will cease to accrue on the notes called for redemption.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Notice of any redemption will be electronically delivered or mailed at least 30 days but not more than 60 days before the redemption date to each holder of the notes to be redeemed.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addition, the notes are subject to redemption prior to maturity if certain events occur involving U.S. taxation. If any of these special tax events do occur, the notes will be redeemed at a redemption price of 100% of their principal amount plus any accrued and unpaid interest and additional amounts then payable with respect to the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To the extent permitted by applicable authorities in the ROC and subject to the receipt of all necessary regulatory and listing approvals from such authorities, including but not limited to the TPEx and the TSA, we may from time to time, without notice to or the consent of the holders of the notes, create and issue additional notes having the same terms as, and ranking equally and ratably with, the notes in all respects (except for the issue date, the offering price and, if applicable, the payment of interest accruing prior to the issue date of such additional notes and the first payment of interest following the issue date of such additional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additional notes are not fungible with the notes offered hereby for U.S. federal income tax purposes, such additional notes will have one or more separate ISIN numbers. Such additional notes may be consolidated and form a single series with, and will have the same terms as to ranking, redemption, waivers, amendments or otherwise, as the notes, and will vote together as one class on all matters with respect to such notes.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in order that the net payment by us or our paying agent of the principal of and interest on the notes to a holder who is not a United States person (as defined below), after withholding or deduction for any present or future tax, assessment or other governmental charge (“Tax”)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94" w:lineRule="exact"/>
        <w:rPr>
          <w:sz w:val="20"/>
          <w:szCs w:val="20"/>
          <w:color w:val="auto"/>
        </w:rPr>
      </w:pPr>
    </w:p>
    <w:p>
      <w:pPr>
        <w:jc w:val="both"/>
        <w:ind w:left="900" w:right="1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notes), or a fiduciary, settlor, beneficiary, member or shareholder of the holder if the holder is an estate, trust, partnership or corporation, or a person holding a power over an estate or trust administered by a fiduciary holder, being considered as:</w:t>
      </w:r>
    </w:p>
    <w:p>
      <w:pPr>
        <w:spacing w:after="0" w:line="86"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ind w:left="1480" w:right="100" w:hanging="567"/>
        <w:spacing w:after="0" w:line="264"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ind w:left="1480" w:right="340" w:hanging="567"/>
        <w:spacing w:after="0" w:line="308" w:lineRule="auto"/>
        <w:tabs>
          <w:tab w:leader="none" w:pos="1480" w:val="left"/>
        </w:tabs>
        <w:numPr>
          <w:ilvl w:val="1"/>
          <w:numId w:val="7"/>
        </w:numPr>
        <w:rPr>
          <w:rFonts w:ascii="Arial" w:cs="Arial" w:eastAsia="Arial" w:hAnsi="Arial"/>
          <w:sz w:val="17"/>
          <w:szCs w:val="17"/>
          <w:color w:val="auto"/>
        </w:rPr>
      </w:pPr>
      <w:r>
        <w:rPr>
          <w:rFonts w:ascii="Arial" w:cs="Arial" w:eastAsia="Arial" w:hAnsi="Arial"/>
          <w:sz w:val="17"/>
          <w:szCs w:val="17"/>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51" w:lineRule="exact"/>
        <w:rPr>
          <w:rFonts w:ascii="Arial" w:cs="Arial" w:eastAsia="Arial" w:hAnsi="Arial"/>
          <w:sz w:val="17"/>
          <w:szCs w:val="17"/>
          <w:color w:val="auto"/>
        </w:rPr>
      </w:pPr>
    </w:p>
    <w:p>
      <w:pPr>
        <w:ind w:left="1480" w:right="28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or having been a “10-percent shareholder” of us or the applicable guarantor as defined in Section 871(h)(3) of the United States Internal Revenue Code of 1986, as amended (the “Code”);</w:t>
      </w:r>
    </w:p>
    <w:p>
      <w:pPr>
        <w:spacing w:after="0" w:line="75" w:lineRule="exact"/>
        <w:rPr>
          <w:rFonts w:ascii="Arial" w:cs="Arial" w:eastAsia="Arial" w:hAnsi="Arial"/>
          <w:sz w:val="18"/>
          <w:szCs w:val="18"/>
          <w:color w:val="auto"/>
        </w:rPr>
      </w:pPr>
    </w:p>
    <w:p>
      <w:pPr>
        <w:ind w:left="1480" w:right="38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a controlled foreign corporation that is related to us or the applicable guarantor within the meaning of Section 864(d)(4) of the Code; or</w:t>
      </w:r>
    </w:p>
    <w:p>
      <w:pPr>
        <w:spacing w:after="0" w:line="75"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76" w:lineRule="exact"/>
        <w:rPr>
          <w:rFonts w:ascii="Arial" w:cs="Arial" w:eastAsia="Arial" w:hAnsi="Arial"/>
          <w:sz w:val="17"/>
          <w:szCs w:val="17"/>
          <w:color w:val="auto"/>
        </w:rPr>
      </w:pPr>
    </w:p>
    <w:p>
      <w:pPr>
        <w:ind w:left="900" w:right="4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us or a paying agent from the payment;</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withholding or deduction that is imposed on a payment to an individual and that is required to be made pursuant to European Council Directive 2003/48/EC on the taxing of savings income or any law implementing or complying with, or introduced in order to conform to, such European Council Directive on the taxation of savings (the “EC Directive”);</w:t>
      </w:r>
    </w:p>
    <w:p>
      <w:pPr>
        <w:spacing w:after="0" w:line="86"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Note, if such payment can be made without such withholding by at least one other paying agent;</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any combination of items (1)-(10) above.</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imposed by any government or a political subdivision or taxing authority of or in any government or political subdivision. As used under this heading “—Payment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additional amounts payable and when the additional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To the extent permitted by law, we will maintain a paying agent in a jurisdiction that will not require withholding or deduction of Tax pursuant to the EC Directive.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additional amounts paid on the notes will be in U.S. dollars.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notes, then we may at any time at our option redeem, in whole but not in part, the notes on not less than 10 nor more than 60 days prior notice, at a redemption price equal to 100% of their principal amount, together with accrued and unpaid interest on those notes to, but not including, the date fixed for redemption.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notes will be issued in registered, global form, in minimum denominations of $100,000 and multiples of $1,000 above that amount. Initially, the notes will be represented by one or more permanent global certificates (the “global notes”) (which may be subdivided) in definitive, fully registered form without interest coupons.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such global note will be deposited with, or on behalf of, a common depositary, and registered in the name of the common depositary or its nominee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 entry interests in the notes and all transfers relating to the notes will be reflected in the book entry records of Clearstream and Euroclear.</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 entry interests in the notes will take place through Clearstream and Euroclear participants and will settle in same day funds. Owners of book entry interests in the notes will receive payments relating to their notes in U.S. dollars.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policies of Clearstream and Euroclear will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been advised by Clearstream and Euroclear, respectively,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 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manager. Indirect access to Clearstream is also available to others, such as banks, brokers, dealers and trust companies that clear through or maintain a custodial relationship with a Clearstream Participant, either directly or indirectly.</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Clearstream will be credited to cash accounts of Clearstream Participants in accordance with its rules and procedures.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S.A./N.V. (the “Euroclear Operator”). All operations are conducted by the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manager. Indirect access to Euroclear is also available to other firms that clear through or maintain a custodial relationship with a Euroclear Participant, either directly or indirectly.</w:t>
      </w:r>
    </w:p>
    <w:p>
      <w:pPr>
        <w:spacing w:after="0" w:line="18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transfers of securities and cash within Euroclear;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withdrawal of securities and cash from Euroclear;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receipt of payments with respect to securities in Euroclear.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Euroclear will be credited to the cash accounts of Euroclear Participants in accordance with the Euroclear Terms and Conditions.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and Taiwan.</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or Taiwan. U.S. or Taiwanese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ROC Trading</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Investors with a securities book-entry account with a Taiwan securities broker and a foreign currency deposit account with a Taiwan bank, may request the approval of the Taiwan Depositary &amp; Clearing Corporation (the “TDCC”) for the settlement of the notes through the account of TDCC with Clearstream or Euroclear and if such approval is granted by the TDCC, the notes may be so cleared and settled. In such circumstances, the TDCC will allocate the respective book-entry interest of such investor in the notes position to the securities book-entry account designated by such investor in the ROC. The notes will be traded and settled pursuant to the applicable rules and operating procedures of TDCC and the TPEx as domestic bonds.</w:t>
      </w:r>
    </w:p>
    <w:p>
      <w:pPr>
        <w:spacing w:after="0" w:line="17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In addition, an investor may apply to TDCC (by filing in a prescribed form) to transfer the notes in its own account with Euroclear or Clearstream to the TDCC account with Euroclear or Clearstream for trading in the domestic market or vice versa for trading in overseas markets.</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such investors who hold their interest in the notes through an account opened and held by TDCC with Euroclear or Clearstream, distributions of principal and/or interest for the notes to such holders may be made by payment services banks whose systems are connected to TDCC to the foreign currency deposit accounts of the holders. Such payment is expected to be made on the second Taiwanese business day following TDCC’s receipt of such payment (due to time difference, the payment is expected to be received by TDCC one Taiwanese business day after the distribution date). However, when the holders will actually receive such distributions may vary depending upon the daily operations of the Taiwan banks with which the holder has the foreign currency deposit account.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$100,000 principal amount and multiples of $1,000 in excess thereof if:</w:t>
      </w:r>
    </w:p>
    <w:p>
      <w:pPr>
        <w:spacing w:after="0" w:line="76" w:lineRule="exact"/>
        <w:rPr>
          <w:sz w:val="20"/>
          <w:szCs w:val="20"/>
          <w:color w:val="auto"/>
        </w:rPr>
      </w:pPr>
    </w:p>
    <w:p>
      <w:pPr>
        <w:ind w:left="900" w:right="62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depositary (1) notifies us that it is unwilling or unable to continue as depositary for the global notes and we fail to appoint a successor depositary within 90 days or (2) has ceased to be a clearing agency registered under the Exchange Act and we fail to appoint a successor depositary within 90 days;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all cases, certificated notes delivered in exchange for any global notes or beneficial interests therein will be registered in the names, and issued in any approved denominations, requested by or on behalf of the depositary. It is expected that the depositary’s instructions will be based upon directions received by the depositary from participants with respect to ownership of beneficial interests in the relevant global note or notes that had been held by the depositary.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ind w:left="90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the notes is urged to consult his, her or its tax advisor.</w:t>
      </w:r>
    </w:p>
    <w:p>
      <w:pPr>
        <w:spacing w:after="0" w:line="18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This summary is based on the United States Internal Revenue Code of 1986, as amended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7" w:lineRule="exact"/>
        <w:rPr>
          <w:sz w:val="20"/>
          <w:szCs w:val="20"/>
          <w:color w:val="auto"/>
        </w:rPr>
      </w:pPr>
    </w:p>
    <w:p>
      <w:pPr>
        <w:ind w:left="900" w:right="20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will not be subject to U.S. federal income tax on gain realized on the sale, exchange, redemption or other disposition of a note, unless the gain is effectively connected with the conduct by the holder of a trade or business in the United States.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 Non-U.S. Holder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Such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 imposed under FATCA.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ROC TAXATION</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certain ROC tax consequences with respect to the holders of the notes, and is prepared based on current laws and regulations of the ROC. It does not purport to be comprehensive and does not constitute legal or tax advice. Investors (particularly those subject to special tax rules, such as banks, dealers, insurance companies and tax-exempt entities) should consult with their own tax advisers regarding the tax consequences of an investment in the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the Notes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we, the issuer of the notes, are not an ROC statutory tax withholder, there is no ROC withholding tax on any payment to be paid on the notes. ROC corporate holders must include the interest receivable under the notes as part of their taxable income and pay income tax at a flat rate of 17 percent (unless the total taxable income for a fiscal year is under $120,000 New Taiwan Dollars), as they are subject to income tax on their worldwide income on an accrual basis. The alternative minimum tax (“AMT”) is not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the Notes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general, the sale of corporate bonds or financial bonds is subject to 0.1 percent securities transaction tax (“STT”) on the transaction price. However, Article 2-1 of the Securities Transaction Tax Act prescribes that STT will cease to be levied on the sale of corporate bonds and financial bonds for seven years from 1 January 2010 to 31 December 2016. Therefore, the sale of the notes will be exempt from STT if the sale is conducted on or before 31 December 2016. Starting from 1 January 2017, any sale of the notes will be subject to STT at 0.1 percent of the transaction price, unless otherwise provided by the tax laws that may be in force at that time.</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Capital gains generated from the sale of bonds are exempt from income tax. Accordingly, ROC corporate holders are not subject to income tax on any capital gains generated from the sale of the notes. However, ROC corporate holders should include the capital gains in calculating their basic income for the purpose of calculating their AMT. If the amount of the AMT exceeds the ordinary income tax calculated pursuant to the Income Basic Tax Act (also known as the AMT Act), the excess becomes the ROC corporate holders’ AMT payable. Capital losses, if any, incurred by such holders could be carried over 5 years to offset against capital gains of same category of income for the purposes of calculating their AMT.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Comcast Corporation and the manager for the offering named below have entered into a subscription agreement with respect to the notes. Subject to certain conditions, the manager has agreed to purchase the principal amount of notes indicated in the following table.</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Manager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1"/>
        </w:trPr>
        <w:tc>
          <w:tcPr>
            <w:tcW w:w="6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Amount of notes</w:t>
            </w:r>
          </w:p>
        </w:tc>
        <w:tc>
          <w:tcPr>
            <w:tcW w:w="0" w:type="dxa"/>
            <w:vAlign w:val="bottom"/>
          </w:tcPr>
          <w:p>
            <w:pPr>
              <w:spacing w:after="0"/>
              <w:rPr>
                <w:sz w:val="1"/>
                <w:szCs w:val="1"/>
                <w:color w:val="auto"/>
              </w:rPr>
            </w:pPr>
          </w:p>
        </w:tc>
      </w:tr>
      <w:tr>
        <w:trPr>
          <w:trHeight w:val="210"/>
        </w:trPr>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Deutsche</w:t>
            </w:r>
          </w:p>
        </w:tc>
        <w:tc>
          <w:tcPr>
            <w:tcW w:w="57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Bank AG, Taipei Branch</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1,430,000,000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The manager is committed to take and pay for all of the notes being offered, if any are taken. To the extent permitted by applicable laws and regulations, the manager may make offers and sales in the United States through one or more U.S. registered broker-dealers. See “—Other Relationships.”</w:t>
      </w:r>
    </w:p>
    <w:p>
      <w:pPr>
        <w:spacing w:after="0" w:line="12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Notes sold by the manager to the public will initially be offered at the initial public offering price set forth on the cover of this prospectus supplement. If all the notes are not sold at the initial public offering price, the manager may change the offering prices and the other selling terms. The offering of the notes by the manager is subject to receipt and acceptance and subject to the manager’s right to reject any order in whole or in part.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selling discount that we will pay to the manager in connection with this offering:</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7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Paid By Us</w:t>
            </w:r>
          </w:p>
        </w:tc>
        <w:tc>
          <w:tcPr>
            <w:tcW w:w="200" w:type="dxa"/>
            <w:vAlign w:val="bottom"/>
            <w:tcBorders>
              <w:bottom w:val="single" w:sz="8" w:color="CCEEFF"/>
            </w:tcBorders>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3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0.100%</w:t>
            </w:r>
          </w:p>
        </w:tc>
      </w:tr>
      <w:tr>
        <w:trPr>
          <w:trHeight w:val="230"/>
        </w:trPr>
        <w:tc>
          <w:tcPr>
            <w:tcW w:w="3720" w:type="dxa"/>
            <w:vAlign w:val="bottom"/>
          </w:tcPr>
          <w:p>
            <w:pPr>
              <w:ind w:left="360"/>
              <w:spacing w:after="0"/>
              <w:rPr>
                <w:sz w:val="20"/>
                <w:szCs w:val="20"/>
                <w:color w:val="auto"/>
              </w:rPr>
            </w:pPr>
            <w:r>
              <w:rPr>
                <w:rFonts w:ascii="Arial" w:cs="Arial" w:eastAsia="Arial" w:hAnsi="Arial"/>
                <w:sz w:val="18"/>
                <w:szCs w:val="18"/>
                <w:color w:val="auto"/>
              </w:rPr>
              <w:t>Total</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$1,430,000</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will pay an aggregate fee of $9,295,000 (the “structuring fee”) to the structuring agents in connection with structuring services that they provided in connection with the notes. Each structuring agent, other than Deutsche Bank AG, Taipei Branch, is an entity not licensed in the ROC, has not offered or sold, and will not subscribe for or sell or underwrite, any notes offered hereby. We will pay Morgan Stanley &amp; Co. LLC the full amount of the structuring fee, and Morgan Stanley &amp; Co. LLC will, on our behalf, remit to each structuring agent its portion of the structuring fee.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estimate that our expenses in connection with this offering, other than the selling discount and the structuring fee, will be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$3,575,000. Morgan Stanley &amp; Co. LLC and Deutsche Bank AG, Taipei Branch (only in its capacity as structuring agent and not as manager) have agreed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reimburse us for $3,575,000 of our expenses associated with the offering.</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also agreed to indemnify the manager against certain liabilities, including liabilities under the Securities Act, or to contribute to payments which the manager may be required to make in respect of any such liabilities. Separately, in connection with structuring services that the structuring agents provided in connection with the notes, we have agreed to indemnify the structuring agents against certain liabilities in connection with this offering, including liabilities under the Securities Act, or to contribute to payments made in respect of those liabilities.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notes are a new issue of securities with no established trading market. Application will be made to the TPEx for the listing of, and permission to deal in, the notes by way of debt issues to “professional institutional investors” as defined under Paragraph 2 of Article 4 of the Financial Consumer Protection Act of the ROC only and such permission is expected to become effective on or about May 26, 2016. We cannot make any assurance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that the TPEx listing will be maintained. The manager is not obligated to carry out market-making activities with respect to the notes. Accordingly, we cannot assure you as to the liquidity of, or the trading market for, the notes.</w:t>
      </w:r>
    </w:p>
    <w:p>
      <w:pPr>
        <w:spacing w:after="0" w:line="170"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We expect to deliver the notes against payment therefor on or about the date specified in the last paragraph of the cover page of this prospectus supplement, which will be the ninth business day following the date of the pricing of the notes. Under Rule 15c6-1 of the Exchange Act, trades in the secondary market are required to settle in three business days, unless the parties to a trade expressly agree otherwise. Accordingly, purchasers who wish to trade notes prior to the third business day preceding the settlement date will be required, by virtue of the fact that the notes initially will settle in T+9, to specify alternative settlement arrangements to prevent a failed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Deutsche Bank AG, Taipei Branch is not a U.S. registered broker-dealer and, therefore, to the extent permitted by ROC laws and regulations and that it intends to effect any sales of the notes in the United States, it will do so through one or more U.S. registered broker-dealers as permitted by FINRA regulations.</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manager, the structuring agents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manager, the structuring agents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the ordinary course of their various business activities, the manager, the structuring agents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ours. If any of the manager, the structuring agents or their respective affiliates has a lending relationship with us, certain of those manager and structuring agents or their respective affiliates routinely hedge, and certain other of those manager or structuring agents or their respective affiliates may hedge, their credit exposure to us consistent with their customary risk management policies. Typically, these manager and structuring agents or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manager, the structuring agents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the manager has represented and agreed that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such offer that has been approved by the competent authority in that Relevant Member State or, where appropriate, approved in another Relevant Member State and notified to the competent authority in that Relevant Member State, all in accordance with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Prospectus Directive, except that, it may, with effect from and including the relevant implementation date, make an offer of notes to the public in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Relevant Member State at any time:</w:t>
      </w:r>
    </w:p>
    <w:p>
      <w:pPr>
        <w:spacing w:after="0" w:line="103" w:lineRule="exact"/>
        <w:rPr>
          <w:sz w:val="20"/>
          <w:szCs w:val="20"/>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460" w:right="480" w:firstLine="4"/>
        <w:spacing w:after="0" w:line="277" w:lineRule="auto"/>
        <w:tabs>
          <w:tab w:leader="none" w:pos="7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provided that no such offer of notes shall require us or the manager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expression may be varied in that Relevant Member State by any measure implementing the Prospectus Directive in that Relevant Member State. The expression “Prospectus Directive” means Directive 2003/71/EC 9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manager has represented and agreed that:</w:t>
      </w:r>
    </w:p>
    <w:p>
      <w:pPr>
        <w:spacing w:after="0" w:line="117" w:lineRule="exact"/>
        <w:rPr>
          <w:sz w:val="20"/>
          <w:szCs w:val="20"/>
          <w:color w:val="auto"/>
        </w:rPr>
      </w:pPr>
    </w:p>
    <w:p>
      <w:pPr>
        <w:ind w:left="460" w:right="120" w:firstLine="4"/>
        <w:spacing w:after="0" w:line="312" w:lineRule="auto"/>
        <w:tabs>
          <w:tab w:leader="none" w:pos="7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w:t>
      </w:r>
    </w:p>
    <w:p>
      <w:pPr>
        <w:spacing w:after="0" w:line="38" w:lineRule="exact"/>
        <w:rPr>
          <w:rFonts w:ascii="Arial" w:cs="Arial" w:eastAsia="Arial" w:hAnsi="Arial"/>
          <w:sz w:val="16"/>
          <w:szCs w:val="16"/>
          <w:color w:val="auto"/>
        </w:rPr>
      </w:pPr>
    </w:p>
    <w:p>
      <w:pPr>
        <w:ind w:left="460" w:right="200" w:firstLine="4"/>
        <w:spacing w:after="0" w:line="277" w:lineRule="auto"/>
        <w:tabs>
          <w:tab w:leader="none" w:pos="7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prospectus has not been approved by or registered with the Securities and Futures Commission of Hong Kong or the Registrar of Companies of Hong Kong. The notes will not be offered or sold in Hong Kong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which is directed at, or the contents of which are likely to be accessed or read by, the public of Hong Kong (except if permitted to do so under the securities laws of Hong Kong) has been issued or will be issued in Hong Kong or elsewhere other than with respect to notes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notes have not been and will not be registered under the Financial Instruments and Exchange Act. The manager has agreed that it has not, directly or indirectly, offered or sold and will not offer or sell any notes, directly or indirectly, in Japan or to, or for the benefit of, any resident of Japan (which term as used herein means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(the “SFA”), (ii) to a relevant person, or any person pursuant to Section 275(1A) of the SFA,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then securities, debentures and units of securities and debentures of that corporation or the beneficiaries’ rights and interest in that trust shall not be transferable for 6 months after that corporation or that trust has acquired the notes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Republic of China</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notes have not been, and shall not be, offered, sold or re-sold, directly or indirectly, to investors other than “professional institutional investors” as defined under Paragraph 2 of Article 4 of the Financial Consumer Protection Act, which currently include: overseas or domestic (i) banks, securities firms, futures firms and insurance companies (excluding insurance agencies, insurance brokers and insurance notaries), the foregoing as further defined in more details in Paragraph 3 of Article 2 of the Organization Act of the Financial Supervisory Commission, (ii) fund management companies, government investment institutions, government funds, pension funds, mutual funds, unit trusts, and funds managed by financial service enterprises pursuant to the Securities Investment Trust and Consulting Act, the Future Trading Act or the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Various legal matters relating to the offering will be passed upon for us by Arthur R. Block, Esquire, Executive Vice President, General Counsel and Secretary of Comcast Corporation, Francis M. Buono, Esquire, Senior Vice President, Legal Regulatory Affairs and Senior Deputy General Counsel of Comcast Corporation, and by Davis Polk &amp; Wardwell LLP, Menlo Park, California. Cahill Gordon &amp; Reindel LLP, New York, New York will issue a legal opinion on certain legal matters for the manager. Lee and Li, Attorneys-at-Law, is acting as special Taiwanese legal counsel to us and will issue an opinion on certain legal matters to the manager.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2015,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and its subsidiaries, incorporated herein by reference from NBCUniversal’s Annual Report on Form 10-K for the year ended December 31, 2015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872490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rPr>
              <w:t>• Class A common stock</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 Units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w w:val="89"/>
              </w:rPr>
              <w:t>• Class A Special common stock</w:t>
            </w:r>
          </w:p>
        </w:tc>
      </w:tr>
    </w:tbl>
    <w:p>
      <w:pPr>
        <w:spacing w:after="0" w:line="15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November 20, 2015, the reported last sale prices on the Nasdaq Global Select Market for our Class A common stock and our Class A Special common stock were $62.90 and $63.01,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30 of Comcast’s and NBCUniversal’s combined annual report on Form 10-K for the year ended December 31, 2014,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23, 2015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377"/>
        </w:trPr>
        <w:tc>
          <w:tcPr>
            <w:tcW w:w="1120" w:type="dxa"/>
            <w:vAlign w:val="bottom"/>
            <w:gridSpan w:val="3"/>
            <w:vMerge w:val="restart"/>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The Companies</w:t>
              </w:r>
            </w:hyperlink>
          </w:p>
        </w:tc>
        <w:tc>
          <w:tcPr>
            <w:tcW w:w="9920" w:type="dxa"/>
            <w:vAlign w:val="bottom"/>
            <w:gridSpan w:val="12"/>
            <w:vMerge w:val="restart"/>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20" w:type="dxa"/>
            <w:vAlign w:val="bottom"/>
            <w:gridSpan w:val="1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Caution Concerning Forward-Looking Statements</w:t>
              </w:r>
            </w:hyperlink>
          </w:p>
        </w:tc>
        <w:tc>
          <w:tcPr>
            <w:tcW w:w="7500" w:type="dxa"/>
            <w:vAlign w:val="bottom"/>
            <w:gridSpan w:val="4"/>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Dividend Policy</w:t>
              </w:r>
            </w:hyperlink>
          </w:p>
        </w:tc>
        <w:tc>
          <w:tcPr>
            <w:tcW w:w="9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Ratios of Earnings to Fixed Charges and of Earnings to Combined Fixed Charges and Preferred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Debt Securities and Guarantees</w:t>
              </w:r>
            </w:hyperlink>
          </w:p>
        </w:tc>
        <w:tc>
          <w:tcPr>
            <w:tcW w:w="3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Global Securities</w:t>
              </w:r>
            </w:hyperlink>
          </w:p>
        </w:tc>
        <w:tc>
          <w:tcPr>
            <w:tcW w:w="77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Description of Capital Stock</w:t>
              </w:r>
            </w:hyperlink>
          </w:p>
        </w:tc>
        <w:tc>
          <w:tcPr>
            <w:tcW w:w="90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Legal Matters</w:t>
              </w:r>
            </w:hyperlink>
          </w:p>
        </w:tc>
        <w:tc>
          <w:tcPr>
            <w:tcW w:w="9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100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Available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Incorporation of Certain Documents by Reference</w:t>
              </w:r>
            </w:hyperlink>
          </w:p>
        </w:tc>
        <w:tc>
          <w:tcPr>
            <w:tcW w:w="75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56" w:lineRule="exact"/>
        <w:rPr>
          <w:sz w:val="20"/>
          <w:szCs w:val="20"/>
          <w:color w:val="auto"/>
        </w:rPr>
      </w:pPr>
    </w:p>
    <w:p>
      <w:pPr>
        <w:ind w:left="900" w:right="240" w:hanging="325"/>
        <w:spacing w:after="0" w:line="262"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businesses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production operations.</w:t>
      </w:r>
    </w:p>
    <w:p>
      <w:pPr>
        <w:spacing w:after="0" w:line="38" w:lineRule="exact"/>
        <w:rPr>
          <w:rFonts w:ascii="Arial" w:cs="Arial" w:eastAsia="Arial" w:hAnsi="Arial"/>
          <w:sz w:val="18"/>
          <w:szCs w:val="18"/>
          <w:color w:val="auto"/>
        </w:rPr>
      </w:pPr>
    </w:p>
    <w:p>
      <w:pPr>
        <w:ind w:left="90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stations, the NBC Universo national cable network, and our broadcast television production operations.</w:t>
      </w:r>
    </w:p>
    <w:p>
      <w:pPr>
        <w:spacing w:after="0" w:line="38" w:lineRule="exact"/>
        <w:rPr>
          <w:rFonts w:ascii="Arial" w:cs="Arial" w:eastAsia="Arial" w:hAnsi="Arial"/>
          <w:sz w:val="18"/>
          <w:szCs w:val="18"/>
          <w:color w:val="auto"/>
        </w:rPr>
      </w:pPr>
    </w:p>
    <w:p>
      <w:pPr>
        <w:ind w:left="900" w:right="160" w:hanging="325"/>
        <w:spacing w:after="0" w:line="27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In 2014, our Cable Communications segment generated 64% of our consolidated revenue and 79% of our operating income before depreciation and amortization. The Cable Networks, Broadcast Television, Filmed Entertainment and Theme Parks segments comprise NBCUniversal’s businesses.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2014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consumer behavior driven by new products and services may adversely affect our businesses and challenge existing business models;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businesses;</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 ;</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retains the right to change our dividend policy at any time.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w w:val="91"/>
              </w:rPr>
              <w:t>For the Nine Months</w:t>
            </w: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87"/>
              </w:rPr>
              <w:t>For the Years Ended December 31,</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130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w w:val="87"/>
              </w:rPr>
              <w:t>Ended September 30,</w:t>
            </w:r>
          </w:p>
        </w:tc>
        <w:tc>
          <w:tcPr>
            <w:tcW w:w="68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gridSpan w:val="4"/>
            <w:vMerge w:val="continue"/>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jc w:val="right"/>
              <w:ind w:right="446"/>
              <w:spacing w:after="0"/>
              <w:rPr>
                <w:sz w:val="20"/>
                <w:szCs w:val="20"/>
                <w:color w:val="auto"/>
              </w:rPr>
            </w:pPr>
            <w:r>
              <w:rPr>
                <w:rFonts w:ascii="Arial" w:cs="Arial" w:eastAsia="Arial" w:hAnsi="Arial"/>
                <w:sz w:val="14"/>
                <w:szCs w:val="14"/>
                <w:b w:val="1"/>
                <w:bCs w:val="1"/>
                <w:color w:val="auto"/>
              </w:rPr>
              <w:t>2015</w:t>
            </w:r>
          </w:p>
        </w:tc>
        <w:tc>
          <w:tcPr>
            <w:tcW w:w="238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22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1700" w:type="dxa"/>
            <w:vAlign w:val="bottom"/>
          </w:tcPr>
          <w:p>
            <w:pPr>
              <w:jc w:val="right"/>
              <w:ind w:right="6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1600" w:type="dxa"/>
            <w:vAlign w:val="bottom"/>
          </w:tcPr>
          <w:p>
            <w:pPr>
              <w:jc w:val="right"/>
              <w:ind w:right="58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03"/>
        </w:trPr>
        <w:tc>
          <w:tcPr>
            <w:tcW w:w="5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5.51x</w:t>
            </w:r>
          </w:p>
        </w:tc>
        <w:tc>
          <w:tcPr>
            <w:tcW w:w="6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5.22x</w:t>
            </w: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ind w:left="302"/>
              <w:spacing w:after="0" w:line="203" w:lineRule="exact"/>
              <w:rPr>
                <w:sz w:val="20"/>
                <w:szCs w:val="20"/>
                <w:color w:val="auto"/>
              </w:rPr>
            </w:pPr>
            <w:r>
              <w:rPr>
                <w:rFonts w:ascii="Arial" w:cs="Arial" w:eastAsia="Arial" w:hAnsi="Arial"/>
                <w:sz w:val="18"/>
                <w:szCs w:val="18"/>
                <w:color w:val="auto"/>
                <w:w w:val="86"/>
              </w:rPr>
              <w:t>4.85x</w:t>
            </w: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4.82x</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4.04x</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3.57x</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1"/>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754"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28"/>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28"/>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may terminate our obligations and the obligations of the Guarantors under the indenture with respect to the senior debt securities of any series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0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hanging="446"/>
        <w:spacing w:after="0" w:line="294" w:lineRule="auto"/>
        <w:tabs>
          <w:tab w:leader="none" w:pos="14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20" w:hanging="325"/>
        <w:spacing w:after="0" w:line="370"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0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98"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18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“Dividend Policy” above.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As of December 31, 2014,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2014,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September 30, 2015, if Mr. Roberts were to convert the Class B common stock he beneficially owns into Class A common stock, Mr. Roberts would beneficially own 15,182,592 shares of Class A common stock, which is less than 1% of the Class A common stock that would be outstanding after the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will, when issued, be, fully paid and nonassessable. We have been advised that the Class A common stock and Class A Special common stock are exempt from existing Pennsylvania personal property tax.</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 ’s Annual Report on Form 10-K for the year ended December 31, 2014,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2014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2014, filed on February 27, 2015.</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2015, June 30, 2015 and September 30, 2015, filed on May 4, 2015, July 23, 2015 and October 27, 2015, respectively.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January 29, 2015, March 31, 2015, April 24, 2015, May 11, 2015, May 22, 2015, May 27, 2015, June 18, 2015, July 1, 2015 and July 7, 2015.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NBCUniversal’s Current Reports on Form 8-K and amendments thereto filed on March 31, 2015, May 11, 2015 and July 1, 2015.</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2015 annual meeting of shareholders incorporated by reference in Comcast’s Annual Report on Form 10-K for the year ended December 31, 2014.</w:t>
      </w:r>
    </w:p>
    <w:p>
      <w:pPr>
        <w:spacing w:after="0" w:line="5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983615</wp:posOffset>
            </wp:positionV>
            <wp:extent cx="1397635" cy="4889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$1,430,000,000 4.05%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1174750</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22"/>
          <w:szCs w:val="22"/>
          <w:i w:val="1"/>
          <w:iCs w:val="1"/>
          <w:color w:val="auto"/>
        </w:rPr>
        <w:t>Book-Running Manager</w:t>
      </w:r>
    </w:p>
    <w:p>
      <w:pPr>
        <w:spacing w:after="0" w:line="205" w:lineRule="exact"/>
        <w:rPr>
          <w:sz w:val="20"/>
          <w:szCs w:val="20"/>
          <w:color w:val="auto"/>
        </w:rPr>
      </w:pPr>
    </w:p>
    <w:p>
      <w:pPr>
        <w:ind w:left="3860"/>
        <w:spacing w:after="0"/>
        <w:rPr>
          <w:sz w:val="20"/>
          <w:szCs w:val="20"/>
          <w:color w:val="auto"/>
        </w:rPr>
      </w:pPr>
      <w:r>
        <w:rPr>
          <w:rFonts w:ascii="Arial" w:cs="Arial" w:eastAsia="Arial" w:hAnsi="Arial"/>
          <w:sz w:val="23"/>
          <w:szCs w:val="23"/>
          <w:b w:val="1"/>
          <w:bCs w:val="1"/>
          <w:color w:val="auto"/>
        </w:rPr>
        <w:t>Deutsche Bank AG, Taipei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May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215"/>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lowerLetter"/>
      <w:start w:val="23"/>
    </w:lvl>
  </w:abstractNum>
  <w:abstractNum w:abstractNumId="6">
    <w:nsid w:val="189A769B"/>
    <w:multiLevelType w:val="hybridMultilevel"/>
    <w:lvl w:ilvl="0">
      <w:lvlJc w:val="left"/>
      <w:lvlText w:val="%1."/>
      <w:numFmt w:val="decimal"/>
      <w:start w:val="1"/>
    </w:lvl>
    <w:lvl w:ilvl="1">
      <w:lvlJc w:val="left"/>
      <w:lvlText w:val="%2."/>
      <w:numFmt w:val="lowerLetter"/>
      <w:start w:val="1"/>
    </w:lvl>
  </w:abstractNum>
  <w:abstractNum w:abstractNumId="7">
    <w:nsid w:val="54E49EB4"/>
    <w:multiLevelType w:val="hybridMultilevel"/>
    <w:lvl w:ilvl="0">
      <w:lvlJc w:val="left"/>
      <w:lvlText w:val="%1."/>
      <w:numFmt w:val="decimal"/>
      <w:start w:val="2"/>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lowerLetter"/>
      <w:start w:val="3"/>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3"/>
    </w:lvl>
  </w:abstractNum>
  <w:abstractNum w:abstractNumId="27">
    <w:nsid w:val="77465F01"/>
    <w:multiLevelType w:val="hybridMultilevel"/>
    <w:lvl w:ilvl="0">
      <w:lvlJc w:val="left"/>
      <w:lvlText w:val="%1"/>
      <w:numFmt w:val="lowerLetter"/>
      <w:start w:val="1"/>
    </w:lvl>
    <w:lvl w:ilvl="1">
      <w:lvlJc w:val="left"/>
      <w:lvlText w:val="(%2)"/>
      <w:numFmt w:val="lowerLetter"/>
      <w:start w:val="13"/>
    </w:lvl>
  </w:abstractNum>
  <w:abstractNum w:abstractNumId="28">
    <w:nsid w:val="7724C67E"/>
    <w:multiLevelType w:val="hybridMultilevel"/>
    <w:lvl w:ilvl="0">
      <w:lvlJc w:val="left"/>
      <w:lvlText w:val="(%1)"/>
      <w:numFmt w:val="lowerLetter"/>
      <w:start w:val="61"/>
    </w:lvl>
    <w:lvl w:ilvl="1">
      <w:lvlJc w:val="left"/>
      <w:lvlText w:val="(%2)"/>
      <w:numFmt w:val="lowerLetter"/>
      <w:start w:val="19"/>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
      <w:numFmt w:val="bullet"/>
      <w:start w:val="1"/>
    </w:lvl>
    <w:lvl w:ilvl="1">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lvl w:ilvl="1">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2019-12-07T16:11:07Z</dcterms:created>
  <dcterms:modified xsi:type="dcterms:W3CDTF">2019-12-07T16:11:07Z</dcterms:modified>
</cp:coreProperties>
</file>