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93091_8k.htm"/>
      <w:bookmarkStart w:id="1" w:name="ksdp193091_8k"/>
      <w:bookmarkEnd w:id="0"/>
      <w:bookmarkEnd w:id="1"/>
      <w:r>
        <w:rPr/>
        <w:t> </w:t>
      </w:r>
    </w:p>
    <w:p>
      <w:pPr>
        <w:pStyle w:val="TextBody"/>
        <w:spacing w:before="240" w:after="60"/>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30501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Pursuant to Section 13 or 15(d) of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May 1,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3"/>
      <w:bookmarkEnd w:id="4"/>
      <w:r>
        <w:rPr>
          <w:rFonts w:ascii="Times New Roman;Times;Serif" w:hAnsi="Times New Roman;Times;Serif"/>
          <w:b/>
          <w:i w:val="false"/>
          <w:caps w:val="false"/>
          <w:smallCaps w:val="false"/>
          <w:sz w:val="48"/>
        </w:rPr>
        <w:t>Comcast Corporation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spacing w:before="0" w:after="0"/>
        <w:ind w:left="0" w:right="0" w:hanging="0"/>
        <w:jc w:val="center"/>
        <w:rPr>
          <w:caps w:val="false"/>
          <w:smallCaps w:val="false"/>
        </w:rPr>
      </w:pPr>
      <w:r>
        <w:rPr>
          <w:caps w:val="false"/>
          <w:smallCaps w:val="false"/>
        </w:rPr>
        <w:t> </w:t>
      </w:r>
    </w:p>
    <w:tbl>
      <w:tblPr>
        <w:tblW w:w="9015" w:type="dxa"/>
        <w:jc w:val="left"/>
        <w:tblInd w:w="0" w:type="dxa"/>
        <w:tblCellMar>
          <w:top w:w="0" w:type="dxa"/>
          <w:left w:w="0" w:type="dxa"/>
          <w:bottom w:w="0" w:type="dxa"/>
          <w:right w:w="0" w:type="dxa"/>
        </w:tblCellMar>
      </w:tblPr>
      <w:tblGrid>
        <w:gridCol w:w="2315"/>
        <w:gridCol w:w="3755"/>
        <w:gridCol w:w="2945"/>
      </w:tblGrid>
      <w:tr>
        <w:trPr/>
        <w:tc>
          <w:tcPr>
            <w:tcW w:w="2315" w:type="dxa"/>
            <w:tcBorders/>
            <w:shd w:fill="auto" w:val="clear"/>
            <w:vAlign w:val="center"/>
          </w:tcPr>
          <w:p>
            <w:pPr>
              <w:pStyle w:val="TableContents"/>
              <w:spacing w:before="0" w:after="283"/>
              <w:jc w:val="center"/>
              <w:rPr>
                <w:b/>
              </w:rPr>
            </w:pPr>
            <w:bookmarkStart w:id="5" w:name="xdx_90C_edei--EntityFileNumber_c20230501"/>
            <w:bookmarkEnd w:id="5"/>
            <w:r>
              <w:rPr>
                <w:b/>
              </w:rPr>
              <w:t>001-32871</w:t>
            </w:r>
          </w:p>
        </w:tc>
        <w:tc>
          <w:tcPr>
            <w:tcW w:w="3755" w:type="dxa"/>
            <w:tcBorders/>
            <w:shd w:fill="auto" w:val="clear"/>
            <w:vAlign w:val="center"/>
          </w:tcPr>
          <w:p>
            <w:pPr>
              <w:pStyle w:val="TableContents"/>
              <w:spacing w:before="0" w:after="283"/>
              <w:jc w:val="center"/>
              <w:rPr>
                <w:b/>
              </w:rPr>
            </w:pPr>
            <w:bookmarkStart w:id="6" w:name="xdx_906_edei--EntityIncorporationStateCo"/>
            <w:bookmarkEnd w:id="6"/>
            <w:r>
              <w:rPr>
                <w:b/>
              </w:rPr>
              <w:t>Pennsylvania</w:t>
            </w:r>
          </w:p>
        </w:tc>
        <w:tc>
          <w:tcPr>
            <w:tcW w:w="2945" w:type="dxa"/>
            <w:tcBorders/>
            <w:shd w:fill="auto" w:val="clear"/>
            <w:vAlign w:val="center"/>
          </w:tcPr>
          <w:p>
            <w:pPr>
              <w:pStyle w:val="TableContents"/>
              <w:spacing w:before="0" w:after="283"/>
              <w:jc w:val="center"/>
              <w:rPr>
                <w:b/>
              </w:rPr>
            </w:pPr>
            <w:bookmarkStart w:id="7" w:name="xdx_908_edei--EntityTaxIdentificationNum"/>
            <w:bookmarkEnd w:id="7"/>
            <w:r>
              <w:rPr>
                <w:b/>
              </w:rPr>
              <w:t>27-0000798</w:t>
            </w:r>
          </w:p>
        </w:tc>
      </w:tr>
      <w:tr>
        <w:trPr/>
        <w:tc>
          <w:tcPr>
            <w:tcW w:w="2315" w:type="dxa"/>
            <w:tcBorders/>
            <w:shd w:fill="auto" w:val="clear"/>
            <w:vAlign w:val="center"/>
          </w:tcPr>
          <w:p>
            <w:pPr>
              <w:pStyle w:val="TableContents"/>
              <w:spacing w:before="0" w:after="283"/>
              <w:jc w:val="center"/>
              <w:rPr>
                <w:b/>
                <w:sz w:val="20"/>
              </w:rPr>
            </w:pPr>
            <w:r>
              <w:rPr>
                <w:b/>
                <w:sz w:val="20"/>
              </w:rPr>
              <w:t>(Commission File Number)</w:t>
            </w:r>
          </w:p>
        </w:tc>
        <w:tc>
          <w:tcPr>
            <w:tcW w:w="3755" w:type="dxa"/>
            <w:tcBorders/>
            <w:shd w:fill="auto" w:val="clear"/>
            <w:vAlign w:val="center"/>
          </w:tcPr>
          <w:p>
            <w:pPr>
              <w:pStyle w:val="TableContents"/>
              <w:spacing w:before="0" w:after="283"/>
              <w:jc w:val="center"/>
              <w:rPr>
                <w:b/>
                <w:sz w:val="20"/>
              </w:rPr>
            </w:pPr>
            <w:r>
              <w:rPr>
                <w:b/>
                <w:sz w:val="20"/>
              </w:rPr>
              <w:t>(State or other jurisdiction of incorporation)</w:t>
            </w:r>
          </w:p>
        </w:tc>
        <w:tc>
          <w:tcPr>
            <w:tcW w:w="2945" w:type="dxa"/>
            <w:tcBorders/>
            <w:shd w:fill="auto" w:val="clear"/>
            <w:vAlign w:val="center"/>
          </w:tcPr>
          <w:p>
            <w:pPr>
              <w:pStyle w:val="TableContents"/>
              <w:spacing w:before="0" w:after="283"/>
              <w:jc w:val="center"/>
              <w:rPr/>
            </w:pPr>
            <w:r>
              <w:rPr/>
              <w:t> </w:t>
            </w:r>
            <w:r>
              <w:rPr>
                <w:b/>
                <w:sz w:val="20"/>
              </w:rPr>
              <w:t>(IRS Employer Identification No.)</w:t>
            </w:r>
          </w:p>
        </w:tc>
      </w:tr>
    </w:tbl>
    <w:p>
      <w:pPr>
        <w:pStyle w:val="TextBody"/>
        <w:spacing w:before="0" w:after="0"/>
        <w:ind w:left="0" w:right="0" w:hanging="0"/>
        <w:jc w:val="center"/>
        <w:rPr>
          <w:caps w:val="false"/>
          <w:smallCaps w:val="false"/>
        </w:rPr>
      </w:pPr>
      <w:r>
        <w:rPr>
          <w:caps w:val="false"/>
          <w:smallCaps w:val="false"/>
        </w:rPr>
        <w:t> </w:t>
      </w:r>
    </w:p>
    <w:tbl>
      <w:tblPr>
        <w:tblW w:w="4645" w:type="dxa"/>
        <w:jc w:val="left"/>
        <w:tblInd w:w="0" w:type="dxa"/>
        <w:tblCellMar>
          <w:top w:w="0" w:type="dxa"/>
          <w:left w:w="0" w:type="dxa"/>
          <w:bottom w:w="0" w:type="dxa"/>
          <w:right w:w="0" w:type="dxa"/>
        </w:tblCellMar>
      </w:tblPr>
      <w:tblGrid>
        <w:gridCol w:w="3395"/>
        <w:gridCol w:w="60"/>
        <w:gridCol w:w="1190"/>
      </w:tblGrid>
      <w:tr>
        <w:trPr/>
        <w:tc>
          <w:tcPr>
            <w:tcW w:w="3395" w:type="dxa"/>
            <w:tcBorders/>
            <w:shd w:fill="auto" w:val="clear"/>
            <w:vAlign w:val="center"/>
          </w:tcPr>
          <w:p>
            <w:pPr>
              <w:pStyle w:val="TableContents"/>
              <w:spacing w:before="0" w:after="283"/>
              <w:jc w:val="center"/>
              <w:rPr>
                <w:b/>
              </w:rPr>
            </w:pPr>
            <w:bookmarkStart w:id="8" w:name="xdx_908_edei--EntityAddressAddressLine1_"/>
            <w:bookmarkEnd w:id="8"/>
            <w:r>
              <w:rPr>
                <w:b/>
              </w:rPr>
              <w:t>One Comcast Center</w:t>
            </w:r>
          </w:p>
        </w:tc>
        <w:tc>
          <w:tcPr>
            <w:tcW w:w="60" w:type="dxa"/>
            <w:tcBorders/>
            <w:shd w:fill="auto" w:val="clear"/>
            <w:vAlign w:val="center"/>
          </w:tcPr>
          <w:p>
            <w:pPr>
              <w:pStyle w:val="TableContents"/>
              <w:spacing w:before="0" w:after="283"/>
              <w:jc w:val="center"/>
              <w:rPr/>
            </w:pPr>
            <w:r>
              <w:rPr/>
              <w:t> </w:t>
            </w:r>
          </w:p>
        </w:tc>
        <w:tc>
          <w:tcPr>
            <w:tcW w:w="1190" w:type="dxa"/>
            <w:tcBorders/>
            <w:shd w:fill="auto" w:val="clear"/>
            <w:vAlign w:val="center"/>
          </w:tcPr>
          <w:p>
            <w:pPr>
              <w:pStyle w:val="TableContents"/>
              <w:spacing w:before="0" w:after="283"/>
              <w:jc w:val="center"/>
              <w:rPr>
                <w:b/>
              </w:rPr>
            </w:pPr>
            <w:bookmarkStart w:id="9" w:name="xdx_90C_edei--EntityAddressPostalZipCode"/>
            <w:bookmarkEnd w:id="9"/>
            <w:r>
              <w:rPr>
                <w:b/>
              </w:rPr>
              <w:t>19103-2838</w:t>
            </w:r>
          </w:p>
        </w:tc>
      </w:tr>
      <w:tr>
        <w:trPr/>
        <w:tc>
          <w:tcPr>
            <w:tcW w:w="3395" w:type="dxa"/>
            <w:tcBorders/>
            <w:shd w:fill="auto" w:val="clear"/>
            <w:vAlign w:val="center"/>
          </w:tcPr>
          <w:p>
            <w:pPr>
              <w:pStyle w:val="TableContents"/>
              <w:spacing w:before="0" w:after="283"/>
              <w:jc w:val="center"/>
              <w:rPr>
                <w:b/>
              </w:rPr>
            </w:pPr>
            <w:bookmarkStart w:id="10" w:name="xdx_902_edei--EntityAddressCityOrTown_c2"/>
            <w:bookmarkEnd w:id="10"/>
            <w:r>
              <w:rPr>
                <w:b/>
              </w:rPr>
              <w:t xml:space="preserve">Philadelphia, </w:t>
            </w:r>
            <w:bookmarkStart w:id="11" w:name="xdx_900_edei--EntityAddressStateOrProvin"/>
            <w:bookmarkEnd w:id="11"/>
            <w:r>
              <w:rPr>
                <w:b/>
              </w:rPr>
              <w:t>PA</w:t>
            </w:r>
          </w:p>
        </w:tc>
        <w:tc>
          <w:tcPr>
            <w:tcW w:w="60" w:type="dxa"/>
            <w:tcBorders/>
            <w:shd w:fill="auto" w:val="clear"/>
            <w:vAlign w:val="center"/>
          </w:tcPr>
          <w:p>
            <w:pPr>
              <w:pStyle w:val="TableContents"/>
              <w:spacing w:before="0" w:after="283"/>
              <w:jc w:val="center"/>
              <w:rPr/>
            </w:pPr>
            <w:r>
              <w:rPr/>
              <w:t> </w:t>
            </w:r>
          </w:p>
        </w:tc>
        <w:tc>
          <w:tcPr>
            <w:tcW w:w="1190" w:type="dxa"/>
            <w:tcBorders/>
            <w:shd w:fill="auto" w:val="clear"/>
            <w:vAlign w:val="center"/>
          </w:tcPr>
          <w:p>
            <w:pPr>
              <w:pStyle w:val="TableContents"/>
              <w:spacing w:before="0" w:after="283"/>
              <w:jc w:val="center"/>
              <w:rPr>
                <w:b/>
                <w:sz w:val="20"/>
              </w:rPr>
            </w:pPr>
            <w:r>
              <w:rPr>
                <w:b/>
                <w:sz w:val="20"/>
              </w:rPr>
              <w:t>(Zip Code)</w:t>
            </w:r>
          </w:p>
        </w:tc>
      </w:tr>
      <w:tr>
        <w:trPr/>
        <w:tc>
          <w:tcPr>
            <w:tcW w:w="3395" w:type="dxa"/>
            <w:tcBorders/>
            <w:shd w:fill="auto" w:val="clear"/>
            <w:vAlign w:val="center"/>
          </w:tcPr>
          <w:p>
            <w:pPr>
              <w:pStyle w:val="TableContents"/>
              <w:spacing w:before="0" w:after="283"/>
              <w:jc w:val="center"/>
              <w:rPr>
                <w:b/>
                <w:sz w:val="20"/>
              </w:rPr>
            </w:pPr>
            <w:r>
              <w:rPr>
                <w:b/>
                <w:sz w:val="20"/>
              </w:rPr>
              <w:t>(Address of Principal Executive Offices)</w:t>
            </w:r>
          </w:p>
        </w:tc>
        <w:tc>
          <w:tcPr>
            <w:tcW w:w="60" w:type="dxa"/>
            <w:tcBorders/>
            <w:shd w:fill="auto" w:val="clear"/>
            <w:vAlign w:val="center"/>
          </w:tcPr>
          <w:p>
            <w:pPr>
              <w:pStyle w:val="TableContents"/>
              <w:spacing w:before="0" w:after="283"/>
              <w:jc w:val="center"/>
              <w:rPr/>
            </w:pPr>
            <w:r>
              <w:rPr/>
              <w:t> </w:t>
            </w:r>
          </w:p>
        </w:tc>
        <w:tc>
          <w:tcPr>
            <w:tcW w:w="11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8_edei--CityAreaCode_c20230501__20"/>
      <w:bookmarkEnd w:id="12"/>
      <w:r>
        <w:rPr>
          <w:rFonts w:ascii="Times New Roman;Times;Serif" w:hAnsi="Times New Roman;Times;Serif"/>
          <w:b/>
          <w:i w:val="false"/>
          <w:caps w:val="false"/>
          <w:smallCaps w:val="false"/>
          <w:sz w:val="20"/>
        </w:rPr>
        <w:t xml:space="preserve">215) </w:t>
      </w:r>
      <w:bookmarkStart w:id="13" w:name="xdx_905_edei--LocalPhoneNumber_c20230501"/>
      <w:bookmarkEnd w:id="13"/>
      <w:r>
        <w:rPr>
          <w:rFonts w:ascii="Times New Roman;Times;Serif" w:hAnsi="Times New Roman;Times;Serif"/>
          <w:b/>
          <w:i w:val="false"/>
          <w:caps w:val="false"/>
          <w:smallCaps w:val="false"/>
          <w:sz w:val="20"/>
        </w:rPr>
        <w:t>286-1700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360"/>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4" w:name="xdx_900_edei--WrittenCommunications_c202"/>
            <w:bookmarkEnd w:id="14"/>
            <w:r>
              <w:rPr/>
              <w:t>☐</w:t>
            </w:r>
          </w:p>
        </w:tc>
        <w:tc>
          <w:tcPr>
            <w:tcW w:w="8525" w:type="dxa"/>
            <w:tcBorders/>
            <w:shd w:fill="auto" w:val="clear"/>
            <w:vAlign w:val="center"/>
          </w:tcPr>
          <w:p>
            <w:pPr>
              <w:pStyle w:val="TableContents"/>
              <w:spacing w:before="0" w:after="283"/>
              <w:rPr/>
            </w:pPr>
            <w:r>
              <w:rPr/>
              <w:t>Written communications pursuant to Rule 425 under the Securities Act (17 CFR 230.425)</w:t>
            </w:r>
          </w:p>
        </w:tc>
      </w:tr>
    </w:tbl>
    <w:p>
      <w:pPr>
        <w:pStyle w:val="TextBody"/>
        <w:spacing w:before="0" w:after="0"/>
        <w:ind w:left="720" w:right="0" w:hanging="360"/>
        <w:rPr>
          <w:caps w:val="false"/>
          <w:smallCaps w:val="false"/>
        </w:rPr>
      </w:pPr>
      <w:r>
        <w:rPr>
          <w:caps w:val="false"/>
          <w:smallCaps w:val="false"/>
        </w:rPr>
        <w:t> </w:t>
      </w:r>
    </w:p>
    <w:tbl>
      <w:tblPr>
        <w:tblW w:w="9093" w:type="dxa"/>
        <w:jc w:val="left"/>
        <w:tblInd w:w="0" w:type="dxa"/>
        <w:tblCellMar>
          <w:top w:w="0" w:type="dxa"/>
          <w:left w:w="0" w:type="dxa"/>
          <w:bottom w:w="0" w:type="dxa"/>
          <w:right w:w="0" w:type="dxa"/>
        </w:tblCellMar>
      </w:tblPr>
      <w:tblGrid>
        <w:gridCol w:w="38"/>
        <w:gridCol w:w="230"/>
        <w:gridCol w:w="88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5" w:name="xdx_907_edei--SolicitingMaterial_c202305"/>
            <w:bookmarkEnd w:id="15"/>
            <w:r>
              <w:rPr/>
              <w:t>☐</w:t>
            </w:r>
          </w:p>
        </w:tc>
        <w:tc>
          <w:tcPr>
            <w:tcW w:w="8825" w:type="dxa"/>
            <w:tcBorders/>
            <w:shd w:fill="auto" w:val="clear"/>
            <w:vAlign w:val="center"/>
          </w:tcPr>
          <w:p>
            <w:pPr>
              <w:pStyle w:val="TableContents"/>
              <w:spacing w:before="0" w:after="283"/>
              <w:rPr/>
            </w:pPr>
            <w:r>
              <w:rPr/>
              <w:t>Soliciting material pursuant to Rule 14a-12(b) under the Exchange Act (17 CFR 240.14a-12)</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6" w:name="xdx_90F_edei--PreCommencementTenderOffer"/>
            <w:bookmarkEnd w:id="16"/>
            <w:r>
              <w:rPr/>
              <w:t>☐</w:t>
            </w:r>
          </w:p>
        </w:tc>
        <w:tc>
          <w:tcPr>
            <w:tcW w:w="9937" w:type="dxa"/>
            <w:tcBorders/>
            <w:shd w:fill="auto" w:val="clear"/>
            <w:vAlign w:val="center"/>
          </w:tcPr>
          <w:p>
            <w:pPr>
              <w:pStyle w:val="TableContents"/>
              <w:spacing w:before="0" w:after="283"/>
              <w:rPr/>
            </w:pPr>
            <w:r>
              <w:rPr/>
              <w:t>Pre-commencement communications pursuant to Rule 14d-2(b) under the Exchange Act (17 CFR 240.14d-2(b))</w:t>
            </w:r>
          </w:p>
        </w:tc>
      </w:tr>
    </w:tbl>
    <w:p>
      <w:pPr>
        <w:pStyle w:val="TextBody"/>
        <w:spacing w:before="0" w:after="0"/>
        <w:ind w:left="720" w:right="0" w:hanging="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7" w:name="xdx_909_edei--PreCommencementIssuerTende"/>
            <w:bookmarkEnd w:id="17"/>
            <w:r>
              <w:rPr/>
              <w:t>☐</w:t>
            </w:r>
          </w:p>
        </w:tc>
        <w:tc>
          <w:tcPr>
            <w:tcW w:w="9937" w:type="dxa"/>
            <w:tcBorders/>
            <w:shd w:fill="auto" w:val="clear"/>
            <w:vAlign w:val="center"/>
          </w:tcPr>
          <w:p>
            <w:pPr>
              <w:pStyle w:val="TableContents"/>
              <w:spacing w:before="0" w:after="283"/>
              <w:rPr/>
            </w:pPr>
            <w:r>
              <w:rPr/>
              <w:t>Pre-commencement communications pursuant to Rule 13e-4(c) under the Exchange Act (17 CFR 240.13e-4(c))</w:t>
            </w:r>
          </w:p>
        </w:tc>
      </w:tr>
    </w:tbl>
    <w:p>
      <w:pPr>
        <w:pStyle w:val="TextBody"/>
        <w:spacing w:before="0" w:after="0"/>
        <w:ind w:left="720" w:right="0" w:hanging="360"/>
        <w:rPr>
          <w:caps w:val="false"/>
          <w:smallCaps w:val="false"/>
        </w:rPr>
      </w:pPr>
      <w:r>
        <w:rPr>
          <w:caps w:val="false"/>
          <w:smallCaps w:val="false"/>
        </w:rPr>
        <w:t> </w:t>
      </w:r>
    </w:p>
    <w:tbl>
      <w:tblPr>
        <w:tblW w:w="9690" w:type="dxa"/>
        <w:jc w:val="left"/>
        <w:tblInd w:w="0" w:type="dxa"/>
        <w:tblCellMar>
          <w:top w:w="28" w:type="dxa"/>
          <w:left w:w="28" w:type="dxa"/>
          <w:bottom w:w="28" w:type="dxa"/>
          <w:right w:w="28" w:type="dxa"/>
        </w:tblCellMar>
      </w:tblPr>
      <w:tblGrid>
        <w:gridCol w:w="4565"/>
        <w:gridCol w:w="1535"/>
        <w:gridCol w:w="3590"/>
      </w:tblGrid>
      <w:tr>
        <w:trPr/>
        <w:tc>
          <w:tcPr>
            <w:tcW w:w="456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sz w:val="20"/>
              </w:rPr>
            </w:pPr>
            <w:r>
              <w:rPr>
                <w:sz w:val="20"/>
              </w:rPr>
              <w:t>Name of each exchange on which registered</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18" w:name="xdx_901_edei--Security12bTitle_c20230501"/>
            <w:bookmarkEnd w:id="18"/>
            <w:r>
              <w:rPr>
                <w:sz w:val="20"/>
              </w:rPr>
              <w:t>Class A Common Stock, $0.01 par value</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19" w:name="xdx_907_edei--TradingSymbol_c20230501__2"/>
            <w:bookmarkEnd w:id="19"/>
            <w:r>
              <w:rPr>
                <w:sz w:val="20"/>
              </w:rPr>
              <w:t>CMCSA</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0" w:name="xdx_905_edei--SecurityExchangeName_c2023"/>
            <w:bookmarkEnd w:id="20"/>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21" w:name="xdx_907_edei--Security12bTitle_c20230501"/>
            <w:bookmarkEnd w:id="21"/>
            <w:r>
              <w:rPr>
                <w:sz w:val="20"/>
              </w:rPr>
              <w:t>0.000% Notes due 2026</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2" w:name="xdx_907_edei--TradingSymbol_c20230501__2"/>
            <w:bookmarkEnd w:id="22"/>
            <w:r>
              <w:rPr>
                <w:sz w:val="20"/>
              </w:rPr>
              <w:t>CMCS26</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3" w:name="xdx_907_edei--SecurityExchangeName_c2023"/>
            <w:bookmarkEnd w:id="23"/>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24" w:name="xdx_903_edei--Security12bTitle_c20230501"/>
            <w:bookmarkEnd w:id="24"/>
            <w:r>
              <w:rPr>
                <w:sz w:val="20"/>
              </w:rPr>
              <w:t>0.250% Notes due 2027</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5" w:name="xdx_90C_edei--TradingSymbol_c20230501__2"/>
            <w:bookmarkEnd w:id="25"/>
            <w:r>
              <w:rPr>
                <w:sz w:val="20"/>
              </w:rPr>
              <w:t>CMCS27</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6" w:name="xdx_903_edei--SecurityExchangeName_c2023"/>
            <w:bookmarkEnd w:id="26"/>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27" w:name="xdx_905_edei--Security12bTitle_c20230501"/>
            <w:bookmarkEnd w:id="27"/>
            <w:r>
              <w:rPr>
                <w:sz w:val="20"/>
              </w:rPr>
              <w:t>1.500% Notes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8" w:name="xdx_906_edei--TradingSymbol_c20230501__2"/>
            <w:bookmarkEnd w:id="28"/>
            <w:r>
              <w:rPr>
                <w:sz w:val="20"/>
              </w:rPr>
              <w:t>CMCS29</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29" w:name="xdx_909_edei--SecurityExchangeName_c2023"/>
            <w:bookmarkEnd w:id="29"/>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30" w:name="xdx_90F_edei--Security12bTitle_c20230501"/>
            <w:bookmarkEnd w:id="30"/>
            <w:r>
              <w:rPr>
                <w:sz w:val="20"/>
              </w:rPr>
              <w:t>0.250% Notes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31" w:name="xdx_908_edei--TradingSymbol_c20230501__2"/>
            <w:bookmarkEnd w:id="31"/>
            <w:r>
              <w:rPr>
                <w:sz w:val="20"/>
              </w:rPr>
              <w:t>CMCS29A</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32" w:name="xdx_900_edei--SecurityExchangeName_c2023"/>
            <w:bookmarkEnd w:id="32"/>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33" w:name="xdx_904_edei--Security12bTitle_c20230501"/>
            <w:bookmarkEnd w:id="33"/>
            <w:r>
              <w:rPr>
                <w:sz w:val="20"/>
              </w:rPr>
              <w:t>0.750% Notes due 2032</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34" w:name="xdx_901_edei--TradingSymbol_c20230501__2"/>
            <w:bookmarkEnd w:id="34"/>
            <w:r>
              <w:rPr>
                <w:sz w:val="20"/>
              </w:rPr>
              <w:t>CMCS32</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35" w:name="xdx_908_edei--SecurityExchangeName_c2023"/>
            <w:bookmarkEnd w:id="35"/>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36" w:name="xdx_909_edei--Security12bTitle_c20230501"/>
            <w:bookmarkEnd w:id="36"/>
            <w:r>
              <w:rPr>
                <w:sz w:val="20"/>
              </w:rPr>
              <w:t>1.875% Notes due 2036</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37" w:name="xdx_90D_edei--TradingSymbol_c20230501__2"/>
            <w:bookmarkEnd w:id="37"/>
            <w:r>
              <w:rPr>
                <w:sz w:val="20"/>
              </w:rPr>
              <w:t>CMCS36</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38" w:name="xdx_906_edei--SecurityExchangeName_c2023"/>
            <w:bookmarkEnd w:id="38"/>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39" w:name="xdx_900_edei--Security12bTitle_c20230501"/>
            <w:bookmarkEnd w:id="39"/>
            <w:r>
              <w:rPr>
                <w:sz w:val="20"/>
              </w:rPr>
              <w:t>1.250% Notes due 2040</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40" w:name="xdx_90E_edei--TradingSymbol_c20230501__2"/>
            <w:bookmarkEnd w:id="40"/>
            <w:r>
              <w:rPr>
                <w:sz w:val="20"/>
              </w:rPr>
              <w:t>CMCS40</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41" w:name="xdx_909_edei--SecurityExchangeName_c2023"/>
            <w:bookmarkEnd w:id="41"/>
            <w:r>
              <w:rPr>
                <w:sz w:val="20"/>
              </w:rPr>
              <w:t>The Nasdaq Stock Market LLC</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42" w:name="xdx_90B_edei--Security12bTitle_c20230501"/>
            <w:bookmarkEnd w:id="42"/>
            <w:r>
              <w:rPr>
                <w:sz w:val="20"/>
              </w:rPr>
              <w:t>5.50% Notes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43" w:name="xdx_90D_edei--TradingSymbol_c20230501__2"/>
            <w:bookmarkEnd w:id="43"/>
            <w:r>
              <w:rPr>
                <w:sz w:val="20"/>
              </w:rPr>
              <w:t>CCGBP29</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44" w:name="xdx_90C_edei--SecurityExchangeName_c2023"/>
            <w:bookmarkEnd w:id="44"/>
            <w:r>
              <w:rPr>
                <w:sz w:val="20"/>
              </w:rPr>
              <w:t>New York Stock Exchange</w:t>
            </w:r>
          </w:p>
        </w:tc>
      </w:tr>
      <w:tr>
        <w:trPr/>
        <w:tc>
          <w:tcPr>
            <w:tcW w:w="456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sz w:val="20"/>
              </w:rPr>
            </w:pPr>
            <w:bookmarkStart w:id="45" w:name="xdx_906_edei--Security12bTitle_c20230501"/>
            <w:bookmarkEnd w:id="45"/>
            <w:r>
              <w:rPr>
                <w:sz w:val="20"/>
              </w:rPr>
              <w:t>2.0% Exchangeable Subordinated Debentures due 2029</w:t>
            </w:r>
          </w:p>
        </w:tc>
        <w:tc>
          <w:tcPr>
            <w:tcW w:w="15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46" w:name="xdx_900_edei--TradingSymbol_c20230501__2"/>
            <w:bookmarkEnd w:id="46"/>
            <w:r>
              <w:rPr>
                <w:sz w:val="20"/>
              </w:rPr>
              <w:t>CCZ</w:t>
            </w:r>
          </w:p>
        </w:tc>
        <w:tc>
          <w:tcPr>
            <w:tcW w:w="35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sz w:val="20"/>
              </w:rPr>
            </w:pPr>
            <w:bookmarkStart w:id="47" w:name="xdx_90A_edei--SecurityExchangeName_c2023"/>
            <w:bookmarkEnd w:id="47"/>
            <w:r>
              <w:rPr>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48" w:name="xdx_90E_edei--EntityEmergingGrowthCompan"/>
      <w:bookmarkEnd w:id="4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spacing w:before="0" w:after="0"/>
        <w:ind w:left="187" w:right="0" w:hanging="0"/>
        <w:rPr>
          <w:caps w:val="false"/>
          <w:smallCaps w:val="false"/>
        </w:rPr>
      </w:pPr>
      <w:r>
        <w:rPr>
          <w:caps w:val="false"/>
          <w:smallCaps w:val="false"/>
        </w:rPr>
        <w:t> </w:t>
      </w:r>
    </w:p>
    <w:p>
      <w:pPr>
        <w:pStyle w:val="TextBody"/>
        <w:spacing w:before="0" w:after="0"/>
        <w:ind w:left="187"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pacing w:before="0" w:after="0"/>
        <w:ind w:left="187" w:right="0" w:hanging="0"/>
        <w:rPr>
          <w:caps w:val="false"/>
          <w:smallCaps w:val="false"/>
        </w:rPr>
      </w:pPr>
      <w:r>
        <w:rPr>
          <w:caps w:val="false"/>
          <w:smallCaps w:val="false"/>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May 1, 2023, Comcast Corporation (“Comcast”) announced that it has commenced cash tender offers to purchase any and all of its outstanding 3.700% Notes due 2024 (CUSIP No.: 20030NCR0), Floating Rate Notes due 2024 (CUSIP No.: 20030NCX7) and 3.375% Notes due 2025 (CUSIP No.: 20030NBL4) (collectively, the “Comcast Offers”) and Sky Limited, a subsidiary of Comcast, has commenced a cash tender offer to purchase any and all of its outstanding 3.750% Senior Unsecured Notes due 2024 (CUSIP Nos.: 111013AL2 and G15632AP0) (the “Sky Offer” and, together with the Comcast Offers, the “Offers”).</w:t>
      </w:r>
    </w:p>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A copy of the press release is attached as Exhibit 99.1 hereto and is incorporated herein by reference.</w:t>
      </w:r>
    </w:p>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hd w:fill="FFFFFF" w:val="clear"/>
        <w:spacing w:before="0" w:after="0"/>
        <w:ind w:left="0" w:right="0" w:hanging="0"/>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This Current Report on Form 8-K is neither an offer to sell nor a solicitation of offers to buy any securities. The Offers are being made only pursuant to the Offer to Purchase and the related Notice of Guaranteed Delivery. The Offers are not being made to holders of securities in any jurisdiction in which the making or acceptance thereof would not be in compliance with the securities, blue sky or other laws of such jurisdiction.</w:t>
      </w:r>
    </w:p>
    <w:p>
      <w:pPr>
        <w:pStyle w:val="TextBody"/>
        <w:shd w:fill="FFFFFF" w:val="clear"/>
        <w:spacing w:before="0" w:after="0"/>
        <w:ind w:left="0" w:right="0" w:hanging="0"/>
        <w:rPr>
          <w:caps w:val="false"/>
          <w:smallCaps w:val="false"/>
          <w:color w:val="212529"/>
        </w:rPr>
      </w:pPr>
      <w:r>
        <w:rPr>
          <w:caps w:val="false"/>
          <w:smallCaps w:val="false"/>
          <w:color w:val="212529"/>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spacing w:before="0" w:after="0"/>
        <w:ind w:left="187" w:right="0" w:hanging="0"/>
        <w:rPr>
          <w:caps w:val="false"/>
          <w:smallCaps w:val="false"/>
        </w:rPr>
      </w:pPr>
      <w:r>
        <w:rPr>
          <w:caps w:val="false"/>
          <w:smallCaps w:val="false"/>
        </w:rPr>
        <w:t> </w:t>
      </w:r>
    </w:p>
    <w:tbl>
      <w:tblPr>
        <w:tblW w:w="8545" w:type="dxa"/>
        <w:jc w:val="left"/>
        <w:tblInd w:w="0" w:type="dxa"/>
        <w:tblCellMar>
          <w:top w:w="0" w:type="dxa"/>
          <w:left w:w="0" w:type="dxa"/>
          <w:bottom w:w="28" w:type="dxa"/>
          <w:right w:w="0" w:type="dxa"/>
        </w:tblCellMar>
      </w:tblPr>
      <w:tblGrid>
        <w:gridCol w:w="1400"/>
        <w:gridCol w:w="60"/>
        <w:gridCol w:w="7085"/>
      </w:tblGrid>
      <w:tr>
        <w:trPr/>
        <w:tc>
          <w:tcPr>
            <w:tcW w:w="1400" w:type="dxa"/>
            <w:tcBorders>
              <w:bottom w:val="single" w:sz="8" w:space="0" w:color="000000"/>
            </w:tcBorders>
            <w:shd w:fill="auto" w:val="clear"/>
            <w:vAlign w:val="center"/>
          </w:tcPr>
          <w:p>
            <w:pPr>
              <w:pStyle w:val="TableContents"/>
              <w:spacing w:before="0" w:after="283"/>
              <w:rPr>
                <w:b/>
                <w:sz w:val="20"/>
              </w:rPr>
            </w:pPr>
            <w:r>
              <w:rPr>
                <w:b/>
                <w:sz w:val="20"/>
              </w:rPr>
              <w:t>Exhibit Number</w:t>
            </w:r>
          </w:p>
        </w:tc>
        <w:tc>
          <w:tcPr>
            <w:tcW w:w="60" w:type="dxa"/>
            <w:tcBorders/>
            <w:shd w:fill="auto" w:val="clear"/>
            <w:tcMar>
              <w:bottom w:w="0" w:type="dxa"/>
            </w:tcMar>
            <w:vAlign w:val="center"/>
          </w:tcPr>
          <w:p>
            <w:pPr>
              <w:pStyle w:val="TableContents"/>
              <w:spacing w:before="0" w:after="283"/>
              <w:rPr/>
            </w:pPr>
            <w:r>
              <w:rPr/>
              <w:t> </w:t>
            </w:r>
          </w:p>
        </w:tc>
        <w:tc>
          <w:tcPr>
            <w:tcW w:w="7085" w:type="dxa"/>
            <w:tcBorders>
              <w:bottom w:val="single" w:sz="8" w:space="0" w:color="000000"/>
            </w:tcBorders>
            <w:shd w:fill="auto" w:val="clear"/>
            <w:vAlign w:val="center"/>
          </w:tcPr>
          <w:p>
            <w:pPr>
              <w:pStyle w:val="TableContents"/>
              <w:spacing w:before="0" w:after="283"/>
              <w:rPr>
                <w:b/>
                <w:sz w:val="20"/>
              </w:rPr>
            </w:pPr>
            <w:r>
              <w:rPr>
                <w:b/>
                <w:sz w:val="20"/>
              </w:rPr>
              <w:t>Description</w:t>
            </w:r>
          </w:p>
        </w:tc>
      </w:tr>
      <w:tr>
        <w:trPr/>
        <w:tc>
          <w:tcPr>
            <w:tcW w:w="1400" w:type="dxa"/>
            <w:tcBorders/>
            <w:shd w:fill="auto" w:val="clear"/>
            <w:tcMar>
              <w:bottom w:w="0" w:type="dxa"/>
            </w:tcMar>
            <w:vAlign w:val="center"/>
          </w:tcPr>
          <w:p>
            <w:pPr>
              <w:pStyle w:val="TableContents"/>
              <w:spacing w:before="0" w:after="283"/>
              <w:rPr/>
            </w:pPr>
            <w:hyperlink w:anchor="dp193091_ex9901.htm">
              <w:r>
                <w:rPr>
                  <w:rStyle w:val="InternetLink"/>
                  <w:sz w:val="20"/>
                </w:rPr>
                <w:t>99.1</w:t>
              </w:r>
            </w:hyperlink>
          </w:p>
        </w:tc>
        <w:tc>
          <w:tcPr>
            <w:tcW w:w="60"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pPr>
            <w:hyperlink w:anchor="dp193091_ex9901.htm">
              <w:r>
                <w:rPr>
                  <w:rStyle w:val="InternetLink"/>
                  <w:sz w:val="20"/>
                </w:rPr>
                <w:t>Comcast press release dated May 1, 2023 announcing the commencement of the Offers.</w:t>
              </w:r>
            </w:hyperlink>
          </w:p>
        </w:tc>
      </w:tr>
      <w:tr>
        <w:trPr/>
        <w:tc>
          <w:tcPr>
            <w:tcW w:w="140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pPr>
            <w:r>
              <w:rPr/>
              <w:t> </w:t>
            </w:r>
          </w:p>
        </w:tc>
      </w:tr>
      <w:tr>
        <w:trPr/>
        <w:tc>
          <w:tcPr>
            <w:tcW w:w="1400" w:type="dxa"/>
            <w:tcBorders/>
            <w:shd w:fill="auto" w:val="clear"/>
            <w:tcMar>
              <w:bottom w:w="0" w:type="dxa"/>
            </w:tcMar>
            <w:vAlign w:val="center"/>
          </w:tcPr>
          <w:p>
            <w:pPr>
              <w:pStyle w:val="TableContents"/>
              <w:spacing w:before="0" w:after="283"/>
              <w:rPr>
                <w:sz w:val="20"/>
              </w:rPr>
            </w:pPr>
            <w:r>
              <w:rPr>
                <w:sz w:val="20"/>
              </w:rPr>
              <w:t>104</w:t>
            </w:r>
          </w:p>
        </w:tc>
        <w:tc>
          <w:tcPr>
            <w:tcW w:w="60" w:type="dxa"/>
            <w:tcBorders/>
            <w:shd w:fill="auto" w:val="clear"/>
            <w:tcMar>
              <w:bottom w:w="0" w:type="dxa"/>
            </w:tcMar>
            <w:vAlign w:val="center"/>
          </w:tcPr>
          <w:p>
            <w:pPr>
              <w:pStyle w:val="TableContents"/>
              <w:spacing w:before="0" w:after="283"/>
              <w:rPr/>
            </w:pPr>
            <w:r>
              <w:rPr/>
              <w:t> </w:t>
            </w:r>
          </w:p>
        </w:tc>
        <w:tc>
          <w:tcPr>
            <w:tcW w:w="7085" w:type="dxa"/>
            <w:tcBorders/>
            <w:shd w:fill="auto" w:val="clear"/>
            <w:tcMar>
              <w:bottom w:w="0" w:type="dxa"/>
            </w:tcMar>
            <w:vAlign w:val="center"/>
          </w:tcPr>
          <w:p>
            <w:pPr>
              <w:pStyle w:val="TableContents"/>
              <w:spacing w:before="0" w:after="283"/>
              <w:rPr>
                <w:sz w:val="20"/>
              </w:rPr>
            </w:pPr>
            <w:r>
              <w:rPr>
                <w:sz w:val="20"/>
              </w:rPr>
              <w:t>Cover Page Interactive Data File (embedded within the Inline XBRL document).</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36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44"/>
        <w:gridCol w:w="1225"/>
        <w:gridCol w:w="364"/>
        <w:gridCol w:w="649"/>
        <w:gridCol w:w="7423"/>
      </w:tblGrid>
      <w:tr>
        <w:trPr/>
        <w:tc>
          <w:tcPr>
            <w:tcW w:w="1769" w:type="dxa"/>
            <w:gridSpan w:val="2"/>
            <w:tcBorders/>
            <w:shd w:fill="auto" w:val="clear"/>
            <w:vAlign w:val="center"/>
          </w:tcPr>
          <w:p>
            <w:pPr>
              <w:pStyle w:val="TableContents"/>
              <w:spacing w:before="0" w:after="283"/>
              <w:rPr/>
            </w:pPr>
            <w:r>
              <w:rPr/>
              <w:t> </w:t>
            </w:r>
          </w:p>
        </w:tc>
        <w:tc>
          <w:tcPr>
            <w:tcW w:w="8436" w:type="dxa"/>
            <w:gridSpan w:val="3"/>
            <w:tcBorders/>
            <w:shd w:fill="auto" w:val="clear"/>
            <w:vAlign w:val="center"/>
          </w:tcPr>
          <w:p>
            <w:pPr>
              <w:pStyle w:val="TableContents"/>
              <w:spacing w:before="0" w:after="283"/>
              <w:rPr>
                <w:b/>
              </w:rPr>
            </w:pPr>
            <w:r>
              <w:rPr>
                <w:b/>
              </w:rPr>
              <w:t>COMCAST CORPORATION</w:t>
            </w:r>
          </w:p>
        </w:tc>
      </w:tr>
      <w:tr>
        <w:trPr/>
        <w:tc>
          <w:tcPr>
            <w:tcW w:w="1769" w:type="dxa"/>
            <w:gridSpan w:val="2"/>
            <w:tcBorders/>
            <w:shd w:fill="auto" w:val="clear"/>
            <w:vAlign w:val="center"/>
          </w:tcPr>
          <w:p>
            <w:pPr>
              <w:pStyle w:val="TableContents"/>
              <w:spacing w:before="0" w:after="283"/>
              <w:rPr/>
            </w:pPr>
            <w:r>
              <w:rPr/>
              <w:t> </w:t>
            </w:r>
          </w:p>
        </w:tc>
        <w:tc>
          <w:tcPr>
            <w:tcW w:w="8436" w:type="dxa"/>
            <w:gridSpan w:val="3"/>
            <w:tcBorders/>
            <w:shd w:fill="auto" w:val="clear"/>
            <w:vAlign w:val="center"/>
          </w:tcPr>
          <w:p>
            <w:pPr>
              <w:pStyle w:val="TableContents"/>
              <w:spacing w:before="0" w:after="283"/>
              <w:rPr/>
            </w:pPr>
            <w:r>
              <w:rPr/>
              <w:t> </w:t>
            </w:r>
          </w:p>
        </w:tc>
      </w:tr>
      <w:tr>
        <w:trPr/>
        <w:tc>
          <w:tcPr>
            <w:tcW w:w="544" w:type="dxa"/>
            <w:tcBorders/>
            <w:shd w:fill="auto" w:val="clear"/>
            <w:vAlign w:val="center"/>
          </w:tcPr>
          <w:p>
            <w:pPr>
              <w:pStyle w:val="TableContents"/>
              <w:spacing w:before="0" w:after="283"/>
              <w:rPr/>
            </w:pPr>
            <w:r>
              <w:rPr/>
              <w:t>Date:</w:t>
            </w:r>
          </w:p>
        </w:tc>
        <w:tc>
          <w:tcPr>
            <w:tcW w:w="1225" w:type="dxa"/>
            <w:tcBorders/>
            <w:shd w:fill="auto" w:val="clear"/>
            <w:vAlign w:val="center"/>
          </w:tcPr>
          <w:p>
            <w:pPr>
              <w:pStyle w:val="TableContents"/>
              <w:spacing w:before="0" w:after="283"/>
              <w:rPr/>
            </w:pPr>
            <w:r>
              <w:rPr/>
              <w:t>May 1, 2023</w:t>
            </w:r>
          </w:p>
        </w:tc>
        <w:tc>
          <w:tcPr>
            <w:tcW w:w="364" w:type="dxa"/>
            <w:tcBorders/>
            <w:shd w:fill="auto" w:val="clear"/>
            <w:vAlign w:val="center"/>
          </w:tcPr>
          <w:p>
            <w:pPr>
              <w:pStyle w:val="TableContents"/>
              <w:spacing w:before="0" w:after="283"/>
              <w:rPr/>
            </w:pPr>
            <w:r>
              <w:rPr/>
              <w:t>By:</w:t>
            </w:r>
          </w:p>
        </w:tc>
        <w:tc>
          <w:tcPr>
            <w:tcW w:w="8072" w:type="dxa"/>
            <w:gridSpan w:val="2"/>
            <w:tcBorders>
              <w:bottom w:val="single" w:sz="8" w:space="0" w:color="000000"/>
            </w:tcBorders>
            <w:shd w:fill="auto" w:val="clear"/>
            <w:tcMar>
              <w:bottom w:w="28" w:type="dxa"/>
            </w:tcMar>
            <w:vAlign w:val="center"/>
          </w:tcPr>
          <w:p>
            <w:pPr>
              <w:pStyle w:val="TableContents"/>
              <w:spacing w:before="0" w:after="283"/>
              <w:rPr/>
            </w:pPr>
            <w:r>
              <w:rPr/>
              <w:t>/s/ Elizabeth Wideman</w:t>
            </w:r>
          </w:p>
        </w:tc>
      </w:tr>
      <w:tr>
        <w:trPr/>
        <w:tc>
          <w:tcPr>
            <w:tcW w:w="544"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649" w:type="dxa"/>
            <w:tcBorders/>
            <w:shd w:fill="auto" w:val="clear"/>
            <w:vAlign w:val="center"/>
          </w:tcPr>
          <w:p>
            <w:pPr>
              <w:pStyle w:val="TableContents"/>
              <w:spacing w:before="0" w:after="283"/>
              <w:rPr/>
            </w:pPr>
            <w:r>
              <w:rPr/>
              <w:t>Name:</w:t>
            </w:r>
          </w:p>
        </w:tc>
        <w:tc>
          <w:tcPr>
            <w:tcW w:w="7423" w:type="dxa"/>
            <w:tcBorders/>
            <w:shd w:fill="auto" w:val="clear"/>
            <w:vAlign w:val="center"/>
          </w:tcPr>
          <w:p>
            <w:pPr>
              <w:pStyle w:val="TableContents"/>
              <w:spacing w:before="0" w:after="283"/>
              <w:rPr/>
            </w:pPr>
            <w:r>
              <w:rPr/>
              <w:t>Elizabeth Wideman</w:t>
            </w:r>
          </w:p>
        </w:tc>
      </w:tr>
      <w:tr>
        <w:trPr/>
        <w:tc>
          <w:tcPr>
            <w:tcW w:w="544" w:type="dxa"/>
            <w:tcBorders/>
            <w:shd w:fill="auto" w:val="clear"/>
            <w:vAlign w:val="center"/>
          </w:tcPr>
          <w:p>
            <w:pPr>
              <w:pStyle w:val="TableContents"/>
              <w:spacing w:before="0" w:after="283"/>
              <w:rPr/>
            </w:pPr>
            <w:r>
              <w:rPr/>
              <w:t> </w:t>
            </w:r>
          </w:p>
        </w:tc>
        <w:tc>
          <w:tcPr>
            <w:tcW w:w="1225" w:type="dxa"/>
            <w:tcBorders/>
            <w:shd w:fill="auto" w:val="clear"/>
            <w:vAlign w:val="center"/>
          </w:tcPr>
          <w:p>
            <w:pPr>
              <w:pStyle w:val="TableContents"/>
              <w:spacing w:before="0" w:after="283"/>
              <w:rPr/>
            </w:pPr>
            <w:r>
              <w:rPr/>
              <w:t> </w:t>
            </w:r>
          </w:p>
        </w:tc>
        <w:tc>
          <w:tcPr>
            <w:tcW w:w="364" w:type="dxa"/>
            <w:tcBorders/>
            <w:shd w:fill="auto" w:val="clear"/>
            <w:vAlign w:val="center"/>
          </w:tcPr>
          <w:p>
            <w:pPr>
              <w:pStyle w:val="TableContents"/>
              <w:spacing w:before="0" w:after="283"/>
              <w:rPr/>
            </w:pPr>
            <w:r>
              <w:rPr/>
              <w:t> </w:t>
            </w:r>
          </w:p>
        </w:tc>
        <w:tc>
          <w:tcPr>
            <w:tcW w:w="649" w:type="dxa"/>
            <w:tcBorders/>
            <w:shd w:fill="auto" w:val="clear"/>
            <w:vAlign w:val="center"/>
          </w:tcPr>
          <w:p>
            <w:pPr>
              <w:pStyle w:val="TableContents"/>
              <w:spacing w:before="0" w:after="283"/>
              <w:rPr/>
            </w:pPr>
            <w:r>
              <w:rPr/>
              <w:t>Title:</w:t>
            </w:r>
          </w:p>
        </w:tc>
        <w:tc>
          <w:tcPr>
            <w:tcW w:w="7423" w:type="dxa"/>
            <w:tcBorders/>
            <w:shd w:fill="auto" w:val="clear"/>
            <w:vAlign w:val="center"/>
          </w:tcPr>
          <w:p>
            <w:pPr>
              <w:pStyle w:val="TableContents"/>
              <w:spacing w:before="0" w:after="283"/>
              <w:rPr/>
            </w:pPr>
            <w:r>
              <w:rPr/>
              <w:t>Senior Vice President, Senior Deputy General Counsel and Assistant Secretary</w:t>
            </w:r>
          </w:p>
        </w:tc>
      </w:tr>
    </w:tbl>
    <w:p>
      <w:pPr>
        <w:pStyle w:val="TextBody"/>
        <w:rPr/>
      </w:pPr>
      <w:r>
        <w:rPr/>
        <w:t> </w:t>
      </w:r>
    </w:p>
    <w:p>
      <w:pPr>
        <w:pStyle w:val="TextBody"/>
        <w:rPr/>
      </w:pPr>
      <w:r>
        <w:rPr/>
        <w:t> </w:t>
      </w:r>
    </w:p>
    <w:p>
      <w:pPr>
        <w:pStyle w:val="TextBody"/>
        <w:spacing w:before="0" w:after="0"/>
        <w:ind w:left="0" w:right="0" w:hanging="0"/>
        <w:rPr>
          <w:bdr w:val="single" w:sz="8" w:space="1" w:color="000000"/>
        </w:rPr>
      </w:pPr>
      <w:r>
        <w:rPr>
          <w:bdr w:val="single" w:sz="8" w:space="1" w:color="000000"/>
        </w:rPr>
        <w:t> </w:t>
      </w:r>
      <w:r>
        <w:br w:type="page"/>
      </w:r>
    </w:p>
    <w:p>
      <w:pPr>
        <w:pStyle w:val="TextBody"/>
        <w:rPr/>
      </w:pPr>
      <w:bookmarkStart w:id="49" w:name="dp193091_ex9901.htm"/>
      <w:bookmarkStart w:id="50" w:name="ksdp193091_ex9901"/>
      <w:bookmarkEnd w:id="49"/>
      <w:bookmarkEnd w:id="50"/>
      <w:r>
        <w:rPr/>
        <w:t> </w:t>
      </w:r>
    </w:p>
    <w:p>
      <w:pPr>
        <w:pStyle w:val="TextBody"/>
        <w:rPr/>
      </w:pPr>
      <w:r>
        <w:rPr/>
        <w:t> </w:t>
      </w:r>
    </w:p>
    <w:p>
      <w:pPr>
        <w:pStyle w:val="TextBody"/>
        <w:jc w:val="right"/>
        <w:rPr>
          <w:b/>
        </w:rPr>
      </w:pPr>
      <w:r>
        <w:rPr>
          <w:b/>
        </w:rPr>
        <w:t>Exhibit 99.1</w:t>
      </w:r>
    </w:p>
    <w:p>
      <w:pPr>
        <w:pStyle w:val="TextBody"/>
        <w:jc w:val="center"/>
        <w:rPr/>
      </w:pPr>
      <w:r>
        <w:rPr/>
        <w:drawing>
          <wp:inline distT="0" distB="0" distL="0" distR="0">
            <wp:extent cx="15716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71625" cy="571500"/>
                    </a:xfrm>
                    <a:prstGeom prst="rect">
                      <a:avLst/>
                    </a:prstGeom>
                  </pic:spPr>
                </pic:pic>
              </a:graphicData>
            </a:graphic>
          </wp:inline>
        </w:drawing>
      </w:r>
      <w:r>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Comcast Corporation and Sky Limited Commence Offers to Purchase Certain of their Outstanding Senior Debt Securities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2023 8:15 AM Eastern Daylight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Pennsylvania--(BUSINESS WIRE)--Comcast Corporation (“</w:t>
      </w:r>
      <w:r>
        <w:rPr>
          <w:rFonts w:ascii="Times New Roman;Times;Serif" w:hAnsi="Times New Roman;Times;Serif"/>
          <w:b/>
          <w:i w:val="false"/>
          <w:caps w:val="false"/>
          <w:smallCaps w:val="false"/>
          <w:sz w:val="20"/>
        </w:rPr>
        <w:t>Comcast</w:t>
      </w:r>
      <w:r>
        <w:rPr>
          <w:rFonts w:ascii="Times New Roman;Times;Serif" w:hAnsi="Times New Roman;Times;Serif"/>
          <w:b w:val="false"/>
          <w:i w:val="false"/>
          <w:caps w:val="false"/>
          <w:smallCaps w:val="false"/>
          <w:sz w:val="20"/>
        </w:rPr>
        <w:t>”) today announced that it has commenced cash tender offers to purchase any and all of its outstanding 3.700% Notes due 2024 (the “</w:t>
      </w:r>
      <w:r>
        <w:rPr>
          <w:rFonts w:ascii="Times New Roman;Times;Serif" w:hAnsi="Times New Roman;Times;Serif"/>
          <w:b/>
          <w:i w:val="false"/>
          <w:caps w:val="false"/>
          <w:smallCaps w:val="false"/>
          <w:sz w:val="20"/>
        </w:rPr>
        <w:t>3.700% Notes</w:t>
      </w:r>
      <w:r>
        <w:rPr>
          <w:rFonts w:ascii="Times New Roman;Times;Serif" w:hAnsi="Times New Roman;Times;Serif"/>
          <w:b w:val="false"/>
          <w:i w:val="false"/>
          <w:caps w:val="false"/>
          <w:smallCaps w:val="false"/>
          <w:sz w:val="20"/>
        </w:rPr>
        <w:t>”), any and all of its outstanding Floating Rate Notes due 2024 (the “</w:t>
      </w:r>
      <w:r>
        <w:rPr>
          <w:rFonts w:ascii="Times New Roman;Times;Serif" w:hAnsi="Times New Roman;Times;Serif"/>
          <w:b/>
          <w:i w:val="false"/>
          <w:caps w:val="false"/>
          <w:smallCaps w:val="false"/>
          <w:sz w:val="20"/>
        </w:rPr>
        <w:t>Floating Rate Notes</w:t>
      </w:r>
      <w:r>
        <w:rPr>
          <w:rFonts w:ascii="Times New Roman;Times;Serif" w:hAnsi="Times New Roman;Times;Serif"/>
          <w:b w:val="false"/>
          <w:i w:val="false"/>
          <w:caps w:val="false"/>
          <w:smallCaps w:val="false"/>
          <w:sz w:val="20"/>
        </w:rPr>
        <w:t>”) and any and all of its outstanding 3.375% Notes due 2025 (the “</w:t>
      </w:r>
      <w:r>
        <w:rPr>
          <w:rFonts w:ascii="Times New Roman;Times;Serif" w:hAnsi="Times New Roman;Times;Serif"/>
          <w:b/>
          <w:i w:val="false"/>
          <w:caps w:val="false"/>
          <w:smallCaps w:val="false"/>
          <w:sz w:val="20"/>
        </w:rPr>
        <w:t>3.375% Notes</w:t>
      </w:r>
      <w:r>
        <w:rPr>
          <w:rFonts w:ascii="Times New Roman;Times;Serif" w:hAnsi="Times New Roman;Times;Serif"/>
          <w:b w:val="false"/>
          <w:i w:val="false"/>
          <w:caps w:val="false"/>
          <w:smallCaps w:val="false"/>
          <w:sz w:val="20"/>
        </w:rPr>
        <w:t>”) and Sky Limited, a subsidiary of Comcast (“</w:t>
      </w:r>
      <w:r>
        <w:rPr>
          <w:rFonts w:ascii="Times New Roman;Times;Serif" w:hAnsi="Times New Roman;Times;Serif"/>
          <w:b/>
          <w:i w:val="false"/>
          <w:caps w:val="false"/>
          <w:smallCaps w:val="false"/>
          <w:sz w:val="20"/>
        </w:rPr>
        <w:t>Sky</w:t>
      </w:r>
      <w:r>
        <w:rPr>
          <w:rFonts w:ascii="Times New Roman;Times;Serif" w:hAnsi="Times New Roman;Times;Serif"/>
          <w:b w:val="false"/>
          <w:i w:val="false"/>
          <w:caps w:val="false"/>
          <w:smallCaps w:val="false"/>
          <w:sz w:val="20"/>
        </w:rPr>
        <w:t>” and, together with Comcast, the “</w:t>
      </w:r>
      <w:r>
        <w:rPr>
          <w:rFonts w:ascii="Times New Roman;Times;Serif" w:hAnsi="Times New Roman;Times;Serif"/>
          <w:b/>
          <w:i w:val="false"/>
          <w:caps w:val="false"/>
          <w:smallCaps w:val="false"/>
          <w:sz w:val="20"/>
        </w:rPr>
        <w:t>Issuers</w:t>
      </w:r>
      <w:r>
        <w:rPr>
          <w:rFonts w:ascii="Times New Roman;Times;Serif" w:hAnsi="Times New Roman;Times;Serif"/>
          <w:b w:val="false"/>
          <w:i w:val="false"/>
          <w:caps w:val="false"/>
          <w:smallCaps w:val="false"/>
          <w:sz w:val="20"/>
        </w:rPr>
        <w:t>”) has commenced a cash tender offer to purchase any and all of its outstanding 3.750% Senior Unsecured Notes due 2024 (the “</w:t>
      </w:r>
      <w:r>
        <w:rPr>
          <w:rFonts w:ascii="Times New Roman;Times;Serif" w:hAnsi="Times New Roman;Times;Serif"/>
          <w:b/>
          <w:i w:val="false"/>
          <w:caps w:val="false"/>
          <w:smallCaps w:val="false"/>
          <w:sz w:val="20"/>
        </w:rPr>
        <w:t>3.750% Notes</w:t>
      </w:r>
      <w:r>
        <w:rPr>
          <w:rFonts w:ascii="Times New Roman;Times;Serif" w:hAnsi="Times New Roman;Times;Serif"/>
          <w:b w:val="false"/>
          <w:i w:val="false"/>
          <w:caps w:val="false"/>
          <w:smallCaps w:val="false"/>
          <w:sz w:val="20"/>
        </w:rPr>
        <w:t>” and, together with the 3.375% Notes and the 3.700% Notes, the “</w:t>
      </w:r>
      <w:r>
        <w:rPr>
          <w:rFonts w:ascii="Times New Roman;Times;Serif" w:hAnsi="Times New Roman;Times;Serif"/>
          <w:b/>
          <w:i w:val="false"/>
          <w:caps w:val="false"/>
          <w:smallCaps w:val="false"/>
          <w:sz w:val="20"/>
        </w:rPr>
        <w:t>Fixed Rate Notes</w:t>
      </w:r>
      <w:r>
        <w:rPr>
          <w:rFonts w:ascii="Times New Roman;Times;Serif" w:hAnsi="Times New Roman;Times;Serif"/>
          <w:b w:val="false"/>
          <w:i w:val="false"/>
          <w:caps w:val="false"/>
          <w:smallCaps w:val="false"/>
          <w:sz w:val="20"/>
        </w:rPr>
        <w:t>” and, the Fixed Rate Notes together with the Floating Rate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for the consideration described below.</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682"/>
        <w:gridCol w:w="1261"/>
        <w:gridCol w:w="1652"/>
        <w:gridCol w:w="992"/>
        <w:gridCol w:w="1157"/>
        <w:gridCol w:w="1067"/>
        <w:gridCol w:w="626"/>
        <w:gridCol w:w="1768"/>
      </w:tblGrid>
      <w:tr>
        <w:trPr/>
        <w:tc>
          <w:tcPr>
            <w:tcW w:w="1682"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Security</w:t>
            </w:r>
          </w:p>
        </w:tc>
        <w:tc>
          <w:tcPr>
            <w:tcW w:w="1261"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w:t>
            </w:r>
          </w:p>
        </w:tc>
        <w:tc>
          <w:tcPr>
            <w:tcW w:w="1652"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Outstanding</w:t>
            </w:r>
          </w:p>
        </w:tc>
        <w:tc>
          <w:tcPr>
            <w:tcW w:w="992"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br/>
              <w:br/>
              <w:br/>
              <w:t>Maturity Date</w:t>
            </w:r>
          </w:p>
        </w:tc>
        <w:tc>
          <w:tcPr>
            <w:tcW w:w="1157"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Treasury</w:t>
              <w:br/>
              <w:t>Reference Security</w:t>
            </w:r>
          </w:p>
        </w:tc>
        <w:tc>
          <w:tcPr>
            <w:tcW w:w="1067"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Bloomberg</w:t>
              <w:br/>
              <w:t>Reference Page(1)</w:t>
            </w:r>
          </w:p>
        </w:tc>
        <w:tc>
          <w:tcPr>
            <w:tcW w:w="626"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Fixed</w:t>
              <w:br/>
              <w:t>Spread</w:t>
            </w:r>
          </w:p>
        </w:tc>
        <w:tc>
          <w:tcPr>
            <w:tcW w:w="1768" w:type="dxa"/>
            <w:tcBorders/>
            <w:shd w:fill="auto" w:val="clear"/>
            <w:vAlign w:val="center"/>
          </w:tcPr>
          <w:p>
            <w:pPr>
              <w:pStyle w:val="TableContents"/>
              <w:pBdr>
                <w:bottom w:val="single" w:sz="4" w:space="1" w:color="000000"/>
              </w:pBd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Consideration(2)</w:t>
            </w:r>
          </w:p>
        </w:tc>
      </w:tr>
      <w:tr>
        <w:trPr/>
        <w:tc>
          <w:tcPr>
            <w:tcW w:w="1682" w:type="dxa"/>
            <w:tcBorders/>
            <w:shd w:fill="auto" w:val="clear"/>
            <w:vAlign w:val="center"/>
          </w:tcPr>
          <w:p>
            <w:pPr>
              <w:pStyle w:val="TableContents"/>
              <w:spacing w:before="0" w:after="283"/>
              <w:ind w:left="0" w:right="0" w:hanging="0"/>
              <w:rPr>
                <w:sz w:val="20"/>
              </w:rPr>
            </w:pPr>
            <w:r>
              <w:rPr>
                <w:sz w:val="20"/>
              </w:rPr>
              <w:t xml:space="preserve">3.700% Notes due 2024 issued by Comcast Corporation </w:t>
              <w:tab/>
            </w:r>
          </w:p>
        </w:tc>
        <w:tc>
          <w:tcPr>
            <w:tcW w:w="1261" w:type="dxa"/>
            <w:tcBorders/>
            <w:shd w:fill="auto" w:val="clear"/>
            <w:vAlign w:val="center"/>
          </w:tcPr>
          <w:p>
            <w:pPr>
              <w:pStyle w:val="TableContents"/>
              <w:spacing w:before="0" w:after="283"/>
              <w:ind w:left="0" w:right="0" w:hanging="0"/>
              <w:jc w:val="center"/>
              <w:rPr>
                <w:sz w:val="20"/>
              </w:rPr>
            </w:pPr>
            <w:r>
              <w:rPr>
                <w:sz w:val="20"/>
              </w:rPr>
              <w:t>20030NCR0</w:t>
            </w:r>
          </w:p>
        </w:tc>
        <w:tc>
          <w:tcPr>
            <w:tcW w:w="1652" w:type="dxa"/>
            <w:tcBorders/>
            <w:shd w:fill="auto" w:val="clear"/>
            <w:vAlign w:val="center"/>
          </w:tcPr>
          <w:p>
            <w:pPr>
              <w:pStyle w:val="TableContents"/>
              <w:spacing w:before="0" w:after="283"/>
              <w:ind w:left="0" w:right="0" w:hanging="0"/>
              <w:jc w:val="center"/>
              <w:rPr>
                <w:sz w:val="20"/>
              </w:rPr>
            </w:pPr>
            <w:r>
              <w:rPr>
                <w:sz w:val="20"/>
              </w:rPr>
              <w:t>$2,500,000,000</w:t>
            </w:r>
          </w:p>
        </w:tc>
        <w:tc>
          <w:tcPr>
            <w:tcW w:w="992" w:type="dxa"/>
            <w:tcBorders/>
            <w:shd w:fill="auto" w:val="clear"/>
            <w:vAlign w:val="center"/>
          </w:tcPr>
          <w:p>
            <w:pPr>
              <w:pStyle w:val="TableContents"/>
              <w:spacing w:before="0" w:after="283"/>
              <w:ind w:left="0" w:right="0" w:hanging="0"/>
              <w:jc w:val="center"/>
              <w:rPr>
                <w:sz w:val="20"/>
              </w:rPr>
            </w:pPr>
            <w:r>
              <w:rPr>
                <w:sz w:val="20"/>
              </w:rPr>
              <w:t>April 15, 2024</w:t>
            </w:r>
          </w:p>
        </w:tc>
        <w:tc>
          <w:tcPr>
            <w:tcW w:w="1157" w:type="dxa"/>
            <w:tcBorders/>
            <w:shd w:fill="auto" w:val="clear"/>
            <w:vAlign w:val="center"/>
          </w:tcPr>
          <w:p>
            <w:pPr>
              <w:pStyle w:val="TableContents"/>
              <w:spacing w:before="0" w:after="283"/>
              <w:ind w:left="0" w:right="0" w:hanging="0"/>
              <w:jc w:val="center"/>
              <w:rPr>
                <w:sz w:val="20"/>
              </w:rPr>
            </w:pPr>
            <w:r>
              <w:rPr>
                <w:sz w:val="20"/>
              </w:rPr>
              <w:t>0.375% due April 15, 2024</w:t>
            </w:r>
          </w:p>
        </w:tc>
        <w:tc>
          <w:tcPr>
            <w:tcW w:w="1067" w:type="dxa"/>
            <w:tcBorders/>
            <w:shd w:fill="auto" w:val="clear"/>
            <w:vAlign w:val="center"/>
          </w:tcPr>
          <w:p>
            <w:pPr>
              <w:pStyle w:val="TableContents"/>
              <w:spacing w:before="0" w:after="283"/>
              <w:ind w:left="0" w:right="0" w:hanging="0"/>
              <w:jc w:val="center"/>
              <w:rPr>
                <w:sz w:val="20"/>
              </w:rPr>
            </w:pPr>
            <w:r>
              <w:rPr>
                <w:sz w:val="20"/>
              </w:rPr>
              <w:t>FIT4</w:t>
            </w:r>
          </w:p>
        </w:tc>
        <w:tc>
          <w:tcPr>
            <w:tcW w:w="626" w:type="dxa"/>
            <w:tcBorders/>
            <w:shd w:fill="auto" w:val="clear"/>
            <w:vAlign w:val="center"/>
          </w:tcPr>
          <w:p>
            <w:pPr>
              <w:pStyle w:val="TableContents"/>
              <w:spacing w:before="0" w:after="283"/>
              <w:ind w:left="0" w:right="0" w:hanging="0"/>
              <w:jc w:val="center"/>
              <w:rPr>
                <w:sz w:val="20"/>
              </w:rPr>
            </w:pPr>
            <w:r>
              <w:rPr>
                <w:sz w:val="20"/>
              </w:rPr>
              <w:t>+0 bps</w:t>
            </w:r>
          </w:p>
        </w:tc>
        <w:tc>
          <w:tcPr>
            <w:tcW w:w="1768" w:type="dxa"/>
            <w:tcBorders/>
            <w:shd w:fill="auto" w:val="clear"/>
            <w:vAlign w:val="center"/>
          </w:tcPr>
          <w:p>
            <w:pPr>
              <w:pStyle w:val="TableContents"/>
              <w:spacing w:before="0" w:after="283"/>
              <w:ind w:left="0" w:right="0" w:hanging="0"/>
              <w:jc w:val="center"/>
              <w:rPr>
                <w:sz w:val="20"/>
              </w:rPr>
            </w:pPr>
            <w:r>
              <w:rPr>
                <w:sz w:val="20"/>
              </w:rPr>
              <w:t>To be determined at the Price Determination Time(3)</w:t>
            </w:r>
          </w:p>
        </w:tc>
      </w:tr>
      <w:tr>
        <w:trPr/>
        <w:tc>
          <w:tcPr>
            <w:tcW w:w="1682" w:type="dxa"/>
            <w:tcBorders/>
            <w:shd w:fill="auto" w:val="clear"/>
            <w:vAlign w:val="center"/>
          </w:tcPr>
          <w:p>
            <w:pPr>
              <w:pStyle w:val="TableContents"/>
              <w:spacing w:before="0" w:after="283"/>
              <w:ind w:left="0" w:right="0" w:hanging="0"/>
              <w:rPr>
                <w:sz w:val="20"/>
              </w:rPr>
            </w:pPr>
            <w:r>
              <w:rPr>
                <w:sz w:val="20"/>
              </w:rPr>
              <w:t xml:space="preserve">Floating Rate Notes due 2024 issued by Comcast Corporation </w:t>
              <w:tab/>
            </w:r>
          </w:p>
        </w:tc>
        <w:tc>
          <w:tcPr>
            <w:tcW w:w="1261" w:type="dxa"/>
            <w:tcBorders/>
            <w:shd w:fill="auto" w:val="clear"/>
            <w:vAlign w:val="center"/>
          </w:tcPr>
          <w:p>
            <w:pPr>
              <w:pStyle w:val="TableContents"/>
              <w:spacing w:before="0" w:after="283"/>
              <w:ind w:left="0" w:right="0" w:hanging="0"/>
              <w:jc w:val="center"/>
              <w:rPr>
                <w:sz w:val="20"/>
              </w:rPr>
            </w:pPr>
            <w:r>
              <w:rPr>
                <w:sz w:val="20"/>
              </w:rPr>
              <w:t>20030NCX7</w:t>
            </w:r>
          </w:p>
        </w:tc>
        <w:tc>
          <w:tcPr>
            <w:tcW w:w="1652" w:type="dxa"/>
            <w:tcBorders/>
            <w:shd w:fill="auto" w:val="clear"/>
            <w:vAlign w:val="center"/>
          </w:tcPr>
          <w:p>
            <w:pPr>
              <w:pStyle w:val="TableContents"/>
              <w:spacing w:before="0" w:after="283"/>
              <w:ind w:left="0" w:right="0" w:hanging="0"/>
              <w:jc w:val="center"/>
              <w:rPr>
                <w:sz w:val="20"/>
              </w:rPr>
            </w:pPr>
            <w:r>
              <w:rPr>
                <w:sz w:val="20"/>
              </w:rPr>
              <w:t>$500,000,000</w:t>
            </w:r>
          </w:p>
        </w:tc>
        <w:tc>
          <w:tcPr>
            <w:tcW w:w="992" w:type="dxa"/>
            <w:tcBorders/>
            <w:shd w:fill="auto" w:val="clear"/>
            <w:vAlign w:val="center"/>
          </w:tcPr>
          <w:p>
            <w:pPr>
              <w:pStyle w:val="TableContents"/>
              <w:spacing w:before="0" w:after="283"/>
              <w:ind w:left="0" w:right="0" w:hanging="0"/>
              <w:jc w:val="center"/>
              <w:rPr>
                <w:sz w:val="20"/>
              </w:rPr>
            </w:pPr>
            <w:r>
              <w:rPr>
                <w:sz w:val="20"/>
              </w:rPr>
              <w:t>April 15, 2024</w:t>
            </w:r>
          </w:p>
        </w:tc>
        <w:tc>
          <w:tcPr>
            <w:tcW w:w="1157" w:type="dxa"/>
            <w:tcBorders/>
            <w:shd w:fill="auto" w:val="clear"/>
            <w:vAlign w:val="center"/>
          </w:tcPr>
          <w:p>
            <w:pPr>
              <w:pStyle w:val="TableContents"/>
              <w:spacing w:before="0" w:after="283"/>
              <w:ind w:left="0" w:right="0" w:hanging="0"/>
              <w:jc w:val="center"/>
              <w:rPr>
                <w:sz w:val="20"/>
              </w:rPr>
            </w:pPr>
            <w:r>
              <w:rPr>
                <w:sz w:val="20"/>
              </w:rPr>
              <w:t>N/A</w:t>
            </w:r>
          </w:p>
        </w:tc>
        <w:tc>
          <w:tcPr>
            <w:tcW w:w="1067" w:type="dxa"/>
            <w:tcBorders/>
            <w:shd w:fill="auto" w:val="clear"/>
            <w:vAlign w:val="center"/>
          </w:tcPr>
          <w:p>
            <w:pPr>
              <w:pStyle w:val="TableContents"/>
              <w:spacing w:before="0" w:after="283"/>
              <w:ind w:left="0" w:right="0" w:hanging="0"/>
              <w:jc w:val="center"/>
              <w:rPr>
                <w:sz w:val="20"/>
              </w:rPr>
            </w:pPr>
            <w:r>
              <w:rPr>
                <w:sz w:val="20"/>
              </w:rPr>
              <w:t>N/A</w:t>
            </w:r>
          </w:p>
        </w:tc>
        <w:tc>
          <w:tcPr>
            <w:tcW w:w="626" w:type="dxa"/>
            <w:tcBorders/>
            <w:shd w:fill="auto" w:val="clear"/>
            <w:vAlign w:val="center"/>
          </w:tcPr>
          <w:p>
            <w:pPr>
              <w:pStyle w:val="TableContents"/>
              <w:spacing w:before="0" w:after="283"/>
              <w:ind w:left="0" w:right="0" w:hanging="0"/>
              <w:jc w:val="center"/>
              <w:rPr>
                <w:sz w:val="20"/>
              </w:rPr>
            </w:pPr>
            <w:r>
              <w:rPr>
                <w:sz w:val="20"/>
              </w:rPr>
              <w:t>N/A</w:t>
            </w:r>
          </w:p>
        </w:tc>
        <w:tc>
          <w:tcPr>
            <w:tcW w:w="1768" w:type="dxa"/>
            <w:tcBorders/>
            <w:shd w:fill="auto" w:val="clear"/>
            <w:vAlign w:val="center"/>
          </w:tcPr>
          <w:p>
            <w:pPr>
              <w:pStyle w:val="TableContents"/>
              <w:spacing w:before="0" w:after="283"/>
              <w:ind w:left="0" w:right="0" w:hanging="0"/>
              <w:jc w:val="center"/>
              <w:rPr>
                <w:sz w:val="20"/>
              </w:rPr>
            </w:pPr>
            <w:r>
              <w:rPr>
                <w:sz w:val="20"/>
              </w:rPr>
              <w:t>$1,006.00</w:t>
            </w:r>
          </w:p>
        </w:tc>
      </w:tr>
      <w:tr>
        <w:trPr/>
        <w:tc>
          <w:tcPr>
            <w:tcW w:w="1682" w:type="dxa"/>
            <w:tcBorders/>
            <w:shd w:fill="auto" w:val="clear"/>
            <w:vAlign w:val="center"/>
          </w:tcPr>
          <w:p>
            <w:pPr>
              <w:pStyle w:val="TableContents"/>
              <w:spacing w:before="0" w:after="283"/>
              <w:ind w:left="0" w:right="0" w:hanging="0"/>
              <w:rPr>
                <w:sz w:val="20"/>
              </w:rPr>
            </w:pPr>
            <w:r>
              <w:rPr>
                <w:sz w:val="20"/>
              </w:rPr>
              <w:t>3.750% Senior Unsecured Notes due 2024 issued by Sky Limited</w:t>
              <w:tab/>
            </w:r>
          </w:p>
        </w:tc>
        <w:tc>
          <w:tcPr>
            <w:tcW w:w="1261" w:type="dxa"/>
            <w:tcBorders/>
            <w:shd w:fill="auto" w:val="clear"/>
            <w:vAlign w:val="center"/>
          </w:tcPr>
          <w:p>
            <w:pPr>
              <w:pStyle w:val="TableContents"/>
              <w:spacing w:before="0" w:after="283"/>
              <w:ind w:left="0" w:right="0" w:hanging="0"/>
              <w:jc w:val="center"/>
              <w:rPr>
                <w:sz w:val="20"/>
              </w:rPr>
            </w:pPr>
            <w:r>
              <w:rPr>
                <w:sz w:val="20"/>
              </w:rPr>
              <w:t>111013AL2 and G15632AP0</w:t>
            </w:r>
          </w:p>
        </w:tc>
        <w:tc>
          <w:tcPr>
            <w:tcW w:w="1652" w:type="dxa"/>
            <w:tcBorders/>
            <w:shd w:fill="auto" w:val="clear"/>
            <w:vAlign w:val="center"/>
          </w:tcPr>
          <w:p>
            <w:pPr>
              <w:pStyle w:val="TableContents"/>
              <w:spacing w:before="0" w:after="283"/>
              <w:ind w:left="0" w:right="0" w:hanging="0"/>
              <w:jc w:val="center"/>
              <w:rPr>
                <w:sz w:val="20"/>
              </w:rPr>
            </w:pPr>
            <w:r>
              <w:rPr>
                <w:sz w:val="20"/>
              </w:rPr>
              <w:t>$1,250,000,000</w:t>
            </w:r>
          </w:p>
        </w:tc>
        <w:tc>
          <w:tcPr>
            <w:tcW w:w="992" w:type="dxa"/>
            <w:tcBorders/>
            <w:shd w:fill="auto" w:val="clear"/>
            <w:vAlign w:val="center"/>
          </w:tcPr>
          <w:p>
            <w:pPr>
              <w:pStyle w:val="TableContents"/>
              <w:spacing w:before="0" w:after="283"/>
              <w:ind w:left="0" w:right="0" w:hanging="0"/>
              <w:jc w:val="center"/>
              <w:rPr>
                <w:sz w:val="20"/>
              </w:rPr>
            </w:pPr>
            <w:r>
              <w:rPr>
                <w:sz w:val="20"/>
              </w:rPr>
              <w:t>September 16, 2024</w:t>
            </w:r>
          </w:p>
        </w:tc>
        <w:tc>
          <w:tcPr>
            <w:tcW w:w="1157" w:type="dxa"/>
            <w:tcBorders/>
            <w:shd w:fill="auto" w:val="clear"/>
            <w:vAlign w:val="center"/>
          </w:tcPr>
          <w:p>
            <w:pPr>
              <w:pStyle w:val="TableContents"/>
              <w:spacing w:before="0" w:after="283"/>
              <w:ind w:left="0" w:right="0" w:hanging="0"/>
              <w:jc w:val="center"/>
              <w:rPr/>
            </w:pPr>
            <w:r>
              <w:rPr/>
              <w:t> </w:t>
            </w:r>
            <w:r>
              <w:rPr>
                <w:sz w:val="20"/>
              </w:rPr>
              <w:t>0.375% due September 15, 2024</w:t>
            </w:r>
          </w:p>
        </w:tc>
        <w:tc>
          <w:tcPr>
            <w:tcW w:w="1067" w:type="dxa"/>
            <w:tcBorders/>
            <w:shd w:fill="auto" w:val="clear"/>
            <w:vAlign w:val="center"/>
          </w:tcPr>
          <w:p>
            <w:pPr>
              <w:pStyle w:val="TableContents"/>
              <w:spacing w:before="0" w:after="283"/>
              <w:ind w:left="0" w:right="0" w:hanging="0"/>
              <w:jc w:val="center"/>
              <w:rPr>
                <w:sz w:val="20"/>
              </w:rPr>
            </w:pPr>
            <w:r>
              <w:rPr>
                <w:sz w:val="20"/>
              </w:rPr>
              <w:t>FIT4</w:t>
            </w:r>
          </w:p>
        </w:tc>
        <w:tc>
          <w:tcPr>
            <w:tcW w:w="626" w:type="dxa"/>
            <w:tcBorders/>
            <w:shd w:fill="auto" w:val="clear"/>
            <w:vAlign w:val="center"/>
          </w:tcPr>
          <w:p>
            <w:pPr>
              <w:pStyle w:val="TableContents"/>
              <w:spacing w:before="0" w:after="283"/>
              <w:ind w:left="0" w:right="0" w:hanging="0"/>
              <w:jc w:val="center"/>
              <w:rPr>
                <w:sz w:val="20"/>
              </w:rPr>
            </w:pPr>
            <w:r>
              <w:rPr>
                <w:sz w:val="20"/>
              </w:rPr>
              <w:t>+25 bps</w:t>
            </w:r>
          </w:p>
        </w:tc>
        <w:tc>
          <w:tcPr>
            <w:tcW w:w="1768" w:type="dxa"/>
            <w:tcBorders/>
            <w:shd w:fill="auto" w:val="clear"/>
            <w:vAlign w:val="center"/>
          </w:tcPr>
          <w:p>
            <w:pPr>
              <w:pStyle w:val="TableContents"/>
              <w:spacing w:before="0" w:after="283"/>
              <w:ind w:left="0" w:right="0" w:hanging="0"/>
              <w:jc w:val="center"/>
              <w:rPr>
                <w:sz w:val="20"/>
              </w:rPr>
            </w:pPr>
            <w:r>
              <w:rPr>
                <w:sz w:val="20"/>
              </w:rPr>
              <w:t xml:space="preserve">To be determined at the Price Determination Time(3) </w:t>
            </w:r>
          </w:p>
        </w:tc>
      </w:tr>
      <w:tr>
        <w:trPr/>
        <w:tc>
          <w:tcPr>
            <w:tcW w:w="1682" w:type="dxa"/>
            <w:tcBorders/>
            <w:shd w:fill="auto" w:val="clear"/>
            <w:vAlign w:val="center"/>
          </w:tcPr>
          <w:p>
            <w:pPr>
              <w:pStyle w:val="TableContents"/>
              <w:spacing w:before="0" w:after="283"/>
              <w:ind w:left="0" w:right="0" w:hanging="0"/>
              <w:rPr>
                <w:sz w:val="20"/>
              </w:rPr>
            </w:pPr>
            <w:r>
              <w:rPr>
                <w:sz w:val="20"/>
              </w:rPr>
              <w:t xml:space="preserve">3.375% Notes due 2025 issued by Comcast Corporation </w:t>
              <w:tab/>
            </w:r>
          </w:p>
        </w:tc>
        <w:tc>
          <w:tcPr>
            <w:tcW w:w="1261" w:type="dxa"/>
            <w:tcBorders/>
            <w:shd w:fill="auto" w:val="clear"/>
            <w:vAlign w:val="center"/>
          </w:tcPr>
          <w:p>
            <w:pPr>
              <w:pStyle w:val="TableContents"/>
              <w:spacing w:before="0" w:after="283"/>
              <w:ind w:left="0" w:right="0" w:hanging="0"/>
              <w:jc w:val="center"/>
              <w:rPr>
                <w:sz w:val="20"/>
              </w:rPr>
            </w:pPr>
            <w:r>
              <w:rPr>
                <w:sz w:val="20"/>
              </w:rPr>
              <w:t>20030NBL4</w:t>
            </w:r>
          </w:p>
        </w:tc>
        <w:tc>
          <w:tcPr>
            <w:tcW w:w="1652" w:type="dxa"/>
            <w:tcBorders/>
            <w:shd w:fill="auto" w:val="clear"/>
            <w:vAlign w:val="center"/>
          </w:tcPr>
          <w:p>
            <w:pPr>
              <w:pStyle w:val="TableContents"/>
              <w:spacing w:before="0" w:after="283"/>
              <w:ind w:left="0" w:right="0" w:hanging="0"/>
              <w:jc w:val="center"/>
              <w:rPr>
                <w:sz w:val="20"/>
              </w:rPr>
            </w:pPr>
            <w:r>
              <w:rPr>
                <w:sz w:val="20"/>
              </w:rPr>
              <w:t>$993,400,000</w:t>
            </w:r>
          </w:p>
        </w:tc>
        <w:tc>
          <w:tcPr>
            <w:tcW w:w="992" w:type="dxa"/>
            <w:tcBorders/>
            <w:shd w:fill="auto" w:val="clear"/>
            <w:vAlign w:val="center"/>
          </w:tcPr>
          <w:p>
            <w:pPr>
              <w:pStyle w:val="TableContents"/>
              <w:spacing w:before="0" w:after="283"/>
              <w:ind w:left="0" w:right="0" w:hanging="0"/>
              <w:jc w:val="center"/>
              <w:rPr>
                <w:sz w:val="20"/>
              </w:rPr>
            </w:pPr>
            <w:r>
              <w:rPr>
                <w:sz w:val="20"/>
              </w:rPr>
              <w:t>February 15, 2025</w:t>
            </w:r>
          </w:p>
        </w:tc>
        <w:tc>
          <w:tcPr>
            <w:tcW w:w="1157" w:type="dxa"/>
            <w:tcBorders/>
            <w:shd w:fill="auto" w:val="clear"/>
            <w:vAlign w:val="center"/>
          </w:tcPr>
          <w:p>
            <w:pPr>
              <w:pStyle w:val="TableContents"/>
              <w:spacing w:before="0" w:after="283"/>
              <w:ind w:left="0" w:right="0" w:hanging="0"/>
              <w:jc w:val="center"/>
              <w:rPr>
                <w:sz w:val="20"/>
              </w:rPr>
            </w:pPr>
            <w:r>
              <w:rPr>
                <w:sz w:val="20"/>
              </w:rPr>
              <w:t>2.000% due February 15, 2025</w:t>
            </w:r>
          </w:p>
        </w:tc>
        <w:tc>
          <w:tcPr>
            <w:tcW w:w="1067" w:type="dxa"/>
            <w:tcBorders/>
            <w:shd w:fill="auto" w:val="clear"/>
            <w:vAlign w:val="center"/>
          </w:tcPr>
          <w:p>
            <w:pPr>
              <w:pStyle w:val="TableContents"/>
              <w:spacing w:before="0" w:after="283"/>
              <w:ind w:left="0" w:right="0" w:hanging="0"/>
              <w:jc w:val="center"/>
              <w:rPr>
                <w:sz w:val="20"/>
              </w:rPr>
            </w:pPr>
            <w:r>
              <w:rPr>
                <w:sz w:val="20"/>
              </w:rPr>
              <w:t>FIT4</w:t>
            </w:r>
          </w:p>
        </w:tc>
        <w:tc>
          <w:tcPr>
            <w:tcW w:w="626" w:type="dxa"/>
            <w:tcBorders/>
            <w:shd w:fill="auto" w:val="clear"/>
            <w:vAlign w:val="center"/>
          </w:tcPr>
          <w:p>
            <w:pPr>
              <w:pStyle w:val="TableContents"/>
              <w:spacing w:before="0" w:after="283"/>
              <w:ind w:left="0" w:right="0" w:hanging="0"/>
              <w:jc w:val="center"/>
              <w:rPr>
                <w:sz w:val="20"/>
              </w:rPr>
            </w:pPr>
            <w:r>
              <w:rPr>
                <w:sz w:val="20"/>
              </w:rPr>
              <w:t>+5 bps</w:t>
            </w:r>
          </w:p>
        </w:tc>
        <w:tc>
          <w:tcPr>
            <w:tcW w:w="1768" w:type="dxa"/>
            <w:tcBorders/>
            <w:shd w:fill="auto" w:val="clear"/>
            <w:vAlign w:val="center"/>
          </w:tcPr>
          <w:p>
            <w:pPr>
              <w:pStyle w:val="TableContents"/>
              <w:spacing w:before="0" w:after="283"/>
              <w:jc w:val="center"/>
              <w:rPr>
                <w:sz w:val="20"/>
              </w:rPr>
            </w:pPr>
            <w:r>
              <w:rPr>
                <w:sz w:val="20"/>
              </w:rPr>
              <w:t>To be determined at the Price Determination Time(3)</w:t>
            </w:r>
          </w:p>
        </w:tc>
      </w:tr>
    </w:tbl>
    <w:p>
      <w:pPr>
        <w:pStyle w:val="TextBody"/>
        <w:spacing w:before="0" w:after="0"/>
        <w:rPr>
          <w:caps w:val="false"/>
          <w:smallCaps w:val="false"/>
        </w:rPr>
      </w:pPr>
      <w:r>
        <w:rPr>
          <w:caps w:val="false"/>
          <w:smallCaps w:val="false"/>
        </w:rPr>
        <w:t> </w:t>
      </w:r>
    </w:p>
    <w:p>
      <w:pPr>
        <w:pStyle w:val="TextBody"/>
        <w:spacing w:before="60" w:after="60"/>
        <w:jc w:val="left"/>
        <w:rPr>
          <w:bdr w:val="single" w:sz="8" w:space="1" w:color="000000"/>
        </w:rPr>
      </w:pPr>
      <w:r>
        <w:rPr>
          <w:bdr w:val="single" w:sz="8" w:space="1" w:color="000000"/>
        </w:rPr>
        <w:t> </w:t>
      </w:r>
    </w:p>
    <w:tbl>
      <w:tblPr>
        <w:tblW w:w="10205" w:type="dxa"/>
        <w:jc w:val="left"/>
        <w:tblInd w:w="0" w:type="dxa"/>
        <w:tblCellMar>
          <w:top w:w="0" w:type="dxa"/>
          <w:left w:w="0" w:type="dxa"/>
          <w:bottom w:w="0" w:type="dxa"/>
          <w:right w:w="0" w:type="dxa"/>
        </w:tblCellMar>
      </w:tblPr>
      <w:tblGrid>
        <w:gridCol w:w="38"/>
        <w:gridCol w:w="236"/>
        <w:gridCol w:w="9931"/>
      </w:tblGrid>
      <w:tr>
        <w:trPr/>
        <w:tc>
          <w:tcPr>
            <w:tcW w:w="3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jc w:val="left"/>
              <w:rPr/>
            </w:pPr>
            <w:r>
              <w:rPr/>
              <w:t>(1)</w:t>
            </w:r>
          </w:p>
        </w:tc>
        <w:tc>
          <w:tcPr>
            <w:tcW w:w="9931" w:type="dxa"/>
            <w:tcBorders/>
            <w:shd w:fill="auto" w:val="clear"/>
            <w:vAlign w:val="center"/>
          </w:tcPr>
          <w:p>
            <w:pPr>
              <w:pStyle w:val="TableContents"/>
              <w:spacing w:before="0" w:after="283"/>
              <w:rPr/>
            </w:pPr>
            <w:r>
              <w:rPr/>
              <w:t>The Bloomberg Reference Page is provided for convenience only. To the extent any Bloomberg Reference Page changes prior to the Price Determination Time (as defined below), the Joint Dealer Managers referred to below will quote the applicable Treasury Reference Security from the updated Bloomberg Reference Page.</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1"/>
        <w:gridCol w:w="9937"/>
      </w:tblGrid>
      <w:tr>
        <w:trPr/>
        <w:tc>
          <w:tcPr>
            <w:tcW w:w="37"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pPr>
            <w:r>
              <w:rPr/>
              <w:t>(2)</w:t>
            </w:r>
          </w:p>
        </w:tc>
        <w:tc>
          <w:tcPr>
            <w:tcW w:w="9937" w:type="dxa"/>
            <w:tcBorders/>
            <w:shd w:fill="auto" w:val="clear"/>
            <w:vAlign w:val="center"/>
          </w:tcPr>
          <w:p>
            <w:pPr>
              <w:pStyle w:val="TableContents"/>
              <w:spacing w:before="0" w:after="283"/>
              <w:rPr/>
            </w:pPr>
            <w:r>
              <w:rPr/>
              <w:t>Per $1,000 principal amount of Notes validly tendered before the Expiration Time (as defined below), not validly withdrawn and accepted for purchase. In addition to the applicable consideration, all holders whose Notes are accepted for purchase will also receive accrued and unpaid interest on such Notes from, and including, the last interest payment date up to, but excluding, the Settlement Date (as defined below).</w:t>
            </w:r>
          </w:p>
        </w:tc>
      </w:tr>
    </w:tbl>
    <w:p>
      <w:pPr>
        <w:pStyle w:val="TextBody"/>
        <w:spacing w:before="0" w:after="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4"/>
        <w:gridCol w:w="9944"/>
      </w:tblGrid>
      <w:tr>
        <w:trPr/>
        <w:tc>
          <w:tcPr>
            <w:tcW w:w="37"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pPr>
            <w:r>
              <w:rPr/>
              <w:t>(3)</w:t>
            </w:r>
          </w:p>
        </w:tc>
        <w:tc>
          <w:tcPr>
            <w:tcW w:w="9944" w:type="dxa"/>
            <w:tcBorders/>
            <w:shd w:fill="auto" w:val="clear"/>
            <w:vAlign w:val="center"/>
          </w:tcPr>
          <w:p>
            <w:pPr>
              <w:pStyle w:val="TableContents"/>
              <w:spacing w:before="0" w:after="283"/>
              <w:rPr/>
            </w:pPr>
            <w:r>
              <w:rPr/>
              <w:t>The consideration offered per $1,000 principal amount of Fixed Rate Notes validly tendered and accepted for purchase pursuant to the applicable offers will be determined by the Joint Dealer Managers referred to below in the manner described in the Offer to Purchase (as defined below) by reference to the applicable fixed spread specified above for such series of Fixed Rate Notes plus the yield based on the applicable bid-side price of the Treasury Reference Security specified above for such series of Fixed Rate Notes as quoted on the Bloomberg Reference Page specified above for such series of Fixed Rate Notes at 11:00 a.m., New York City time (such time, the “</w:t>
            </w:r>
            <w:r>
              <w:rPr>
                <w:b/>
              </w:rPr>
              <w:t>Price Determination Time</w:t>
            </w:r>
            <w:r>
              <w:rPr/>
              <w:t>”) on May 5, 2023.</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tender offers will expire at 5:00 p.m., New York City time, on May 5, 2023, unless extended or earlier terminated (the “</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Holders who have validly tendered their Notes may withdraw such Notes at any time at or prior to the Expiration Time. The Guaranteed Delivery Date is May 9, 2023. The Issuers expect to pay the applicable consideration for Notes validly tendered and not validly withdrawn at or prior to the Expiration Time on May 10, 2023, the third business day following the Expiration Time (the “</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The tender offers are conditioned upon satisfaction of certain conditions, but are not conditioned upon any minimum amount of Notes being tendered.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tender offers are set forth in the Offer to Purchase, dated May 1, 2023 (the “</w:t>
      </w:r>
      <w:r>
        <w:rPr>
          <w:rFonts w:ascii="Times New Roman;Times;Serif" w:hAnsi="Times New Roman;Times;Serif"/>
          <w:b/>
          <w:i w:val="false"/>
          <w:caps w:val="false"/>
          <w:smallCaps w:val="false"/>
          <w:sz w:val="20"/>
        </w:rPr>
        <w:t>Offer to Purchase</w:t>
      </w:r>
      <w:r>
        <w:rPr>
          <w:rFonts w:ascii="Times New Roman;Times;Serif" w:hAnsi="Times New Roman;Times;Serif"/>
          <w:b w:val="false"/>
          <w:i w:val="false"/>
          <w:caps w:val="false"/>
          <w:smallCaps w:val="false"/>
          <w:sz w:val="20"/>
        </w:rPr>
        <w:t>”) and in the related Notice of Guaranteed Delivery, along with any amendments and supplements thereto, which holders are urged to read carefully before making any decision with respect to the tender offers. The Issuers have retained Deutsche Bank Securities Inc. and TD Securities (USA) LLC to act as Joint Dealer Managers in connection with the tender offers. Copies of the Offer to Purchase and the related Notice of Guaranteed Delivery may be obtained from D.F. King &amp; Co., Inc., the Tender and Information Agent for the tender offers, by phone at +1 (212) 269-5550 (banks and brokers) or +1 (877) 487-5045 (all others), by email at cmcsa@dfking.com or online at https://www.dfking.com/cmcsa. Questions regarding the tender offers may also be directed to the Joint Dealer Managers as set forth below:</w:t>
      </w:r>
    </w:p>
    <w:p>
      <w:pPr>
        <w:pStyle w:val="TextBody"/>
        <w:spacing w:before="0" w:after="0"/>
        <w:ind w:left="0" w:right="0" w:hanging="0"/>
        <w:rPr>
          <w:caps w:val="false"/>
          <w:smallCaps w:val="false"/>
        </w:rPr>
      </w:pPr>
      <w:r>
        <w:rPr>
          <w:caps w:val="false"/>
          <w:smallCaps w:val="false"/>
        </w:rPr>
        <w:t> </w:t>
      </w:r>
    </w:p>
    <w:tbl>
      <w:tblPr>
        <w:tblW w:w="6610" w:type="dxa"/>
        <w:jc w:val="left"/>
        <w:tblInd w:w="0" w:type="dxa"/>
        <w:tblCellMar>
          <w:top w:w="0" w:type="dxa"/>
          <w:left w:w="0" w:type="dxa"/>
          <w:bottom w:w="0" w:type="dxa"/>
          <w:right w:w="0" w:type="dxa"/>
        </w:tblCellMar>
      </w:tblPr>
      <w:tblGrid>
        <w:gridCol w:w="3305"/>
        <w:gridCol w:w="3305"/>
      </w:tblGrid>
      <w:tr>
        <w:trPr/>
        <w:tc>
          <w:tcPr>
            <w:tcW w:w="330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Deutsche Bank Securities Inc.</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Columbus Circle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 </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Toll-Free: +1 (866) 627-0391</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+1 (212) 250-2955</w:t>
            </w:r>
          </w:p>
          <w:p>
            <w:pPr>
              <w:pStyle w:val="TableContents"/>
              <w:spacing w:before="0" w:after="0"/>
              <w:ind w:left="0" w:right="0" w:hanging="0"/>
              <w:jc w:val="center"/>
              <w:rPr>
                <w:caps w:val="false"/>
                <w:smallCaps w:val="false"/>
              </w:rPr>
            </w:pPr>
            <w:r>
              <w:rPr>
                <w:caps w:val="false"/>
                <w:smallCaps w:val="false"/>
              </w:rPr>
              <w:t> </w:t>
            </w:r>
          </w:p>
        </w:tc>
        <w:tc>
          <w:tcPr>
            <w:tcW w:w="330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TD Securities (USA) LLC</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Vanderbilt Avenue, 11th Floor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10017</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Liability Management Group</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+1 (866) 584-2096</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+1 (212) 827 2842</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LM@tdsecurities.com</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is neither an offer to purchase nor a solicitation of an offer to sell any securities. The tender offers are being made only by, and pursuant to the terms of, the Offer to Purchase and the related Notice of Guaranteed Delivery. The tender offers are not being made in any jurisdiction in which the making or acceptance thereof would not be in compliance with the securities, blue sky or other laws of such jurisdiction. In any jurisdiction where the laws require the tender offers to be made by a licensed broker or dealer, the tender offers will be made by the Joint Dealer Managers on behalf of the Issuers. None of the Issuers, the Tender and Information Agent or the Joint Dealer Managers, nor any of their affiliates, makes any recommendation as to whether holders should tender or refrain from tendering all or any portion of their Notes in response to the tender offers.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Comcast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spacing w:before="0" w:after="0"/>
        <w:ind w:left="0" w:right="0" w:hanging="0"/>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Concerning 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Contacts:</w:t>
        <w:br/>
      </w:r>
      <w:r>
        <w:rPr>
          <w:rFonts w:ascii="Times New Roman;Times;Serif" w:hAnsi="Times New Roman;Times;Serif"/>
          <w:b w:val="false"/>
          <w:i w:val="false"/>
          <w:caps w:val="false"/>
          <w:smallCaps w:val="false"/>
          <w:sz w:val="20"/>
        </w:rPr>
        <w:t>Marci Ryvicker +1 (215) 286-4781</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 Kearns +1 (215) 286-4794</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Kaplan +1 (215) 286-6527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Contacts: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Khoury +1 (215) 286-7408</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Demming +1 (215) 286-8011</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Louise Eich +1 (215) 286-8857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2028</Words>
  <CharactersWithSpaces>13097</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