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4</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4041775</wp:posOffset>
            </wp:positionH>
            <wp:positionV relativeFrom="paragraph">
              <wp:posOffset>-29210</wp:posOffset>
            </wp:positionV>
            <wp:extent cx="342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Dodge &amp; Cox 94-1441976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California – U.S.A.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color w:val="auto"/>
              </w:rPr>
              <w:t>5</w:t>
            </w:r>
          </w:p>
        </w:tc>
        <w:tc>
          <w:tcPr>
            <w:tcW w:w="9440" w:type="dxa"/>
            <w:vAlign w:val="bottom"/>
            <w:tcBorders>
              <w:top w:val="single" w:sz="8" w:color="auto"/>
            </w:tcBorders>
          </w:tcPr>
          <w:p>
            <w:pPr>
              <w:ind w:left="100"/>
              <w:spacing w:after="0" w:line="192"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08"/>
        </w:trPr>
        <w:tc>
          <w:tcPr>
            <w:tcW w:w="16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440" w:type="dxa"/>
            <w:vAlign w:val="bottom"/>
            <w:vMerge w:val="restart"/>
          </w:tcPr>
          <w:p>
            <w:pPr>
              <w:ind w:left="180"/>
              <w:spacing w:after="0"/>
              <w:rPr>
                <w:sz w:val="20"/>
                <w:szCs w:val="20"/>
                <w:color w:val="auto"/>
              </w:rPr>
            </w:pPr>
            <w:r>
              <w:rPr>
                <w:rFonts w:ascii="Arial" w:cs="Arial" w:eastAsia="Arial" w:hAnsi="Arial"/>
                <w:sz w:val="22"/>
                <w:szCs w:val="22"/>
                <w:color w:val="auto"/>
              </w:rPr>
              <w:t>172,694,866</w:t>
            </w:r>
          </w:p>
        </w:tc>
        <w:tc>
          <w:tcPr>
            <w:tcW w:w="0" w:type="dxa"/>
            <w:vAlign w:val="bottom"/>
          </w:tcPr>
          <w:p>
            <w:pPr>
              <w:spacing w:after="0"/>
              <w:rPr>
                <w:sz w:val="1"/>
                <w:szCs w:val="1"/>
                <w:color w:val="auto"/>
              </w:rPr>
            </w:pPr>
          </w:p>
        </w:tc>
      </w:tr>
      <w:tr>
        <w:trPr>
          <w:trHeight w:val="170"/>
        </w:trPr>
        <w:tc>
          <w:tcPr>
            <w:tcW w:w="1620" w:type="dxa"/>
            <w:vAlign w:val="bottom"/>
          </w:tcPr>
          <w:p>
            <w:pPr>
              <w:jc w:val="center"/>
              <w:spacing w:after="0" w:line="151" w:lineRule="exact"/>
              <w:rPr>
                <w:sz w:val="20"/>
                <w:szCs w:val="20"/>
                <w:color w:val="auto"/>
              </w:rPr>
            </w:pPr>
            <w:r>
              <w:rPr>
                <w:rFonts w:ascii="Arial" w:cs="Arial" w:eastAsia="Arial" w:hAnsi="Arial"/>
                <w:sz w:val="16"/>
                <w:szCs w:val="16"/>
                <w:color w:val="auto"/>
              </w:rPr>
              <w:t>SHARES</w:t>
            </w:r>
          </w:p>
        </w:tc>
        <w:tc>
          <w:tcPr>
            <w:tcW w:w="360" w:type="dxa"/>
            <w:vAlign w:val="bottom"/>
            <w:tcBorders>
              <w:bottom w:val="single" w:sz="8" w:color="auto"/>
            </w:tcBorders>
          </w:tcPr>
          <w:p>
            <w:pPr>
              <w:spacing w:after="0"/>
              <w:rPr>
                <w:sz w:val="14"/>
                <w:szCs w:val="14"/>
                <w:color w:val="auto"/>
              </w:rPr>
            </w:pPr>
          </w:p>
        </w:tc>
        <w:tc>
          <w:tcPr>
            <w:tcW w:w="9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7"/>
              </w:rPr>
              <w:t>BENEFICIALLY</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9440" w:type="dxa"/>
            <w:vAlign w:val="bottom"/>
          </w:tcPr>
          <w:p>
            <w:pPr>
              <w:ind w:left="100"/>
              <w:spacing w:after="0" w:line="19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0"/>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23"/>
                <w:szCs w:val="23"/>
                <w:color w:val="auto"/>
              </w:rPr>
            </w:pPr>
          </w:p>
        </w:tc>
        <w:tc>
          <w:tcPr>
            <w:tcW w:w="94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426,998</w:t>
            </w:r>
          </w:p>
        </w:tc>
        <w:tc>
          <w:tcPr>
            <w:tcW w:w="0" w:type="dxa"/>
            <w:vAlign w:val="bottom"/>
          </w:tcPr>
          <w:p>
            <w:pPr>
              <w:spacing w:after="0"/>
              <w:rPr>
                <w:sz w:val="1"/>
                <w:szCs w:val="1"/>
                <w:color w:val="auto"/>
              </w:rPr>
            </w:pPr>
          </w:p>
        </w:tc>
      </w:tr>
      <w:tr>
        <w:trPr>
          <w:trHeight w:val="188"/>
        </w:trPr>
        <w:tc>
          <w:tcPr>
            <w:tcW w:w="1620" w:type="dxa"/>
            <w:vAlign w:val="bottom"/>
          </w:tcPr>
          <w:p>
            <w:pPr>
              <w:jc w:val="center"/>
              <w:ind w:right="13"/>
              <w:spacing w:after="0" w:line="188"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440" w:type="dxa"/>
            <w:vAlign w:val="bottom"/>
          </w:tcPr>
          <w:p>
            <w:pPr>
              <w:ind w:left="10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tcPr>
          <w:p>
            <w:pPr>
              <w:ind w:left="180"/>
              <w:spacing w:after="0" w:line="217" w:lineRule="exact"/>
              <w:rPr>
                <w:sz w:val="20"/>
                <w:szCs w:val="20"/>
                <w:color w:val="auto"/>
              </w:rPr>
            </w:pPr>
            <w:r>
              <w:rPr>
                <w:rFonts w:ascii="Arial" w:cs="Arial" w:eastAsia="Arial" w:hAnsi="Arial"/>
                <w:sz w:val="22"/>
                <w:szCs w:val="22"/>
                <w:color w:val="auto"/>
              </w:rPr>
              <w:t>183,264,565</w:t>
            </w:r>
          </w:p>
        </w:tc>
        <w:tc>
          <w:tcPr>
            <w:tcW w:w="0" w:type="dxa"/>
            <w:vAlign w:val="bottom"/>
          </w:tcPr>
          <w:p>
            <w:pPr>
              <w:spacing w:after="0"/>
              <w:rPr>
                <w:sz w:val="1"/>
                <w:szCs w:val="1"/>
                <w:color w:val="auto"/>
              </w:rPr>
            </w:pPr>
          </w:p>
        </w:tc>
      </w:tr>
      <w:tr>
        <w:trPr>
          <w:trHeight w:val="62"/>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20" w:type="dxa"/>
            <w:vAlign w:val="bottom"/>
            <w:vMerge w:val="continue"/>
          </w:tcPr>
          <w:p>
            <w:pPr>
              <w:spacing w:after="0"/>
              <w:rPr>
                <w:sz w:val="11"/>
                <w:szCs w:val="11"/>
                <w:color w:val="auto"/>
              </w:rPr>
            </w:pPr>
          </w:p>
        </w:tc>
        <w:tc>
          <w:tcPr>
            <w:tcW w:w="3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w:t>
            </w:r>
          </w:p>
        </w:tc>
        <w:tc>
          <w:tcPr>
            <w:tcW w:w="944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4"/>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vMerge w:val="continue"/>
          </w:tcPr>
          <w:p>
            <w:pPr>
              <w:spacing w:after="0"/>
              <w:rPr>
                <w:sz w:val="4"/>
                <w:szCs w:val="4"/>
                <w:color w:val="auto"/>
              </w:rPr>
            </w:pPr>
          </w:p>
        </w:tc>
        <w:tc>
          <w:tcPr>
            <w:tcW w:w="9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62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9440" w:type="dxa"/>
            <w:vAlign w:val="bottom"/>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8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183,264,565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10 Check box if the Aggregate Amount in Row (9) Excludes Certain Shares*</w:t>
      </w:r>
    </w:p>
    <w:p>
      <w:pPr>
        <w:spacing w:after="0" w:line="34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28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28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Item 1(a)</w:t>
            </w: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Name of Issuer:</w:t>
            </w:r>
          </w:p>
        </w:tc>
        <w:tc>
          <w:tcPr>
            <w:tcW w:w="2400" w:type="dxa"/>
            <w:vAlign w:val="bottom"/>
            <w:gridSpan w:val="5"/>
          </w:tcPr>
          <w:p>
            <w:pPr>
              <w:spacing w:after="0"/>
              <w:rPr>
                <w:sz w:val="17"/>
                <w:szCs w:val="17"/>
                <w:color w:val="auto"/>
              </w:rPr>
            </w:pPr>
          </w:p>
        </w:tc>
      </w:tr>
      <w:tr>
        <w:trPr>
          <w:trHeight w:val="235"/>
        </w:trPr>
        <w:tc>
          <w:tcPr>
            <w:tcW w:w="1380" w:type="dxa"/>
            <w:vAlign w:val="bottom"/>
          </w:tcPr>
          <w:p>
            <w:pPr>
              <w:spacing w:after="0"/>
              <w:rPr>
                <w:sz w:val="20"/>
                <w:szCs w:val="20"/>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Comcast Corporation</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1(b)</w:t>
            </w:r>
          </w:p>
        </w:tc>
        <w:tc>
          <w:tcPr>
            <w:tcW w:w="33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Address of Issuer’s Principal Executive Offices:</w:t>
            </w:r>
          </w:p>
        </w:tc>
        <w:tc>
          <w:tcPr>
            <w:tcW w:w="1020" w:type="dxa"/>
            <w:vAlign w:val="bottom"/>
            <w:gridSpan w:val="4"/>
          </w:tcPr>
          <w:p>
            <w:pPr>
              <w:spacing w:after="0"/>
              <w:rPr>
                <w:sz w:val="24"/>
                <w:szCs w:val="24"/>
                <w:color w:val="auto"/>
              </w:rPr>
            </w:pPr>
          </w:p>
        </w:tc>
      </w:tr>
      <w:tr>
        <w:trPr>
          <w:trHeight w:val="228"/>
        </w:trPr>
        <w:tc>
          <w:tcPr>
            <w:tcW w:w="1380" w:type="dxa"/>
            <w:vAlign w:val="bottom"/>
          </w:tcPr>
          <w:p>
            <w:pPr>
              <w:spacing w:after="0"/>
              <w:rPr>
                <w:sz w:val="19"/>
                <w:szCs w:val="19"/>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1500 Market Street</w:t>
            </w:r>
          </w:p>
        </w:tc>
      </w:tr>
      <w:tr>
        <w:trPr>
          <w:trHeight w:val="222"/>
        </w:trPr>
        <w:tc>
          <w:tcPr>
            <w:tcW w:w="1380" w:type="dxa"/>
            <w:vAlign w:val="bottom"/>
          </w:tcPr>
          <w:p>
            <w:pPr>
              <w:spacing w:after="0"/>
              <w:rPr>
                <w:sz w:val="19"/>
                <w:szCs w:val="19"/>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Philadelphia, PA 19102</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2(a)</w:t>
            </w: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Name of Person Filing:</w:t>
            </w:r>
          </w:p>
        </w:tc>
        <w:tc>
          <w:tcPr>
            <w:tcW w:w="2760" w:type="dxa"/>
            <w:vAlign w:val="bottom"/>
            <w:gridSpan w:val="7"/>
          </w:tcPr>
          <w:p>
            <w:pPr>
              <w:spacing w:after="0"/>
              <w:rPr>
                <w:sz w:val="24"/>
                <w:szCs w:val="24"/>
                <w:color w:val="auto"/>
              </w:rPr>
            </w:pPr>
          </w:p>
        </w:tc>
      </w:tr>
      <w:tr>
        <w:trPr>
          <w:trHeight w:val="235"/>
        </w:trPr>
        <w:tc>
          <w:tcPr>
            <w:tcW w:w="1380" w:type="dxa"/>
            <w:vAlign w:val="bottom"/>
          </w:tcPr>
          <w:p>
            <w:pPr>
              <w:spacing w:after="0"/>
              <w:rPr>
                <w:sz w:val="20"/>
                <w:szCs w:val="20"/>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Dodge &amp; Cox</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2(b)</w:t>
            </w:r>
          </w:p>
        </w:tc>
        <w:tc>
          <w:tcPr>
            <w:tcW w:w="4400" w:type="dxa"/>
            <w:vAlign w:val="bottom"/>
            <w:gridSpan w:val="10"/>
          </w:tcPr>
          <w:p>
            <w:pPr>
              <w:spacing w:after="0"/>
              <w:rPr>
                <w:sz w:val="20"/>
                <w:szCs w:val="20"/>
                <w:color w:val="auto"/>
              </w:rPr>
            </w:pPr>
            <w:r>
              <w:rPr>
                <w:rFonts w:ascii="Arial" w:cs="Arial" w:eastAsia="Arial" w:hAnsi="Arial"/>
                <w:sz w:val="18"/>
                <w:szCs w:val="18"/>
                <w:color w:val="auto"/>
              </w:rPr>
              <w:t>Address of the Principal Office or, if none, Residence:</w:t>
            </w:r>
          </w:p>
        </w:tc>
      </w:tr>
      <w:tr>
        <w:trPr>
          <w:trHeight w:val="228"/>
        </w:trPr>
        <w:tc>
          <w:tcPr>
            <w:tcW w:w="1380" w:type="dxa"/>
            <w:vAlign w:val="bottom"/>
          </w:tcPr>
          <w:p>
            <w:pPr>
              <w:spacing w:after="0"/>
              <w:rPr>
                <w:sz w:val="19"/>
                <w:szCs w:val="19"/>
                <w:color w:val="auto"/>
              </w:rPr>
            </w:pPr>
          </w:p>
        </w:tc>
        <w:tc>
          <w:tcPr>
            <w:tcW w:w="38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555 California Street, 40th Floor</w:t>
            </w:r>
          </w:p>
        </w:tc>
        <w:tc>
          <w:tcPr>
            <w:tcW w:w="600" w:type="dxa"/>
            <w:vAlign w:val="bottom"/>
            <w:gridSpan w:val="2"/>
          </w:tcPr>
          <w:p>
            <w:pPr>
              <w:spacing w:after="0"/>
              <w:rPr>
                <w:sz w:val="19"/>
                <w:szCs w:val="19"/>
                <w:color w:val="auto"/>
              </w:rPr>
            </w:pPr>
          </w:p>
        </w:tc>
      </w:tr>
      <w:tr>
        <w:trPr>
          <w:trHeight w:val="222"/>
        </w:trPr>
        <w:tc>
          <w:tcPr>
            <w:tcW w:w="1380" w:type="dxa"/>
            <w:vAlign w:val="bottom"/>
          </w:tcPr>
          <w:p>
            <w:pPr>
              <w:spacing w:after="0"/>
              <w:rPr>
                <w:sz w:val="19"/>
                <w:szCs w:val="19"/>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San Francisco, CA 94104</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2(c)</w:t>
            </w:r>
          </w:p>
        </w:tc>
        <w:tc>
          <w:tcPr>
            <w:tcW w:w="4400" w:type="dxa"/>
            <w:vAlign w:val="bottom"/>
            <w:gridSpan w:val="10"/>
          </w:tcPr>
          <w:p>
            <w:pPr>
              <w:spacing w:after="0"/>
              <w:rPr>
                <w:sz w:val="20"/>
                <w:szCs w:val="20"/>
                <w:color w:val="auto"/>
              </w:rPr>
            </w:pPr>
            <w:r>
              <w:rPr>
                <w:rFonts w:ascii="Arial" w:cs="Arial" w:eastAsia="Arial" w:hAnsi="Arial"/>
                <w:sz w:val="18"/>
                <w:szCs w:val="18"/>
                <w:color w:val="auto"/>
              </w:rPr>
              <w:t>Citizenship:</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California—U.S.A.</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2(d)</w:t>
            </w:r>
          </w:p>
        </w:tc>
        <w:tc>
          <w:tcPr>
            <w:tcW w:w="4400" w:type="dxa"/>
            <w:vAlign w:val="bottom"/>
            <w:gridSpan w:val="10"/>
          </w:tcPr>
          <w:p>
            <w:pPr>
              <w:spacing w:after="0"/>
              <w:rPr>
                <w:sz w:val="20"/>
                <w:szCs w:val="20"/>
                <w:color w:val="auto"/>
              </w:rPr>
            </w:pPr>
            <w:r>
              <w:rPr>
                <w:rFonts w:ascii="Arial" w:cs="Arial" w:eastAsia="Arial" w:hAnsi="Arial"/>
                <w:sz w:val="18"/>
                <w:szCs w:val="18"/>
                <w:color w:val="auto"/>
              </w:rPr>
              <w:t>Title of Class of Securities:</w:t>
            </w:r>
          </w:p>
        </w:tc>
      </w:tr>
      <w:tr>
        <w:trPr>
          <w:trHeight w:val="235"/>
        </w:trPr>
        <w:tc>
          <w:tcPr>
            <w:tcW w:w="1380" w:type="dxa"/>
            <w:vAlign w:val="bottom"/>
          </w:tcPr>
          <w:p>
            <w:pPr>
              <w:spacing w:after="0"/>
              <w:rPr>
                <w:sz w:val="20"/>
                <w:szCs w:val="20"/>
                <w:color w:val="auto"/>
              </w:rPr>
            </w:pPr>
          </w:p>
        </w:tc>
        <w:tc>
          <w:tcPr>
            <w:tcW w:w="1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8"/>
              </w:rPr>
              <w:t>Class A Common Stock</w:t>
            </w:r>
          </w:p>
        </w:tc>
        <w:tc>
          <w:tcPr>
            <w:tcW w:w="2500" w:type="dxa"/>
            <w:vAlign w:val="bottom"/>
            <w:gridSpan w:val="6"/>
          </w:tcPr>
          <w:p>
            <w:pPr>
              <w:spacing w:after="0"/>
              <w:rPr>
                <w:sz w:val="20"/>
                <w:szCs w:val="20"/>
                <w:color w:val="auto"/>
              </w:rPr>
            </w:pP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2(e)</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CUSIP Number:</w:t>
            </w:r>
          </w:p>
        </w:tc>
        <w:tc>
          <w:tcPr>
            <w:tcW w:w="3240" w:type="dxa"/>
            <w:vAlign w:val="bottom"/>
            <w:gridSpan w:val="8"/>
          </w:tcPr>
          <w:p>
            <w:pPr>
              <w:spacing w:after="0"/>
              <w:rPr>
                <w:sz w:val="24"/>
                <w:szCs w:val="24"/>
                <w:color w:val="auto"/>
              </w:rPr>
            </w:pPr>
          </w:p>
        </w:tc>
      </w:tr>
      <w:tr>
        <w:trPr>
          <w:trHeight w:val="235"/>
        </w:trPr>
        <w:tc>
          <w:tcPr>
            <w:tcW w:w="1380" w:type="dxa"/>
            <w:vAlign w:val="bottom"/>
          </w:tcPr>
          <w:p>
            <w:pPr>
              <w:spacing w:after="0"/>
              <w:rPr>
                <w:sz w:val="20"/>
                <w:szCs w:val="20"/>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20030N101</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4400" w:type="dxa"/>
            <w:vAlign w:val="bottom"/>
            <w:gridSpan w:val="10"/>
          </w:tcPr>
          <w:p>
            <w:pPr>
              <w:spacing w:after="0"/>
              <w:rPr>
                <w:sz w:val="20"/>
                <w:szCs w:val="20"/>
                <w:color w:val="auto"/>
              </w:rPr>
            </w:pPr>
            <w:r>
              <w:rPr>
                <w:rFonts w:ascii="Arial" w:cs="Arial" w:eastAsia="Arial" w:hAnsi="Arial"/>
                <w:sz w:val="18"/>
                <w:szCs w:val="18"/>
                <w:color w:val="auto"/>
                <w:w w:val="97"/>
              </w:rPr>
              <w:t>If the Statement is being filed pursuant to Rule 13d-1(b),</w:t>
            </w:r>
          </w:p>
        </w:tc>
      </w:tr>
      <w:tr>
        <w:trPr>
          <w:trHeight w:val="196"/>
        </w:trPr>
        <w:tc>
          <w:tcPr>
            <w:tcW w:w="1380" w:type="dxa"/>
            <w:vAlign w:val="bottom"/>
          </w:tcPr>
          <w:p>
            <w:pPr>
              <w:spacing w:after="0"/>
              <w:rPr>
                <w:sz w:val="17"/>
                <w:szCs w:val="17"/>
                <w:color w:val="auto"/>
              </w:rPr>
            </w:pPr>
          </w:p>
        </w:tc>
        <w:tc>
          <w:tcPr>
            <w:tcW w:w="398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or 13d-2(b), check whether the person filing is a:</w:t>
            </w:r>
          </w:p>
        </w:tc>
        <w:tc>
          <w:tcPr>
            <w:tcW w:w="420" w:type="dxa"/>
            <w:vAlign w:val="bottom"/>
          </w:tcPr>
          <w:p>
            <w:pPr>
              <w:spacing w:after="0"/>
              <w:rPr>
                <w:sz w:val="17"/>
                <w:szCs w:val="17"/>
                <w:color w:val="auto"/>
              </w:rPr>
            </w:pPr>
          </w:p>
        </w:tc>
      </w:tr>
      <w:tr>
        <w:trPr>
          <w:trHeight w:val="228"/>
        </w:trPr>
        <w:tc>
          <w:tcPr>
            <w:tcW w:w="1380" w:type="dxa"/>
            <w:vAlign w:val="bottom"/>
          </w:tcPr>
          <w:p>
            <w:pPr>
              <w:spacing w:after="0"/>
              <w:rPr>
                <w:sz w:val="19"/>
                <w:szCs w:val="19"/>
                <w:color w:val="auto"/>
              </w:rPr>
            </w:pPr>
          </w:p>
        </w:tc>
        <w:tc>
          <w:tcPr>
            <w:tcW w:w="3420" w:type="dxa"/>
            <w:vAlign w:val="bottom"/>
            <w:tcBorders>
              <w:top w:val="single" w:sz="8" w:color="auto"/>
            </w:tcBorders>
            <w:gridSpan w:val="7"/>
          </w:tcPr>
          <w:p>
            <w:pPr>
              <w:spacing w:after="0" w:line="207" w:lineRule="exact"/>
              <w:rPr>
                <w:sz w:val="20"/>
                <w:szCs w:val="20"/>
                <w:color w:val="auto"/>
              </w:rPr>
            </w:pPr>
            <w:r>
              <w:rPr>
                <w:rFonts w:ascii="Arial" w:cs="Arial" w:eastAsia="Arial" w:hAnsi="Arial"/>
                <w:sz w:val="18"/>
                <w:szCs w:val="18"/>
                <w:color w:val="auto"/>
                <w:w w:val="95"/>
              </w:rPr>
              <w:t xml:space="preserve">(e)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Investment Advisor registered under</w:t>
            </w:r>
          </w:p>
        </w:tc>
        <w:tc>
          <w:tcPr>
            <w:tcW w:w="980" w:type="dxa"/>
            <w:vAlign w:val="bottom"/>
            <w:gridSpan w:val="3"/>
          </w:tcPr>
          <w:p>
            <w:pPr>
              <w:spacing w:after="0"/>
              <w:rPr>
                <w:sz w:val="20"/>
                <w:szCs w:val="20"/>
                <w:color w:val="auto"/>
              </w:rPr>
            </w:pPr>
            <w:r>
              <w:rPr>
                <w:rFonts w:ascii="Arial" w:cs="Arial" w:eastAsia="Arial" w:hAnsi="Arial"/>
                <w:sz w:val="18"/>
                <w:szCs w:val="18"/>
                <w:color w:val="auto"/>
                <w:w w:val="85"/>
              </w:rPr>
              <w:t>section 203 of</w:t>
            </w:r>
          </w:p>
        </w:tc>
      </w:tr>
      <w:tr>
        <w:trPr>
          <w:trHeight w:val="222"/>
        </w:trPr>
        <w:tc>
          <w:tcPr>
            <w:tcW w:w="1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560" w:type="dxa"/>
            <w:vAlign w:val="bottom"/>
            <w:gridSpan w:val="9"/>
          </w:tcPr>
          <w:p>
            <w:pPr>
              <w:ind w:left="100"/>
              <w:spacing w:after="0"/>
              <w:rPr>
                <w:sz w:val="20"/>
                <w:szCs w:val="20"/>
                <w:color w:val="auto"/>
              </w:rPr>
            </w:pPr>
            <w:r>
              <w:rPr>
                <w:rFonts w:ascii="Arial" w:cs="Arial" w:eastAsia="Arial" w:hAnsi="Arial"/>
                <w:sz w:val="18"/>
                <w:szCs w:val="18"/>
                <w:color w:val="auto"/>
              </w:rPr>
              <w:t>the Investment Advisors Act of 1940</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5" w:lineRule="exact"/>
        <w:rPr>
          <w:sz w:val="20"/>
          <w:szCs w:val="20"/>
          <w:color w:val="auto"/>
        </w:rPr>
      </w:pPr>
    </w:p>
    <w:p>
      <w:pPr>
        <w:ind w:left="1920" w:right="6359" w:hanging="548"/>
        <w:spacing w:after="0" w:line="261" w:lineRule="auto"/>
        <w:tabs>
          <w:tab w:leader="none" w:pos="17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 xml:space="preserve">Amount Beneficially Owned: </w:t>
      </w:r>
      <w:r>
        <w:rPr>
          <w:rFonts w:ascii="Arial" w:cs="Arial" w:eastAsia="Arial" w:hAnsi="Arial"/>
          <w:sz w:val="18"/>
          <w:szCs w:val="18"/>
          <w:color w:val="auto"/>
        </w:rPr>
        <w:t>183,264,565</w:t>
      </w:r>
    </w:p>
    <w:p>
      <w:pPr>
        <w:spacing w:after="0" w:line="178" w:lineRule="exact"/>
        <w:rPr>
          <w:rFonts w:ascii="Arial" w:cs="Arial" w:eastAsia="Arial" w:hAnsi="Arial"/>
          <w:sz w:val="18"/>
          <w:szCs w:val="18"/>
          <w:color w:val="auto"/>
        </w:rPr>
      </w:pPr>
    </w:p>
    <w:p>
      <w:pPr>
        <w:ind w:left="1800" w:hanging="428"/>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Percent of Class:</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8.9%</w:t>
      </w:r>
    </w:p>
    <w:p>
      <w:pPr>
        <w:spacing w:after="0" w:line="151" w:lineRule="exact"/>
        <w:rPr>
          <w:sz w:val="20"/>
          <w:szCs w:val="20"/>
          <w:color w:val="auto"/>
        </w:rPr>
      </w:pPr>
    </w:p>
    <w:p>
      <w:pPr>
        <w:jc w:val="right"/>
        <w:ind w:right="3719"/>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25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(c)   Number of shares as to which such person has:</w:t>
            </w:r>
          </w:p>
        </w:tc>
      </w:tr>
      <w:tr>
        <w:trPr>
          <w:trHeight w:val="309"/>
        </w:trPr>
        <w:tc>
          <w:tcPr>
            <w:tcW w:w="138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(i)</w:t>
            </w:r>
          </w:p>
        </w:tc>
        <w:tc>
          <w:tcPr>
            <w:tcW w:w="12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sole power to vote or direct the vote:</w:t>
            </w:r>
          </w:p>
        </w:tc>
        <w:tc>
          <w:tcPr>
            <w:tcW w:w="6280" w:type="dxa"/>
            <w:vAlign w:val="bottom"/>
            <w:gridSpan w:val="5"/>
          </w:tcPr>
          <w:p>
            <w:pPr>
              <w:spacing w:after="0"/>
              <w:rPr>
                <w:sz w:val="24"/>
                <w:szCs w:val="24"/>
                <w:color w:val="auto"/>
              </w:rPr>
            </w:pPr>
          </w:p>
        </w:tc>
      </w:tr>
      <w:tr>
        <w:trPr>
          <w:trHeight w:val="222"/>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color w:val="auto"/>
              </w:rPr>
              <w:t>172,694,866</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91"/>
        </w:trPr>
        <w:tc>
          <w:tcPr>
            <w:tcW w:w="1380" w:type="dxa"/>
            <w:vAlign w:val="bottom"/>
          </w:tcPr>
          <w:p>
            <w:pPr>
              <w:spacing w:after="0"/>
              <w:rPr>
                <w:sz w:val="24"/>
                <w:szCs w:val="24"/>
                <w:color w:val="auto"/>
              </w:rPr>
            </w:pPr>
          </w:p>
        </w:tc>
        <w:tc>
          <w:tcPr>
            <w:tcW w:w="9980" w:type="dxa"/>
            <w:vAlign w:val="bottom"/>
            <w:gridSpan w:val="12"/>
          </w:tcPr>
          <w:p>
            <w:pPr>
              <w:ind w:left="100"/>
              <w:spacing w:after="0"/>
              <w:rPr>
                <w:sz w:val="20"/>
                <w:szCs w:val="20"/>
                <w:color w:val="auto"/>
              </w:rPr>
            </w:pPr>
            <w:r>
              <w:rPr>
                <w:rFonts w:ascii="Arial" w:cs="Arial" w:eastAsia="Arial" w:hAnsi="Arial"/>
                <w:sz w:val="18"/>
                <w:szCs w:val="18"/>
                <w:color w:val="auto"/>
              </w:rPr>
              <w:t>(ii)   shared power to vote or direct the vote:</w:t>
            </w:r>
          </w:p>
        </w:tc>
      </w:tr>
      <w:tr>
        <w:trPr>
          <w:trHeight w:val="222"/>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426,998</w:t>
            </w: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291"/>
        </w:trPr>
        <w:tc>
          <w:tcPr>
            <w:tcW w:w="1380" w:type="dxa"/>
            <w:vAlign w:val="bottom"/>
          </w:tcPr>
          <w:p>
            <w:pPr>
              <w:spacing w:after="0"/>
              <w:rPr>
                <w:sz w:val="24"/>
                <w:szCs w:val="24"/>
                <w:color w:val="auto"/>
              </w:rPr>
            </w:pPr>
          </w:p>
        </w:tc>
        <w:tc>
          <w:tcPr>
            <w:tcW w:w="9980" w:type="dxa"/>
            <w:vAlign w:val="bottom"/>
            <w:gridSpan w:val="12"/>
          </w:tcPr>
          <w:p>
            <w:pPr>
              <w:ind w:left="100"/>
              <w:spacing w:after="0"/>
              <w:rPr>
                <w:sz w:val="20"/>
                <w:szCs w:val="20"/>
                <w:color w:val="auto"/>
              </w:rPr>
            </w:pPr>
            <w:r>
              <w:rPr>
                <w:rFonts w:ascii="Arial" w:cs="Arial" w:eastAsia="Arial" w:hAnsi="Arial"/>
                <w:sz w:val="18"/>
                <w:szCs w:val="18"/>
                <w:color w:val="auto"/>
              </w:rPr>
              <w:t>(iii)  sole power to dispose or to direct the</w:t>
            </w:r>
          </w:p>
        </w:tc>
      </w:tr>
      <w:tr>
        <w:trPr>
          <w:trHeight w:val="222"/>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rPr>
              <w:t>disposition of: 183,264,565</w:t>
            </w:r>
          </w:p>
        </w:tc>
      </w:tr>
      <w:tr>
        <w:trPr>
          <w:trHeight w:val="291"/>
        </w:trPr>
        <w:tc>
          <w:tcPr>
            <w:tcW w:w="1380" w:type="dxa"/>
            <w:vAlign w:val="bottom"/>
          </w:tcPr>
          <w:p>
            <w:pPr>
              <w:spacing w:after="0"/>
              <w:rPr>
                <w:sz w:val="24"/>
                <w:szCs w:val="24"/>
                <w:color w:val="auto"/>
              </w:rPr>
            </w:pPr>
          </w:p>
        </w:tc>
        <w:tc>
          <w:tcPr>
            <w:tcW w:w="9980" w:type="dxa"/>
            <w:vAlign w:val="bottom"/>
            <w:gridSpan w:val="12"/>
          </w:tcPr>
          <w:p>
            <w:pPr>
              <w:ind w:left="100"/>
              <w:spacing w:after="0"/>
              <w:rPr>
                <w:sz w:val="20"/>
                <w:szCs w:val="20"/>
                <w:color w:val="auto"/>
              </w:rPr>
            </w:pPr>
            <w:r>
              <w:rPr>
                <w:rFonts w:ascii="Arial" w:cs="Arial" w:eastAsia="Arial" w:hAnsi="Arial"/>
                <w:sz w:val="18"/>
                <w:szCs w:val="18"/>
                <w:color w:val="auto"/>
              </w:rPr>
              <w:t>(iv)  shared power to dispose or to direct the</w:t>
            </w:r>
          </w:p>
        </w:tc>
      </w:tr>
      <w:tr>
        <w:trPr>
          <w:trHeight w:val="222"/>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60" w:type="dxa"/>
            <w:vAlign w:val="bottom"/>
            <w:gridSpan w:val="10"/>
          </w:tcPr>
          <w:p>
            <w:pPr>
              <w:ind w:left="20"/>
              <w:spacing w:after="0"/>
              <w:rPr>
                <w:sz w:val="20"/>
                <w:szCs w:val="20"/>
                <w:color w:val="auto"/>
              </w:rPr>
            </w:pPr>
            <w:r>
              <w:rPr>
                <w:rFonts w:ascii="Arial" w:cs="Arial" w:eastAsia="Arial" w:hAnsi="Arial"/>
                <w:sz w:val="18"/>
                <w:szCs w:val="18"/>
                <w:color w:val="auto"/>
              </w:rPr>
              <w:t>disposition of: 0</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5</w:t>
            </w:r>
          </w:p>
        </w:tc>
        <w:tc>
          <w:tcPr>
            <w:tcW w:w="32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Ownership of Five Percent or Less of a Class:</w:t>
            </w:r>
          </w:p>
        </w:tc>
        <w:tc>
          <w:tcPr>
            <w:tcW w:w="6760" w:type="dxa"/>
            <w:vAlign w:val="bottom"/>
            <w:gridSpan w:val="6"/>
          </w:tcPr>
          <w:p>
            <w:pPr>
              <w:spacing w:after="0"/>
              <w:rPr>
                <w:sz w:val="24"/>
                <w:szCs w:val="24"/>
                <w:color w:val="auto"/>
              </w:rPr>
            </w:pPr>
          </w:p>
        </w:tc>
      </w:tr>
      <w:tr>
        <w:trPr>
          <w:trHeight w:val="235"/>
        </w:trPr>
        <w:tc>
          <w:tcPr>
            <w:tcW w:w="1380" w:type="dxa"/>
            <w:vAlign w:val="bottom"/>
          </w:tcPr>
          <w:p>
            <w:pPr>
              <w:spacing w:after="0"/>
              <w:rPr>
                <w:sz w:val="20"/>
                <w:szCs w:val="20"/>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Not applicable.</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6</w:t>
            </w:r>
          </w:p>
        </w:tc>
        <w:tc>
          <w:tcPr>
            <w:tcW w:w="9980" w:type="dxa"/>
            <w:vAlign w:val="bottom"/>
            <w:gridSpan w:val="12"/>
          </w:tcPr>
          <w:p>
            <w:pPr>
              <w:spacing w:after="0"/>
              <w:rPr>
                <w:sz w:val="20"/>
                <w:szCs w:val="20"/>
                <w:color w:val="auto"/>
              </w:rPr>
            </w:pPr>
            <w:r>
              <w:rPr>
                <w:rFonts w:ascii="Arial" w:cs="Arial" w:eastAsia="Arial" w:hAnsi="Arial"/>
                <w:sz w:val="18"/>
                <w:szCs w:val="18"/>
                <w:color w:val="auto"/>
              </w:rPr>
              <w:t>Ownership of More than Five Percent on Behalf of Another</w:t>
            </w:r>
          </w:p>
        </w:tc>
      </w:tr>
      <w:tr>
        <w:trPr>
          <w:trHeight w:val="196"/>
        </w:trPr>
        <w:tc>
          <w:tcPr>
            <w:tcW w:w="1380" w:type="dxa"/>
            <w:vAlign w:val="bottom"/>
          </w:tcPr>
          <w:p>
            <w:pPr>
              <w:spacing w:after="0"/>
              <w:rPr>
                <w:sz w:val="17"/>
                <w:szCs w:val="17"/>
                <w:color w:val="auto"/>
              </w:rPr>
            </w:pPr>
          </w:p>
        </w:tc>
        <w:tc>
          <w:tcPr>
            <w:tcW w:w="5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0"/>
              </w:rPr>
              <w:t>Person:</w:t>
            </w:r>
          </w:p>
        </w:tc>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800" w:type="dxa"/>
            <w:vAlign w:val="bottom"/>
          </w:tcPr>
          <w:p>
            <w:pPr>
              <w:spacing w:after="0"/>
              <w:rPr>
                <w:sz w:val="17"/>
                <w:szCs w:val="17"/>
                <w:color w:val="auto"/>
              </w:rPr>
            </w:pPr>
          </w:p>
        </w:tc>
      </w:tr>
      <w:tr>
        <w:trPr>
          <w:trHeight w:val="228"/>
        </w:trPr>
        <w:tc>
          <w:tcPr>
            <w:tcW w:w="1380" w:type="dxa"/>
            <w:vAlign w:val="bottom"/>
          </w:tcPr>
          <w:p>
            <w:pPr>
              <w:spacing w:after="0"/>
              <w:rPr>
                <w:sz w:val="19"/>
                <w:szCs w:val="19"/>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w w:val="88"/>
              </w:rPr>
              <w:t>Securities reported on this Schedule 13G are beneficially owned by clients of Dodge &amp; Cox, which clients may include investment companies</w:t>
            </w:r>
          </w:p>
        </w:tc>
      </w:tr>
      <w:tr>
        <w:trPr>
          <w:trHeight w:val="222"/>
        </w:trPr>
        <w:tc>
          <w:tcPr>
            <w:tcW w:w="1380" w:type="dxa"/>
            <w:vAlign w:val="bottom"/>
          </w:tcPr>
          <w:p>
            <w:pPr>
              <w:spacing w:after="0"/>
              <w:rPr>
                <w:sz w:val="19"/>
                <w:szCs w:val="19"/>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w w:val="89"/>
              </w:rPr>
              <w:t>registered under the Investment Company Act and/or employee benefit plans, pension funds, endowment funds or other institutional clients.</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7</w:t>
            </w:r>
          </w:p>
        </w:tc>
        <w:tc>
          <w:tcPr>
            <w:tcW w:w="9980" w:type="dxa"/>
            <w:vAlign w:val="bottom"/>
            <w:gridSpan w:val="12"/>
          </w:tcPr>
          <w:p>
            <w:pPr>
              <w:spacing w:after="0"/>
              <w:rPr>
                <w:sz w:val="20"/>
                <w:szCs w:val="20"/>
                <w:color w:val="auto"/>
              </w:rPr>
            </w:pPr>
            <w:r>
              <w:rPr>
                <w:rFonts w:ascii="Arial" w:cs="Arial" w:eastAsia="Arial" w:hAnsi="Arial"/>
                <w:sz w:val="18"/>
                <w:szCs w:val="18"/>
                <w:color w:val="auto"/>
              </w:rPr>
              <w:t>Identification and Classification of the Subsidiary Which</w:t>
            </w:r>
          </w:p>
        </w:tc>
      </w:tr>
      <w:tr>
        <w:trPr>
          <w:trHeight w:val="196"/>
        </w:trPr>
        <w:tc>
          <w:tcPr>
            <w:tcW w:w="1380" w:type="dxa"/>
            <w:vAlign w:val="bottom"/>
          </w:tcPr>
          <w:p>
            <w:pPr>
              <w:spacing w:after="0"/>
              <w:rPr>
                <w:sz w:val="17"/>
                <w:szCs w:val="17"/>
                <w:color w:val="auto"/>
              </w:rPr>
            </w:pPr>
          </w:p>
        </w:tc>
        <w:tc>
          <w:tcPr>
            <w:tcW w:w="400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Acquired the Security Being Reported on By the Parent</w:t>
            </w:r>
          </w:p>
        </w:tc>
        <w:tc>
          <w:tcPr>
            <w:tcW w:w="59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0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Holding Company:</w:t>
            </w:r>
          </w:p>
        </w:tc>
        <w:tc>
          <w:tcPr>
            <w:tcW w:w="6080" w:type="dxa"/>
            <w:vAlign w:val="bottom"/>
            <w:gridSpan w:val="4"/>
          </w:tcPr>
          <w:p>
            <w:pPr>
              <w:spacing w:after="0"/>
              <w:rPr>
                <w:sz w:val="17"/>
                <w:szCs w:val="17"/>
                <w:color w:val="auto"/>
              </w:rPr>
            </w:pPr>
          </w:p>
        </w:tc>
      </w:tr>
      <w:tr>
        <w:trPr>
          <w:trHeight w:val="235"/>
        </w:trPr>
        <w:tc>
          <w:tcPr>
            <w:tcW w:w="1380" w:type="dxa"/>
            <w:vAlign w:val="bottom"/>
          </w:tcPr>
          <w:p>
            <w:pPr>
              <w:spacing w:after="0"/>
              <w:rPr>
                <w:sz w:val="20"/>
                <w:szCs w:val="20"/>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8640" w:type="dxa"/>
            <w:vAlign w:val="bottom"/>
            <w:gridSpan w:val="8"/>
          </w:tcPr>
          <w:p>
            <w:pPr>
              <w:spacing w:after="0"/>
              <w:rPr>
                <w:sz w:val="20"/>
                <w:szCs w:val="20"/>
                <w:color w:val="auto"/>
              </w:rPr>
            </w:pP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8</w:t>
            </w:r>
          </w:p>
        </w:tc>
        <w:tc>
          <w:tcPr>
            <w:tcW w:w="41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0"/>
              </w:rPr>
              <w:t>Identification and Classification of Members of the Group:</w:t>
            </w:r>
          </w:p>
        </w:tc>
        <w:tc>
          <w:tcPr>
            <w:tcW w:w="5840" w:type="dxa"/>
            <w:vAlign w:val="bottom"/>
            <w:gridSpan w:val="2"/>
          </w:tcPr>
          <w:p>
            <w:pPr>
              <w:spacing w:after="0"/>
              <w:rPr>
                <w:sz w:val="24"/>
                <w:szCs w:val="24"/>
                <w:color w:val="auto"/>
              </w:rPr>
            </w:pPr>
          </w:p>
        </w:tc>
      </w:tr>
      <w:tr>
        <w:trPr>
          <w:trHeight w:val="235"/>
        </w:trPr>
        <w:tc>
          <w:tcPr>
            <w:tcW w:w="1380" w:type="dxa"/>
            <w:vAlign w:val="bottom"/>
          </w:tcPr>
          <w:p>
            <w:pPr>
              <w:spacing w:after="0"/>
              <w:rPr>
                <w:sz w:val="20"/>
                <w:szCs w:val="20"/>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Not applicable.</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9</w:t>
            </w: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Notice of Dissolution of a Group:</w:t>
            </w:r>
          </w:p>
        </w:tc>
        <w:tc>
          <w:tcPr>
            <w:tcW w:w="7620" w:type="dxa"/>
            <w:vAlign w:val="bottom"/>
            <w:gridSpan w:val="7"/>
          </w:tcPr>
          <w:p>
            <w:pPr>
              <w:spacing w:after="0"/>
              <w:rPr>
                <w:sz w:val="24"/>
                <w:szCs w:val="24"/>
                <w:color w:val="auto"/>
              </w:rPr>
            </w:pPr>
          </w:p>
        </w:tc>
      </w:tr>
      <w:tr>
        <w:trPr>
          <w:trHeight w:val="235"/>
        </w:trPr>
        <w:tc>
          <w:tcPr>
            <w:tcW w:w="1380" w:type="dxa"/>
            <w:vAlign w:val="bottom"/>
          </w:tcPr>
          <w:p>
            <w:pPr>
              <w:spacing w:after="0"/>
              <w:rPr>
                <w:sz w:val="20"/>
                <w:szCs w:val="20"/>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Not applicable.</w:t>
            </w:r>
          </w:p>
        </w:tc>
      </w:tr>
      <w:tr>
        <w:trPr>
          <w:trHeight w:val="380"/>
        </w:trPr>
        <w:tc>
          <w:tcPr>
            <w:tcW w:w="1380" w:type="dxa"/>
            <w:vAlign w:val="bottom"/>
          </w:tcPr>
          <w:p>
            <w:pPr>
              <w:spacing w:after="0"/>
              <w:rPr>
                <w:sz w:val="20"/>
                <w:szCs w:val="20"/>
                <w:color w:val="auto"/>
              </w:rPr>
            </w:pPr>
            <w:r>
              <w:rPr>
                <w:rFonts w:ascii="Arial" w:cs="Arial" w:eastAsia="Arial" w:hAnsi="Arial"/>
                <w:sz w:val="18"/>
                <w:szCs w:val="18"/>
                <w:color w:val="auto"/>
              </w:rPr>
              <w:t>Item 10</w:t>
            </w:r>
          </w:p>
        </w:tc>
        <w:tc>
          <w:tcPr>
            <w:tcW w:w="9980" w:type="dxa"/>
            <w:vAlign w:val="bottom"/>
            <w:gridSpan w:val="12"/>
          </w:tcPr>
          <w:p>
            <w:pPr>
              <w:spacing w:after="0"/>
              <w:rPr>
                <w:sz w:val="20"/>
                <w:szCs w:val="20"/>
                <w:color w:val="auto"/>
              </w:rPr>
            </w:pPr>
            <w:r>
              <w:rPr>
                <w:rFonts w:ascii="Arial" w:cs="Arial" w:eastAsia="Arial" w:hAnsi="Arial"/>
                <w:sz w:val="18"/>
                <w:szCs w:val="18"/>
                <w:color w:val="auto"/>
              </w:rPr>
              <w:t>Certification:</w:t>
            </w:r>
          </w:p>
        </w:tc>
      </w:tr>
      <w:tr>
        <w:trPr>
          <w:trHeight w:val="20"/>
        </w:trPr>
        <w:tc>
          <w:tcPr>
            <w:tcW w:w="13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9060" w:type="dxa"/>
            <w:vAlign w:val="bottom"/>
            <w:gridSpan w:val="9"/>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By signing below I certify that, to the best</w:t>
            </w:r>
          </w:p>
        </w:tc>
      </w:tr>
      <w:tr>
        <w:trPr>
          <w:trHeight w:val="216"/>
        </w:trPr>
        <w:tc>
          <w:tcPr>
            <w:tcW w:w="1380" w:type="dxa"/>
            <w:vAlign w:val="bottom"/>
          </w:tcPr>
          <w:p>
            <w:pPr>
              <w:spacing w:after="0"/>
              <w:rPr>
                <w:sz w:val="18"/>
                <w:szCs w:val="18"/>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of my knowledge and belief, the securities referred to</w:t>
            </w:r>
          </w:p>
        </w:tc>
      </w:tr>
      <w:tr>
        <w:trPr>
          <w:trHeight w:val="222"/>
        </w:trPr>
        <w:tc>
          <w:tcPr>
            <w:tcW w:w="1380" w:type="dxa"/>
            <w:vAlign w:val="bottom"/>
          </w:tcPr>
          <w:p>
            <w:pPr>
              <w:spacing w:after="0"/>
              <w:rPr>
                <w:sz w:val="19"/>
                <w:szCs w:val="19"/>
                <w:color w:val="auto"/>
              </w:rPr>
            </w:pPr>
          </w:p>
        </w:tc>
        <w:tc>
          <w:tcPr>
            <w:tcW w:w="9980" w:type="dxa"/>
            <w:vAlign w:val="bottom"/>
            <w:gridSpan w:val="12"/>
          </w:tcPr>
          <w:p>
            <w:pPr>
              <w:spacing w:after="0"/>
              <w:rPr>
                <w:sz w:val="20"/>
                <w:szCs w:val="20"/>
                <w:color w:val="auto"/>
              </w:rPr>
            </w:pPr>
            <w:r>
              <w:rPr>
                <w:rFonts w:ascii="Arial" w:cs="Arial" w:eastAsia="Arial" w:hAnsi="Arial"/>
                <w:sz w:val="18"/>
                <w:szCs w:val="18"/>
                <w:color w:val="auto"/>
              </w:rPr>
              <w:t>above were acquired in the ordinary course of business and</w:t>
            </w:r>
          </w:p>
        </w:tc>
      </w:tr>
    </w:tbl>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were not acquired for the purpose of and do not have the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effect of changing or influencing the control of the issuer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of such securities and were not acquired in connection with</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or as a participant in any transaction having such purpose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or effect.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1360"/>
          </w:cols>
          <w:pgMar w:left="240" w:top="257" w:right="29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2009</w:t>
      </w:r>
    </w:p>
    <w:p>
      <w:pPr>
        <w:spacing w:after="0" w:line="21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4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MISTELE</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M. Mistele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Counsel &amp; COO</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6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lvl w:ilvl="1">
      <w:lvlJc w:val="left"/>
      <w:lvlText w:val="(%2)"/>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2019-12-10T21:54:12Z</dcterms:created>
  <dcterms:modified xsi:type="dcterms:W3CDTF">2019-12-10T21:54:12Z</dcterms:modified>
</cp:coreProperties>
</file>