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208280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Securities Exchange Act of 1934</w:t>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22, 2014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(State or Other Jurisdiction of Incorporation)</w:t>
      </w:r>
    </w:p>
    <w:p>
      <w:pPr>
        <w:spacing w:after="0" w:line="192"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0"/>
              </w:rPr>
              <w:t>001-32871</w:t>
            </w:r>
          </w:p>
        </w:tc>
        <w:tc>
          <w:tcPr>
            <w:tcW w:w="4320" w:type="dxa"/>
            <w:vAlign w:val="bottom"/>
          </w:tcPr>
          <w:p>
            <w:pPr>
              <w:jc w:val="center"/>
              <w:ind w:left="2279"/>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4680" w:type="dxa"/>
            <w:vAlign w:val="bottom"/>
          </w:tcPr>
          <w:p>
            <w:pPr>
              <w:jc w:val="center"/>
              <w:ind w:right="2257"/>
              <w:spacing w:after="0"/>
              <w:rPr>
                <w:sz w:val="20"/>
                <w:szCs w:val="20"/>
                <w:color w:val="auto"/>
              </w:rPr>
            </w:pPr>
            <w:r>
              <w:rPr>
                <w:rFonts w:ascii="Arial" w:cs="Arial" w:eastAsia="Arial" w:hAnsi="Arial"/>
                <w:sz w:val="14"/>
                <w:szCs w:val="14"/>
                <w:color w:val="auto"/>
                <w:w w:val="94"/>
              </w:rPr>
              <w:t>(Commission File Number)</w:t>
            </w:r>
          </w:p>
        </w:tc>
        <w:tc>
          <w:tcPr>
            <w:tcW w:w="4320" w:type="dxa"/>
            <w:vAlign w:val="bottom"/>
          </w:tcPr>
          <w:p>
            <w:pPr>
              <w:jc w:val="center"/>
              <w:ind w:left="2259"/>
              <w:spacing w:after="0"/>
              <w:rPr>
                <w:sz w:val="20"/>
                <w:szCs w:val="20"/>
                <w:color w:val="auto"/>
              </w:rPr>
            </w:pPr>
            <w:r>
              <w:rPr>
                <w:rFonts w:ascii="Arial" w:cs="Arial" w:eastAsia="Arial" w:hAnsi="Arial"/>
                <w:sz w:val="14"/>
                <w:szCs w:val="14"/>
                <w:color w:val="auto"/>
                <w:w w:val="97"/>
              </w:rPr>
              <w:t>(IRS Employer Identification No.)</w:t>
            </w:r>
          </w:p>
        </w:tc>
      </w:tr>
      <w:tr>
        <w:trPr>
          <w:trHeight w:val="507"/>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0"/>
              </w:rPr>
              <w:t>One Comcast Center</w:t>
            </w:r>
          </w:p>
        </w:tc>
        <w:tc>
          <w:tcPr>
            <w:tcW w:w="4320" w:type="dxa"/>
            <w:vAlign w:val="bottom"/>
          </w:tcPr>
          <w:p>
            <w:pPr>
              <w:spacing w:after="0"/>
              <w:rPr>
                <w:sz w:val="24"/>
                <w:szCs w:val="24"/>
                <w:color w:val="auto"/>
              </w:rPr>
            </w:pPr>
          </w:p>
        </w:tc>
      </w:tr>
      <w:tr>
        <w:trPr>
          <w:trHeight w:val="216"/>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2"/>
              </w:rPr>
              <w:t>Philadelphia, PA</w:t>
            </w:r>
          </w:p>
        </w:tc>
        <w:tc>
          <w:tcPr>
            <w:tcW w:w="4320" w:type="dxa"/>
            <w:vAlign w:val="bottom"/>
          </w:tcPr>
          <w:p>
            <w:pPr>
              <w:jc w:val="center"/>
              <w:ind w:left="2279"/>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4680" w:type="dxa"/>
            <w:vAlign w:val="bottom"/>
          </w:tcPr>
          <w:p>
            <w:pPr>
              <w:jc w:val="center"/>
              <w:ind w:right="2257"/>
              <w:spacing w:after="0"/>
              <w:rPr>
                <w:sz w:val="20"/>
                <w:szCs w:val="20"/>
                <w:color w:val="auto"/>
              </w:rPr>
            </w:pPr>
            <w:r>
              <w:rPr>
                <w:rFonts w:ascii="Arial" w:cs="Arial" w:eastAsia="Arial" w:hAnsi="Arial"/>
                <w:sz w:val="14"/>
                <w:szCs w:val="14"/>
                <w:color w:val="auto"/>
                <w:w w:val="95"/>
              </w:rPr>
              <w:t>(Address of Principal Executive Offices)</w:t>
            </w:r>
          </w:p>
        </w:tc>
        <w:tc>
          <w:tcPr>
            <w:tcW w:w="4320" w:type="dxa"/>
            <w:vAlign w:val="bottom"/>
          </w:tcPr>
          <w:p>
            <w:pPr>
              <w:jc w:val="center"/>
              <w:ind w:left="2279"/>
              <w:spacing w:after="0"/>
              <w:rPr>
                <w:sz w:val="20"/>
                <w:szCs w:val="20"/>
                <w:color w:val="auto"/>
              </w:rPr>
            </w:pPr>
            <w:r>
              <w:rPr>
                <w:rFonts w:ascii="Arial" w:cs="Arial" w:eastAsia="Arial" w:hAnsi="Arial"/>
                <w:sz w:val="14"/>
                <w:szCs w:val="14"/>
                <w:color w:val="auto"/>
                <w:w w:val="96"/>
              </w:rPr>
              <w:t>(Zip Code)</w:t>
            </w:r>
          </w:p>
        </w:tc>
      </w:tr>
    </w:tbl>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5" w:lineRule="exact"/>
        <w:rPr>
          <w:sz w:val="24"/>
          <w:szCs w:val="24"/>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On April 22, 2014, Comcast Corporation (“Comcast”) issued a press release reporting the results of its operations for the three months ended March 31, 2014.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333"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4"/>
          <w:szCs w:val="24"/>
          <w:color w:val="auto"/>
        </w:rPr>
      </w:pPr>
    </w:p>
    <w:p>
      <w:pPr>
        <w:ind w:left="200"/>
        <w:spacing w:after="0"/>
        <w:tabs>
          <w:tab w:leader="none" w:pos="12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4"/>
          <w:szCs w:val="24"/>
          <w:color w:val="auto"/>
        </w:rPr>
      </w:pPr>
    </w:p>
    <w:p>
      <w:pPr>
        <w:ind w:left="36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Comcast Corporation press release dated April 22, 2014.</w:t>
      </w:r>
    </w:p>
    <w:p>
      <w:pPr>
        <w:spacing w:after="0" w:line="23" w:lineRule="exact"/>
        <w:rPr>
          <w:sz w:val="24"/>
          <w:szCs w:val="24"/>
          <w:color w:val="auto"/>
        </w:rPr>
      </w:pPr>
    </w:p>
    <w:p>
      <w:pPr>
        <w:ind w:left="360"/>
        <w:spacing w:after="0"/>
        <w:tabs>
          <w:tab w:leader="none" w:pos="1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Explanation of Non-GAAP and Other Financial Measures.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53" w:right="239" w:bottom="4"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648"/>
        </w:trPr>
        <w:tc>
          <w:tcPr>
            <w:tcW w:w="3640" w:type="dxa"/>
            <w:vAlign w:val="bottom"/>
          </w:tcPr>
          <w:p>
            <w:pPr>
              <w:spacing w:after="0"/>
              <w:rPr>
                <w:sz w:val="20"/>
                <w:szCs w:val="20"/>
                <w:color w:val="auto"/>
              </w:rPr>
            </w:pPr>
            <w:r>
              <w:rPr>
                <w:rFonts w:ascii="Arial" w:cs="Arial" w:eastAsia="Arial" w:hAnsi="Arial"/>
                <w:sz w:val="18"/>
                <w:szCs w:val="18"/>
                <w:color w:val="auto"/>
              </w:rPr>
              <w:t>Date:  April 22, 2014</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Lawrence J. Salva</w:t>
            </w:r>
          </w:p>
        </w:tc>
        <w:tc>
          <w:tcPr>
            <w:tcW w:w="4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 J. Salva</w:t>
            </w:r>
          </w:p>
        </w:tc>
        <w:tc>
          <w:tcPr>
            <w:tcW w:w="40" w:type="dxa"/>
            <w:vAlign w:val="bottom"/>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Chief Accounting Officer</w:t>
            </w:r>
          </w:p>
        </w:tc>
        <w:tc>
          <w:tcPr>
            <w:tcW w:w="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and Controller</w:t>
            </w:r>
          </w:p>
        </w:tc>
        <w:tc>
          <w:tcPr>
            <w:tcW w:w="4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010101"/>
            </w:tcBorders>
          </w:tcPr>
          <w:p>
            <w:pPr>
              <w:spacing w:after="0"/>
              <w:rPr>
                <w:sz w:val="24"/>
                <w:szCs w:val="24"/>
                <w:color w:val="auto"/>
              </w:rPr>
            </w:pPr>
          </w:p>
        </w:tc>
        <w:tc>
          <w:tcPr>
            <w:tcW w:w="254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2" w:name="page3"/>
    <w:bookmarkEnd w:id="2"/>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15760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7605" cy="480060"/>
                    </a:xfrm>
                    <a:prstGeom prst="rect">
                      <a:avLst/>
                    </a:prstGeom>
                    <a:noFill/>
                  </pic:spPr>
                </pic:pic>
              </a:graphicData>
            </a:graphic>
          </wp:anchor>
        </w:drawing>
      </w:r>
    </w:p>
    <w:p>
      <w:pPr>
        <w:spacing w:after="0" w:line="353"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3540" w:firstLine="3462"/>
        <w:spacing w:after="0" w:line="474" w:lineRule="auto"/>
        <w:rPr>
          <w:sz w:val="20"/>
          <w:szCs w:val="20"/>
          <w:color w:val="auto"/>
        </w:rPr>
      </w:pPr>
      <w:r>
        <w:rPr>
          <w:rFonts w:ascii="Arial" w:cs="Arial" w:eastAsia="Arial" w:hAnsi="Arial"/>
          <w:sz w:val="18"/>
          <w:szCs w:val="18"/>
          <w:b w:val="1"/>
          <w:bCs w:val="1"/>
          <w:u w:val="single" w:color="auto"/>
          <w:color w:val="auto"/>
        </w:rPr>
        <w:t xml:space="preserve">COMCAST REPORTS 1st QUARTER 2014 RESULTS </w:t>
      </w:r>
      <w:r>
        <w:rPr>
          <w:rFonts w:ascii="Arial" w:cs="Arial" w:eastAsia="Arial" w:hAnsi="Arial"/>
          <w:sz w:val="18"/>
          <w:szCs w:val="18"/>
          <w:b w:val="1"/>
          <w:bCs w:val="1"/>
          <w:color w:val="auto"/>
        </w:rPr>
        <w:t>Consolidated 1st Quarter 2014 Highlights:</w:t>
      </w:r>
    </w:p>
    <w:p>
      <w:pPr>
        <w:spacing w:after="0" w:line="15"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 Increased 13.7%, Operating Cash Flow Increased 10.0% and Operating Income Increased 16.3%</w:t>
      </w:r>
    </w:p>
    <w:p>
      <w:pPr>
        <w:spacing w:after="0" w:line="171" w:lineRule="exact"/>
        <w:rPr>
          <w:rFonts w:ascii="Arial" w:cs="Arial" w:eastAsia="Arial" w:hAnsi="Arial"/>
          <w:sz w:val="18"/>
          <w:szCs w:val="18"/>
          <w:color w:val="auto"/>
        </w:rPr>
      </w:pPr>
    </w:p>
    <w:p>
      <w:pPr>
        <w:ind w:left="660" w:right="500" w:hanging="328"/>
        <w:spacing w:after="0" w:line="262"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Increased 31.5% to $0.71; Excluding Gains on Sales and Acquisition-Related Items, EPS Increased 33.3% to $0.68</w:t>
      </w:r>
    </w:p>
    <w:p>
      <w:pPr>
        <w:spacing w:after="0" w:line="128"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Dividends and Quarterly Share Repurchases Increased 35.5% to $1.3 Billion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1st Quarter 2014 Highlights:</w:t>
      </w:r>
    </w:p>
    <w:p>
      <w:pPr>
        <w:spacing w:after="0" w:line="220"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Revenue Increased 5.3% and Operating Cash Flow Increased 4.3%</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Customer Relationships Increased by 124,000 to 26.8 Million</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Video Customers Increased by 24,000, the Second Consecutive Quarter of Customer Growth</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High-Speed Internet Customers Increased by 383,000; Revenue Growth of 9.0% Is the Strongest Rate of Growth in Two Years</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Services Revenue Increased 23.9%, Approaching a $4 Billion Annual Run-Rate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1st Quarter 2014 Highlights:</w:t>
      </w:r>
    </w:p>
    <w:p>
      <w:pPr>
        <w:spacing w:after="0" w:line="220"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 Revenue Increased 28.8% and Operating Cash Flow Increased 37.6%</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Broadcast Revenue Increased 17.0%, Excluding Olympics, and Is Ranked #1 Season-to-Date Among Adults 18-49</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Film Operating Cash Flow Increased Over $200 Million</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Sochi Olympics Generated Over $1.1 Billion in Revenue</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PHILADELPHIA – April 22, 2014… Comcast Corporation (NASDAQ: CMCSA, CMCSK) today reported results for the quarter ended March 31, 2014.</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Brian L. Roberts, Chairman and Chief Executive Officer of Comcast Corporation, said, “Our operating momentum is continuing as we enter 2014 and is highlighted by our second consecutive quarter of video customer growth, as well as strength in high-speed Internet and business services. Our focus on the customer experience continues to drive our success as we deliver the most innovative products in the industry and make measurable progress in customer service. At NBCUniversal, we had another superb quarter with double-digit revenue and operating cash flow growth driven by the tremendously successful Sochi Olympics and the best season-to-date broadcast ratings in a decade. Overall, the company is performing well and the more planning we do for our proposed merger with Time Warner Cable, the more excited we are by the opportunities for the combined company. Comcast has tremendous momentum right now, and we believe the TWC transaction will strengthen a truly world-class organization that will be well positioned to compete and yield meaningful benefits to our customers, employees, and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1st Quarter</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3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2013</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220"/>
        </w:trPr>
        <w:tc>
          <w:tcPr>
            <w:tcW w:w="5560" w:type="dxa"/>
            <w:vAlign w:val="bottom"/>
          </w:tcPr>
          <w:p>
            <w:pPr>
              <w:ind w:left="40"/>
              <w:spacing w:after="0"/>
              <w:rPr>
                <w:sz w:val="20"/>
                <w:szCs w:val="20"/>
                <w:color w:val="auto"/>
              </w:rPr>
            </w:pPr>
            <w:r>
              <w:rPr>
                <w:rFonts w:ascii="Arial" w:cs="Arial" w:eastAsia="Arial" w:hAnsi="Arial"/>
                <w:sz w:val="14"/>
                <w:szCs w:val="14"/>
                <w:color w:val="auto"/>
              </w:rPr>
              <w:t>Revenue</w:t>
            </w:r>
          </w:p>
        </w:tc>
        <w:tc>
          <w:tcPr>
            <w:tcW w:w="3860" w:type="dxa"/>
            <w:vAlign w:val="bottom"/>
          </w:tcPr>
          <w:p>
            <w:pPr>
              <w:jc w:val="right"/>
              <w:ind w:right="68"/>
              <w:spacing w:after="0"/>
              <w:rPr>
                <w:sz w:val="20"/>
                <w:szCs w:val="20"/>
                <w:color w:val="auto"/>
              </w:rPr>
            </w:pPr>
            <w:r>
              <w:rPr>
                <w:rFonts w:ascii="Arial" w:cs="Arial" w:eastAsia="Arial" w:hAnsi="Arial"/>
                <w:sz w:val="14"/>
                <w:szCs w:val="14"/>
                <w:color w:val="auto"/>
              </w:rPr>
              <w:t>$15,310</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$17,408</w:t>
            </w:r>
          </w:p>
        </w:tc>
        <w:tc>
          <w:tcPr>
            <w:tcW w:w="84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71"/>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w:t>
            </w:r>
          </w:p>
        </w:tc>
        <w:tc>
          <w:tcPr>
            <w:tcW w:w="3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i w:val="1"/>
                <w:iCs w:val="1"/>
                <w:color w:val="auto"/>
              </w:rPr>
              <w:t>$15,310</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i w:val="1"/>
                <w:iCs w:val="1"/>
                <w:color w:val="auto"/>
              </w:rPr>
              <w:t>$16,305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6.5%</w:t>
            </w:r>
          </w:p>
        </w:tc>
        <w:tc>
          <w:tcPr>
            <w:tcW w:w="0" w:type="dxa"/>
            <w:vAlign w:val="bottom"/>
          </w:tcPr>
          <w:p>
            <w:pPr>
              <w:spacing w:after="0"/>
              <w:rPr>
                <w:sz w:val="1"/>
                <w:szCs w:val="1"/>
                <w:color w:val="auto"/>
              </w:rPr>
            </w:pPr>
          </w:p>
        </w:tc>
      </w:tr>
      <w:tr>
        <w:trPr>
          <w:trHeight w:val="179"/>
        </w:trPr>
        <w:tc>
          <w:tcPr>
            <w:tcW w:w="5560" w:type="dxa"/>
            <w:vAlign w:val="bottom"/>
          </w:tcPr>
          <w:p>
            <w:pPr>
              <w:ind w:left="40"/>
              <w:spacing w:after="0"/>
              <w:rPr>
                <w:sz w:val="20"/>
                <w:szCs w:val="20"/>
                <w:color w:val="auto"/>
              </w:rPr>
            </w:pPr>
            <w:r>
              <w:rPr>
                <w:rFonts w:ascii="Arial" w:cs="Arial" w:eastAsia="Arial" w:hAnsi="Arial"/>
                <w:sz w:val="14"/>
                <w:szCs w:val="14"/>
                <w:color w:val="auto"/>
              </w:rPr>
              <w:t>Operating Cash Flow</w:t>
            </w:r>
            <w:r>
              <w:rPr>
                <w:rFonts w:ascii="Arial" w:cs="Arial" w:eastAsia="Arial" w:hAnsi="Arial"/>
                <w:sz w:val="14"/>
                <w:szCs w:val="14"/>
                <w:color w:val="auto"/>
                <w:vertAlign w:val="superscript"/>
              </w:rPr>
              <w:t>1</w:t>
            </w:r>
          </w:p>
        </w:tc>
        <w:tc>
          <w:tcPr>
            <w:tcW w:w="3860" w:type="dxa"/>
            <w:vAlign w:val="bottom"/>
            <w:vMerge w:val="restart"/>
          </w:tcPr>
          <w:p>
            <w:pPr>
              <w:jc w:val="right"/>
              <w:ind w:right="68"/>
              <w:spacing w:after="0"/>
              <w:rPr>
                <w:sz w:val="20"/>
                <w:szCs w:val="20"/>
                <w:color w:val="auto"/>
              </w:rPr>
            </w:pPr>
            <w:r>
              <w:rPr>
                <w:rFonts w:ascii="Arial" w:cs="Arial" w:eastAsia="Arial" w:hAnsi="Arial"/>
                <w:sz w:val="14"/>
                <w:szCs w:val="14"/>
                <w:color w:val="auto"/>
              </w:rPr>
              <w:t>$5,034</w:t>
            </w:r>
          </w:p>
        </w:tc>
        <w:tc>
          <w:tcPr>
            <w:tcW w:w="1160" w:type="dxa"/>
            <w:vAlign w:val="bottom"/>
            <w:vMerge w:val="restart"/>
          </w:tcPr>
          <w:p>
            <w:pPr>
              <w:jc w:val="right"/>
              <w:ind w:right="228"/>
              <w:spacing w:after="0"/>
              <w:rPr>
                <w:sz w:val="20"/>
                <w:szCs w:val="20"/>
                <w:color w:val="auto"/>
              </w:rPr>
            </w:pPr>
            <w:r>
              <w:rPr>
                <w:rFonts w:ascii="Arial" w:cs="Arial" w:eastAsia="Arial" w:hAnsi="Arial"/>
                <w:sz w:val="14"/>
                <w:szCs w:val="14"/>
                <w:color w:val="auto"/>
              </w:rPr>
              <w:t>$5,538</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2"/>
        </w:trPr>
        <w:tc>
          <w:tcPr>
            <w:tcW w:w="5560" w:type="dxa"/>
            <w:vAlign w:val="bottom"/>
          </w:tcPr>
          <w:p>
            <w:pPr>
              <w:spacing w:after="0" w:line="20" w:lineRule="exact"/>
              <w:rPr>
                <w:sz w:val="1"/>
                <w:szCs w:val="1"/>
                <w:color w:val="auto"/>
              </w:rPr>
            </w:pPr>
          </w:p>
        </w:tc>
        <w:tc>
          <w:tcPr>
            <w:tcW w:w="386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TWC Transaction Costs</w:t>
            </w:r>
          </w:p>
        </w:tc>
        <w:tc>
          <w:tcPr>
            <w:tcW w:w="3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i w:val="1"/>
                <w:iCs w:val="1"/>
                <w:color w:val="auto"/>
              </w:rPr>
              <w:t>$5,034</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i w:val="1"/>
                <w:iCs w:val="1"/>
                <w:color w:val="auto"/>
              </w:rPr>
              <w:t>$5,555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10.4%</w:t>
            </w:r>
          </w:p>
        </w:tc>
        <w:tc>
          <w:tcPr>
            <w:tcW w:w="0" w:type="dxa"/>
            <w:vAlign w:val="bottom"/>
          </w:tcPr>
          <w:p>
            <w:pPr>
              <w:spacing w:after="0"/>
              <w:rPr>
                <w:sz w:val="1"/>
                <w:szCs w:val="1"/>
                <w:color w:val="auto"/>
              </w:rPr>
            </w:pPr>
          </w:p>
        </w:tc>
      </w:tr>
      <w:tr>
        <w:trPr>
          <w:trHeight w:val="169"/>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Income</w:t>
            </w:r>
          </w:p>
        </w:tc>
        <w:tc>
          <w:tcPr>
            <w:tcW w:w="3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$3,067</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$3,568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60"/>
        </w:trPr>
        <w:tc>
          <w:tcPr>
            <w:tcW w:w="5560" w:type="dxa"/>
            <w:vAlign w:val="bottom"/>
          </w:tcPr>
          <w:p>
            <w:pPr>
              <w:ind w:left="40"/>
              <w:spacing w:after="0" w:line="160" w:lineRule="exact"/>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3860" w:type="dxa"/>
            <w:vAlign w:val="bottom"/>
          </w:tcPr>
          <w:p>
            <w:pPr>
              <w:jc w:val="right"/>
              <w:ind w:right="68"/>
              <w:spacing w:after="0" w:line="160" w:lineRule="exact"/>
              <w:rPr>
                <w:sz w:val="20"/>
                <w:szCs w:val="20"/>
                <w:color w:val="auto"/>
              </w:rPr>
            </w:pPr>
            <w:r>
              <w:rPr>
                <w:rFonts w:ascii="Arial" w:cs="Arial" w:eastAsia="Arial" w:hAnsi="Arial"/>
                <w:sz w:val="14"/>
                <w:szCs w:val="14"/>
                <w:color w:val="auto"/>
              </w:rPr>
              <w:t>$0.54</w:t>
            </w:r>
          </w:p>
        </w:tc>
        <w:tc>
          <w:tcPr>
            <w:tcW w:w="1160" w:type="dxa"/>
            <w:vAlign w:val="bottom"/>
          </w:tcPr>
          <w:p>
            <w:pPr>
              <w:jc w:val="right"/>
              <w:ind w:right="228"/>
              <w:spacing w:after="0" w:line="160" w:lineRule="exact"/>
              <w:rPr>
                <w:sz w:val="20"/>
                <w:szCs w:val="20"/>
                <w:color w:val="auto"/>
              </w:rPr>
            </w:pPr>
            <w:r>
              <w:rPr>
                <w:rFonts w:ascii="Arial" w:cs="Arial" w:eastAsia="Arial" w:hAnsi="Arial"/>
                <w:sz w:val="14"/>
                <w:szCs w:val="14"/>
                <w:color w:val="auto"/>
              </w:rPr>
              <w:t>$0.71</w:t>
            </w:r>
          </w:p>
        </w:tc>
        <w:tc>
          <w:tcPr>
            <w:tcW w:w="840" w:type="dxa"/>
            <w:vAlign w:val="bottom"/>
          </w:tcPr>
          <w:p>
            <w:pPr>
              <w:jc w:val="right"/>
              <w:spacing w:after="0" w:line="160"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85"/>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Adjustments (see Table 4)</w:t>
            </w:r>
          </w:p>
        </w:tc>
        <w:tc>
          <w:tcPr>
            <w:tcW w:w="3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i w:val="1"/>
                <w:iCs w:val="1"/>
                <w:color w:val="auto"/>
              </w:rPr>
              <w:t>$0.51</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i w:val="1"/>
                <w:iCs w:val="1"/>
                <w:color w:val="auto"/>
              </w:rPr>
              <w:t>$0.68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33.3%</w:t>
            </w:r>
          </w:p>
        </w:tc>
        <w:tc>
          <w:tcPr>
            <w:tcW w:w="0" w:type="dxa"/>
            <w:vAlign w:val="bottom"/>
          </w:tcPr>
          <w:p>
            <w:pPr>
              <w:spacing w:after="0"/>
              <w:rPr>
                <w:sz w:val="1"/>
                <w:szCs w:val="1"/>
                <w:color w:val="auto"/>
              </w:rPr>
            </w:pPr>
          </w:p>
        </w:tc>
      </w:tr>
      <w:tr>
        <w:trPr>
          <w:trHeight w:val="233"/>
        </w:trPr>
        <w:tc>
          <w:tcPr>
            <w:tcW w:w="556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14"/>
                <w:szCs w:val="14"/>
                <w:color w:val="auto"/>
                <w:vertAlign w:val="superscript"/>
              </w:rPr>
              <w:t>3</w:t>
            </w:r>
          </w:p>
        </w:tc>
        <w:tc>
          <w:tcPr>
            <w:tcW w:w="3860" w:type="dxa"/>
            <w:vAlign w:val="bottom"/>
          </w:tcPr>
          <w:p>
            <w:pPr>
              <w:jc w:val="right"/>
              <w:ind w:right="68"/>
              <w:spacing w:after="0"/>
              <w:rPr>
                <w:sz w:val="20"/>
                <w:szCs w:val="20"/>
                <w:color w:val="auto"/>
              </w:rPr>
            </w:pPr>
            <w:r>
              <w:rPr>
                <w:rFonts w:ascii="Arial" w:cs="Arial" w:eastAsia="Arial" w:hAnsi="Arial"/>
                <w:sz w:val="14"/>
                <w:szCs w:val="14"/>
                <w:color w:val="auto"/>
              </w:rPr>
              <w:t>$3,138</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$2,824</w:t>
            </w: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 or www.cmcsk.com.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first quarter of 2014 increased 13.7% to $17.4 billion. Excluding $1.1 billion of revenue generated by the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Sochi Olympics, consolidated revenue increased 6.5%. </w:t>
      </w:r>
      <w:r>
        <w:rPr>
          <w:rFonts w:ascii="Arial" w:cs="Arial" w:eastAsia="Arial" w:hAnsi="Arial"/>
          <w:sz w:val="18"/>
          <w:szCs w:val="18"/>
          <w:b w:val="1"/>
          <w:bCs w:val="1"/>
          <w:i w:val="1"/>
          <w:iCs w:val="1"/>
          <w:color w:val="auto"/>
        </w:rPr>
        <w:t>Consolidated Operating Cash Flow</w:t>
      </w:r>
      <w:r>
        <w:rPr>
          <w:rFonts w:ascii="Arial" w:cs="Arial" w:eastAsia="Arial" w:hAnsi="Arial"/>
          <w:sz w:val="18"/>
          <w:szCs w:val="18"/>
          <w:color w:val="auto"/>
        </w:rPr>
        <w:t xml:space="preserve"> increased 10.0% to $5.5 billion. Excluding $17 million of costs related to the Time Warner Cable transaction in the first quarter of 2014, consolidated operating cash flow increased 10.4% (See Table 5). </w:t>
      </w:r>
      <w:r>
        <w:rPr>
          <w:rFonts w:ascii="Arial" w:cs="Arial" w:eastAsia="Arial" w:hAnsi="Arial"/>
          <w:sz w:val="18"/>
          <w:szCs w:val="18"/>
          <w:b w:val="1"/>
          <w:bCs w:val="1"/>
          <w:i w:val="1"/>
          <w:iCs w:val="1"/>
          <w:color w:val="auto"/>
        </w:rPr>
        <w:t>Consolidated Operating Income</w:t>
      </w:r>
      <w:r>
        <w:rPr>
          <w:rFonts w:ascii="Arial" w:cs="Arial" w:eastAsia="Arial" w:hAnsi="Arial"/>
          <w:sz w:val="18"/>
          <w:szCs w:val="18"/>
          <w:color w:val="auto"/>
        </w:rPr>
        <w:t xml:space="preserve"> increased 16.3% to $3.6 billion.</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first quarter of 2014 was $0.71, a 31.5% increase from the $0.54 reported in the first quarter of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Excluding gains on the sale of an investment and a favorable resolution of a prior acquisition contingency in the first quarter of 2014, as well as a gain on the sale of wireless spectrum licenses in the first quarter of 2013, EPS increased 33.3% to $0.68 (see Table 4).</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6.4% to $1.4 billion in the first quarter of 2014 compared to the first quarter of 2013. Cable Communications’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expenditures increased $51 million, or 4.6%, to $1.1 billion in the first quarter of 2014, primarily reflecting increased spending on</w:t>
      </w:r>
    </w:p>
    <w:p>
      <w:pPr>
        <w:sectPr>
          <w:pgSz w:w="11900" w:h="16869" w:orient="portrait"/>
          <w:cols w:equalWidth="0" w:num="1">
            <w:col w:w="11420"/>
          </w:cols>
          <w:pgMar w:left="240" w:top="118" w:right="239" w:bottom="0" w:gutter="0" w:footer="0" w:header="0"/>
        </w:sectPr>
      </w:pPr>
    </w:p>
    <w:bookmarkStart w:id="3" w:name="page4"/>
    <w:bookmarkEnd w:id="3"/>
    <w:p>
      <w:pPr>
        <w:jc w:val="both"/>
        <w:ind w:right="40"/>
        <w:spacing w:after="0"/>
        <w:rPr>
          <w:sz w:val="20"/>
          <w:szCs w:val="20"/>
          <w:color w:val="auto"/>
        </w:rPr>
      </w:pPr>
      <w:r>
        <w:rPr>
          <w:rFonts w:ascii="Arial" w:cs="Arial" w:eastAsia="Arial" w:hAnsi="Arial"/>
          <w:sz w:val="18"/>
          <w:szCs w:val="18"/>
          <w:color w:val="auto"/>
        </w:rPr>
        <w:t>customer premise equipment related to the deployment of the X1 platform and wireless gateways. Cable capital expenditures represented 10.6% of Cable revenue in the first quarter of 2014 compared to 10.7% in last year’s first quarter. NBCUniversal’s capital expenditures increased $28 million to $291 million in the first quarter of 2014, primarily reflecting increased investments in Theme Parks and facilities.</w:t>
      </w:r>
    </w:p>
    <w:p>
      <w:pPr>
        <w:spacing w:after="0" w:line="167"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decreased 10.0% to $2.8 billion in the first quarter of 2014 compared to $ 3.1 billion in the first quarter of 2013, reflecting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working capital, mainly driven by the Olympics and higher film and TV production spend, capital expenditures and cash taxes on operating items, partially offset by growth in consolidated operating cash flow.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1st Quarter</w:t>
            </w:r>
          </w:p>
        </w:tc>
        <w:tc>
          <w:tcPr>
            <w:tcW w:w="840" w:type="dxa"/>
            <w:vAlign w:val="bottom"/>
          </w:tcPr>
          <w:p>
            <w:pPr>
              <w:spacing w:after="0"/>
              <w:rPr>
                <w:sz w:val="14"/>
                <w:szCs w:val="14"/>
                <w:color w:val="auto"/>
              </w:rPr>
            </w:pPr>
          </w:p>
        </w:tc>
      </w:tr>
      <w:tr>
        <w:trPr>
          <w:trHeight w:val="181"/>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2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03"/>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Cash Flow</w:t>
            </w:r>
          </w:p>
        </w:tc>
        <w:tc>
          <w:tcPr>
            <w:tcW w:w="2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$5,034</w:t>
            </w: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$5,538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196"/>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Capital Expenditures</w:t>
            </w:r>
          </w:p>
        </w:tc>
        <w:tc>
          <w:tcPr>
            <w:tcW w:w="2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(1,361)</w:t>
            </w: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(1,448)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196"/>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Paid for Capitalized Software and Other Intangible Assets</w:t>
            </w:r>
          </w:p>
        </w:tc>
        <w:tc>
          <w:tcPr>
            <w:tcW w:w="2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w:t>
            </w: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r>
      <w:tr>
        <w:trPr>
          <w:trHeight w:val="196"/>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Interest Expense</w:t>
            </w:r>
          </w:p>
        </w:tc>
        <w:tc>
          <w:tcPr>
            <w:tcW w:w="2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(617)</w:t>
            </w: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(623)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Taxes on Operating Items</w:t>
            </w:r>
          </w:p>
        </w:tc>
        <w:tc>
          <w:tcPr>
            <w:tcW w:w="2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w:t>
            </w: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(268)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r>
      <w:tr>
        <w:trPr>
          <w:trHeight w:val="196"/>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2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369</w:t>
            </w: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(267)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96"/>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Noncash Share-Based Compensation</w:t>
            </w:r>
          </w:p>
        </w:tc>
        <w:tc>
          <w:tcPr>
            <w:tcW w:w="2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w:t>
            </w: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r>
      <w:tr>
        <w:trPr>
          <w:trHeight w:val="211"/>
        </w:trPr>
        <w:tc>
          <w:tcPr>
            <w:tcW w:w="644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 and Dividends for</w:t>
            </w:r>
          </w:p>
        </w:tc>
        <w:tc>
          <w:tcPr>
            <w:tcW w:w="2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74"/>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Redeemable Subsidiary Preferred Stock</w:t>
            </w:r>
          </w:p>
        </w:tc>
        <w:tc>
          <w:tcPr>
            <w:tcW w:w="2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w:t>
            </w: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w:t>
            </w:r>
          </w:p>
        </w:tc>
      </w:tr>
      <w:tr>
        <w:trPr>
          <w:trHeight w:val="203"/>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2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w:t>
            </w:r>
          </w:p>
        </w:tc>
      </w:tr>
      <w:tr>
        <w:trPr>
          <w:trHeight w:val="218"/>
        </w:trPr>
        <w:tc>
          <w:tcPr>
            <w:tcW w:w="6440" w:type="dxa"/>
            <w:vAlign w:val="bottom"/>
          </w:tcPr>
          <w:p>
            <w:pPr>
              <w:ind w:left="40"/>
              <w:spacing w:after="0"/>
              <w:rPr>
                <w:sz w:val="20"/>
                <w:szCs w:val="20"/>
                <w:color w:val="auto"/>
              </w:rPr>
            </w:pPr>
            <w:r>
              <w:rPr>
                <w:rFonts w:ascii="Arial" w:cs="Arial" w:eastAsia="Arial" w:hAnsi="Arial"/>
                <w:sz w:val="14"/>
                <w:szCs w:val="14"/>
                <w:b w:val="1"/>
                <w:bCs w:val="1"/>
                <w:color w:val="auto"/>
              </w:rPr>
              <w:t xml:space="preserve">Free Cash Flow </w:t>
            </w:r>
            <w:r>
              <w:rPr>
                <w:rFonts w:ascii="Arial" w:cs="Arial" w:eastAsia="Arial" w:hAnsi="Arial"/>
                <w:sz w:val="14"/>
                <w:szCs w:val="14"/>
                <w:b w:val="1"/>
                <w:bCs w:val="1"/>
                <w:color w:val="auto"/>
                <w:vertAlign w:val="superscript"/>
              </w:rPr>
              <w:t>3</w:t>
            </w:r>
          </w:p>
        </w:tc>
        <w:tc>
          <w:tcPr>
            <w:tcW w:w="2920" w:type="dxa"/>
            <w:vAlign w:val="bottom"/>
          </w:tcPr>
          <w:p>
            <w:pPr>
              <w:jc w:val="right"/>
              <w:ind w:right="28"/>
              <w:spacing w:after="0"/>
              <w:rPr>
                <w:sz w:val="20"/>
                <w:szCs w:val="20"/>
                <w:color w:val="auto"/>
              </w:rPr>
            </w:pPr>
            <w:r>
              <w:rPr>
                <w:rFonts w:ascii="Arial" w:cs="Arial" w:eastAsia="Arial" w:hAnsi="Arial"/>
                <w:sz w:val="14"/>
                <w:szCs w:val="14"/>
                <w:b w:val="1"/>
                <w:bCs w:val="1"/>
                <w:color w:val="auto"/>
              </w:rPr>
              <w:t>$3,138</w:t>
            </w: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$2,824</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r>
      <w:tr>
        <w:trPr>
          <w:trHeight w:val="203"/>
        </w:trPr>
        <w:tc>
          <w:tcPr>
            <w:tcW w:w="6440" w:type="dxa"/>
            <w:vAlign w:val="bottom"/>
          </w:tcPr>
          <w:p>
            <w:pPr>
              <w:ind w:left="40"/>
              <w:spacing w:after="0"/>
              <w:rPr>
                <w:sz w:val="20"/>
                <w:szCs w:val="20"/>
                <w:color w:val="auto"/>
              </w:rPr>
            </w:pPr>
            <w:r>
              <w:rPr>
                <w:rFonts w:ascii="Arial" w:cs="Arial" w:eastAsia="Arial" w:hAnsi="Arial"/>
                <w:sz w:val="14"/>
                <w:szCs w:val="14"/>
                <w:color w:val="auto"/>
              </w:rPr>
              <w:t>NM=comparison not meaningful.</w:t>
            </w:r>
          </w:p>
        </w:tc>
        <w:tc>
          <w:tcPr>
            <w:tcW w:w="2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165"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first quarter of 2014, Comcast paid dividends totaling $508 million and repurchased 15.0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$750 million. As of March 31, 2014, Comcast had approximately $6.75 billion available under its share repurchase authorization.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1st Quarter</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502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2013</w:t>
            </w:r>
          </w:p>
        </w:tc>
        <w:tc>
          <w:tcPr>
            <w:tcW w:w="118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2014</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Growth</w:t>
            </w:r>
          </w:p>
        </w:tc>
        <w:tc>
          <w:tcPr>
            <w:tcW w:w="40" w:type="dxa"/>
            <w:vAlign w:val="bottom"/>
          </w:tcPr>
          <w:p>
            <w:pPr>
              <w:spacing w:after="0"/>
              <w:rPr>
                <w:sz w:val="14"/>
                <w:szCs w:val="14"/>
                <w:color w:val="auto"/>
              </w:rPr>
            </w:pPr>
          </w:p>
        </w:tc>
      </w:tr>
      <w:tr>
        <w:trPr>
          <w:trHeight w:val="203"/>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Communications Revenue</w:t>
            </w:r>
          </w:p>
        </w:tc>
        <w:tc>
          <w:tcPr>
            <w:tcW w:w="50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5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$5,113</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$5,178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7"/>
                <w:szCs w:val="17"/>
                <w:color w:val="auto"/>
              </w:rPr>
            </w:pPr>
          </w:p>
        </w:tc>
      </w:tr>
      <w:tr>
        <w:trPr>
          <w:trHeight w:val="196"/>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5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2,523</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2,750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40" w:type="dxa"/>
            <w:vAlign w:val="bottom"/>
          </w:tcPr>
          <w:p>
            <w:pPr>
              <w:spacing w:after="0"/>
              <w:rPr>
                <w:sz w:val="17"/>
                <w:szCs w:val="17"/>
                <w:color w:val="auto"/>
              </w:rPr>
            </w:pPr>
          </w:p>
        </w:tc>
      </w:tr>
      <w:tr>
        <w:trPr>
          <w:trHeight w:val="196"/>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5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900</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920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17"/>
                <w:szCs w:val="17"/>
                <w:color w:val="auto"/>
              </w:rPr>
            </w:pPr>
          </w:p>
        </w:tc>
      </w:tr>
      <w:tr>
        <w:trPr>
          <w:trHeight w:val="196"/>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5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741</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917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40" w:type="dxa"/>
            <w:vAlign w:val="bottom"/>
          </w:tcPr>
          <w:p>
            <w:pPr>
              <w:spacing w:after="0"/>
              <w:rPr>
                <w:sz w:val="17"/>
                <w:szCs w:val="17"/>
                <w:color w:val="auto"/>
              </w:rPr>
            </w:pPr>
          </w:p>
        </w:tc>
      </w:tr>
      <w:tr>
        <w:trPr>
          <w:trHeight w:val="196"/>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5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488</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40" w:type="dxa"/>
            <w:vAlign w:val="bottom"/>
          </w:tcPr>
          <w:p>
            <w:pPr>
              <w:spacing w:after="0"/>
              <w:rPr>
                <w:sz w:val="17"/>
                <w:szCs w:val="17"/>
                <w:color w:val="auto"/>
              </w:rPr>
            </w:pPr>
          </w:p>
        </w:tc>
      </w:tr>
      <w:tr>
        <w:trPr>
          <w:trHeight w:val="203"/>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5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452</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473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40" w:type="dxa"/>
            <w:vAlign w:val="bottom"/>
          </w:tcPr>
          <w:p>
            <w:pPr>
              <w:spacing w:after="0"/>
              <w:rPr>
                <w:sz w:val="17"/>
                <w:szCs w:val="17"/>
                <w:color w:val="auto"/>
              </w:rPr>
            </w:pPr>
          </w:p>
        </w:tc>
      </w:tr>
      <w:tr>
        <w:trPr>
          <w:trHeight w:val="218"/>
        </w:trPr>
        <w:tc>
          <w:tcPr>
            <w:tcW w:w="440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5020" w:type="dxa"/>
            <w:vAlign w:val="bottom"/>
          </w:tcPr>
          <w:p>
            <w:pPr>
              <w:jc w:val="right"/>
              <w:ind w:right="88"/>
              <w:spacing w:after="0"/>
              <w:rPr>
                <w:sz w:val="20"/>
                <w:szCs w:val="20"/>
                <w:color w:val="auto"/>
              </w:rPr>
            </w:pPr>
            <w:r>
              <w:rPr>
                <w:rFonts w:ascii="Arial" w:cs="Arial" w:eastAsia="Arial" w:hAnsi="Arial"/>
                <w:sz w:val="14"/>
                <w:szCs w:val="14"/>
                <w:b w:val="1"/>
                <w:bCs w:val="1"/>
                <w:color w:val="auto"/>
              </w:rPr>
              <w:t>$10,217</w:t>
            </w:r>
          </w:p>
        </w:tc>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$10,757</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40" w:type="dxa"/>
            <w:vAlign w:val="bottom"/>
          </w:tcPr>
          <w:p>
            <w:pPr>
              <w:spacing w:after="0"/>
              <w:rPr>
                <w:sz w:val="18"/>
                <w:szCs w:val="18"/>
                <w:color w:val="auto"/>
              </w:rPr>
            </w:pPr>
          </w:p>
        </w:tc>
      </w:tr>
      <w:tr>
        <w:trPr>
          <w:trHeight w:val="195"/>
        </w:trPr>
        <w:tc>
          <w:tcPr>
            <w:tcW w:w="440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Operating Cash Flow</w:t>
            </w:r>
          </w:p>
        </w:tc>
        <w:tc>
          <w:tcPr>
            <w:tcW w:w="5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$4,219</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$4,400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w:t>
            </w:r>
          </w:p>
        </w:tc>
        <w:tc>
          <w:tcPr>
            <w:tcW w:w="40" w:type="dxa"/>
            <w:vAlign w:val="bottom"/>
          </w:tcPr>
          <w:p>
            <w:pPr>
              <w:spacing w:after="0"/>
              <w:rPr>
                <w:sz w:val="17"/>
                <w:szCs w:val="17"/>
                <w:color w:val="auto"/>
              </w:rPr>
            </w:pPr>
          </w:p>
        </w:tc>
      </w:tr>
      <w:tr>
        <w:trPr>
          <w:trHeight w:val="211"/>
        </w:trPr>
        <w:tc>
          <w:tcPr>
            <w:tcW w:w="4400" w:type="dxa"/>
            <w:vAlign w:val="bottom"/>
          </w:tcPr>
          <w:p>
            <w:pPr>
              <w:ind w:left="40"/>
              <w:spacing w:after="0"/>
              <w:rPr>
                <w:sz w:val="20"/>
                <w:szCs w:val="20"/>
                <w:color w:val="auto"/>
              </w:rPr>
            </w:pPr>
            <w:r>
              <w:rPr>
                <w:rFonts w:ascii="Arial" w:cs="Arial" w:eastAsia="Arial" w:hAnsi="Arial"/>
                <w:sz w:val="14"/>
                <w:szCs w:val="14"/>
                <w:i w:val="1"/>
                <w:iCs w:val="1"/>
                <w:color w:val="auto"/>
              </w:rPr>
              <w:t>Operating Cash Flow Margin</w:t>
            </w:r>
          </w:p>
        </w:tc>
        <w:tc>
          <w:tcPr>
            <w:tcW w:w="5020" w:type="dxa"/>
            <w:vAlign w:val="bottom"/>
          </w:tcPr>
          <w:p>
            <w:pPr>
              <w:jc w:val="right"/>
              <w:ind w:right="88"/>
              <w:spacing w:after="0"/>
              <w:rPr>
                <w:sz w:val="20"/>
                <w:szCs w:val="20"/>
                <w:color w:val="auto"/>
              </w:rPr>
            </w:pPr>
            <w:r>
              <w:rPr>
                <w:rFonts w:ascii="Arial" w:cs="Arial" w:eastAsia="Arial" w:hAnsi="Arial"/>
                <w:sz w:val="14"/>
                <w:szCs w:val="14"/>
                <w:i w:val="1"/>
                <w:iCs w:val="1"/>
                <w:color w:val="auto"/>
              </w:rPr>
              <w:t>41.3%</w:t>
            </w:r>
          </w:p>
        </w:tc>
        <w:tc>
          <w:tcPr>
            <w:tcW w:w="1180" w:type="dxa"/>
            <w:vAlign w:val="bottom"/>
          </w:tcPr>
          <w:p>
            <w:pPr>
              <w:jc w:val="right"/>
              <w:ind w:right="228"/>
              <w:spacing w:after="0"/>
              <w:rPr>
                <w:sz w:val="20"/>
                <w:szCs w:val="20"/>
                <w:color w:val="auto"/>
              </w:rPr>
            </w:pPr>
            <w:r>
              <w:rPr>
                <w:rFonts w:ascii="Arial" w:cs="Arial" w:eastAsia="Arial" w:hAnsi="Arial"/>
                <w:sz w:val="14"/>
                <w:szCs w:val="14"/>
                <w:i w:val="1"/>
                <w:iCs w:val="1"/>
                <w:color w:val="auto"/>
              </w:rPr>
              <w:t>40.9%</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440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Communications Capital Expenditures</w:t>
            </w:r>
          </w:p>
        </w:tc>
        <w:tc>
          <w:tcPr>
            <w:tcW w:w="5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$1,094</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$1,145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40" w:type="dxa"/>
            <w:vAlign w:val="bottom"/>
          </w:tcPr>
          <w:p>
            <w:pPr>
              <w:spacing w:after="0"/>
              <w:rPr>
                <w:sz w:val="17"/>
                <w:szCs w:val="17"/>
                <w:color w:val="auto"/>
              </w:rPr>
            </w:pPr>
          </w:p>
        </w:tc>
      </w:tr>
      <w:tr>
        <w:trPr>
          <w:trHeight w:val="196"/>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5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i w:val="1"/>
                <w:iCs w:val="1"/>
                <w:color w:val="auto"/>
              </w:rPr>
              <w:t>10.7%</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i w:val="1"/>
                <w:iCs w:val="1"/>
                <w:color w:val="auto"/>
              </w:rPr>
              <w:t>10.6%</w:t>
            </w:r>
          </w:p>
        </w:tc>
        <w:tc>
          <w:tcPr>
            <w:tcW w:w="8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373"/>
        </w:trPr>
        <w:tc>
          <w:tcPr>
            <w:tcW w:w="4400" w:type="dxa"/>
            <w:vAlign w:val="bottom"/>
          </w:tcPr>
          <w:p>
            <w:pPr>
              <w:spacing w:after="0"/>
              <w:rPr>
                <w:sz w:val="24"/>
                <w:szCs w:val="24"/>
                <w:color w:val="auto"/>
              </w:rPr>
            </w:pPr>
          </w:p>
        </w:tc>
        <w:tc>
          <w:tcPr>
            <w:tcW w:w="5020" w:type="dxa"/>
            <w:vAlign w:val="bottom"/>
          </w:tcPr>
          <w:p>
            <w:pPr>
              <w:jc w:val="right"/>
              <w:ind w:right="3588"/>
              <w:spacing w:after="0"/>
              <w:rPr>
                <w:sz w:val="20"/>
                <w:szCs w:val="20"/>
                <w:color w:val="auto"/>
              </w:rPr>
            </w:pPr>
            <w:r>
              <w:rPr>
                <w:rFonts w:ascii="Arial" w:cs="Arial" w:eastAsia="Arial" w:hAnsi="Arial"/>
                <w:sz w:val="14"/>
                <w:szCs w:val="14"/>
                <w:color w:val="auto"/>
              </w:rPr>
              <w:t>2</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4400" w:type="dxa"/>
            <w:vAlign w:val="bottom"/>
            <w:tcBorders>
              <w:bottom w:val="single" w:sz="8" w:color="010101"/>
            </w:tcBorders>
          </w:tcPr>
          <w:p>
            <w:pPr>
              <w:spacing w:after="0"/>
              <w:rPr>
                <w:sz w:val="10"/>
                <w:szCs w:val="10"/>
                <w:color w:val="auto"/>
              </w:rPr>
            </w:pPr>
          </w:p>
        </w:tc>
        <w:tc>
          <w:tcPr>
            <w:tcW w:w="5020" w:type="dxa"/>
            <w:vAlign w:val="bottom"/>
            <w:tcBorders>
              <w:bottom w:val="single" w:sz="8" w:color="010101"/>
            </w:tcBorders>
          </w:tcPr>
          <w:p>
            <w:pPr>
              <w:spacing w:after="0"/>
              <w:rPr>
                <w:sz w:val="10"/>
                <w:szCs w:val="10"/>
                <w:color w:val="auto"/>
              </w:rPr>
            </w:pPr>
          </w:p>
        </w:tc>
        <w:tc>
          <w:tcPr>
            <w:tcW w:w="1180" w:type="dxa"/>
            <w:vAlign w:val="bottom"/>
            <w:tcBorders>
              <w:bottom w:val="single" w:sz="8" w:color="010101"/>
            </w:tcBorders>
          </w:tcPr>
          <w:p>
            <w:pPr>
              <w:spacing w:after="0"/>
              <w:rPr>
                <w:sz w:val="10"/>
                <w:szCs w:val="10"/>
                <w:color w:val="auto"/>
              </w:rPr>
            </w:pPr>
          </w:p>
        </w:tc>
        <w:tc>
          <w:tcPr>
            <w:tcW w:w="82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5.3% to $10.8 billion in the first quarter of 2014 compared to $10.2 billion in the first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driven by increases of 9.0% in high-speed Internet and 23.9% in business services. The increase in Cable revenue reflects rate adjustments, customers receiving higher levels of services and customer growth (see below).</w:t>
      </w:r>
    </w:p>
    <w:p>
      <w:pPr>
        <w:spacing w:after="0" w:line="156"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i w:val="1"/>
          <w:iCs w:val="1"/>
          <w:color w:val="auto"/>
        </w:rPr>
        <w:t xml:space="preserve">Customer relationships </w:t>
      </w:r>
      <w:r>
        <w:rPr>
          <w:rFonts w:ascii="Arial" w:cs="Arial" w:eastAsia="Arial" w:hAnsi="Arial"/>
          <w:sz w:val="18"/>
          <w:szCs w:val="18"/>
          <w:color w:val="auto"/>
        </w:rPr>
        <w:t>increased by 124,000 to 26.8 million in the first quarter of 2014. At the end of the first quarter, penetration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triple product customers increased to 36% compared to 33% in the first quarter of 2013. In addition, video, high-speed Internet and voice customers increased.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40" w:type="dxa"/>
            <w:vAlign w:val="bottom"/>
          </w:tcPr>
          <w:p>
            <w:pPr>
              <w:jc w:val="right"/>
              <w:ind w:right="1368"/>
              <w:spacing w:after="0"/>
              <w:rPr>
                <w:sz w:val="20"/>
                <w:szCs w:val="20"/>
                <w:color w:val="auto"/>
              </w:rPr>
            </w:pPr>
            <w:r>
              <w:rPr>
                <w:rFonts w:ascii="Arial" w:cs="Arial" w:eastAsia="Arial" w:hAnsi="Arial"/>
                <w:sz w:val="14"/>
                <w:szCs w:val="14"/>
                <w:color w:val="auto"/>
              </w:rPr>
              <w:t>Customers</w:t>
            </w:r>
          </w:p>
        </w:tc>
        <w:tc>
          <w:tcPr>
            <w:tcW w:w="1100" w:type="dxa"/>
            <w:vAlign w:val="bottom"/>
          </w:tcPr>
          <w:p>
            <w:pPr>
              <w:spacing w:after="0"/>
              <w:rPr>
                <w:sz w:val="14"/>
                <w:szCs w:val="14"/>
                <w:color w:val="auto"/>
              </w:rPr>
            </w:pPr>
          </w:p>
        </w:tc>
        <w:tc>
          <w:tcPr>
            <w:tcW w:w="1540" w:type="dxa"/>
            <w:vAlign w:val="bottom"/>
          </w:tcPr>
          <w:p>
            <w:pPr>
              <w:jc w:val="right"/>
              <w:ind w:right="768"/>
              <w:spacing w:after="0"/>
              <w:rPr>
                <w:sz w:val="20"/>
                <w:szCs w:val="20"/>
                <w:color w:val="auto"/>
              </w:rPr>
            </w:pPr>
            <w:r>
              <w:rPr>
                <w:rFonts w:ascii="Arial" w:cs="Arial" w:eastAsia="Arial" w:hAnsi="Arial"/>
                <w:sz w:val="14"/>
                <w:szCs w:val="14"/>
                <w:color w:val="auto"/>
              </w:rPr>
              <w:t>Net Adds</w:t>
            </w:r>
          </w:p>
        </w:tc>
      </w:tr>
      <w:tr>
        <w:trPr>
          <w:trHeight w:val="208"/>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Billable Customers Method</w:t>
            </w:r>
            <w:r>
              <w:rPr>
                <w:rFonts w:ascii="Arial" w:cs="Arial" w:eastAsia="Arial" w:hAnsi="Arial"/>
                <w:sz w:val="14"/>
                <w:szCs w:val="14"/>
                <w:color w:val="auto"/>
                <w:vertAlign w:val="superscript"/>
              </w:rPr>
              <w:t>4</w:t>
            </w:r>
            <w:r>
              <w:rPr>
                <w:rFonts w:ascii="Arial" w:cs="Arial" w:eastAsia="Arial" w:hAnsi="Arial"/>
                <w:sz w:val="14"/>
                <w:szCs w:val="14"/>
                <w:color w:val="auto"/>
              </w:rPr>
              <w:t xml:space="preserve"> </w:t>
            </w:r>
            <w:r>
              <w:rPr>
                <w:rFonts w:ascii="Arial" w:cs="Arial" w:eastAsia="Arial" w:hAnsi="Arial"/>
                <w:sz w:val="10"/>
                <w:szCs w:val="10"/>
                <w:i w:val="1"/>
                <w:iCs w:val="1"/>
                <w:color w:val="auto"/>
              </w:rPr>
              <w:t>(in thousands)</w:t>
            </w:r>
          </w:p>
        </w:tc>
        <w:tc>
          <w:tcPr>
            <w:tcW w:w="2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1Q13</w:t>
            </w:r>
          </w:p>
        </w:tc>
        <w:tc>
          <w:tcPr>
            <w:tcW w:w="2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1Q14</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1Q13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1Q14</w:t>
            </w:r>
          </w:p>
        </w:tc>
      </w:tr>
      <w:tr>
        <w:trPr>
          <w:trHeight w:val="203"/>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 Customers</w:t>
            </w:r>
          </w:p>
        </w:tc>
        <w:tc>
          <w:tcPr>
            <w:tcW w:w="2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22,819</w:t>
            </w:r>
          </w:p>
        </w:tc>
        <w:tc>
          <w:tcPr>
            <w:tcW w:w="2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22,601</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196"/>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 Customers</w:t>
            </w:r>
          </w:p>
        </w:tc>
        <w:tc>
          <w:tcPr>
            <w:tcW w:w="2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19,799</w:t>
            </w:r>
          </w:p>
        </w:tc>
        <w:tc>
          <w:tcPr>
            <w:tcW w:w="2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21,068</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r>
      <w:tr>
        <w:trPr>
          <w:trHeight w:val="203"/>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 Customers</w:t>
            </w:r>
          </w:p>
        </w:tc>
        <w:tc>
          <w:tcPr>
            <w:tcW w:w="2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10,166</w:t>
            </w:r>
          </w:p>
        </w:tc>
        <w:tc>
          <w:tcPr>
            <w:tcW w:w="2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10,865</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r>
      <w:tr>
        <w:trPr>
          <w:trHeight w:val="102"/>
        </w:trPr>
        <w:tc>
          <w:tcPr>
            <w:tcW w:w="428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203"/>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Single Product Customers</w:t>
            </w:r>
          </w:p>
        </w:tc>
        <w:tc>
          <w:tcPr>
            <w:tcW w:w="2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9,206</w:t>
            </w:r>
          </w:p>
        </w:tc>
        <w:tc>
          <w:tcPr>
            <w:tcW w:w="2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8,605</w:t>
            </w:r>
          </w:p>
        </w:tc>
        <w:tc>
          <w:tcPr>
            <w:tcW w:w="1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r>
      <w:tr>
        <w:trPr>
          <w:trHeight w:val="196"/>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Double Product Customers</w:t>
            </w:r>
          </w:p>
        </w:tc>
        <w:tc>
          <w:tcPr>
            <w:tcW w:w="2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8,568</w:t>
            </w:r>
          </w:p>
        </w:tc>
        <w:tc>
          <w:tcPr>
            <w:tcW w:w="2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8,656</w:t>
            </w:r>
          </w:p>
        </w:tc>
        <w:tc>
          <w:tcPr>
            <w:tcW w:w="1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r>
      <w:tr>
        <w:trPr>
          <w:trHeight w:val="203"/>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Triple Product Customers</w:t>
            </w:r>
          </w:p>
        </w:tc>
        <w:tc>
          <w:tcPr>
            <w:tcW w:w="2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8,821</w:t>
            </w:r>
          </w:p>
        </w:tc>
        <w:tc>
          <w:tcPr>
            <w:tcW w:w="2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9,539</w:t>
            </w:r>
          </w:p>
        </w:tc>
        <w:tc>
          <w:tcPr>
            <w:tcW w:w="1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r>
      <w:tr>
        <w:trPr>
          <w:trHeight w:val="218"/>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Customer Relationships</w:t>
            </w:r>
          </w:p>
        </w:tc>
        <w:tc>
          <w:tcPr>
            <w:tcW w:w="2260" w:type="dxa"/>
            <w:vAlign w:val="bottom"/>
          </w:tcPr>
          <w:p>
            <w:pPr>
              <w:jc w:val="right"/>
              <w:ind w:right="8"/>
              <w:spacing w:after="0"/>
              <w:rPr>
                <w:sz w:val="20"/>
                <w:szCs w:val="20"/>
                <w:color w:val="auto"/>
              </w:rPr>
            </w:pPr>
            <w:r>
              <w:rPr>
                <w:rFonts w:ascii="Arial" w:cs="Arial" w:eastAsia="Arial" w:hAnsi="Arial"/>
                <w:sz w:val="14"/>
                <w:szCs w:val="14"/>
                <w:b w:val="1"/>
                <w:bCs w:val="1"/>
                <w:color w:val="auto"/>
              </w:rPr>
              <w:t>26,596</w:t>
            </w:r>
          </w:p>
        </w:tc>
        <w:tc>
          <w:tcPr>
            <w:tcW w:w="2240" w:type="dxa"/>
            <w:vAlign w:val="bottom"/>
          </w:tcPr>
          <w:p>
            <w:pPr>
              <w:jc w:val="right"/>
              <w:ind w:right="588"/>
              <w:spacing w:after="0"/>
              <w:rPr>
                <w:sz w:val="20"/>
                <w:szCs w:val="20"/>
                <w:color w:val="auto"/>
              </w:rPr>
            </w:pPr>
            <w:r>
              <w:rPr>
                <w:rFonts w:ascii="Arial" w:cs="Arial" w:eastAsia="Arial" w:hAnsi="Arial"/>
                <w:sz w:val="14"/>
                <w:szCs w:val="14"/>
                <w:b w:val="1"/>
                <w:bCs w:val="1"/>
                <w:color w:val="auto"/>
              </w:rPr>
              <w:t>26,800</w:t>
            </w:r>
          </w:p>
        </w:tc>
        <w:tc>
          <w:tcPr>
            <w:tcW w:w="1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124</w:t>
            </w:r>
          </w:p>
        </w:tc>
      </w:tr>
    </w:tbl>
    <w:p>
      <w:pPr>
        <w:spacing w:after="0" w:line="165"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4.3% to $4.4 billion in the first quarter of 2014 compared to $4.2 billion in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2013, reflecting higher revenue, partially offset by a 6.0% increase in operating expenses primarily related to higher video programming costs. This quarter’s operating cash flow margin was 40.9%, compared to 41.3% in the prior year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80" w:type="dxa"/>
            <w:vAlign w:val="bottom"/>
          </w:tcPr>
          <w:p>
            <w:pPr>
              <w:jc w:val="right"/>
              <w:ind w:right="268"/>
              <w:spacing w:after="0"/>
              <w:rPr>
                <w:sz w:val="20"/>
                <w:szCs w:val="20"/>
                <w:color w:val="auto"/>
              </w:rPr>
            </w:pPr>
            <w:r>
              <w:rPr>
                <w:rFonts w:ascii="Arial" w:cs="Arial" w:eastAsia="Arial" w:hAnsi="Arial"/>
                <w:sz w:val="14"/>
                <w:szCs w:val="14"/>
                <w:color w:val="auto"/>
              </w:rPr>
              <w:t>1st Quarter</w:t>
            </w:r>
          </w:p>
        </w:tc>
        <w:tc>
          <w:tcPr>
            <w:tcW w:w="12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Excluding</w:t>
            </w: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3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2013</w:t>
            </w:r>
          </w:p>
        </w:tc>
        <w:tc>
          <w:tcPr>
            <w:tcW w:w="188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2014</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Growth</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Olympics</w:t>
            </w:r>
          </w:p>
        </w:tc>
        <w:tc>
          <w:tcPr>
            <w:tcW w:w="0" w:type="dxa"/>
            <w:vAlign w:val="bottom"/>
          </w:tcPr>
          <w:p>
            <w:pPr>
              <w:spacing w:after="0"/>
              <w:rPr>
                <w:sz w:val="1"/>
                <w:szCs w:val="1"/>
                <w:color w:val="auto"/>
              </w:rPr>
            </w:pPr>
          </w:p>
        </w:tc>
      </w:tr>
      <w:tr>
        <w:trPr>
          <w:trHeight w:val="203"/>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NBCUniversal Revenue</w:t>
            </w:r>
          </w:p>
        </w:tc>
        <w:tc>
          <w:tcPr>
            <w:tcW w:w="3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3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$2,225</w:t>
            </w:r>
          </w:p>
        </w:tc>
        <w:tc>
          <w:tcPr>
            <w:tcW w:w="188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$2,505</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12.6%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1.0%</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3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1,517</w:t>
            </w:r>
          </w:p>
        </w:tc>
        <w:tc>
          <w:tcPr>
            <w:tcW w:w="188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2,621</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72.8%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17.0%</w:t>
            </w:r>
          </w:p>
        </w:tc>
        <w:tc>
          <w:tcPr>
            <w:tcW w:w="0" w:type="dxa"/>
            <w:vAlign w:val="bottom"/>
          </w:tcPr>
          <w:p>
            <w:pPr>
              <w:spacing w:after="0"/>
              <w:rPr>
                <w:sz w:val="1"/>
                <w:szCs w:val="1"/>
                <w:color w:val="auto"/>
              </w:rPr>
            </w:pPr>
          </w:p>
        </w:tc>
      </w:tr>
    </w:tbl>
    <w:p>
      <w:pPr>
        <w:sectPr>
          <w:pgSz w:w="11900" w:h="16838" w:orient="portrait"/>
          <w:cols w:equalWidth="0" w:num="1">
            <w:col w:w="11460"/>
          </w:cols>
          <w:pgMar w:left="240" w:top="140" w:right="199" w:bottom="0" w:gutter="0" w:footer="0" w:header="0"/>
        </w:sectPr>
      </w:pPr>
    </w:p>
    <w:bookmarkStart w:id="4" w:name="page5"/>
    <w:bookmarkEnd w:id="4"/>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28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1,216</w:t>
            </w:r>
          </w:p>
        </w:tc>
        <w:tc>
          <w:tcPr>
            <w:tcW w:w="16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1,351</w:t>
            </w:r>
          </w:p>
        </w:tc>
        <w:tc>
          <w:tcPr>
            <w:tcW w:w="16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11.1%</w:t>
            </w:r>
          </w:p>
        </w:tc>
        <w:tc>
          <w:tcPr>
            <w:tcW w:w="1000" w:type="dxa"/>
            <w:vAlign w:val="bottom"/>
            <w:tcBorders>
              <w:bottom w:val="single" w:sz="8" w:color="auto"/>
            </w:tcBorders>
          </w:tcPr>
          <w:p>
            <w:pPr>
              <w:spacing w:after="0"/>
              <w:rPr>
                <w:sz w:val="14"/>
                <w:szCs w:val="14"/>
                <w:color w:val="auto"/>
              </w:rPr>
            </w:pPr>
          </w:p>
        </w:tc>
      </w:tr>
      <w:tr>
        <w:trPr>
          <w:trHeight w:val="196"/>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28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462</w:t>
            </w:r>
          </w:p>
        </w:tc>
        <w:tc>
          <w:tcPr>
            <w:tcW w:w="16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487</w:t>
            </w:r>
          </w:p>
        </w:tc>
        <w:tc>
          <w:tcPr>
            <w:tcW w:w="16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5.4%</w:t>
            </w:r>
          </w:p>
        </w:tc>
        <w:tc>
          <w:tcPr>
            <w:tcW w:w="1000" w:type="dxa"/>
            <w:vAlign w:val="bottom"/>
            <w:tcBorders>
              <w:bottom w:val="single" w:sz="8" w:color="auto"/>
            </w:tcBorders>
          </w:tcPr>
          <w:p>
            <w:pPr>
              <w:spacing w:after="0"/>
              <w:rPr>
                <w:sz w:val="17"/>
                <w:szCs w:val="17"/>
                <w:color w:val="auto"/>
              </w:rPr>
            </w:pPr>
          </w:p>
        </w:tc>
      </w:tr>
      <w:tr>
        <w:trPr>
          <w:trHeight w:val="203"/>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28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(80)</w:t>
            </w:r>
          </w:p>
        </w:tc>
        <w:tc>
          <w:tcPr>
            <w:tcW w:w="16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(88)</w:t>
            </w:r>
          </w:p>
        </w:tc>
        <w:tc>
          <w:tcPr>
            <w:tcW w:w="16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NM</w:t>
            </w:r>
          </w:p>
        </w:tc>
        <w:tc>
          <w:tcPr>
            <w:tcW w:w="1000" w:type="dxa"/>
            <w:vAlign w:val="bottom"/>
            <w:tcBorders>
              <w:bottom w:val="single" w:sz="8" w:color="auto"/>
            </w:tcBorders>
          </w:tcPr>
          <w:p>
            <w:pPr>
              <w:spacing w:after="0"/>
              <w:rPr>
                <w:sz w:val="17"/>
                <w:szCs w:val="17"/>
                <w:color w:val="auto"/>
              </w:rPr>
            </w:pPr>
          </w:p>
        </w:tc>
      </w:tr>
      <w:tr>
        <w:trPr>
          <w:trHeight w:val="218"/>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2820" w:type="dxa"/>
            <w:vAlign w:val="bottom"/>
          </w:tcPr>
          <w:p>
            <w:pPr>
              <w:jc w:val="right"/>
              <w:ind w:right="508"/>
              <w:spacing w:after="0"/>
              <w:rPr>
                <w:sz w:val="20"/>
                <w:szCs w:val="20"/>
                <w:color w:val="auto"/>
              </w:rPr>
            </w:pPr>
            <w:r>
              <w:rPr>
                <w:rFonts w:ascii="Arial" w:cs="Arial" w:eastAsia="Arial" w:hAnsi="Arial"/>
                <w:sz w:val="14"/>
                <w:szCs w:val="14"/>
                <w:b w:val="1"/>
                <w:bCs w:val="1"/>
                <w:color w:val="auto"/>
              </w:rPr>
              <w:t>$5,340</w:t>
            </w:r>
          </w:p>
        </w:tc>
        <w:tc>
          <w:tcPr>
            <w:tcW w:w="1640" w:type="dxa"/>
            <w:vAlign w:val="bottom"/>
          </w:tcPr>
          <w:p>
            <w:pPr>
              <w:jc w:val="right"/>
              <w:ind w:right="528"/>
              <w:spacing w:after="0"/>
              <w:rPr>
                <w:sz w:val="20"/>
                <w:szCs w:val="20"/>
                <w:color w:val="auto"/>
              </w:rPr>
            </w:pPr>
            <w:r>
              <w:rPr>
                <w:rFonts w:ascii="Arial" w:cs="Arial" w:eastAsia="Arial" w:hAnsi="Arial"/>
                <w:sz w:val="14"/>
                <w:szCs w:val="14"/>
                <w:b w:val="1"/>
                <w:bCs w:val="1"/>
                <w:color w:val="auto"/>
              </w:rPr>
              <w:t>$6,876</w:t>
            </w:r>
          </w:p>
        </w:tc>
        <w:tc>
          <w:tcPr>
            <w:tcW w:w="1680" w:type="dxa"/>
            <w:vAlign w:val="bottom"/>
          </w:tcPr>
          <w:p>
            <w:pPr>
              <w:jc w:val="right"/>
              <w:ind w:right="568"/>
              <w:spacing w:after="0"/>
              <w:rPr>
                <w:sz w:val="20"/>
                <w:szCs w:val="20"/>
                <w:color w:val="auto"/>
              </w:rPr>
            </w:pPr>
            <w:r>
              <w:rPr>
                <w:rFonts w:ascii="Arial" w:cs="Arial" w:eastAsia="Arial" w:hAnsi="Arial"/>
                <w:sz w:val="14"/>
                <w:szCs w:val="14"/>
                <w:b w:val="1"/>
                <w:bCs w:val="1"/>
                <w:color w:val="auto"/>
              </w:rPr>
              <w:t>28.8%</w:t>
            </w:r>
          </w:p>
        </w:tc>
        <w:tc>
          <w:tcPr>
            <w:tcW w:w="10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8.1%</w:t>
            </w:r>
          </w:p>
        </w:tc>
      </w:tr>
      <w:tr>
        <w:trPr>
          <w:trHeight w:val="195"/>
        </w:trPr>
        <w:tc>
          <w:tcPr>
            <w:tcW w:w="4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03"/>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NBCUniversal Operating Cash Flow</w:t>
            </w:r>
          </w:p>
        </w:tc>
        <w:tc>
          <w:tcPr>
            <w:tcW w:w="28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96"/>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28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$859</w:t>
            </w:r>
          </w:p>
        </w:tc>
        <w:tc>
          <w:tcPr>
            <w:tcW w:w="16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$895</w:t>
            </w:r>
          </w:p>
        </w:tc>
        <w:tc>
          <w:tcPr>
            <w:tcW w:w="16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4.2%</w:t>
            </w:r>
          </w:p>
        </w:tc>
        <w:tc>
          <w:tcPr>
            <w:tcW w:w="1000" w:type="dxa"/>
            <w:vAlign w:val="bottom"/>
            <w:tcBorders>
              <w:bottom w:val="single" w:sz="8" w:color="auto"/>
            </w:tcBorders>
          </w:tcPr>
          <w:p>
            <w:pPr>
              <w:spacing w:after="0"/>
              <w:rPr>
                <w:sz w:val="17"/>
                <w:szCs w:val="17"/>
                <w:color w:val="auto"/>
              </w:rPr>
            </w:pPr>
          </w:p>
        </w:tc>
      </w:tr>
      <w:tr>
        <w:trPr>
          <w:trHeight w:val="196"/>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28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(35)</w:t>
            </w:r>
          </w:p>
        </w:tc>
        <w:tc>
          <w:tcPr>
            <w:tcW w:w="16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122</w:t>
            </w:r>
          </w:p>
        </w:tc>
        <w:tc>
          <w:tcPr>
            <w:tcW w:w="16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NM</w:t>
            </w:r>
          </w:p>
        </w:tc>
        <w:tc>
          <w:tcPr>
            <w:tcW w:w="1000" w:type="dxa"/>
            <w:vAlign w:val="bottom"/>
            <w:tcBorders>
              <w:bottom w:val="single" w:sz="8" w:color="auto"/>
            </w:tcBorders>
          </w:tcPr>
          <w:p>
            <w:pPr>
              <w:spacing w:after="0"/>
              <w:rPr>
                <w:sz w:val="17"/>
                <w:szCs w:val="17"/>
                <w:color w:val="auto"/>
              </w:rPr>
            </w:pPr>
          </w:p>
        </w:tc>
      </w:tr>
      <w:tr>
        <w:trPr>
          <w:trHeight w:val="196"/>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28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69</w:t>
            </w:r>
          </w:p>
        </w:tc>
        <w:tc>
          <w:tcPr>
            <w:tcW w:w="16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288</w:t>
            </w:r>
          </w:p>
        </w:tc>
        <w:tc>
          <w:tcPr>
            <w:tcW w:w="16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NM</w:t>
            </w:r>
          </w:p>
        </w:tc>
        <w:tc>
          <w:tcPr>
            <w:tcW w:w="1000" w:type="dxa"/>
            <w:vAlign w:val="bottom"/>
            <w:tcBorders>
              <w:bottom w:val="single" w:sz="8" w:color="auto"/>
            </w:tcBorders>
          </w:tcPr>
          <w:p>
            <w:pPr>
              <w:spacing w:after="0"/>
              <w:rPr>
                <w:sz w:val="17"/>
                <w:szCs w:val="17"/>
                <w:color w:val="auto"/>
              </w:rPr>
            </w:pPr>
          </w:p>
        </w:tc>
      </w:tr>
      <w:tr>
        <w:trPr>
          <w:trHeight w:val="196"/>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28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173</w:t>
            </w:r>
          </w:p>
        </w:tc>
        <w:tc>
          <w:tcPr>
            <w:tcW w:w="16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170</w:t>
            </w:r>
          </w:p>
        </w:tc>
        <w:tc>
          <w:tcPr>
            <w:tcW w:w="16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(1.5%)</w:t>
            </w:r>
          </w:p>
        </w:tc>
        <w:tc>
          <w:tcPr>
            <w:tcW w:w="1000" w:type="dxa"/>
            <w:vAlign w:val="bottom"/>
            <w:tcBorders>
              <w:bottom w:val="single" w:sz="8" w:color="auto"/>
            </w:tcBorders>
          </w:tcPr>
          <w:p>
            <w:pPr>
              <w:spacing w:after="0"/>
              <w:rPr>
                <w:sz w:val="17"/>
                <w:szCs w:val="17"/>
                <w:color w:val="auto"/>
              </w:rPr>
            </w:pPr>
          </w:p>
        </w:tc>
      </w:tr>
      <w:tr>
        <w:trPr>
          <w:trHeight w:val="203"/>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28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(113)</w:t>
            </w:r>
          </w:p>
        </w:tc>
        <w:tc>
          <w:tcPr>
            <w:tcW w:w="16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(164)</w:t>
            </w:r>
          </w:p>
        </w:tc>
        <w:tc>
          <w:tcPr>
            <w:tcW w:w="16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NM</w:t>
            </w:r>
          </w:p>
        </w:tc>
        <w:tc>
          <w:tcPr>
            <w:tcW w:w="1000" w:type="dxa"/>
            <w:vAlign w:val="bottom"/>
            <w:tcBorders>
              <w:bottom w:val="single" w:sz="8" w:color="auto"/>
            </w:tcBorders>
          </w:tcPr>
          <w:p>
            <w:pPr>
              <w:spacing w:after="0"/>
              <w:rPr>
                <w:sz w:val="17"/>
                <w:szCs w:val="17"/>
                <w:color w:val="auto"/>
              </w:rPr>
            </w:pPr>
          </w:p>
        </w:tc>
      </w:tr>
      <w:tr>
        <w:trPr>
          <w:trHeight w:val="218"/>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NBCUniversal Operating Cash Flow</w:t>
            </w:r>
          </w:p>
        </w:tc>
        <w:tc>
          <w:tcPr>
            <w:tcW w:w="2820" w:type="dxa"/>
            <w:vAlign w:val="bottom"/>
          </w:tcPr>
          <w:p>
            <w:pPr>
              <w:jc w:val="right"/>
              <w:ind w:right="508"/>
              <w:spacing w:after="0"/>
              <w:rPr>
                <w:sz w:val="20"/>
                <w:szCs w:val="20"/>
                <w:color w:val="auto"/>
              </w:rPr>
            </w:pPr>
            <w:r>
              <w:rPr>
                <w:rFonts w:ascii="Arial" w:cs="Arial" w:eastAsia="Arial" w:hAnsi="Arial"/>
                <w:sz w:val="14"/>
                <w:szCs w:val="14"/>
                <w:b w:val="1"/>
                <w:bCs w:val="1"/>
                <w:color w:val="auto"/>
              </w:rPr>
              <w:t>$953</w:t>
            </w:r>
          </w:p>
        </w:tc>
        <w:tc>
          <w:tcPr>
            <w:tcW w:w="1640" w:type="dxa"/>
            <w:vAlign w:val="bottom"/>
          </w:tcPr>
          <w:p>
            <w:pPr>
              <w:jc w:val="right"/>
              <w:ind w:right="528"/>
              <w:spacing w:after="0"/>
              <w:rPr>
                <w:sz w:val="20"/>
                <w:szCs w:val="20"/>
                <w:color w:val="auto"/>
              </w:rPr>
            </w:pPr>
            <w:r>
              <w:rPr>
                <w:rFonts w:ascii="Arial" w:cs="Arial" w:eastAsia="Arial" w:hAnsi="Arial"/>
                <w:sz w:val="14"/>
                <w:szCs w:val="14"/>
                <w:b w:val="1"/>
                <w:bCs w:val="1"/>
                <w:color w:val="auto"/>
              </w:rPr>
              <w:t>$1,311</w:t>
            </w:r>
          </w:p>
        </w:tc>
        <w:tc>
          <w:tcPr>
            <w:tcW w:w="1680" w:type="dxa"/>
            <w:vAlign w:val="bottom"/>
          </w:tcPr>
          <w:p>
            <w:pPr>
              <w:jc w:val="right"/>
              <w:ind w:right="568"/>
              <w:spacing w:after="0"/>
              <w:rPr>
                <w:sz w:val="20"/>
                <w:szCs w:val="20"/>
                <w:color w:val="auto"/>
              </w:rPr>
            </w:pPr>
            <w:r>
              <w:rPr>
                <w:rFonts w:ascii="Arial" w:cs="Arial" w:eastAsia="Arial" w:hAnsi="Arial"/>
                <w:sz w:val="14"/>
                <w:szCs w:val="14"/>
                <w:b w:val="1"/>
                <w:bCs w:val="1"/>
                <w:color w:val="auto"/>
              </w:rPr>
              <w:t>37.6%</w:t>
            </w:r>
          </w:p>
        </w:tc>
        <w:tc>
          <w:tcPr>
            <w:tcW w:w="1000" w:type="dxa"/>
            <w:vAlign w:val="bottom"/>
          </w:tcPr>
          <w:p>
            <w:pPr>
              <w:spacing w:after="0"/>
              <w:rPr>
                <w:sz w:val="18"/>
                <w:szCs w:val="18"/>
                <w:color w:val="auto"/>
              </w:rPr>
            </w:pPr>
          </w:p>
        </w:tc>
      </w:tr>
    </w:tbl>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28.8% to $6.9 billion in the first quarter of 2014 compared to $ 5.3 billion in the first quarter of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primarily driven by 2014 Sochi Olympics revenue of $1.1 billion included in the Broadcast Television and Cable Networks segments. Excluding the Olympics, NBCUniversal revenue increased 8.1% (see Table 5). </w:t>
      </w: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xml:space="preserve"> increased 37.6% to $1.3 billion compared to $953 million in the first quarter of 2013, driven by a profitable Olympics and strong results at Filmed Entertainment and Broadcast Television.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first quarter of 2014, revenue from the Cable Networks segment increased 12.6% to $2.5 billion compared to $2.2 billion in the first quarter of 2013 and included $257 million of revenue generated by the 2014 Sochi Olympics. Excluding the Olympics, revenue increased 1.0% reflecting a 4.4% increase in distribution revenue, partially offset by a 1.4% decrease in advertising revenue (See Table 5). Operating cash flow increased 4.2% to $ 895 million compared to $859 million in the first quarter of 2013, reflecting higher revenue, partially offset by higher sports programming costs, including the impact of the Olympics, and our continued investment in original programming.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first quarter of 2014, revenue from the Broadcast Television segment increased 72.8% to $2.6 billion compared to $1.5 billion in the first quarter of 2013 and included $846 million of revenue generated by the 2014 Sochi Olympics. Excluding the Olympics, revenue increased 17.0%, driven by a 15.8% increase in advertising revenue due to strong ratings at the NBC broadcast network, as well as an increase in content licensing revenue and higher retransmission consent fees (see Table 5). Operating cash flow increased $157 million to $ 122 million compared to a loss of $35 million in the first quarter of 2013, reflecting higher revenue, partially offset by higher programming and production costs related to the Olympics.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For the first quarter of 2014, revenue from the Filmed Entertainment segment increased 11.1% to $1.4 billion compared to $1.2 billion the first quarter of 2013, driven by higher theatrical revenue from the strong performances of </w:t>
      </w:r>
      <w:r>
        <w:rPr>
          <w:rFonts w:ascii="Arial" w:cs="Arial" w:eastAsia="Arial" w:hAnsi="Arial"/>
          <w:sz w:val="18"/>
          <w:szCs w:val="18"/>
          <w:i w:val="1"/>
          <w:iCs w:val="1"/>
          <w:color w:val="auto"/>
        </w:rPr>
        <w:t>Ride Along</w:t>
      </w:r>
      <w:r>
        <w:rPr>
          <w:rFonts w:ascii="Arial" w:cs="Arial" w:eastAsia="Arial" w:hAnsi="Arial"/>
          <w:sz w:val="18"/>
          <w:szCs w:val="18"/>
          <w:color w:val="auto"/>
        </w:rPr>
        <w:t xml:space="preserve"> and </w:t>
      </w:r>
      <w:r>
        <w:rPr>
          <w:rFonts w:ascii="Arial" w:cs="Arial" w:eastAsia="Arial" w:hAnsi="Arial"/>
          <w:sz w:val="18"/>
          <w:szCs w:val="18"/>
          <w:i w:val="1"/>
          <w:iCs w:val="1"/>
          <w:color w:val="auto"/>
        </w:rPr>
        <w:t>Lone Survivor</w:t>
      </w:r>
      <w:r>
        <w:rPr>
          <w:rFonts w:ascii="Arial" w:cs="Arial" w:eastAsia="Arial" w:hAnsi="Arial"/>
          <w:sz w:val="18"/>
          <w:szCs w:val="18"/>
          <w:color w:val="auto"/>
        </w:rPr>
        <w:t xml:space="preserve"> and the international performance of </w:t>
      </w:r>
      <w:r>
        <w:rPr>
          <w:rFonts w:ascii="Arial" w:cs="Arial" w:eastAsia="Arial" w:hAnsi="Arial"/>
          <w:sz w:val="18"/>
          <w:szCs w:val="18"/>
          <w:i w:val="1"/>
          <w:iCs w:val="1"/>
          <w:color w:val="auto"/>
        </w:rPr>
        <w:t>The Wolf of Wall Street</w:t>
      </w:r>
      <w:r>
        <w:rPr>
          <w:rFonts w:ascii="Arial" w:cs="Arial" w:eastAsia="Arial" w:hAnsi="Arial"/>
          <w:sz w:val="18"/>
          <w:szCs w:val="18"/>
          <w:color w:val="auto"/>
        </w:rPr>
        <w:t>. Operating cash flow increased $219 million to $288 million compared to $69 million in the first quarter of 2013, reflecting higher revenue and a decrease in the amortization of film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first quarter of 2014, revenue from the Theme Parks segment increased 5.4% to $487 million compared to $462 million in the first quarter of 2013, driven by higher per capita spending at the Orlando and Hollywood theme parks and stable guest attendance, despite a shift in holiday timing. First quarter operating cash flow decreased 1.5% to $170 million compared to $173 million in same period last year, primarily reflecting increased operating costs to support new attractions.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March 31, 2014, NBCUniversal Headquarters, Other and Eliminations operating cash flow loss was $164 million compared to a loss of $113 million in the first quarter of 2013, reflecting higher employee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Other and Eliminations primarily include corporate operations, Comcast-Spectacor and eliminations among Comcast’s businesses. For the quarter ended March 31, 2014, Corporate, Other and Eliminations revenue was ($225) million compared to ($247) million in 2013. The operating cash flow loss was $173 million, including $17 million of costs related to the Time Warner Cable transaction, compared to a loss of $138 million in the first quarter of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0" w:lineRule="exact"/>
        <w:rPr>
          <w:sz w:val="20"/>
          <w:szCs w:val="20"/>
          <w:color w:val="auto"/>
        </w:rPr>
      </w:pPr>
    </w:p>
    <w:p>
      <w:pPr>
        <w:ind w:left="180" w:hanging="166"/>
        <w:spacing w:after="0" w:line="246" w:lineRule="auto"/>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198" w:lineRule="exact"/>
        <w:rPr>
          <w:sz w:val="20"/>
          <w:szCs w:val="20"/>
          <w:color w:val="auto"/>
        </w:rPr>
      </w:pPr>
    </w:p>
    <w:p>
      <w:pPr>
        <w:jc w:val="both"/>
        <w:ind w:left="180" w:hanging="166"/>
        <w:spacing w:after="0" w:line="239" w:lineRule="auto"/>
        <w:tabs>
          <w:tab w:leader="none" w:pos="21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The definition of Free Cash Flow excludes any impact from Economic Stimulus packages. These amounts have been excluded from Free Cash Flow to provide an appropriate comparison.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10" w:orient="portrait"/>
          <w:cols w:equalWidth="0" w:num="1">
            <w:col w:w="11420"/>
          </w:cols>
          <w:pgMar w:left="240" w:top="14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80" w:hanging="166"/>
        <w:spacing w:after="0"/>
        <w:tabs>
          <w:tab w:leader="none" w:pos="213" w:val="left"/>
        </w:tabs>
        <w:numPr>
          <w:ilvl w:val="0"/>
          <w:numId w:val="7"/>
        </w:numPr>
        <w:rPr>
          <w:rFonts w:ascii="Arial" w:cs="Arial" w:eastAsia="Arial" w:hAnsi="Arial"/>
          <w:sz w:val="18"/>
          <w:szCs w:val="18"/>
          <w:color w:val="auto"/>
        </w:rPr>
      </w:pPr>
      <w:r>
        <w:rPr>
          <w:rFonts w:ascii="Arial" w:cs="Arial" w:eastAsia="Arial" w:hAnsi="Arial"/>
          <w:sz w:val="18"/>
          <w:szCs w:val="18"/>
          <w:color w:val="auto"/>
        </w:rPr>
        <w:t>Beginning in 2014, our Cable Communications segment revised its methodology for counting customers related to how we count and report customers who reside in multiple dwelling units (“MDUs”) that are billed under bulk contracts (the “Billable Customers Method”). For MDUs whose residents have the ability to receive additional cable services, such as additional programming choices or our HD or DVR services, we</w:t>
      </w:r>
    </w:p>
    <w:p>
      <w:pPr>
        <w:sectPr>
          <w:pgSz w:w="11900" w:h="16910" w:orient="portrait"/>
          <w:cols w:equalWidth="0" w:num="1">
            <w:col w:w="11420"/>
          </w:cols>
          <w:pgMar w:left="240" w:top="141" w:right="239" w:bottom="0" w:gutter="0" w:footer="0" w:header="0"/>
          <w:type w:val="continuous"/>
        </w:sectPr>
      </w:pPr>
    </w:p>
    <w:bookmarkStart w:id="5" w:name="page6"/>
    <w:bookmarkEnd w:id="5"/>
    <w:p>
      <w:pPr>
        <w:jc w:val="both"/>
        <w:ind w:left="180"/>
        <w:spacing w:after="0" w:line="237" w:lineRule="auto"/>
        <w:rPr>
          <w:sz w:val="20"/>
          <w:szCs w:val="20"/>
          <w:color w:val="auto"/>
        </w:rPr>
      </w:pPr>
      <w:r>
        <w:rPr>
          <w:rFonts w:ascii="Arial" w:cs="Arial" w:eastAsia="Arial" w:hAnsi="Arial"/>
          <w:sz w:val="18"/>
          <w:szCs w:val="18"/>
          <w:color w:val="auto"/>
        </w:rPr>
        <w:t>now count and report customers based on the number of potential billable relationships within each MDU. For MDUs whose residents are not able to receive additional cable services, the MDU is now counted as a single customer. Previously, we had counted and reported these customers on an equivalent billing unit basis by dividing monthly revenue received under an MDU’s bulk contract by the standard monthly residential rate where the MDU was located (the “EBU Method”). Video customer metrics for 2013 are now presented on the Billable Customers Method to provide an appropriate comparison. For high-speed Internet and voice customers, the differences in the customer metrics using the Billable Customers Method and the EBU Method were not material and 2013 data has not been adjusted.</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Comcast Corporation will host a conference call with the financial community today, April 22, 2014 at 8:30 a.m. Eastern Time (ET). The conference call and related materials will be broadcast live and posted on its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Those parties interested in participating via telephone should dial (800) 263-8495 with the conference ID number 10792182. A replay of the call will be available starting at 12:30 p.m. ET on April 22, 2014, on the Investor Relations website or by telephone. To access the telephone replay, which will be available until Tuesday, April 29, 2014 at midnight ET, please dial (855) 859-2056 and enter the conference ID number 10792182.</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From time to time, we post information that may be of interest to investors on our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on our corporate blog, </w:t>
      </w:r>
      <w:r>
        <w:rPr>
          <w:rFonts w:ascii="Arial" w:cs="Arial" w:eastAsia="Arial" w:hAnsi="Arial"/>
          <w:sz w:val="18"/>
          <w:szCs w:val="18"/>
          <w:u w:val="single" w:color="auto"/>
          <w:color w:val="auto"/>
        </w:rPr>
        <w:t>www.corporate.comcast.com/comcast-voices</w:t>
      </w:r>
      <w:r>
        <w:rPr>
          <w:rFonts w:ascii="Arial" w:cs="Arial" w:eastAsia="Arial" w:hAnsi="Arial"/>
          <w:sz w:val="18"/>
          <w:szCs w:val="18"/>
          <w:color w:val="auto"/>
        </w:rPr>
        <w:t xml:space="preserve">. To automatically receive Comcast financial news by email, please visit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subscribe to email alerts.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540" w:type="dxa"/>
            <w:vAlign w:val="bottom"/>
          </w:tcPr>
          <w:p>
            <w:pPr>
              <w:jc w:val="right"/>
              <w:ind w:right="213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r>
      <w:tr>
        <w:trPr>
          <w:trHeight w:val="391"/>
        </w:trPr>
        <w:tc>
          <w:tcPr>
            <w:tcW w:w="194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2600" w:type="dxa"/>
            <w:vAlign w:val="bottom"/>
          </w:tcPr>
          <w:p>
            <w:pPr>
              <w:spacing w:after="0"/>
              <w:rPr>
                <w:sz w:val="24"/>
                <w:szCs w:val="24"/>
                <w:color w:val="auto"/>
              </w:rPr>
            </w:pPr>
          </w:p>
        </w:tc>
        <w:tc>
          <w:tcPr>
            <w:tcW w:w="3540" w:type="dxa"/>
            <w:vAlign w:val="bottom"/>
          </w:tcPr>
          <w:p>
            <w:pPr>
              <w:ind w:left="1880"/>
              <w:spacing w:after="0"/>
              <w:rPr>
                <w:sz w:val="20"/>
                <w:szCs w:val="20"/>
                <w:color w:val="auto"/>
              </w:rPr>
            </w:pPr>
            <w:r>
              <w:rPr>
                <w:rFonts w:ascii="Arial" w:cs="Arial" w:eastAsia="Arial" w:hAnsi="Arial"/>
                <w:sz w:val="18"/>
                <w:szCs w:val="18"/>
                <w:b w:val="1"/>
                <w:bCs w:val="1"/>
                <w:color w:val="auto"/>
              </w:rPr>
              <w:t>Press Contacts:</w:t>
            </w:r>
          </w:p>
        </w:tc>
        <w:tc>
          <w:tcPr>
            <w:tcW w:w="1540" w:type="dxa"/>
            <w:vAlign w:val="bottom"/>
          </w:tcPr>
          <w:p>
            <w:pPr>
              <w:spacing w:after="0"/>
              <w:rPr>
                <w:sz w:val="24"/>
                <w:szCs w:val="24"/>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Jason Armstrong</w:t>
            </w:r>
          </w:p>
        </w:tc>
        <w:tc>
          <w:tcPr>
            <w:tcW w:w="2600" w:type="dxa"/>
            <w:vAlign w:val="bottom"/>
          </w:tcPr>
          <w:p>
            <w:pPr>
              <w:jc w:val="right"/>
              <w:ind w:right="910"/>
              <w:spacing w:after="0" w:line="202" w:lineRule="exact"/>
              <w:rPr>
                <w:sz w:val="20"/>
                <w:szCs w:val="20"/>
                <w:color w:val="auto"/>
              </w:rPr>
            </w:pPr>
            <w:r>
              <w:rPr>
                <w:rFonts w:ascii="Arial" w:cs="Arial" w:eastAsia="Arial" w:hAnsi="Arial"/>
                <w:sz w:val="18"/>
                <w:szCs w:val="18"/>
                <w:color w:val="auto"/>
              </w:rPr>
              <w:t>(215) 286-7972</w:t>
            </w:r>
          </w:p>
        </w:tc>
        <w:tc>
          <w:tcPr>
            <w:tcW w:w="3540" w:type="dxa"/>
            <w:vAlign w:val="bottom"/>
          </w:tcPr>
          <w:p>
            <w:pPr>
              <w:ind w:left="1880"/>
              <w:spacing w:after="0" w:line="202" w:lineRule="exact"/>
              <w:rPr>
                <w:sz w:val="20"/>
                <w:szCs w:val="20"/>
                <w:color w:val="auto"/>
              </w:rPr>
            </w:pPr>
            <w:r>
              <w:rPr>
                <w:rFonts w:ascii="Arial" w:cs="Arial" w:eastAsia="Arial" w:hAnsi="Arial"/>
                <w:sz w:val="18"/>
                <w:szCs w:val="18"/>
                <w:color w:val="auto"/>
              </w:rPr>
              <w:t>D’Arcy Rudnay</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17"/>
        </w:trPr>
        <w:tc>
          <w:tcPr>
            <w:tcW w:w="1940" w:type="dxa"/>
            <w:vAlign w:val="bottom"/>
          </w:tcPr>
          <w:p>
            <w:pPr>
              <w:spacing w:after="0"/>
              <w:rPr>
                <w:sz w:val="20"/>
                <w:szCs w:val="20"/>
                <w:color w:val="auto"/>
              </w:rPr>
            </w:pPr>
            <w:r>
              <w:rPr>
                <w:rFonts w:ascii="Arial" w:cs="Arial" w:eastAsia="Arial" w:hAnsi="Arial"/>
                <w:sz w:val="18"/>
                <w:szCs w:val="18"/>
                <w:color w:val="auto"/>
              </w:rPr>
              <w:t>Jane Kearns</w:t>
            </w:r>
          </w:p>
        </w:tc>
        <w:tc>
          <w:tcPr>
            <w:tcW w:w="2600" w:type="dxa"/>
            <w:vAlign w:val="bottom"/>
          </w:tcPr>
          <w:p>
            <w:pPr>
              <w:jc w:val="right"/>
              <w:ind w:right="910"/>
              <w:spacing w:after="0"/>
              <w:rPr>
                <w:sz w:val="20"/>
                <w:szCs w:val="20"/>
                <w:color w:val="auto"/>
              </w:rPr>
            </w:pPr>
            <w:r>
              <w:rPr>
                <w:rFonts w:ascii="Arial" w:cs="Arial" w:eastAsia="Arial" w:hAnsi="Arial"/>
                <w:sz w:val="18"/>
                <w:szCs w:val="18"/>
                <w:color w:val="auto"/>
              </w:rPr>
              <w:t>(215) 286-4794</w:t>
            </w:r>
          </w:p>
        </w:tc>
        <w:tc>
          <w:tcPr>
            <w:tcW w:w="3540" w:type="dxa"/>
            <w:vAlign w:val="bottom"/>
          </w:tcPr>
          <w:p>
            <w:pPr>
              <w:ind w:left="1880"/>
              <w:spacing w:after="0"/>
              <w:rPr>
                <w:sz w:val="20"/>
                <w:szCs w:val="20"/>
                <w:color w:val="auto"/>
              </w:rPr>
            </w:pPr>
            <w:r>
              <w:rPr>
                <w:rFonts w:ascii="Arial" w:cs="Arial" w:eastAsia="Arial" w:hAnsi="Arial"/>
                <w:sz w:val="18"/>
                <w:szCs w:val="18"/>
                <w:color w:val="auto"/>
              </w:rPr>
              <w:t>John Demming</w:t>
            </w:r>
          </w:p>
        </w:tc>
        <w:tc>
          <w:tcPr>
            <w:tcW w:w="1540" w:type="dxa"/>
            <w:vAlign w:val="bottom"/>
          </w:tcPr>
          <w:p>
            <w:pPr>
              <w:jc w:val="right"/>
              <w:spacing w:after="0"/>
              <w:rPr>
                <w:sz w:val="20"/>
                <w:szCs w:val="20"/>
                <w:color w:val="auto"/>
              </w:rPr>
            </w:pPr>
            <w:r>
              <w:rPr>
                <w:rFonts w:ascii="Arial" w:cs="Arial" w:eastAsia="Arial" w:hAnsi="Arial"/>
                <w:sz w:val="18"/>
                <w:szCs w:val="18"/>
                <w:color w:val="auto"/>
              </w:rPr>
              <w:t>(215) 286-8011</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auto"/>
        </w:rPr>
        <w:t>www.comcastcorporation.com</w:t>
      </w:r>
      <w:r>
        <w:rPr>
          <w:rFonts w:ascii="Arial" w:cs="Arial" w:eastAsia="Arial" w:hAnsi="Arial"/>
          <w:sz w:val="18"/>
          <w:szCs w:val="18"/>
          <w:color w:val="auto"/>
        </w:rPr>
        <w:t xml:space="preserve"> for more information.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Statement of Income (Unaudited)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tcPr>
          <w:p>
            <w:pPr>
              <w:spacing w:after="0"/>
              <w:rPr>
                <w:sz w:val="18"/>
                <w:szCs w:val="18"/>
                <w:color w:val="auto"/>
              </w:rPr>
            </w:pPr>
          </w:p>
        </w:tc>
        <w:tc>
          <w:tcPr>
            <w:tcW w:w="2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25"/>
        </w:trPr>
        <w:tc>
          <w:tcPr>
            <w:tcW w:w="852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190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rPr>
              <w:t>March 31,</w:t>
            </w:r>
          </w:p>
        </w:tc>
        <w:tc>
          <w:tcPr>
            <w:tcW w:w="9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3"/>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26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2013</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520" w:type="dxa"/>
            <w:vAlign w:val="bottom"/>
            <w:vMerge w:val="continue"/>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$15,310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$17,408</w:t>
            </w:r>
          </w:p>
        </w:tc>
        <w:tc>
          <w:tcPr>
            <w:tcW w:w="0" w:type="dxa"/>
            <w:vAlign w:val="bottom"/>
          </w:tcPr>
          <w:p>
            <w:pPr>
              <w:spacing w:after="0"/>
              <w:rPr>
                <w:sz w:val="1"/>
                <w:szCs w:val="1"/>
                <w:color w:val="auto"/>
              </w:rPr>
            </w:pPr>
          </w:p>
        </w:tc>
      </w:tr>
      <w:tr>
        <w:trPr>
          <w:trHeight w:val="346"/>
        </w:trPr>
        <w:tc>
          <w:tcPr>
            <w:tcW w:w="852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260" w:type="dxa"/>
            <w:vAlign w:val="bottom"/>
          </w:tcPr>
          <w:p>
            <w:pPr>
              <w:jc w:val="right"/>
              <w:spacing w:after="0"/>
              <w:rPr>
                <w:sz w:val="20"/>
                <w:szCs w:val="20"/>
                <w:color w:val="auto"/>
              </w:rPr>
            </w:pPr>
            <w:r>
              <w:rPr>
                <w:rFonts w:ascii="Arial" w:cs="Arial" w:eastAsia="Arial" w:hAnsi="Arial"/>
                <w:sz w:val="18"/>
                <w:szCs w:val="18"/>
                <w:color w:val="auto"/>
              </w:rPr>
              <w:t>4,663</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5,908</w:t>
            </w:r>
          </w:p>
        </w:tc>
        <w:tc>
          <w:tcPr>
            <w:tcW w:w="0" w:type="dxa"/>
            <w:vAlign w:val="bottom"/>
          </w:tcPr>
          <w:p>
            <w:pPr>
              <w:spacing w:after="0"/>
              <w:rPr>
                <w:sz w:val="1"/>
                <w:szCs w:val="1"/>
                <w:color w:val="auto"/>
              </w:rPr>
            </w:pPr>
          </w:p>
        </w:tc>
      </w:tr>
      <w:tr>
        <w:trPr>
          <w:trHeight w:val="203"/>
        </w:trPr>
        <w:tc>
          <w:tcPr>
            <w:tcW w:w="852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and administrative</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4,466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4,752</w:t>
            </w:r>
          </w:p>
        </w:tc>
        <w:tc>
          <w:tcPr>
            <w:tcW w:w="0" w:type="dxa"/>
            <w:vAlign w:val="bottom"/>
          </w:tcPr>
          <w:p>
            <w:pPr>
              <w:spacing w:after="0"/>
              <w:rPr>
                <w:sz w:val="1"/>
                <w:szCs w:val="1"/>
                <w:color w:val="auto"/>
              </w:rPr>
            </w:pPr>
          </w:p>
        </w:tc>
      </w:tr>
      <w:tr>
        <w:trPr>
          <w:trHeight w:val="225"/>
        </w:trPr>
        <w:tc>
          <w:tcPr>
            <w:tcW w:w="852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1,210</w:t>
            </w:r>
          </w:p>
        </w:tc>
        <w:tc>
          <w:tcPr>
            <w:tcW w:w="0" w:type="dxa"/>
            <w:vAlign w:val="bottom"/>
          </w:tcPr>
          <w:p>
            <w:pPr>
              <w:spacing w:after="0"/>
              <w:rPr>
                <w:sz w:val="1"/>
                <w:szCs w:val="1"/>
                <w:color w:val="auto"/>
              </w:rPr>
            </w:pPr>
          </w:p>
        </w:tc>
      </w:tr>
      <w:tr>
        <w:trPr>
          <w:trHeight w:val="196"/>
        </w:trPr>
        <w:tc>
          <w:tcPr>
            <w:tcW w:w="8520" w:type="dxa"/>
            <w:vAlign w:val="bottom"/>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10,276</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11,870</w:t>
            </w:r>
          </w:p>
        </w:tc>
        <w:tc>
          <w:tcPr>
            <w:tcW w:w="0" w:type="dxa"/>
            <w:vAlign w:val="bottom"/>
          </w:tcPr>
          <w:p>
            <w:pPr>
              <w:spacing w:after="0"/>
              <w:rPr>
                <w:sz w:val="1"/>
                <w:szCs w:val="1"/>
                <w:color w:val="auto"/>
              </w:rPr>
            </w:pPr>
          </w:p>
        </w:tc>
      </w:tr>
      <w:tr>
        <w:trPr>
          <w:trHeight w:val="412"/>
        </w:trPr>
        <w:tc>
          <w:tcPr>
            <w:tcW w:w="8520" w:type="dxa"/>
            <w:vAlign w:val="bottom"/>
          </w:tcPr>
          <w:p>
            <w:pPr>
              <w:spacing w:after="0"/>
              <w:rPr>
                <w:sz w:val="20"/>
                <w:szCs w:val="20"/>
                <w:color w:val="auto"/>
              </w:rPr>
            </w:pPr>
            <w:r>
              <w:rPr>
                <w:rFonts w:ascii="Arial" w:cs="Arial" w:eastAsia="Arial" w:hAnsi="Arial"/>
                <w:sz w:val="18"/>
                <w:szCs w:val="18"/>
                <w:b w:val="1"/>
                <w:bCs w:val="1"/>
                <w:color w:val="auto"/>
              </w:rPr>
              <w:t>Operating cash flow</w:t>
            </w:r>
          </w:p>
        </w:tc>
        <w:tc>
          <w:tcPr>
            <w:tcW w:w="1260" w:type="dxa"/>
            <w:vAlign w:val="bottom"/>
          </w:tcPr>
          <w:p>
            <w:pPr>
              <w:jc w:val="right"/>
              <w:spacing w:after="0"/>
              <w:rPr>
                <w:sz w:val="20"/>
                <w:szCs w:val="20"/>
                <w:color w:val="auto"/>
              </w:rPr>
            </w:pPr>
            <w:r>
              <w:rPr>
                <w:rFonts w:ascii="Arial" w:cs="Arial" w:eastAsia="Arial" w:hAnsi="Arial"/>
                <w:sz w:val="18"/>
                <w:szCs w:val="18"/>
                <w:color w:val="auto"/>
              </w:rPr>
              <w:t>5,034</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5,538</w:t>
            </w:r>
          </w:p>
        </w:tc>
        <w:tc>
          <w:tcPr>
            <w:tcW w:w="0" w:type="dxa"/>
            <w:vAlign w:val="bottom"/>
          </w:tcPr>
          <w:p>
            <w:pPr>
              <w:spacing w:after="0"/>
              <w:rPr>
                <w:sz w:val="1"/>
                <w:szCs w:val="1"/>
                <w:color w:val="auto"/>
              </w:rPr>
            </w:pPr>
          </w:p>
        </w:tc>
      </w:tr>
      <w:tr>
        <w:trPr>
          <w:trHeight w:val="369"/>
        </w:trPr>
        <w:tc>
          <w:tcPr>
            <w:tcW w:w="852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260" w:type="dxa"/>
            <w:vAlign w:val="bottom"/>
          </w:tcPr>
          <w:p>
            <w:pPr>
              <w:jc w:val="right"/>
              <w:spacing w:after="0"/>
              <w:rPr>
                <w:sz w:val="20"/>
                <w:szCs w:val="20"/>
                <w:color w:val="auto"/>
              </w:rPr>
            </w:pPr>
            <w:r>
              <w:rPr>
                <w:rFonts w:ascii="Arial" w:cs="Arial" w:eastAsia="Arial" w:hAnsi="Arial"/>
                <w:sz w:val="18"/>
                <w:szCs w:val="18"/>
                <w:color w:val="auto"/>
              </w:rPr>
              <w:t>1,566</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1,569</w:t>
            </w:r>
          </w:p>
        </w:tc>
        <w:tc>
          <w:tcPr>
            <w:tcW w:w="0" w:type="dxa"/>
            <w:vAlign w:val="bottom"/>
          </w:tcPr>
          <w:p>
            <w:pPr>
              <w:spacing w:after="0"/>
              <w:rPr>
                <w:sz w:val="1"/>
                <w:szCs w:val="1"/>
                <w:color w:val="auto"/>
              </w:rPr>
            </w:pPr>
          </w:p>
        </w:tc>
      </w:tr>
      <w:tr>
        <w:trPr>
          <w:trHeight w:val="225"/>
        </w:trPr>
        <w:tc>
          <w:tcPr>
            <w:tcW w:w="852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401</w:t>
            </w:r>
          </w:p>
        </w:tc>
        <w:tc>
          <w:tcPr>
            <w:tcW w:w="0" w:type="dxa"/>
            <w:vAlign w:val="bottom"/>
          </w:tcPr>
          <w:p>
            <w:pPr>
              <w:spacing w:after="0"/>
              <w:rPr>
                <w:sz w:val="1"/>
                <w:szCs w:val="1"/>
                <w:color w:val="auto"/>
              </w:rPr>
            </w:pPr>
          </w:p>
        </w:tc>
      </w:tr>
      <w:tr>
        <w:trPr>
          <w:trHeight w:val="196"/>
        </w:trPr>
        <w:tc>
          <w:tcPr>
            <w:tcW w:w="8520" w:type="dxa"/>
            <w:vAlign w:val="bottom"/>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1,967</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1,970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260" w:type="dxa"/>
            <w:vAlign w:val="bottom"/>
          </w:tcPr>
          <w:p>
            <w:pPr>
              <w:jc w:val="right"/>
              <w:spacing w:after="0"/>
              <w:rPr>
                <w:sz w:val="20"/>
                <w:szCs w:val="20"/>
                <w:color w:val="auto"/>
              </w:rPr>
            </w:pPr>
            <w:r>
              <w:rPr>
                <w:rFonts w:ascii="Arial" w:cs="Arial" w:eastAsia="Arial" w:hAnsi="Arial"/>
                <w:sz w:val="18"/>
                <w:szCs w:val="18"/>
                <w:color w:val="auto"/>
              </w:rPr>
              <w:t>3,067</w:t>
            </w:r>
          </w:p>
        </w:tc>
        <w:tc>
          <w:tcPr>
            <w:tcW w:w="2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3,568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5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520" w:type="dxa"/>
            <w:vAlign w:val="bottom"/>
          </w:tcPr>
          <w:p>
            <w:pPr>
              <w:ind w:left="180"/>
              <w:spacing w:after="0" w:line="181" w:lineRule="exact"/>
              <w:rPr>
                <w:sz w:val="20"/>
                <w:szCs w:val="20"/>
                <w:color w:val="auto"/>
              </w:rPr>
            </w:pPr>
            <w:r>
              <w:rPr>
                <w:rFonts w:ascii="Arial" w:cs="Arial" w:eastAsia="Arial" w:hAnsi="Arial"/>
                <w:sz w:val="18"/>
                <w:szCs w:val="18"/>
                <w:color w:val="auto"/>
              </w:rPr>
              <w:t>Interest expense</w:t>
            </w:r>
          </w:p>
        </w:tc>
        <w:tc>
          <w:tcPr>
            <w:tcW w:w="1260" w:type="dxa"/>
            <w:vAlign w:val="bottom"/>
          </w:tcPr>
          <w:p>
            <w:pPr>
              <w:jc w:val="right"/>
              <w:spacing w:after="0" w:line="181" w:lineRule="exact"/>
              <w:rPr>
                <w:sz w:val="20"/>
                <w:szCs w:val="20"/>
                <w:color w:val="auto"/>
              </w:rPr>
            </w:pPr>
            <w:r>
              <w:rPr>
                <w:rFonts w:ascii="Arial" w:cs="Arial" w:eastAsia="Arial" w:hAnsi="Arial"/>
                <w:sz w:val="18"/>
                <w:szCs w:val="18"/>
                <w:color w:val="auto"/>
              </w:rPr>
              <w:t>(653)</w:t>
            </w:r>
          </w:p>
        </w:tc>
        <w:tc>
          <w:tcPr>
            <w:tcW w:w="2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20" w:type="dxa"/>
            <w:vAlign w:val="bottom"/>
          </w:tcPr>
          <w:p>
            <w:pPr>
              <w:ind w:left="180"/>
              <w:spacing w:after="0" w:line="202" w:lineRule="exact"/>
              <w:rPr>
                <w:sz w:val="20"/>
                <w:szCs w:val="20"/>
                <w:color w:val="auto"/>
              </w:rPr>
            </w:pPr>
            <w:r>
              <w:rPr>
                <w:rFonts w:ascii="Arial" w:cs="Arial" w:eastAsia="Arial" w:hAnsi="Arial"/>
                <w:sz w:val="18"/>
                <w:szCs w:val="18"/>
                <w:color w:val="auto"/>
              </w:rPr>
              <w:t>Investment income (loss), net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28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tcPr>
          <w:p>
            <w:pPr>
              <w:ind w:left="18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8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520" w:type="dxa"/>
            <w:vAlign w:val="bottom"/>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(497)</w:t>
            </w:r>
          </w:p>
        </w:tc>
        <w:tc>
          <w:tcPr>
            <w:tcW w:w="280" w:type="dxa"/>
            <w:vAlign w:val="bottom"/>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5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60" w:type="dxa"/>
            <w:vAlign w:val="bottom"/>
          </w:tcPr>
          <w:p>
            <w:pPr>
              <w:jc w:val="right"/>
              <w:spacing w:after="0"/>
              <w:rPr>
                <w:sz w:val="20"/>
                <w:szCs w:val="20"/>
                <w:color w:val="auto"/>
              </w:rPr>
            </w:pPr>
            <w:r>
              <w:rPr>
                <w:rFonts w:ascii="Arial" w:cs="Arial" w:eastAsia="Arial" w:hAnsi="Arial"/>
                <w:sz w:val="18"/>
                <w:szCs w:val="18"/>
                <w:color w:val="auto"/>
              </w:rPr>
              <w:t>2,570</w:t>
            </w:r>
          </w:p>
        </w:tc>
        <w:tc>
          <w:tcPr>
            <w:tcW w:w="28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3,056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20" w:type="dxa"/>
            <w:vAlign w:val="bottom"/>
          </w:tcPr>
          <w:p>
            <w:pPr>
              <w:spacing w:after="0"/>
              <w:rPr>
                <w:sz w:val="20"/>
                <w:szCs w:val="20"/>
                <w:color w:val="auto"/>
              </w:rPr>
            </w:pPr>
            <w:r>
              <w:rPr>
                <w:rFonts w:ascii="Arial" w:cs="Arial" w:eastAsia="Arial" w:hAnsi="Arial"/>
                <w:sz w:val="18"/>
                <w:szCs w:val="18"/>
                <w:color w:val="auto"/>
              </w:rPr>
              <w:t>Income tax expense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8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5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260" w:type="dxa"/>
            <w:vAlign w:val="bottom"/>
          </w:tcPr>
          <w:p>
            <w:pPr>
              <w:jc w:val="right"/>
              <w:spacing w:after="0"/>
              <w:rPr>
                <w:sz w:val="20"/>
                <w:szCs w:val="20"/>
                <w:color w:val="auto"/>
              </w:rPr>
            </w:pPr>
            <w:r>
              <w:rPr>
                <w:rFonts w:ascii="Arial" w:cs="Arial" w:eastAsia="Arial" w:hAnsi="Arial"/>
                <w:sz w:val="18"/>
                <w:szCs w:val="18"/>
                <w:color w:val="auto"/>
              </w:rPr>
              <w:t>1,645</w:t>
            </w:r>
          </w:p>
        </w:tc>
        <w:tc>
          <w:tcPr>
            <w:tcW w:w="28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1,938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52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52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$1,437</w:t>
            </w:r>
          </w:p>
        </w:tc>
        <w:tc>
          <w:tcPr>
            <w:tcW w:w="280" w:type="dxa"/>
            <w:vAlign w:val="bottom"/>
          </w:tcPr>
          <w:p>
            <w:pPr>
              <w:spacing w:after="0"/>
              <w:rPr>
                <w:sz w:val="17"/>
                <w:szCs w:val="17"/>
                <w:color w:val="auto"/>
              </w:rPr>
            </w:pPr>
          </w:p>
        </w:tc>
        <w:tc>
          <w:tcPr>
            <w:tcW w:w="1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$1,871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52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280" w:type="dxa"/>
            <w:vAlign w:val="bottom"/>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$0.71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52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 attributable to Comcast Corporation shareholders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$0.195</w:t>
            </w:r>
          </w:p>
        </w:tc>
        <w:tc>
          <w:tcPr>
            <w:tcW w:w="280" w:type="dxa"/>
            <w:vAlign w:val="bottom"/>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$0.225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52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280" w:type="dxa"/>
            <w:vAlign w:val="bottom"/>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2,645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520" w:type="dxa"/>
            <w:vAlign w:val="bottom"/>
            <w:vMerge w:val="restart"/>
          </w:tcPr>
          <w:p>
            <w:pPr>
              <w:ind w:left="5680"/>
              <w:spacing w:after="0"/>
              <w:rPr>
                <w:sz w:val="20"/>
                <w:szCs w:val="20"/>
                <w:color w:val="auto"/>
              </w:rPr>
            </w:pPr>
            <w:r>
              <w:rPr>
                <w:rFonts w:ascii="Arial" w:cs="Arial" w:eastAsia="Arial" w:hAnsi="Arial"/>
                <w:sz w:val="14"/>
                <w:szCs w:val="14"/>
                <w:color w:val="auto"/>
              </w:rPr>
              <w:t>6</w:t>
            </w: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5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520" w:type="dxa"/>
            <w:vAlign w:val="bottom"/>
            <w:tcBorders>
              <w:bottom w:val="single" w:sz="8" w:color="010101"/>
            </w:tcBorders>
          </w:tcPr>
          <w:p>
            <w:pPr>
              <w:spacing w:after="0"/>
              <w:rPr>
                <w:sz w:val="10"/>
                <w:szCs w:val="10"/>
                <w:color w:val="auto"/>
              </w:rPr>
            </w:pPr>
          </w:p>
        </w:tc>
        <w:tc>
          <w:tcPr>
            <w:tcW w:w="126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260" w:type="dxa"/>
            <w:vAlign w:val="bottom"/>
            <w:tcBorders>
              <w:bottom w:val="single" w:sz="8" w:color="010101"/>
            </w:tcBorders>
          </w:tcPr>
          <w:p>
            <w:pPr>
              <w:spacing w:after="0"/>
              <w:rPr>
                <w:sz w:val="10"/>
                <w:szCs w:val="10"/>
                <w:color w:val="auto"/>
              </w:rPr>
            </w:pPr>
          </w:p>
        </w:tc>
        <w:tc>
          <w:tcPr>
            <w:tcW w:w="1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4546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20"/>
                <w:szCs w:val="20"/>
                <w:color w:val="auto"/>
              </w:rPr>
            </w:pPr>
            <w:r>
              <w:rPr>
                <w:rFonts w:ascii="Arial" w:cs="Arial" w:eastAsia="Arial" w:hAnsi="Arial"/>
                <w:sz w:val="18"/>
                <w:szCs w:val="18"/>
                <w:color w:val="auto"/>
              </w:rPr>
              <w:t>(in millions)</w:t>
            </w: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5"/>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6"/>
        </w:trPr>
        <w:tc>
          <w:tcPr>
            <w:tcW w:w="808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808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$3,054</w:t>
            </w:r>
          </w:p>
        </w:tc>
        <w:tc>
          <w:tcPr>
            <w:tcW w:w="0" w:type="dxa"/>
            <w:vAlign w:val="bottom"/>
          </w:tcPr>
          <w:p>
            <w:pPr>
              <w:spacing w:after="0"/>
              <w:rPr>
                <w:sz w:val="1"/>
                <w:szCs w:val="1"/>
                <w:color w:val="auto"/>
              </w:rPr>
            </w:pPr>
          </w:p>
        </w:tc>
      </w:tr>
      <w:tr>
        <w:trPr>
          <w:trHeight w:val="194"/>
        </w:trPr>
        <w:tc>
          <w:tcPr>
            <w:tcW w:w="8080" w:type="dxa"/>
            <w:vAlign w:val="bottom"/>
          </w:tcPr>
          <w:p>
            <w:pPr>
              <w:ind w:left="260"/>
              <w:spacing w:after="0" w:line="195" w:lineRule="exact"/>
              <w:rPr>
                <w:sz w:val="20"/>
                <w:szCs w:val="20"/>
                <w:color w:val="auto"/>
              </w:rPr>
            </w:pPr>
            <w:r>
              <w:rPr>
                <w:rFonts w:ascii="Arial" w:cs="Arial" w:eastAsia="Arial" w:hAnsi="Arial"/>
                <w:sz w:val="18"/>
                <w:szCs w:val="18"/>
                <w:color w:val="auto"/>
              </w:rPr>
              <w:t>Cash and cash equivalents</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$1,718</w:t>
            </w: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60"/>
              <w:spacing w:after="0"/>
              <w:rPr>
                <w:sz w:val="20"/>
                <w:szCs w:val="20"/>
                <w:color w:val="auto"/>
              </w:rPr>
            </w:pPr>
            <w:r>
              <w:rPr>
                <w:rFonts w:ascii="Arial" w:cs="Arial" w:eastAsia="Arial" w:hAnsi="Arial"/>
                <w:sz w:val="18"/>
                <w:szCs w:val="18"/>
                <w:color w:val="auto"/>
              </w:rPr>
              <w:t>Investments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3,573</w:t>
            </w:r>
          </w:p>
        </w:tc>
        <w:tc>
          <w:tcPr>
            <w:tcW w:w="2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2,389</w:t>
            </w:r>
          </w:p>
        </w:tc>
        <w:tc>
          <w:tcPr>
            <w:tcW w:w="0" w:type="dxa"/>
            <w:vAlign w:val="bottom"/>
          </w:tcPr>
          <w:p>
            <w:pPr>
              <w:spacing w:after="0"/>
              <w:rPr>
                <w:sz w:val="1"/>
                <w:szCs w:val="1"/>
                <w:color w:val="auto"/>
              </w:rPr>
            </w:pPr>
          </w:p>
        </w:tc>
      </w:tr>
      <w:tr>
        <w:trPr>
          <w:trHeight w:val="216"/>
        </w:trPr>
        <w:tc>
          <w:tcPr>
            <w:tcW w:w="8080" w:type="dxa"/>
            <w:vAlign w:val="bottom"/>
          </w:tcPr>
          <w:p>
            <w:pPr>
              <w:ind w:left="260"/>
              <w:spacing w:after="0"/>
              <w:rPr>
                <w:sz w:val="20"/>
                <w:szCs w:val="20"/>
                <w:color w:val="auto"/>
              </w:rPr>
            </w:pPr>
            <w:r>
              <w:rPr>
                <w:rFonts w:ascii="Arial" w:cs="Arial" w:eastAsia="Arial" w:hAnsi="Arial"/>
                <w:sz w:val="18"/>
                <w:szCs w:val="18"/>
                <w:color w:val="auto"/>
              </w:rPr>
              <w:t>Receivables, net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6,376</w:t>
            </w:r>
          </w:p>
        </w:tc>
        <w:tc>
          <w:tcPr>
            <w:tcW w:w="2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6,151</w:t>
            </w:r>
          </w:p>
        </w:tc>
        <w:tc>
          <w:tcPr>
            <w:tcW w:w="0" w:type="dxa"/>
            <w:vAlign w:val="bottom"/>
          </w:tcPr>
          <w:p>
            <w:pPr>
              <w:spacing w:after="0"/>
              <w:rPr>
                <w:sz w:val="1"/>
                <w:szCs w:val="1"/>
                <w:color w:val="auto"/>
              </w:rPr>
            </w:pPr>
          </w:p>
        </w:tc>
      </w:tr>
      <w:tr>
        <w:trPr>
          <w:trHeight w:val="216"/>
        </w:trPr>
        <w:tc>
          <w:tcPr>
            <w:tcW w:w="8080" w:type="dxa"/>
            <w:vAlign w:val="bottom"/>
          </w:tcPr>
          <w:p>
            <w:pPr>
              <w:ind w:left="260"/>
              <w:spacing w:after="0"/>
              <w:rPr>
                <w:sz w:val="20"/>
                <w:szCs w:val="20"/>
                <w:color w:val="auto"/>
              </w:rPr>
            </w:pPr>
            <w:r>
              <w:rPr>
                <w:rFonts w:ascii="Arial" w:cs="Arial" w:eastAsia="Arial" w:hAnsi="Arial"/>
                <w:sz w:val="18"/>
                <w:szCs w:val="18"/>
                <w:color w:val="auto"/>
              </w:rPr>
              <w:t>Programming rights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928</w:t>
            </w:r>
          </w:p>
        </w:tc>
        <w:tc>
          <w:tcPr>
            <w:tcW w:w="2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863</w:t>
            </w:r>
          </w:p>
        </w:tc>
        <w:tc>
          <w:tcPr>
            <w:tcW w:w="0" w:type="dxa"/>
            <w:vAlign w:val="bottom"/>
          </w:tcPr>
          <w:p>
            <w:pPr>
              <w:spacing w:after="0"/>
              <w:rPr>
                <w:sz w:val="1"/>
                <w:szCs w:val="1"/>
                <w:color w:val="auto"/>
              </w:rPr>
            </w:pPr>
          </w:p>
        </w:tc>
      </w:tr>
      <w:tr>
        <w:trPr>
          <w:trHeight w:val="225"/>
        </w:trPr>
        <w:tc>
          <w:tcPr>
            <w:tcW w:w="808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1,480</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1,586</w:t>
            </w:r>
          </w:p>
        </w:tc>
        <w:tc>
          <w:tcPr>
            <w:tcW w:w="0" w:type="dxa"/>
            <w:vAlign w:val="bottom"/>
          </w:tcPr>
          <w:p>
            <w:pPr>
              <w:spacing w:after="0"/>
              <w:rPr>
                <w:sz w:val="1"/>
                <w:szCs w:val="1"/>
                <w:color w:val="auto"/>
              </w:rPr>
            </w:pPr>
          </w:p>
        </w:tc>
      </w:tr>
      <w:tr>
        <w:trPr>
          <w:trHeight w:val="210"/>
        </w:trPr>
        <w:tc>
          <w:tcPr>
            <w:tcW w:w="808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14,075</w:t>
            </w:r>
          </w:p>
        </w:tc>
        <w:tc>
          <w:tcPr>
            <w:tcW w:w="280" w:type="dxa"/>
            <w:vAlign w:val="bottom"/>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14,043</w:t>
            </w:r>
          </w:p>
        </w:tc>
        <w:tc>
          <w:tcPr>
            <w:tcW w:w="0" w:type="dxa"/>
            <w:vAlign w:val="bottom"/>
          </w:tcPr>
          <w:p>
            <w:pPr>
              <w:spacing w:after="0"/>
              <w:rPr>
                <w:sz w:val="1"/>
                <w:szCs w:val="1"/>
                <w:color w:val="auto"/>
              </w:rPr>
            </w:pPr>
          </w:p>
        </w:tc>
      </w:tr>
      <w:tr>
        <w:trPr>
          <w:trHeight w:val="412"/>
        </w:trPr>
        <w:tc>
          <w:tcPr>
            <w:tcW w:w="80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4,994</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5,058</w:t>
            </w:r>
          </w:p>
        </w:tc>
        <w:tc>
          <w:tcPr>
            <w:tcW w:w="0" w:type="dxa"/>
            <w:vAlign w:val="bottom"/>
          </w:tcPr>
          <w:p>
            <w:pPr>
              <w:spacing w:after="0"/>
              <w:rPr>
                <w:sz w:val="1"/>
                <w:szCs w:val="1"/>
                <w:color w:val="auto"/>
              </w:rPr>
            </w:pPr>
          </w:p>
        </w:tc>
      </w:tr>
      <w:tr>
        <w:trPr>
          <w:trHeight w:val="405"/>
        </w:trPr>
        <w:tc>
          <w:tcPr>
            <w:tcW w:w="8080" w:type="dxa"/>
            <w:vAlign w:val="bottom"/>
          </w:tcPr>
          <w:p>
            <w:pPr>
              <w:spacing w:after="0"/>
              <w:rPr>
                <w:sz w:val="20"/>
                <w:szCs w:val="20"/>
                <w:color w:val="auto"/>
              </w:rPr>
            </w:pPr>
            <w:r>
              <w:rPr>
                <w:rFonts w:ascii="Arial" w:cs="Arial" w:eastAsia="Arial" w:hAnsi="Arial"/>
                <w:sz w:val="18"/>
                <w:szCs w:val="18"/>
                <w:color w:val="auto"/>
              </w:rPr>
              <w:t>Investments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3,770</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3,090</w:t>
            </w:r>
          </w:p>
        </w:tc>
        <w:tc>
          <w:tcPr>
            <w:tcW w:w="0" w:type="dxa"/>
            <w:vAlign w:val="bottom"/>
          </w:tcPr>
          <w:p>
            <w:pPr>
              <w:spacing w:after="0"/>
              <w:rPr>
                <w:sz w:val="1"/>
                <w:szCs w:val="1"/>
                <w:color w:val="auto"/>
              </w:rPr>
            </w:pPr>
          </w:p>
        </w:tc>
      </w:tr>
      <w:tr>
        <w:trPr>
          <w:trHeight w:val="405"/>
        </w:trPr>
        <w:tc>
          <w:tcPr>
            <w:tcW w:w="8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29,840</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29,588</w:t>
            </w:r>
          </w:p>
        </w:tc>
        <w:tc>
          <w:tcPr>
            <w:tcW w:w="0" w:type="dxa"/>
            <w:vAlign w:val="bottom"/>
          </w:tcPr>
          <w:p>
            <w:pPr>
              <w:spacing w:after="0"/>
              <w:rPr>
                <w:sz w:val="1"/>
                <w:szCs w:val="1"/>
                <w:color w:val="auto"/>
              </w:rPr>
            </w:pPr>
          </w:p>
        </w:tc>
      </w:tr>
      <w:tr>
        <w:trPr>
          <w:trHeight w:val="405"/>
        </w:trPr>
        <w:tc>
          <w:tcPr>
            <w:tcW w:w="8080" w:type="dxa"/>
            <w:vAlign w:val="bottom"/>
          </w:tcPr>
          <w:p>
            <w:pPr>
              <w:spacing w:after="0"/>
              <w:rPr>
                <w:sz w:val="20"/>
                <w:szCs w:val="20"/>
                <w:color w:val="auto"/>
              </w:rPr>
            </w:pPr>
            <w:r>
              <w:rPr>
                <w:rFonts w:ascii="Arial" w:cs="Arial" w:eastAsia="Arial" w:hAnsi="Arial"/>
                <w:sz w:val="18"/>
                <w:szCs w:val="18"/>
                <w:color w:val="auto"/>
              </w:rPr>
              <w:t>Franchise rights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59,364</w:t>
            </w:r>
          </w:p>
        </w:tc>
        <w:tc>
          <w:tcPr>
            <w:tcW w:w="0" w:type="dxa"/>
            <w:vAlign w:val="bottom"/>
          </w:tcPr>
          <w:p>
            <w:pPr>
              <w:spacing w:after="0"/>
              <w:rPr>
                <w:sz w:val="1"/>
                <w:szCs w:val="1"/>
                <w:color w:val="auto"/>
              </w:rPr>
            </w:pPr>
          </w:p>
        </w:tc>
      </w:tr>
      <w:tr>
        <w:trPr>
          <w:trHeight w:val="405"/>
        </w:trPr>
        <w:tc>
          <w:tcPr>
            <w:tcW w:w="8080" w:type="dxa"/>
            <w:vAlign w:val="bottom"/>
          </w:tcPr>
          <w:p>
            <w:pPr>
              <w:spacing w:after="0"/>
              <w:rPr>
                <w:sz w:val="20"/>
                <w:szCs w:val="20"/>
                <w:color w:val="auto"/>
              </w:rPr>
            </w:pPr>
            <w:r>
              <w:rPr>
                <w:rFonts w:ascii="Arial" w:cs="Arial" w:eastAsia="Arial" w:hAnsi="Arial"/>
                <w:sz w:val="18"/>
                <w:szCs w:val="18"/>
                <w:color w:val="auto"/>
              </w:rPr>
              <w:t>Goodwill</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27,098</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27,103</w:t>
            </w:r>
          </w:p>
        </w:tc>
        <w:tc>
          <w:tcPr>
            <w:tcW w:w="0" w:type="dxa"/>
            <w:vAlign w:val="bottom"/>
          </w:tcPr>
          <w:p>
            <w:pPr>
              <w:spacing w:after="0"/>
              <w:rPr>
                <w:sz w:val="1"/>
                <w:szCs w:val="1"/>
                <w:color w:val="auto"/>
              </w:rPr>
            </w:pPr>
          </w:p>
        </w:tc>
      </w:tr>
      <w:tr>
        <w:trPr>
          <w:trHeight w:val="405"/>
        </w:trPr>
        <w:tc>
          <w:tcPr>
            <w:tcW w:w="80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17,329</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17,145</w:t>
            </w:r>
          </w:p>
        </w:tc>
        <w:tc>
          <w:tcPr>
            <w:tcW w:w="0" w:type="dxa"/>
            <w:vAlign w:val="bottom"/>
          </w:tcPr>
          <w:p>
            <w:pPr>
              <w:spacing w:after="0"/>
              <w:rPr>
                <w:sz w:val="1"/>
                <w:szCs w:val="1"/>
                <w:color w:val="auto"/>
              </w:rPr>
            </w:pPr>
          </w:p>
        </w:tc>
      </w:tr>
      <w:tr>
        <w:trPr>
          <w:trHeight w:val="392"/>
        </w:trPr>
        <w:tc>
          <w:tcPr>
            <w:tcW w:w="808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2,343</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2,382</w:t>
            </w:r>
          </w:p>
        </w:tc>
        <w:tc>
          <w:tcPr>
            <w:tcW w:w="0" w:type="dxa"/>
            <w:vAlign w:val="bottom"/>
          </w:tcPr>
          <w:p>
            <w:pPr>
              <w:spacing w:after="0"/>
              <w:rPr>
                <w:sz w:val="1"/>
                <w:szCs w:val="1"/>
                <w:color w:val="auto"/>
              </w:rPr>
            </w:pPr>
          </w:p>
        </w:tc>
      </w:tr>
      <w:tr>
        <w:trPr>
          <w:trHeight w:val="399"/>
        </w:trPr>
        <w:tc>
          <w:tcPr>
            <w:tcW w:w="808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$158,813</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$157,773</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08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$5,534</w:t>
            </w:r>
          </w:p>
        </w:tc>
        <w:tc>
          <w:tcPr>
            <w:tcW w:w="0" w:type="dxa"/>
            <w:vAlign w:val="bottom"/>
          </w:tcPr>
          <w:p>
            <w:pPr>
              <w:spacing w:after="0"/>
              <w:rPr>
                <w:sz w:val="1"/>
                <w:szCs w:val="1"/>
                <w:color w:val="auto"/>
              </w:rPr>
            </w:pPr>
          </w:p>
        </w:tc>
      </w:tr>
      <w:tr>
        <w:trPr>
          <w:trHeight w:val="194"/>
        </w:trPr>
        <w:tc>
          <w:tcPr>
            <w:tcW w:w="8080" w:type="dxa"/>
            <w:vAlign w:val="bottom"/>
          </w:tcPr>
          <w:p>
            <w:pPr>
              <w:ind w:left="260"/>
              <w:spacing w:after="0" w:line="195" w:lineRule="exact"/>
              <w:rPr>
                <w:sz w:val="20"/>
                <w:szCs w:val="20"/>
                <w:color w:val="auto"/>
              </w:rPr>
            </w:pPr>
            <w:r>
              <w:rPr>
                <w:rFonts w:ascii="Arial" w:cs="Arial" w:eastAsia="Arial" w:hAnsi="Arial"/>
                <w:sz w:val="18"/>
                <w:szCs w:val="18"/>
                <w:color w:val="auto"/>
              </w:rPr>
              <w:t>Accounts payable and accrued expenses related to trade creditors</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$5,528</w:t>
            </w: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60"/>
              <w:spacing w:after="0"/>
              <w:rPr>
                <w:sz w:val="20"/>
                <w:szCs w:val="20"/>
                <w:color w:val="auto"/>
              </w:rPr>
            </w:pPr>
            <w:r>
              <w:rPr>
                <w:rFonts w:ascii="Arial" w:cs="Arial" w:eastAsia="Arial" w:hAnsi="Arial"/>
                <w:sz w:val="18"/>
                <w:szCs w:val="18"/>
                <w:color w:val="auto"/>
              </w:rPr>
              <w:t>Accrued participations and residuals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1,239</w:t>
            </w:r>
          </w:p>
        </w:tc>
        <w:tc>
          <w:tcPr>
            <w:tcW w:w="2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1,256</w:t>
            </w:r>
          </w:p>
        </w:tc>
        <w:tc>
          <w:tcPr>
            <w:tcW w:w="0" w:type="dxa"/>
            <w:vAlign w:val="bottom"/>
          </w:tcPr>
          <w:p>
            <w:pPr>
              <w:spacing w:after="0"/>
              <w:rPr>
                <w:sz w:val="1"/>
                <w:szCs w:val="1"/>
                <w:color w:val="auto"/>
              </w:rPr>
            </w:pPr>
          </w:p>
        </w:tc>
      </w:tr>
      <w:tr>
        <w:trPr>
          <w:trHeight w:val="216"/>
        </w:trPr>
        <w:tc>
          <w:tcPr>
            <w:tcW w:w="808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898</w:t>
            </w:r>
          </w:p>
        </w:tc>
        <w:tc>
          <w:tcPr>
            <w:tcW w:w="2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776</w:t>
            </w:r>
          </w:p>
        </w:tc>
        <w:tc>
          <w:tcPr>
            <w:tcW w:w="0" w:type="dxa"/>
            <w:vAlign w:val="bottom"/>
          </w:tcPr>
          <w:p>
            <w:pPr>
              <w:spacing w:after="0"/>
              <w:rPr>
                <w:sz w:val="1"/>
                <w:szCs w:val="1"/>
                <w:color w:val="auto"/>
              </w:rPr>
            </w:pPr>
          </w:p>
        </w:tc>
      </w:tr>
      <w:tr>
        <w:trPr>
          <w:trHeight w:val="216"/>
        </w:trPr>
        <w:tc>
          <w:tcPr>
            <w:tcW w:w="808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7,967</w:t>
            </w:r>
          </w:p>
        </w:tc>
        <w:tc>
          <w:tcPr>
            <w:tcW w:w="2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7,418</w:t>
            </w:r>
          </w:p>
        </w:tc>
        <w:tc>
          <w:tcPr>
            <w:tcW w:w="0" w:type="dxa"/>
            <w:vAlign w:val="bottom"/>
          </w:tcPr>
          <w:p>
            <w:pPr>
              <w:spacing w:after="0"/>
              <w:rPr>
                <w:sz w:val="1"/>
                <w:szCs w:val="1"/>
                <w:color w:val="auto"/>
              </w:rPr>
            </w:pPr>
          </w:p>
        </w:tc>
      </w:tr>
      <w:tr>
        <w:trPr>
          <w:trHeight w:val="225"/>
        </w:trPr>
        <w:tc>
          <w:tcPr>
            <w:tcW w:w="808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3,280</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2,819</w:t>
            </w:r>
          </w:p>
        </w:tc>
        <w:tc>
          <w:tcPr>
            <w:tcW w:w="0" w:type="dxa"/>
            <w:vAlign w:val="bottom"/>
          </w:tcPr>
          <w:p>
            <w:pPr>
              <w:spacing w:after="0"/>
              <w:rPr>
                <w:sz w:val="1"/>
                <w:szCs w:val="1"/>
                <w:color w:val="auto"/>
              </w:rPr>
            </w:pPr>
          </w:p>
        </w:tc>
      </w:tr>
      <w:tr>
        <w:trPr>
          <w:trHeight w:val="210"/>
        </w:trPr>
        <w:tc>
          <w:tcPr>
            <w:tcW w:w="808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18,912</w:t>
            </w:r>
          </w:p>
        </w:tc>
        <w:tc>
          <w:tcPr>
            <w:tcW w:w="280" w:type="dxa"/>
            <w:vAlign w:val="bottom"/>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17,803</w:t>
            </w:r>
          </w:p>
        </w:tc>
        <w:tc>
          <w:tcPr>
            <w:tcW w:w="0" w:type="dxa"/>
            <w:vAlign w:val="bottom"/>
          </w:tcPr>
          <w:p>
            <w:pPr>
              <w:spacing w:after="0"/>
              <w:rPr>
                <w:sz w:val="1"/>
                <w:szCs w:val="1"/>
                <w:color w:val="auto"/>
              </w:rPr>
            </w:pPr>
          </w:p>
        </w:tc>
      </w:tr>
      <w:tr>
        <w:trPr>
          <w:trHeight w:val="412"/>
        </w:trPr>
        <w:tc>
          <w:tcPr>
            <w:tcW w:w="8080" w:type="dxa"/>
            <w:vAlign w:val="bottom"/>
          </w:tcPr>
          <w:p>
            <w:pPr>
              <w:ind w:left="140"/>
              <w:spacing w:after="0"/>
              <w:rPr>
                <w:sz w:val="20"/>
                <w:szCs w:val="20"/>
                <w:color w:val="auto"/>
              </w:rPr>
            </w:pPr>
            <w:r>
              <w:rPr>
                <w:rFonts w:ascii="Arial" w:cs="Arial" w:eastAsia="Arial" w:hAnsi="Arial"/>
                <w:sz w:val="18"/>
                <w:szCs w:val="18"/>
                <w:color w:val="auto"/>
              </w:rPr>
              <w:t>Long-term debt, less current portion</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44,567</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44,581</w:t>
            </w: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31,935</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31,595</w:t>
            </w: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Other noncurrent liabilities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11,384</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11,109</w:t>
            </w: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80" w:type="dxa"/>
            <w:vAlign w:val="bottom"/>
          </w:tcPr>
          <w:p>
            <w:pPr>
              <w:ind w:left="1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2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1,053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080" w:type="dxa"/>
            <w:vAlign w:val="bottom"/>
          </w:tcPr>
          <w:p>
            <w:pPr>
              <w:ind w:left="140"/>
              <w:spacing w:after="0"/>
              <w:rPr>
                <w:sz w:val="20"/>
                <w:szCs w:val="20"/>
                <w:color w:val="auto"/>
              </w:rPr>
            </w:pPr>
            <w:r>
              <w:rPr>
                <w:rFonts w:ascii="Arial" w:cs="Arial" w:eastAsia="Arial" w:hAnsi="Arial"/>
                <w:sz w:val="18"/>
                <w:szCs w:val="18"/>
                <w:color w:val="auto"/>
              </w:rPr>
              <w:t>Equity</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51,268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80" w:type="dxa"/>
            <w:vAlign w:val="bottom"/>
          </w:tcPr>
          <w:p>
            <w:pPr>
              <w:ind w:left="260"/>
              <w:spacing w:after="0" w:line="195" w:lineRule="exact"/>
              <w:rPr>
                <w:sz w:val="20"/>
                <w:szCs w:val="20"/>
                <w:color w:val="auto"/>
              </w:rPr>
            </w:pPr>
            <w:r>
              <w:rPr>
                <w:rFonts w:ascii="Arial" w:cs="Arial" w:eastAsia="Arial" w:hAnsi="Arial"/>
                <w:sz w:val="18"/>
                <w:szCs w:val="18"/>
                <w:color w:val="auto"/>
              </w:rPr>
              <w:t>Comcast Corporation shareholders’ equity</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50,694</w:t>
            </w: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80" w:type="dxa"/>
            <w:vAlign w:val="bottom"/>
          </w:tcPr>
          <w:p>
            <w:pPr>
              <w:ind w:left="260"/>
              <w:spacing w:after="0"/>
              <w:rPr>
                <w:sz w:val="20"/>
                <w:szCs w:val="20"/>
                <w:color w:val="auto"/>
              </w:rPr>
            </w:pPr>
            <w:r>
              <w:rPr>
                <w:rFonts w:ascii="Arial" w:cs="Arial" w:eastAsia="Arial" w:hAnsi="Arial"/>
                <w:sz w:val="18"/>
                <w:szCs w:val="18"/>
                <w:color w:val="auto"/>
              </w:rPr>
              <w:t>Noncontrolling interests</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80" w:type="dxa"/>
            <w:vAlign w:val="bottom"/>
          </w:tcPr>
          <w:p>
            <w:pPr>
              <w:ind w:left="400"/>
              <w:spacing w:after="0"/>
              <w:rPr>
                <w:sz w:val="20"/>
                <w:szCs w:val="20"/>
                <w:color w:val="auto"/>
              </w:rPr>
            </w:pPr>
            <w:r>
              <w:rPr>
                <w:rFonts w:ascii="Arial" w:cs="Arial" w:eastAsia="Arial" w:hAnsi="Arial"/>
                <w:sz w:val="18"/>
                <w:szCs w:val="18"/>
                <w:color w:val="auto"/>
              </w:rPr>
              <w:t>Total equity</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51,058</w:t>
            </w:r>
          </w:p>
        </w:tc>
        <w:tc>
          <w:tcPr>
            <w:tcW w:w="280" w:type="dxa"/>
            <w:vAlign w:val="bottom"/>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51,632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808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$158,813</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$157,773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ind w:left="5680"/>
              <w:spacing w:after="0"/>
              <w:rPr>
                <w:sz w:val="20"/>
                <w:szCs w:val="20"/>
                <w:color w:val="auto"/>
              </w:rPr>
            </w:pPr>
            <w:r>
              <w:rPr>
                <w:rFonts w:ascii="Arial" w:cs="Arial" w:eastAsia="Arial" w:hAnsi="Arial"/>
                <w:sz w:val="14"/>
                <w:szCs w:val="14"/>
                <w:color w:val="auto"/>
              </w:rPr>
              <w:t>7</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0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080" w:type="dxa"/>
            <w:vAlign w:val="bottom"/>
            <w:tcBorders>
              <w:bottom w:val="single" w:sz="8" w:color="010101"/>
            </w:tcBorders>
          </w:tcPr>
          <w:p>
            <w:pPr>
              <w:spacing w:after="0"/>
              <w:rPr>
                <w:sz w:val="10"/>
                <w:szCs w:val="10"/>
                <w:color w:val="auto"/>
              </w:rPr>
            </w:pPr>
          </w:p>
        </w:tc>
        <w:tc>
          <w:tcPr>
            <w:tcW w:w="148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480" w:type="dxa"/>
            <w:vAlign w:val="bottom"/>
            <w:tcBorders>
              <w:bottom w:val="single" w:sz="8" w:color="010101"/>
            </w:tcBorders>
          </w:tcPr>
          <w:p>
            <w:pPr>
              <w:spacing w:after="0"/>
              <w:rPr>
                <w:sz w:val="10"/>
                <w:szCs w:val="10"/>
                <w:color w:val="auto"/>
              </w:rPr>
            </w:pPr>
          </w:p>
        </w:tc>
        <w:tc>
          <w:tcPr>
            <w:tcW w:w="1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454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40" w:type="dxa"/>
            <w:vAlign w:val="bottom"/>
          </w:tcPr>
          <w:p>
            <w:pPr>
              <w:spacing w:after="0"/>
              <w:rPr>
                <w:sz w:val="20"/>
                <w:szCs w:val="20"/>
                <w:color w:val="auto"/>
              </w:rPr>
            </w:pPr>
            <w:r>
              <w:rPr>
                <w:rFonts w:ascii="Arial" w:cs="Arial" w:eastAsia="Arial" w:hAnsi="Arial"/>
                <w:sz w:val="18"/>
                <w:szCs w:val="18"/>
                <w:color w:val="auto"/>
              </w:rPr>
              <w:t>(in millions)</w:t>
            </w:r>
          </w:p>
        </w:tc>
        <w:tc>
          <w:tcPr>
            <w:tcW w:w="318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9"/>
              </w:rPr>
              <w:t>Three Months Ended</w:t>
            </w:r>
          </w:p>
        </w:tc>
      </w:tr>
      <w:tr>
        <w:trPr>
          <w:trHeight w:val="257"/>
        </w:trPr>
        <w:tc>
          <w:tcPr>
            <w:tcW w:w="8240" w:type="dxa"/>
            <w:vAlign w:val="bottom"/>
          </w:tcPr>
          <w:p>
            <w:pPr>
              <w:spacing w:after="0"/>
              <w:rPr>
                <w:sz w:val="22"/>
                <w:szCs w:val="22"/>
                <w:color w:val="auto"/>
              </w:rPr>
            </w:pPr>
          </w:p>
        </w:tc>
        <w:tc>
          <w:tcPr>
            <w:tcW w:w="208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rPr>
              <w:t>March 31,</w:t>
            </w:r>
          </w:p>
        </w:tc>
        <w:tc>
          <w:tcPr>
            <w:tcW w:w="1100" w:type="dxa"/>
            <w:vAlign w:val="bottom"/>
          </w:tcPr>
          <w:p>
            <w:pPr>
              <w:spacing w:after="0"/>
              <w:rPr>
                <w:sz w:val="22"/>
                <w:szCs w:val="22"/>
                <w:color w:val="auto"/>
              </w:rPr>
            </w:pPr>
          </w:p>
        </w:tc>
      </w:tr>
      <w:tr>
        <w:trPr>
          <w:trHeight w:val="243"/>
        </w:trPr>
        <w:tc>
          <w:tcPr>
            <w:tcW w:w="8240" w:type="dxa"/>
            <w:vAlign w:val="bottom"/>
          </w:tcPr>
          <w:p>
            <w:pPr>
              <w:spacing w:after="0"/>
              <w:rPr>
                <w:sz w:val="21"/>
                <w:szCs w:val="21"/>
                <w:color w:val="auto"/>
              </w:rPr>
            </w:pP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r>
      <w:tr>
        <w:trPr>
          <w:trHeight w:val="412"/>
        </w:trPr>
        <w:tc>
          <w:tcPr>
            <w:tcW w:w="824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$1,645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$1,938</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1,967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1,970</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Amortization of film and television costs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1,972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2,876</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119</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Noncash interest expense (income), net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Equity in net (income) losses of investees, net</w:t>
            </w: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Cash received from investees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Net (gain) loss on investment activity and other</w:t>
            </w:r>
          </w:p>
        </w:tc>
        <w:tc>
          <w:tcPr>
            <w:tcW w:w="150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(226)</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Change in current and noncurrent receivables, net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465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195</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Change in film and television costs</w:t>
            </w:r>
          </w:p>
        </w:tc>
        <w:tc>
          <w:tcPr>
            <w:tcW w:w="1500" w:type="dxa"/>
            <w:vAlign w:val="bottom"/>
          </w:tcPr>
          <w:p>
            <w:pPr>
              <w:jc w:val="right"/>
              <w:spacing w:after="0"/>
              <w:rPr>
                <w:sz w:val="20"/>
                <w:szCs w:val="20"/>
                <w:color w:val="auto"/>
              </w:rPr>
            </w:pPr>
            <w:r>
              <w:rPr>
                <w:rFonts w:ascii="Arial" w:cs="Arial" w:eastAsia="Arial" w:hAnsi="Arial"/>
                <w:sz w:val="18"/>
                <w:szCs w:val="18"/>
                <w:color w:val="auto"/>
              </w:rPr>
              <w:t>(1,577)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(2,722)</w:t>
            </w: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1500" w:type="dxa"/>
            <w:vAlign w:val="bottom"/>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82</w:t>
            </w:r>
          </w:p>
        </w:tc>
      </w:tr>
      <w:tr>
        <w:trPr>
          <w:trHeight w:val="230"/>
        </w:trPr>
        <w:tc>
          <w:tcPr>
            <w:tcW w:w="8240" w:type="dxa"/>
            <w:vAlign w:val="bottom"/>
          </w:tcPr>
          <w:p>
            <w:pPr>
              <w:ind w:left="260"/>
              <w:spacing w:after="0"/>
              <w:rPr>
                <w:sz w:val="20"/>
                <w:szCs w:val="20"/>
                <w:color w:val="auto"/>
              </w:rPr>
            </w:pPr>
            <w:r>
              <w:rPr>
                <w:rFonts w:ascii="Arial" w:cs="Arial" w:eastAsia="Arial" w:hAnsi="Arial"/>
                <w:sz w:val="18"/>
                <w:szCs w:val="18"/>
                <w:color w:val="auto"/>
              </w:rPr>
              <w:t>Change in other operating assets and liabilities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527</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285</w:t>
            </w:r>
          </w:p>
        </w:tc>
      </w:tr>
      <w:tr>
        <w:trPr>
          <w:trHeight w:val="399"/>
        </w:trPr>
        <w:tc>
          <w:tcPr>
            <w:tcW w:w="824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4,369</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4,486</w:t>
            </w:r>
          </w:p>
        </w:tc>
      </w:tr>
      <w:tr>
        <w:trPr>
          <w:trHeight w:val="453"/>
        </w:trPr>
        <w:tc>
          <w:tcPr>
            <w:tcW w:w="82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500" w:type="dxa"/>
            <w:vAlign w:val="bottom"/>
          </w:tcPr>
          <w:p>
            <w:pPr>
              <w:jc w:val="right"/>
              <w:spacing w:after="0"/>
              <w:rPr>
                <w:sz w:val="20"/>
                <w:szCs w:val="20"/>
                <w:color w:val="auto"/>
              </w:rPr>
            </w:pPr>
            <w:r>
              <w:rPr>
                <w:rFonts w:ascii="Arial" w:cs="Arial" w:eastAsia="Arial" w:hAnsi="Arial"/>
                <w:sz w:val="18"/>
                <w:szCs w:val="18"/>
                <w:color w:val="auto"/>
              </w:rPr>
              <w:t>(1,361)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(1,448)</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Cash paid for intangible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(217)</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Acquisitions and construction of real estate properties</w:t>
            </w:r>
          </w:p>
        </w:tc>
        <w:tc>
          <w:tcPr>
            <w:tcW w:w="1500" w:type="dxa"/>
            <w:vAlign w:val="bottom"/>
          </w:tcPr>
          <w:p>
            <w:pPr>
              <w:jc w:val="right"/>
              <w:spacing w:after="0"/>
              <w:rPr>
                <w:sz w:val="20"/>
                <w:szCs w:val="20"/>
                <w:color w:val="auto"/>
              </w:rPr>
            </w:pPr>
            <w:r>
              <w:rPr>
                <w:rFonts w:ascii="Arial" w:cs="Arial" w:eastAsia="Arial" w:hAnsi="Arial"/>
                <w:sz w:val="18"/>
                <w:szCs w:val="18"/>
                <w:color w:val="auto"/>
              </w:rPr>
              <w:t>(1,311)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sales of businesses and investments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300</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Purchases of investments</w:t>
            </w:r>
          </w:p>
        </w:tc>
        <w:tc>
          <w:tcPr>
            <w:tcW w:w="150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r>
      <w:tr>
        <w:trPr>
          <w:trHeight w:val="399"/>
        </w:trPr>
        <w:tc>
          <w:tcPr>
            <w:tcW w:w="8240" w:type="dxa"/>
            <w:vAlign w:val="bottom"/>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(1,505)</w:t>
            </w:r>
          </w:p>
        </w:tc>
      </w:tr>
      <w:tr>
        <w:trPr>
          <w:trHeight w:val="453"/>
        </w:trPr>
        <w:tc>
          <w:tcPr>
            <w:tcW w:w="8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(repayments of) short-term borrowings, net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(364)</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borrowings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2,933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2,187</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Repurchases and repayments of debt</w:t>
            </w:r>
          </w:p>
        </w:tc>
        <w:tc>
          <w:tcPr>
            <w:tcW w:w="1500" w:type="dxa"/>
            <w:vAlign w:val="bottom"/>
          </w:tcPr>
          <w:p>
            <w:pPr>
              <w:jc w:val="right"/>
              <w:spacing w:after="0"/>
              <w:rPr>
                <w:sz w:val="20"/>
                <w:szCs w:val="20"/>
                <w:color w:val="auto"/>
              </w:rPr>
            </w:pPr>
            <w:r>
              <w:rPr>
                <w:rFonts w:ascii="Arial" w:cs="Arial" w:eastAsia="Arial" w:hAnsi="Arial"/>
                <w:sz w:val="18"/>
                <w:szCs w:val="18"/>
                <w:color w:val="auto"/>
              </w:rPr>
              <w:t>(1,811)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(2,260)</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Repurchases and retirements of common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(750)</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500" w:type="dxa"/>
            <w:vAlign w:val="bottom"/>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(508)</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Issuances of common stock</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Purchase of NBCUniversal noncontrolling common equity interest</w:t>
            </w:r>
          </w:p>
        </w:tc>
        <w:tc>
          <w:tcPr>
            <w:tcW w:w="1500" w:type="dxa"/>
            <w:vAlign w:val="bottom"/>
          </w:tcPr>
          <w:p>
            <w:pPr>
              <w:jc w:val="right"/>
              <w:spacing w:after="0"/>
              <w:rPr>
                <w:sz w:val="20"/>
                <w:szCs w:val="20"/>
                <w:color w:val="auto"/>
              </w:rPr>
            </w:pPr>
            <w:r>
              <w:rPr>
                <w:rFonts w:ascii="Arial" w:cs="Arial" w:eastAsia="Arial" w:hAnsi="Arial"/>
                <w:sz w:val="18"/>
                <w:szCs w:val="18"/>
                <w:color w:val="auto"/>
              </w:rPr>
              <w:t>(10,747)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Settlement of Station Venture liability</w:t>
            </w:r>
          </w:p>
        </w:tc>
        <w:tc>
          <w:tcPr>
            <w:tcW w:w="1500" w:type="dxa"/>
            <w:vAlign w:val="bottom"/>
          </w:tcPr>
          <w:p>
            <w:pPr>
              <w:jc w:val="right"/>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96</w:t>
            </w:r>
          </w:p>
        </w:tc>
      </w:tr>
      <w:tr>
        <w:trPr>
          <w:trHeight w:val="399"/>
        </w:trPr>
        <w:tc>
          <w:tcPr>
            <w:tcW w:w="8240" w:type="dxa"/>
            <w:vAlign w:val="bottom"/>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(10,718)</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(1,645)</w:t>
            </w:r>
          </w:p>
        </w:tc>
      </w:tr>
      <w:tr>
        <w:trPr>
          <w:trHeight w:val="412"/>
        </w:trPr>
        <w:tc>
          <w:tcPr>
            <w:tcW w:w="82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500" w:type="dxa"/>
            <w:vAlign w:val="bottom"/>
          </w:tcPr>
          <w:p>
            <w:pPr>
              <w:jc w:val="right"/>
              <w:spacing w:after="0"/>
              <w:rPr>
                <w:sz w:val="20"/>
                <w:szCs w:val="20"/>
                <w:color w:val="auto"/>
              </w:rPr>
            </w:pPr>
            <w:r>
              <w:rPr>
                <w:rFonts w:ascii="Arial" w:cs="Arial" w:eastAsia="Arial" w:hAnsi="Arial"/>
                <w:sz w:val="18"/>
                <w:szCs w:val="18"/>
                <w:color w:val="auto"/>
              </w:rPr>
              <w:t>(9,112)</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1,336</w:t>
            </w:r>
          </w:p>
        </w:tc>
      </w:tr>
      <w:tr>
        <w:trPr>
          <w:trHeight w:val="392"/>
        </w:trPr>
        <w:tc>
          <w:tcPr>
            <w:tcW w:w="82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10,951</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1,718</w:t>
            </w:r>
          </w:p>
        </w:tc>
      </w:tr>
      <w:tr>
        <w:trPr>
          <w:trHeight w:val="399"/>
        </w:trPr>
        <w:tc>
          <w:tcPr>
            <w:tcW w:w="82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$1,839</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$3,054</w:t>
            </w:r>
          </w:p>
        </w:tc>
      </w:tr>
      <w:tr>
        <w:trPr>
          <w:trHeight w:val="20"/>
        </w:trPr>
        <w:tc>
          <w:tcPr>
            <w:tcW w:w="8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60"/>
          </w:cols>
          <w:pgMar w:left="240" w:top="319" w:right="199" w:bottom="0" w:gutter="0" w:footer="0" w:header="0"/>
        </w:sectPr>
      </w:pPr>
    </w:p>
    <w:bookmarkStart w:id="8" w:name="page9"/>
    <w:bookmarkEnd w:id="8"/>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4</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39" w:lineRule="exact"/>
        <w:rPr>
          <w:sz w:val="20"/>
          <w:szCs w:val="20"/>
          <w:color w:val="auto"/>
        </w:rPr>
      </w:pPr>
    </w:p>
    <w:p>
      <w:pPr>
        <w:ind w:right="2900"/>
        <w:spacing w:after="0" w:line="261" w:lineRule="auto"/>
        <w:rPr>
          <w:sz w:val="20"/>
          <w:szCs w:val="20"/>
          <w:color w:val="auto"/>
        </w:rPr>
      </w:pPr>
      <w:r>
        <w:rPr>
          <w:rFonts w:ascii="Arial" w:cs="Arial" w:eastAsia="Arial" w:hAnsi="Arial"/>
          <w:sz w:val="22"/>
          <w:szCs w:val="22"/>
          <w:b w:val="1"/>
          <w:bCs w:val="1"/>
          <w:color w:val="C9C9C9"/>
        </w:rPr>
        <w:t>Alternate Presentation of Net Cash Provided by Operating Activities and Free Cash Flow (Unaudited)</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236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320" w:type="dxa"/>
            <w:vAlign w:val="bottom"/>
          </w:tcPr>
          <w:p>
            <w:pPr>
              <w:spacing w:after="0"/>
              <w:rPr>
                <w:sz w:val="15"/>
                <w:szCs w:val="15"/>
                <w:color w:val="auto"/>
              </w:rPr>
            </w:pPr>
          </w:p>
        </w:tc>
        <w:tc>
          <w:tcPr>
            <w:tcW w:w="236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rPr>
              <w:t>March 31,</w:t>
            </w:r>
          </w:p>
        </w:tc>
        <w:tc>
          <w:tcPr>
            <w:tcW w:w="9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7"/>
        </w:trPr>
        <w:tc>
          <w:tcPr>
            <w:tcW w:w="7320" w:type="dxa"/>
            <w:vAlign w:val="bottom"/>
          </w:tcPr>
          <w:p>
            <w:pPr>
              <w:spacing w:after="0" w:line="157" w:lineRule="exact"/>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tcPr>
          <w:p>
            <w:pPr>
              <w:jc w:val="right"/>
              <w:ind w:right="528"/>
              <w:spacing w:after="0" w:line="157" w:lineRule="exact"/>
              <w:rPr>
                <w:sz w:val="20"/>
                <w:szCs w:val="20"/>
                <w:color w:val="auto"/>
              </w:rPr>
            </w:pPr>
            <w:r>
              <w:rPr>
                <w:rFonts w:ascii="Arial" w:cs="Arial" w:eastAsia="Arial" w:hAnsi="Arial"/>
                <w:sz w:val="14"/>
                <w:szCs w:val="14"/>
                <w:color w:val="auto"/>
              </w:rPr>
              <w:t>2013</w:t>
            </w:r>
          </w:p>
        </w:tc>
        <w:tc>
          <w:tcPr>
            <w:tcW w:w="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320" w:type="dxa"/>
            <w:vAlign w:val="bottom"/>
          </w:tcPr>
          <w:p>
            <w:pPr>
              <w:spacing w:after="0" w:line="143" w:lineRule="exact"/>
              <w:rPr>
                <w:sz w:val="20"/>
                <w:szCs w:val="20"/>
                <w:color w:val="auto"/>
              </w:rPr>
            </w:pPr>
            <w:r>
              <w:rPr>
                <w:rFonts w:ascii="Arial" w:cs="Arial" w:eastAsia="Arial" w:hAnsi="Arial"/>
                <w:sz w:val="14"/>
                <w:szCs w:val="14"/>
                <w:color w:val="auto"/>
              </w:rPr>
              <w:t>Operating income</w:t>
            </w:r>
          </w:p>
        </w:tc>
        <w:tc>
          <w:tcPr>
            <w:tcW w:w="1320" w:type="dxa"/>
            <w:vAlign w:val="bottom"/>
          </w:tcPr>
          <w:p>
            <w:pPr>
              <w:jc w:val="right"/>
              <w:ind w:right="108"/>
              <w:spacing w:after="0" w:line="143" w:lineRule="exact"/>
              <w:rPr>
                <w:sz w:val="20"/>
                <w:szCs w:val="20"/>
                <w:color w:val="auto"/>
              </w:rPr>
            </w:pPr>
            <w:r>
              <w:rPr>
                <w:rFonts w:ascii="Arial" w:cs="Arial" w:eastAsia="Arial" w:hAnsi="Arial"/>
                <w:sz w:val="14"/>
                <w:szCs w:val="14"/>
                <w:color w:val="auto"/>
              </w:rPr>
              <w:t>$3,067</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ind w:right="88"/>
              <w:spacing w:after="0" w:line="143" w:lineRule="exact"/>
              <w:rPr>
                <w:sz w:val="20"/>
                <w:szCs w:val="20"/>
                <w:color w:val="auto"/>
              </w:rPr>
            </w:pPr>
            <w:r>
              <w:rPr>
                <w:rFonts w:ascii="Arial" w:cs="Arial" w:eastAsia="Arial" w:hAnsi="Arial"/>
                <w:sz w:val="14"/>
                <w:szCs w:val="14"/>
                <w:b w:val="1"/>
                <w:bCs w:val="1"/>
                <w:color w:val="auto"/>
              </w:rPr>
              <w:t>$3,568</w:t>
            </w:r>
          </w:p>
        </w:tc>
        <w:tc>
          <w:tcPr>
            <w:tcW w:w="0" w:type="dxa"/>
            <w:vAlign w:val="bottom"/>
          </w:tcPr>
          <w:p>
            <w:pPr>
              <w:spacing w:after="0"/>
              <w:rPr>
                <w:sz w:val="1"/>
                <w:szCs w:val="1"/>
                <w:color w:val="auto"/>
              </w:rPr>
            </w:pPr>
          </w:p>
        </w:tc>
      </w:tr>
      <w:tr>
        <w:trPr>
          <w:trHeight w:val="175"/>
        </w:trPr>
        <w:tc>
          <w:tcPr>
            <w:tcW w:w="73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1,967</w:t>
            </w:r>
          </w:p>
        </w:tc>
        <w:tc>
          <w:tcPr>
            <w:tcW w:w="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1,970</w:t>
            </w:r>
          </w:p>
        </w:tc>
        <w:tc>
          <w:tcPr>
            <w:tcW w:w="0" w:type="dxa"/>
            <w:vAlign w:val="bottom"/>
          </w:tcPr>
          <w:p>
            <w:pPr>
              <w:spacing w:after="0"/>
              <w:rPr>
                <w:sz w:val="1"/>
                <w:szCs w:val="1"/>
                <w:color w:val="auto"/>
              </w:rPr>
            </w:pPr>
          </w:p>
        </w:tc>
      </w:tr>
      <w:tr>
        <w:trPr>
          <w:trHeight w:val="142"/>
        </w:trPr>
        <w:tc>
          <w:tcPr>
            <w:tcW w:w="7320" w:type="dxa"/>
            <w:vAlign w:val="bottom"/>
          </w:tcPr>
          <w:p>
            <w:pPr>
              <w:spacing w:after="0" w:line="143" w:lineRule="exact"/>
              <w:rPr>
                <w:sz w:val="20"/>
                <w:szCs w:val="20"/>
                <w:color w:val="auto"/>
              </w:rPr>
            </w:pPr>
            <w:r>
              <w:rPr>
                <w:rFonts w:ascii="Arial" w:cs="Arial" w:eastAsia="Arial" w:hAnsi="Arial"/>
                <w:sz w:val="14"/>
                <w:szCs w:val="14"/>
                <w:color w:val="auto"/>
              </w:rPr>
              <w:t>Operating income before depreciation and amortization</w:t>
            </w:r>
          </w:p>
        </w:tc>
        <w:tc>
          <w:tcPr>
            <w:tcW w:w="1320" w:type="dxa"/>
            <w:vAlign w:val="bottom"/>
          </w:tcPr>
          <w:p>
            <w:pPr>
              <w:jc w:val="right"/>
              <w:ind w:right="108"/>
              <w:spacing w:after="0" w:line="143" w:lineRule="exact"/>
              <w:rPr>
                <w:sz w:val="20"/>
                <w:szCs w:val="20"/>
                <w:color w:val="auto"/>
              </w:rPr>
            </w:pPr>
            <w:r>
              <w:rPr>
                <w:rFonts w:ascii="Arial" w:cs="Arial" w:eastAsia="Arial" w:hAnsi="Arial"/>
                <w:sz w:val="14"/>
                <w:szCs w:val="14"/>
                <w:color w:val="auto"/>
              </w:rPr>
              <w:t>5,034</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ind w:right="88"/>
              <w:spacing w:after="0" w:line="143" w:lineRule="exact"/>
              <w:rPr>
                <w:sz w:val="20"/>
                <w:szCs w:val="20"/>
                <w:color w:val="auto"/>
              </w:rPr>
            </w:pPr>
            <w:r>
              <w:rPr>
                <w:rFonts w:ascii="Arial" w:cs="Arial" w:eastAsia="Arial" w:hAnsi="Arial"/>
                <w:sz w:val="14"/>
                <w:szCs w:val="14"/>
                <w:b w:val="1"/>
                <w:bCs w:val="1"/>
                <w:color w:val="auto"/>
              </w:rPr>
              <w:t>5,538</w:t>
            </w:r>
          </w:p>
        </w:tc>
        <w:tc>
          <w:tcPr>
            <w:tcW w:w="0" w:type="dxa"/>
            <w:vAlign w:val="bottom"/>
          </w:tcPr>
          <w:p>
            <w:pPr>
              <w:spacing w:after="0"/>
              <w:rPr>
                <w:sz w:val="1"/>
                <w:szCs w:val="1"/>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Noncash share-based compensation expense</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102</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119</w:t>
            </w:r>
          </w:p>
        </w:tc>
        <w:tc>
          <w:tcPr>
            <w:tcW w:w="0" w:type="dxa"/>
            <w:vAlign w:val="bottom"/>
          </w:tcPr>
          <w:p>
            <w:pPr>
              <w:spacing w:after="0"/>
              <w:rPr>
                <w:sz w:val="1"/>
                <w:szCs w:val="1"/>
                <w:color w:val="auto"/>
              </w:rPr>
            </w:pPr>
          </w:p>
        </w:tc>
      </w:tr>
      <w:tr>
        <w:trPr>
          <w:trHeight w:val="175"/>
        </w:trPr>
        <w:tc>
          <w:tcPr>
            <w:tcW w:w="732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369</w:t>
            </w:r>
          </w:p>
        </w:tc>
        <w:tc>
          <w:tcPr>
            <w:tcW w:w="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(267)</w:t>
            </w:r>
          </w:p>
        </w:tc>
        <w:tc>
          <w:tcPr>
            <w:tcW w:w="0" w:type="dxa"/>
            <w:vAlign w:val="bottom"/>
          </w:tcPr>
          <w:p>
            <w:pPr>
              <w:spacing w:after="0"/>
              <w:rPr>
                <w:sz w:val="1"/>
                <w:szCs w:val="1"/>
                <w:color w:val="auto"/>
              </w:rPr>
            </w:pPr>
          </w:p>
        </w:tc>
      </w:tr>
      <w:tr>
        <w:trPr>
          <w:trHeight w:val="142"/>
        </w:trPr>
        <w:tc>
          <w:tcPr>
            <w:tcW w:w="7320" w:type="dxa"/>
            <w:vAlign w:val="bottom"/>
          </w:tcPr>
          <w:p>
            <w:pPr>
              <w:spacing w:after="0" w:line="143" w:lineRule="exact"/>
              <w:rPr>
                <w:sz w:val="20"/>
                <w:szCs w:val="20"/>
                <w:color w:val="auto"/>
              </w:rPr>
            </w:pPr>
            <w:r>
              <w:rPr>
                <w:rFonts w:ascii="Arial" w:cs="Arial" w:eastAsia="Arial" w:hAnsi="Arial"/>
                <w:sz w:val="14"/>
                <w:szCs w:val="14"/>
                <w:color w:val="auto"/>
              </w:rPr>
              <w:t>Cash basis operating income</w:t>
            </w:r>
          </w:p>
        </w:tc>
        <w:tc>
          <w:tcPr>
            <w:tcW w:w="1320" w:type="dxa"/>
            <w:vAlign w:val="bottom"/>
          </w:tcPr>
          <w:p>
            <w:pPr>
              <w:jc w:val="right"/>
              <w:ind w:right="108"/>
              <w:spacing w:after="0" w:line="143" w:lineRule="exact"/>
              <w:rPr>
                <w:sz w:val="20"/>
                <w:szCs w:val="20"/>
                <w:color w:val="auto"/>
              </w:rPr>
            </w:pPr>
            <w:r>
              <w:rPr>
                <w:rFonts w:ascii="Arial" w:cs="Arial" w:eastAsia="Arial" w:hAnsi="Arial"/>
                <w:sz w:val="14"/>
                <w:szCs w:val="14"/>
                <w:color w:val="auto"/>
              </w:rPr>
              <w:t>5,505</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ind w:right="88"/>
              <w:spacing w:after="0" w:line="143" w:lineRule="exact"/>
              <w:rPr>
                <w:sz w:val="20"/>
                <w:szCs w:val="20"/>
                <w:color w:val="auto"/>
              </w:rPr>
            </w:pPr>
            <w:r>
              <w:rPr>
                <w:rFonts w:ascii="Arial" w:cs="Arial" w:eastAsia="Arial" w:hAnsi="Arial"/>
                <w:sz w:val="14"/>
                <w:szCs w:val="14"/>
                <w:b w:val="1"/>
                <w:bCs w:val="1"/>
                <w:color w:val="auto"/>
              </w:rPr>
              <w:t>5,390</w:t>
            </w:r>
          </w:p>
        </w:tc>
        <w:tc>
          <w:tcPr>
            <w:tcW w:w="0" w:type="dxa"/>
            <w:vAlign w:val="bottom"/>
          </w:tcPr>
          <w:p>
            <w:pPr>
              <w:spacing w:after="0"/>
              <w:rPr>
                <w:sz w:val="1"/>
                <w:szCs w:val="1"/>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Payments of interest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(617)</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(623)</w:t>
            </w:r>
          </w:p>
        </w:tc>
        <w:tc>
          <w:tcPr>
            <w:tcW w:w="0" w:type="dxa"/>
            <w:vAlign w:val="bottom"/>
          </w:tcPr>
          <w:p>
            <w:pPr>
              <w:spacing w:after="0"/>
              <w:rPr>
                <w:sz w:val="1"/>
                <w:szCs w:val="1"/>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Payments of income taxes</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(461)</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(186)</w:t>
            </w:r>
          </w:p>
        </w:tc>
        <w:tc>
          <w:tcPr>
            <w:tcW w:w="0" w:type="dxa"/>
            <w:vAlign w:val="bottom"/>
          </w:tcPr>
          <w:p>
            <w:pPr>
              <w:spacing w:after="0"/>
              <w:rPr>
                <w:sz w:val="1"/>
                <w:szCs w:val="1"/>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Excess tax benefits under share-based compensation</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(94)</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(151)</w:t>
            </w:r>
          </w:p>
        </w:tc>
        <w:tc>
          <w:tcPr>
            <w:tcW w:w="0" w:type="dxa"/>
            <w:vAlign w:val="bottom"/>
          </w:tcPr>
          <w:p>
            <w:pPr>
              <w:spacing w:after="0"/>
              <w:rPr>
                <w:sz w:val="1"/>
                <w:szCs w:val="1"/>
                <w:color w:val="auto"/>
              </w:rPr>
            </w:pPr>
          </w:p>
        </w:tc>
      </w:tr>
      <w:tr>
        <w:trPr>
          <w:trHeight w:val="175"/>
        </w:trPr>
        <w:tc>
          <w:tcPr>
            <w:tcW w:w="7320" w:type="dxa"/>
            <w:vAlign w:val="bottom"/>
          </w:tcPr>
          <w:p>
            <w:pPr>
              <w:spacing w:after="0"/>
              <w:rPr>
                <w:sz w:val="20"/>
                <w:szCs w:val="20"/>
                <w:color w:val="auto"/>
              </w:rPr>
            </w:pPr>
            <w:r>
              <w:rPr>
                <w:rFonts w:ascii="Arial" w:cs="Arial" w:eastAsia="Arial" w:hAnsi="Arial"/>
                <w:sz w:val="14"/>
                <w:szCs w:val="14"/>
                <w:color w:val="auto"/>
              </w:rPr>
              <w:t>Other</w:t>
            </w: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w:t>
            </w:r>
          </w:p>
        </w:tc>
        <w:tc>
          <w:tcPr>
            <w:tcW w:w="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156"/>
        </w:trPr>
        <w:tc>
          <w:tcPr>
            <w:tcW w:w="7320" w:type="dxa"/>
            <w:vAlign w:val="bottom"/>
          </w:tcPr>
          <w:p>
            <w:pPr>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13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$4,369</w:t>
            </w:r>
          </w:p>
        </w:tc>
        <w:tc>
          <w:tcPr>
            <w:tcW w:w="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$4,486</w:t>
            </w:r>
          </w:p>
        </w:tc>
        <w:tc>
          <w:tcPr>
            <w:tcW w:w="0" w:type="dxa"/>
            <w:vAlign w:val="bottom"/>
          </w:tcPr>
          <w:p>
            <w:pPr>
              <w:spacing w:after="0"/>
              <w:rPr>
                <w:sz w:val="1"/>
                <w:szCs w:val="1"/>
                <w:color w:val="auto"/>
              </w:rPr>
            </w:pPr>
          </w:p>
        </w:tc>
      </w:tr>
      <w:tr>
        <w:trPr>
          <w:trHeight w:val="142"/>
        </w:trPr>
        <w:tc>
          <w:tcPr>
            <w:tcW w:w="7320" w:type="dxa"/>
            <w:vAlign w:val="bottom"/>
          </w:tcPr>
          <w:p>
            <w:pPr>
              <w:spacing w:after="0" w:line="143" w:lineRule="exact"/>
              <w:rPr>
                <w:sz w:val="20"/>
                <w:szCs w:val="20"/>
                <w:color w:val="auto"/>
              </w:rPr>
            </w:pPr>
            <w:r>
              <w:rPr>
                <w:rFonts w:ascii="Arial" w:cs="Arial" w:eastAsia="Arial" w:hAnsi="Arial"/>
                <w:sz w:val="14"/>
                <w:szCs w:val="14"/>
                <w:color w:val="auto"/>
              </w:rPr>
              <w:t>Capital expenditures</w:t>
            </w:r>
          </w:p>
        </w:tc>
        <w:tc>
          <w:tcPr>
            <w:tcW w:w="1320" w:type="dxa"/>
            <w:vAlign w:val="bottom"/>
          </w:tcPr>
          <w:p>
            <w:pPr>
              <w:jc w:val="right"/>
              <w:ind w:right="68"/>
              <w:spacing w:after="0" w:line="143" w:lineRule="exact"/>
              <w:rPr>
                <w:sz w:val="20"/>
                <w:szCs w:val="20"/>
                <w:color w:val="auto"/>
              </w:rPr>
            </w:pPr>
            <w:r>
              <w:rPr>
                <w:rFonts w:ascii="Arial" w:cs="Arial" w:eastAsia="Arial" w:hAnsi="Arial"/>
                <w:sz w:val="14"/>
                <w:szCs w:val="14"/>
                <w:color w:val="auto"/>
              </w:rPr>
              <w:t>(1,361)</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ind w:right="48"/>
              <w:spacing w:after="0" w:line="143" w:lineRule="exact"/>
              <w:rPr>
                <w:sz w:val="20"/>
                <w:szCs w:val="20"/>
                <w:color w:val="auto"/>
              </w:rPr>
            </w:pPr>
            <w:r>
              <w:rPr>
                <w:rFonts w:ascii="Arial" w:cs="Arial" w:eastAsia="Arial" w:hAnsi="Arial"/>
                <w:sz w:val="14"/>
                <w:szCs w:val="14"/>
                <w:b w:val="1"/>
                <w:bCs w:val="1"/>
                <w:color w:val="auto"/>
              </w:rPr>
              <w:t>(1,448)</w:t>
            </w:r>
          </w:p>
        </w:tc>
        <w:tc>
          <w:tcPr>
            <w:tcW w:w="0" w:type="dxa"/>
            <w:vAlign w:val="bottom"/>
          </w:tcPr>
          <w:p>
            <w:pPr>
              <w:spacing w:after="0"/>
              <w:rPr>
                <w:sz w:val="1"/>
                <w:szCs w:val="1"/>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(182)</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(217)</w:t>
            </w:r>
          </w:p>
        </w:tc>
        <w:tc>
          <w:tcPr>
            <w:tcW w:w="0" w:type="dxa"/>
            <w:vAlign w:val="bottom"/>
          </w:tcPr>
          <w:p>
            <w:pPr>
              <w:spacing w:after="0"/>
              <w:rPr>
                <w:sz w:val="1"/>
                <w:szCs w:val="1"/>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Distributions to noncontrolling interests and dividends for redeemable subsidiary preferred stock</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(49)</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175"/>
        </w:trPr>
        <w:tc>
          <w:tcPr>
            <w:tcW w:w="7320" w:type="dxa"/>
            <w:vAlign w:val="bottom"/>
          </w:tcPr>
          <w:p>
            <w:pPr>
              <w:spacing w:after="0"/>
              <w:rPr>
                <w:sz w:val="20"/>
                <w:szCs w:val="20"/>
                <w:color w:val="auto"/>
              </w:rPr>
            </w:pPr>
            <w:r>
              <w:rPr>
                <w:rFonts w:ascii="Arial" w:cs="Arial" w:eastAsia="Arial" w:hAnsi="Arial"/>
                <w:sz w:val="14"/>
                <w:szCs w:val="14"/>
                <w:color w:val="auto"/>
              </w:rPr>
              <w:t>Nonoperating items</w:t>
            </w:r>
            <w:r>
              <w:rPr>
                <w:rFonts w:ascii="Arial" w:cs="Arial" w:eastAsia="Arial" w:hAnsi="Arial"/>
                <w:sz w:val="14"/>
                <w:szCs w:val="14"/>
                <w:color w:val="auto"/>
                <w:vertAlign w:val="superscript"/>
              </w:rPr>
              <w:t>(1)</w:t>
            </w: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361</w:t>
            </w:r>
          </w:p>
        </w:tc>
        <w:tc>
          <w:tcPr>
            <w:tcW w:w="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156"/>
        </w:trPr>
        <w:tc>
          <w:tcPr>
            <w:tcW w:w="7320" w:type="dxa"/>
            <w:vAlign w:val="bottom"/>
          </w:tcPr>
          <w:p>
            <w:pPr>
              <w:spacing w:after="0" w:line="155" w:lineRule="exact"/>
              <w:rPr>
                <w:sz w:val="20"/>
                <w:szCs w:val="20"/>
                <w:color w:val="auto"/>
              </w:rPr>
            </w:pPr>
            <w:r>
              <w:rPr>
                <w:rFonts w:ascii="Arial" w:cs="Arial" w:eastAsia="Arial" w:hAnsi="Arial"/>
                <w:sz w:val="14"/>
                <w:szCs w:val="14"/>
                <w:b w:val="1"/>
                <w:bCs w:val="1"/>
                <w:color w:val="auto"/>
              </w:rPr>
              <w:t>Total Free Cash Flow</w:t>
            </w:r>
          </w:p>
        </w:tc>
        <w:tc>
          <w:tcPr>
            <w:tcW w:w="13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$3,138</w:t>
            </w:r>
          </w:p>
        </w:tc>
        <w:tc>
          <w:tcPr>
            <w:tcW w:w="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$2,824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Reconciliation of EPS Excluding Gains on Sales and Acquisition-Related Items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March 31,</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632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2013</w:t>
            </w: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320" w:type="dxa"/>
            <w:vAlign w:val="bottom"/>
            <w:vMerge w:val="continue"/>
          </w:tcPr>
          <w:p>
            <w:pPr>
              <w:spacing w:after="0"/>
              <w:rPr>
                <w:sz w:val="13"/>
                <w:szCs w:val="13"/>
                <w:color w:val="auto"/>
              </w:rPr>
            </w:pPr>
          </w:p>
        </w:tc>
        <w:tc>
          <w:tcPr>
            <w:tcW w:w="126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420"/>
              <w:spacing w:after="0" w:line="304" w:lineRule="exact"/>
              <w:rPr>
                <w:sz w:val="20"/>
                <w:szCs w:val="20"/>
                <w:color w:val="auto"/>
              </w:rPr>
            </w:pPr>
            <w:r>
              <w:rPr>
                <w:rFonts w:ascii="Arial" w:cs="Arial" w:eastAsia="Arial" w:hAnsi="Arial"/>
                <w:sz w:val="28"/>
                <w:szCs w:val="28"/>
                <w:color w:val="auto"/>
                <w:vertAlign w:val="subscript"/>
              </w:rPr>
              <w:t>EPS</w:t>
            </w:r>
            <w:r>
              <w:rPr>
                <w:rFonts w:ascii="Arial" w:cs="Arial" w:eastAsia="Arial" w:hAnsi="Arial"/>
                <w:sz w:val="7"/>
                <w:szCs w:val="7"/>
                <w:color w:val="auto"/>
              </w:rPr>
              <w:t xml:space="preserve"> (2)</w:t>
            </w:r>
          </w:p>
        </w:tc>
        <w:tc>
          <w:tcPr>
            <w:tcW w:w="1240" w:type="dxa"/>
            <w:vAlign w:val="bottom"/>
            <w:vMerge w:val="restart"/>
          </w:tcPr>
          <w:p>
            <w:pPr>
              <w:jc w:val="right"/>
              <w:ind w:right="66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352"/>
              <w:spacing w:after="0" w:line="304" w:lineRule="exact"/>
              <w:rPr>
                <w:sz w:val="20"/>
                <w:szCs w:val="20"/>
                <w:color w:val="auto"/>
              </w:rPr>
            </w:pPr>
            <w:r>
              <w:rPr>
                <w:rFonts w:ascii="Arial" w:cs="Arial" w:eastAsia="Arial" w:hAnsi="Arial"/>
                <w:sz w:val="28"/>
                <w:szCs w:val="28"/>
                <w:b w:val="1"/>
                <w:bCs w:val="1"/>
                <w:color w:val="auto"/>
                <w:w w:val="96"/>
                <w:vertAlign w:val="subscript"/>
              </w:rPr>
              <w:t>EPS</w:t>
            </w:r>
            <w:r>
              <w:rPr>
                <w:rFonts w:ascii="Arial" w:cs="Arial" w:eastAsia="Arial" w:hAnsi="Arial"/>
                <w:sz w:val="7"/>
                <w:szCs w:val="7"/>
                <w:b w:val="1"/>
                <w:bCs w:val="1"/>
                <w:color w:val="auto"/>
                <w:w w:val="96"/>
              </w:rPr>
              <w:t xml:space="preserve"> (2)</w:t>
            </w:r>
          </w:p>
        </w:tc>
        <w:tc>
          <w:tcPr>
            <w:tcW w:w="0" w:type="dxa"/>
            <w:vAlign w:val="bottom"/>
          </w:tcPr>
          <w:p>
            <w:pPr>
              <w:spacing w:after="0"/>
              <w:rPr>
                <w:sz w:val="1"/>
                <w:szCs w:val="1"/>
                <w:color w:val="auto"/>
              </w:rPr>
            </w:pPr>
          </w:p>
        </w:tc>
      </w:tr>
      <w:tr>
        <w:trPr>
          <w:trHeight w:val="147"/>
        </w:trPr>
        <w:tc>
          <w:tcPr>
            <w:tcW w:w="63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632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$1,437</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$0.54</w:t>
            </w:r>
          </w:p>
        </w:tc>
        <w:tc>
          <w:tcPr>
            <w:tcW w:w="160" w:type="dxa"/>
            <w:vAlign w:val="bottom"/>
          </w:tcPr>
          <w:p>
            <w:pPr>
              <w:spacing w:after="0"/>
              <w:rPr>
                <w:sz w:val="24"/>
                <w:szCs w:val="24"/>
                <w:color w:val="auto"/>
              </w:rPr>
            </w:pPr>
          </w:p>
        </w:tc>
        <w:tc>
          <w:tcPr>
            <w:tcW w:w="124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$1,871</w:t>
            </w:r>
          </w:p>
        </w:tc>
        <w:tc>
          <w:tcPr>
            <w:tcW w:w="90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$0.71</w:t>
            </w:r>
          </w:p>
        </w:tc>
        <w:tc>
          <w:tcPr>
            <w:tcW w:w="0" w:type="dxa"/>
            <w:vAlign w:val="bottom"/>
          </w:tcPr>
          <w:p>
            <w:pPr>
              <w:spacing w:after="0"/>
              <w:rPr>
                <w:sz w:val="1"/>
                <w:szCs w:val="1"/>
                <w:color w:val="auto"/>
              </w:rPr>
            </w:pPr>
          </w:p>
        </w:tc>
      </w:tr>
      <w:tr>
        <w:trPr>
          <w:trHeight w:val="186"/>
        </w:trPr>
        <w:tc>
          <w:tcPr>
            <w:tcW w:w="632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i w:val="1"/>
                <w:iCs w:val="1"/>
                <w:color w:val="auto"/>
              </w:rPr>
              <w:t>30.2%</w:t>
            </w:r>
          </w:p>
        </w:tc>
        <w:tc>
          <w:tcPr>
            <w:tcW w:w="900" w:type="dxa"/>
            <w:vAlign w:val="bottom"/>
          </w:tcPr>
          <w:p>
            <w:pPr>
              <w:jc w:val="right"/>
              <w:ind w:right="92"/>
              <w:spacing w:after="0"/>
              <w:rPr>
                <w:sz w:val="20"/>
                <w:szCs w:val="20"/>
                <w:color w:val="auto"/>
              </w:rPr>
            </w:pPr>
            <w:r>
              <w:rPr>
                <w:rFonts w:ascii="Arial" w:cs="Arial" w:eastAsia="Arial" w:hAnsi="Arial"/>
                <w:sz w:val="14"/>
                <w:szCs w:val="14"/>
                <w:i w:val="1"/>
                <w:iCs w:val="1"/>
                <w:color w:val="auto"/>
              </w:rPr>
              <w:t>31.5%</w:t>
            </w:r>
          </w:p>
        </w:tc>
        <w:tc>
          <w:tcPr>
            <w:tcW w:w="0" w:type="dxa"/>
            <w:vAlign w:val="bottom"/>
          </w:tcPr>
          <w:p>
            <w:pPr>
              <w:spacing w:after="0"/>
              <w:rPr>
                <w:sz w:val="1"/>
                <w:szCs w:val="1"/>
                <w:color w:val="auto"/>
              </w:rPr>
            </w:pPr>
          </w:p>
        </w:tc>
      </w:tr>
      <w:tr>
        <w:trPr>
          <w:trHeight w:val="296"/>
        </w:trPr>
        <w:tc>
          <w:tcPr>
            <w:tcW w:w="6320" w:type="dxa"/>
            <w:vAlign w:val="bottom"/>
          </w:tcPr>
          <w:p>
            <w:pPr>
              <w:ind w:left="260"/>
              <w:spacing w:after="0"/>
              <w:rPr>
                <w:sz w:val="20"/>
                <w:szCs w:val="20"/>
                <w:color w:val="auto"/>
              </w:rPr>
            </w:pPr>
            <w:r>
              <w:rPr>
                <w:rFonts w:ascii="Arial" w:cs="Arial" w:eastAsia="Arial" w:hAnsi="Arial"/>
                <w:sz w:val="14"/>
                <w:szCs w:val="14"/>
                <w:color w:val="auto"/>
              </w:rPr>
              <w:t>Gain on sale of investment</w:t>
            </w:r>
            <w:r>
              <w:rPr>
                <w:rFonts w:ascii="Arial" w:cs="Arial" w:eastAsia="Arial" w:hAnsi="Arial"/>
                <w:sz w:val="14"/>
                <w:szCs w:val="14"/>
                <w:color w:val="auto"/>
                <w:vertAlign w:val="superscript"/>
              </w:rPr>
              <w:t>(3)</w:t>
            </w:r>
          </w:p>
        </w:tc>
        <w:tc>
          <w:tcPr>
            <w:tcW w:w="12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tcPr>
          <w:p>
            <w:pPr>
              <w:jc w:val="right"/>
              <w:ind w:right="19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b w:val="1"/>
                <w:bCs w:val="1"/>
                <w:color w:val="auto"/>
              </w:rPr>
              <w:t>(50)</w:t>
            </w:r>
          </w:p>
        </w:tc>
        <w:tc>
          <w:tcPr>
            <w:tcW w:w="900" w:type="dxa"/>
            <w:vAlign w:val="bottom"/>
          </w:tcPr>
          <w:p>
            <w:pPr>
              <w:jc w:val="right"/>
              <w:ind w:right="92"/>
              <w:spacing w:after="0"/>
              <w:rPr>
                <w:sz w:val="20"/>
                <w:szCs w:val="20"/>
                <w:color w:val="auto"/>
              </w:rPr>
            </w:pPr>
            <w:r>
              <w:rPr>
                <w:rFonts w:ascii="Arial" w:cs="Arial" w:eastAsia="Arial" w:hAnsi="Arial"/>
                <w:sz w:val="14"/>
                <w:szCs w:val="14"/>
                <w:b w:val="1"/>
                <w:bCs w:val="1"/>
                <w:color w:val="auto"/>
              </w:rPr>
              <w:t>(0.02)</w:t>
            </w:r>
          </w:p>
        </w:tc>
        <w:tc>
          <w:tcPr>
            <w:tcW w:w="0" w:type="dxa"/>
            <w:vAlign w:val="bottom"/>
          </w:tcPr>
          <w:p>
            <w:pPr>
              <w:spacing w:after="0"/>
              <w:rPr>
                <w:sz w:val="1"/>
                <w:szCs w:val="1"/>
                <w:color w:val="auto"/>
              </w:rPr>
            </w:pPr>
          </w:p>
        </w:tc>
      </w:tr>
      <w:tr>
        <w:trPr>
          <w:trHeight w:val="162"/>
        </w:trPr>
        <w:tc>
          <w:tcPr>
            <w:tcW w:w="6320" w:type="dxa"/>
            <w:vAlign w:val="bottom"/>
          </w:tcPr>
          <w:p>
            <w:pPr>
              <w:ind w:left="260"/>
              <w:spacing w:after="0"/>
              <w:rPr>
                <w:sz w:val="20"/>
                <w:szCs w:val="20"/>
                <w:color w:val="auto"/>
              </w:rPr>
            </w:pPr>
            <w:r>
              <w:rPr>
                <w:rFonts w:ascii="Arial" w:cs="Arial" w:eastAsia="Arial" w:hAnsi="Arial"/>
                <w:sz w:val="14"/>
                <w:szCs w:val="14"/>
                <w:color w:val="auto"/>
              </w:rPr>
              <w:t>Favorable resolution of a contingency of an acquired company</w:t>
            </w:r>
            <w:r>
              <w:rPr>
                <w:rFonts w:ascii="Arial" w:cs="Arial" w:eastAsia="Arial" w:hAnsi="Arial"/>
                <w:sz w:val="14"/>
                <w:szCs w:val="14"/>
                <w:color w:val="auto"/>
                <w:vertAlign w:val="superscript"/>
              </w:rPr>
              <w:t>(4)</w:t>
            </w:r>
          </w:p>
        </w:tc>
        <w:tc>
          <w:tcPr>
            <w:tcW w:w="12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tcPr>
          <w:p>
            <w:pPr>
              <w:jc w:val="right"/>
              <w:ind w:right="19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b w:val="1"/>
                <w:bCs w:val="1"/>
                <w:color w:val="auto"/>
              </w:rPr>
              <w:t>(27)</w:t>
            </w:r>
          </w:p>
        </w:tc>
        <w:tc>
          <w:tcPr>
            <w:tcW w:w="900" w:type="dxa"/>
            <w:vAlign w:val="bottom"/>
          </w:tcPr>
          <w:p>
            <w:pPr>
              <w:jc w:val="right"/>
              <w:ind w:right="92"/>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162"/>
        </w:trPr>
        <w:tc>
          <w:tcPr>
            <w:tcW w:w="6320" w:type="dxa"/>
            <w:vAlign w:val="bottom"/>
          </w:tcPr>
          <w:p>
            <w:pPr>
              <w:ind w:left="260"/>
              <w:spacing w:after="0"/>
              <w:rPr>
                <w:sz w:val="20"/>
                <w:szCs w:val="20"/>
                <w:color w:val="auto"/>
              </w:rPr>
            </w:pPr>
            <w:r>
              <w:rPr>
                <w:rFonts w:ascii="Arial" w:cs="Arial" w:eastAsia="Arial" w:hAnsi="Arial"/>
                <w:sz w:val="14"/>
                <w:szCs w:val="14"/>
                <w:color w:val="auto"/>
              </w:rPr>
              <w:t>Costs related to Time Warner Cable transaction</w:t>
            </w:r>
            <w:r>
              <w:rPr>
                <w:rFonts w:ascii="Arial" w:cs="Arial" w:eastAsia="Arial" w:hAnsi="Arial"/>
                <w:sz w:val="14"/>
                <w:szCs w:val="14"/>
                <w:color w:val="auto"/>
                <w:vertAlign w:val="superscript"/>
              </w:rPr>
              <w:t>(5)</w:t>
            </w:r>
          </w:p>
        </w:tc>
        <w:tc>
          <w:tcPr>
            <w:tcW w:w="12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tcPr>
          <w:p>
            <w:pPr>
              <w:jc w:val="right"/>
              <w:ind w:right="19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11</w:t>
            </w: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0"/>
        </w:trPr>
        <w:tc>
          <w:tcPr>
            <w:tcW w:w="6320" w:type="dxa"/>
            <w:vAlign w:val="bottom"/>
          </w:tcPr>
          <w:p>
            <w:pPr>
              <w:ind w:left="260"/>
              <w:spacing w:after="0"/>
              <w:rPr>
                <w:sz w:val="20"/>
                <w:szCs w:val="20"/>
                <w:color w:val="auto"/>
              </w:rPr>
            </w:pPr>
            <w:r>
              <w:rPr>
                <w:rFonts w:ascii="Arial" w:cs="Arial" w:eastAsia="Arial" w:hAnsi="Arial"/>
                <w:sz w:val="14"/>
                <w:szCs w:val="14"/>
                <w:color w:val="auto"/>
              </w:rPr>
              <w:t>Gain on sale of wireless spectrum licenses</w:t>
            </w:r>
            <w:r>
              <w:rPr>
                <w:rFonts w:ascii="Arial" w:cs="Arial" w:eastAsia="Arial" w:hAnsi="Arial"/>
                <w:sz w:val="14"/>
                <w:szCs w:val="14"/>
                <w:color w:val="auto"/>
                <w:vertAlign w:val="superscript"/>
              </w:rPr>
              <w:t>(6)</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(67)</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(0.03)</w:t>
            </w:r>
          </w:p>
        </w:tc>
        <w:tc>
          <w:tcPr>
            <w:tcW w:w="1240" w:type="dxa"/>
            <w:vAlign w:val="bottom"/>
          </w:tcPr>
          <w:p>
            <w:pPr>
              <w:jc w:val="right"/>
              <w:ind w:right="52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7"/>
        </w:trPr>
        <w:tc>
          <w:tcPr>
            <w:tcW w:w="6320" w:type="dxa"/>
            <w:vAlign w:val="bottom"/>
          </w:tcPr>
          <w:p>
            <w:pPr>
              <w:spacing w:after="0" w:line="157" w:lineRule="exact"/>
              <w:rPr>
                <w:sz w:val="20"/>
                <w:szCs w:val="20"/>
                <w:color w:val="auto"/>
              </w:rPr>
            </w:pPr>
            <w:r>
              <w:rPr>
                <w:rFonts w:ascii="Arial" w:cs="Arial" w:eastAsia="Arial" w:hAnsi="Arial"/>
                <w:sz w:val="14"/>
                <w:szCs w:val="14"/>
                <w:color w:val="auto"/>
              </w:rPr>
              <w:t>Net income attributable to Comcast Corporation</w:t>
            </w:r>
          </w:p>
        </w:tc>
        <w:tc>
          <w:tcPr>
            <w:tcW w:w="1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20" w:type="dxa"/>
            <w:vAlign w:val="bottom"/>
          </w:tcPr>
          <w:p>
            <w:pPr>
              <w:ind w:left="120"/>
              <w:spacing w:after="0" w:line="155" w:lineRule="exact"/>
              <w:rPr>
                <w:sz w:val="20"/>
                <w:szCs w:val="20"/>
                <w:color w:val="auto"/>
              </w:rPr>
            </w:pPr>
            <w:r>
              <w:rPr>
                <w:rFonts w:ascii="Arial" w:cs="Arial" w:eastAsia="Arial" w:hAnsi="Arial"/>
                <w:sz w:val="14"/>
                <w:szCs w:val="14"/>
                <w:color w:val="auto"/>
              </w:rPr>
              <w:t>(excluding gains on sales and acquisition-related items)</w:t>
            </w:r>
          </w:p>
        </w:tc>
        <w:tc>
          <w:tcPr>
            <w:tcW w:w="12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$1,370</w:t>
            </w:r>
          </w:p>
        </w:tc>
        <w:tc>
          <w:tcPr>
            <w:tcW w:w="760" w:type="dxa"/>
            <w:vAlign w:val="bottom"/>
            <w:tcBorders>
              <w:bottom w:val="single" w:sz="8" w:color="auto"/>
            </w:tcBorders>
          </w:tcPr>
          <w:p>
            <w:pPr>
              <w:jc w:val="right"/>
              <w:ind w:right="13"/>
              <w:spacing w:after="0" w:line="155" w:lineRule="exact"/>
              <w:rPr>
                <w:sz w:val="20"/>
                <w:szCs w:val="20"/>
                <w:color w:val="auto"/>
              </w:rPr>
            </w:pPr>
            <w:r>
              <w:rPr>
                <w:rFonts w:ascii="Arial" w:cs="Arial" w:eastAsia="Arial" w:hAnsi="Arial"/>
                <w:sz w:val="14"/>
                <w:szCs w:val="14"/>
                <w:color w:val="auto"/>
              </w:rPr>
              <w:t>$0.51</w:t>
            </w:r>
          </w:p>
        </w:tc>
        <w:tc>
          <w:tcPr>
            <w:tcW w:w="160" w:type="dxa"/>
            <w:vAlign w:val="bottom"/>
          </w:tcPr>
          <w:p>
            <w:pPr>
              <w:spacing w:after="0"/>
              <w:rPr>
                <w:sz w:val="13"/>
                <w:szCs w:val="13"/>
                <w:color w:val="auto"/>
              </w:rPr>
            </w:pPr>
          </w:p>
        </w:tc>
        <w:tc>
          <w:tcPr>
            <w:tcW w:w="124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$1,805</w:t>
            </w:r>
          </w:p>
        </w:tc>
        <w:tc>
          <w:tcPr>
            <w:tcW w:w="90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$0.68</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4"/>
                <w:szCs w:val="14"/>
                <w:i w:val="1"/>
                <w:iCs w:val="1"/>
                <w:color w:val="auto"/>
              </w:rPr>
              <w:t>Growth %</w:t>
            </w: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32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i w:val="1"/>
                <w:iCs w:val="1"/>
                <w:color w:val="auto"/>
              </w:rPr>
              <w:t>31.8%</w:t>
            </w:r>
          </w:p>
        </w:tc>
        <w:tc>
          <w:tcPr>
            <w:tcW w:w="900" w:type="dxa"/>
            <w:vAlign w:val="bottom"/>
          </w:tcPr>
          <w:p>
            <w:pPr>
              <w:jc w:val="right"/>
              <w:ind w:right="92"/>
              <w:spacing w:after="0"/>
              <w:rPr>
                <w:sz w:val="20"/>
                <w:szCs w:val="20"/>
                <w:color w:val="auto"/>
              </w:rPr>
            </w:pPr>
            <w:r>
              <w:rPr>
                <w:rFonts w:ascii="Arial" w:cs="Arial" w:eastAsia="Arial" w:hAnsi="Arial"/>
                <w:sz w:val="14"/>
                <w:szCs w:val="14"/>
                <w:i w:val="1"/>
                <w:iCs w:val="1"/>
                <w:color w:val="auto"/>
              </w:rPr>
              <w:t>33.3%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340" w:right="100" w:hanging="332"/>
        <w:spacing w:after="0" w:line="24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Nonoperating items include adjustments for cash taxes paid related to certain investing and financing transactions, to reflect cash taxes paid in the year of the related taxable income and to exclude the impacts of Economic Stimulus packages.</w:t>
      </w: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1st quarter 2014 net income attributable to Comcast Corporation includes $80 million of investment income, $50 million net of tax, resulting from the sale of an investment.</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1st quarter 2014 net income attributable to Comcast Corporation includes $27 million of other income, resulting from the favorable resolution of a contingency related to the AT&amp;T Broadband transaction.</w:t>
      </w:r>
    </w:p>
    <w:p>
      <w:pPr>
        <w:ind w:left="340" w:right="400" w:hanging="332"/>
        <w:spacing w:after="0" w:line="24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1st quarter 2014 net income attributable to Comcast Corporation includes $17 million of operating costs and expenses, $11 million net of tax, related to the Time Warner Cable transaction.</w:t>
      </w:r>
    </w:p>
    <w:p>
      <w:pPr>
        <w:ind w:left="340" w:right="340" w:hanging="332"/>
        <w:spacing w:after="0" w:line="258"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1st quarter 2013 net income attributable to Comcast Corporation includes $108 million of other income, $67 million net of tax, resulting from a gain on the sale of wireless spectrum licenses.</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-113665</wp:posOffset>
            </wp:positionV>
            <wp:extent cx="960755" cy="394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60755" cy="394335"/>
                    </a:xfrm>
                    <a:prstGeom prst="rect">
                      <a:avLst/>
                    </a:prstGeom>
                    <a:noFill/>
                  </pic:spPr>
                </pic:pic>
              </a:graphicData>
            </a:graphic>
          </wp:anchor>
        </w:drawing>
      </w:r>
    </w:p>
    <w:p>
      <w:pPr>
        <w:spacing w:after="0" w:line="2" w:lineRule="exact"/>
        <w:rPr>
          <w:sz w:val="20"/>
          <w:szCs w:val="20"/>
          <w:color w:val="auto"/>
        </w:rPr>
      </w:pPr>
    </w:p>
    <w:p>
      <w:pPr>
        <w:ind w:right="2080"/>
        <w:spacing w:after="0" w:line="246" w:lineRule="auto"/>
        <w:rPr>
          <w:sz w:val="20"/>
          <w:szCs w:val="20"/>
          <w:color w:val="auto"/>
        </w:rPr>
      </w:pPr>
      <w:r>
        <w:rPr>
          <w:rFonts w:ascii="Arial" w:cs="Arial" w:eastAsia="Arial" w:hAnsi="Arial"/>
          <w:sz w:val="18"/>
          <w:szCs w:val="18"/>
          <w:b w:val="1"/>
          <w:bCs w:val="1"/>
          <w:color w:val="C9C9C9"/>
        </w:rPr>
        <w:t>Reconciliation of Consolidated Revenue Excluding 2014 Olympics and Operating Cash Flow Excluding Costs Related to Time Warner Cable Transaction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r>
      <w:tr>
        <w:trPr>
          <w:trHeight w:val="190"/>
        </w:trPr>
        <w:tc>
          <w:tcPr>
            <w:tcW w:w="7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March 31,</w:t>
            </w:r>
          </w:p>
        </w:tc>
        <w:tc>
          <w:tcPr>
            <w:tcW w:w="940" w:type="dxa"/>
            <w:vAlign w:val="bottom"/>
          </w:tcPr>
          <w:p>
            <w:pPr>
              <w:spacing w:after="0"/>
              <w:rPr>
                <w:sz w:val="16"/>
                <w:szCs w:val="16"/>
                <w:color w:val="auto"/>
              </w:rPr>
            </w:pPr>
          </w:p>
        </w:tc>
      </w:tr>
      <w:tr>
        <w:trPr>
          <w:trHeight w:val="309"/>
        </w:trPr>
        <w:tc>
          <w:tcPr>
            <w:tcW w:w="7440" w:type="dxa"/>
            <w:vAlign w:val="bottom"/>
          </w:tcPr>
          <w:p>
            <w:pPr>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24"/>
                <w:szCs w:val="2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 %</w:t>
            </w:r>
          </w:p>
        </w:tc>
      </w:tr>
      <w:tr>
        <w:trPr>
          <w:trHeight w:val="292"/>
        </w:trPr>
        <w:tc>
          <w:tcPr>
            <w:tcW w:w="7440" w:type="dxa"/>
            <w:vAlign w:val="bottom"/>
          </w:tcPr>
          <w:p>
            <w:pPr>
              <w:spacing w:after="0"/>
              <w:rPr>
                <w:sz w:val="20"/>
                <w:szCs w:val="20"/>
                <w:color w:val="auto"/>
              </w:rPr>
            </w:pPr>
            <w:r>
              <w:rPr>
                <w:rFonts w:ascii="Arial" w:cs="Arial" w:eastAsia="Arial" w:hAnsi="Arial"/>
                <w:sz w:val="14"/>
                <w:szCs w:val="14"/>
                <w:color w:val="auto"/>
              </w:rPr>
              <w:t>Revenue</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$15,310</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$17,408</w:t>
            </w:r>
          </w:p>
        </w:tc>
        <w:tc>
          <w:tcPr>
            <w:tcW w:w="2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13.7%</w:t>
            </w:r>
          </w:p>
        </w:tc>
      </w:tr>
      <w:tr>
        <w:trPr>
          <w:trHeight w:val="269"/>
        </w:trPr>
        <w:tc>
          <w:tcPr>
            <w:tcW w:w="7440" w:type="dxa"/>
            <w:vAlign w:val="bottom"/>
          </w:tcPr>
          <w:p>
            <w:pPr>
              <w:spacing w:after="0"/>
              <w:rPr>
                <w:sz w:val="20"/>
                <w:szCs w:val="20"/>
                <w:color w:val="auto"/>
              </w:rPr>
            </w:pPr>
            <w:r>
              <w:rPr>
                <w:rFonts w:ascii="Arial" w:cs="Arial" w:eastAsia="Arial" w:hAnsi="Arial"/>
                <w:sz w:val="14"/>
                <w:szCs w:val="14"/>
                <w:color w:val="auto"/>
              </w:rPr>
              <w:t>2014 Olympics</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(1,103)</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7"/>
        </w:trPr>
        <w:tc>
          <w:tcPr>
            <w:tcW w:w="744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$15,310</w:t>
            </w: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$16,305</w:t>
            </w:r>
          </w:p>
        </w:tc>
        <w:tc>
          <w:tcPr>
            <w:tcW w:w="2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6.5%</w:t>
            </w:r>
          </w:p>
        </w:tc>
      </w:tr>
      <w:tr>
        <w:trPr>
          <w:trHeight w:val="20"/>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24"/>
                <w:szCs w:val="2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 %</w:t>
            </w:r>
          </w:p>
        </w:tc>
      </w:tr>
      <w:tr>
        <w:trPr>
          <w:trHeight w:val="292"/>
        </w:trPr>
        <w:tc>
          <w:tcPr>
            <w:tcW w:w="7440" w:type="dxa"/>
            <w:vAlign w:val="bottom"/>
          </w:tcPr>
          <w:p>
            <w:pPr>
              <w:spacing w:after="0"/>
              <w:rPr>
                <w:sz w:val="20"/>
                <w:szCs w:val="20"/>
                <w:color w:val="auto"/>
              </w:rPr>
            </w:pPr>
            <w:r>
              <w:rPr>
                <w:rFonts w:ascii="Arial" w:cs="Arial" w:eastAsia="Arial" w:hAnsi="Arial"/>
                <w:sz w:val="14"/>
                <w:szCs w:val="14"/>
                <w:color w:val="auto"/>
              </w:rPr>
              <w:t>Operating Cash Flow</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$5,034</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$5,538</w:t>
            </w:r>
          </w:p>
        </w:tc>
        <w:tc>
          <w:tcPr>
            <w:tcW w:w="2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10.0%</w:t>
            </w:r>
          </w:p>
        </w:tc>
      </w:tr>
      <w:tr>
        <w:trPr>
          <w:trHeight w:val="284"/>
        </w:trPr>
        <w:tc>
          <w:tcPr>
            <w:tcW w:w="7440" w:type="dxa"/>
            <w:vAlign w:val="bottom"/>
          </w:tcPr>
          <w:p>
            <w:pPr>
              <w:spacing w:after="0"/>
              <w:rPr>
                <w:sz w:val="20"/>
                <w:szCs w:val="20"/>
                <w:color w:val="auto"/>
              </w:rPr>
            </w:pPr>
            <w:r>
              <w:rPr>
                <w:rFonts w:ascii="Arial" w:cs="Arial" w:eastAsia="Arial" w:hAnsi="Arial"/>
                <w:sz w:val="14"/>
                <w:szCs w:val="14"/>
                <w:color w:val="auto"/>
              </w:rPr>
              <w:t>Costs related to Time Warner Cable transaction</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17</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926" w:orient="portrait"/>
          <w:cols w:equalWidth="0" w:num="1">
            <w:col w:w="11420"/>
          </w:cols>
          <w:pgMar w:left="240" w:top="347" w:right="239" w:bottom="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4994275</wp:posOffset>
            </wp:positionH>
            <wp:positionV relativeFrom="page">
              <wp:posOffset>88900</wp:posOffset>
            </wp:positionV>
            <wp:extent cx="16376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175"/>
        </w:trPr>
        <w:tc>
          <w:tcPr>
            <w:tcW w:w="7440" w:type="dxa"/>
            <w:vAlign w:val="bottom"/>
          </w:tcPr>
          <w:p>
            <w:pPr>
              <w:spacing w:after="0"/>
              <w:rPr>
                <w:sz w:val="20"/>
                <w:szCs w:val="20"/>
                <w:color w:val="auto"/>
              </w:rPr>
            </w:pPr>
            <w:r>
              <w:rPr>
                <w:rFonts w:ascii="Arial" w:cs="Arial" w:eastAsia="Arial" w:hAnsi="Arial"/>
                <w:sz w:val="14"/>
                <w:szCs w:val="14"/>
                <w:color w:val="auto"/>
              </w:rPr>
              <w:t>Operating Cash Flow excluding costs related to Time Warner Cable transaction</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$5,034</w:t>
            </w:r>
          </w:p>
        </w:tc>
        <w:tc>
          <w:tcPr>
            <w:tcW w:w="280" w:type="dxa"/>
            <w:vAlign w:val="bottom"/>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$5,555</w:t>
            </w:r>
          </w:p>
        </w:tc>
        <w:tc>
          <w:tcPr>
            <w:tcW w:w="114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0"/>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Consolidated NBCUniversal Revenue Excluding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r>
      <w:tr>
        <w:trPr>
          <w:trHeight w:val="190"/>
        </w:trPr>
        <w:tc>
          <w:tcPr>
            <w:tcW w:w="7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March 31,</w:t>
            </w:r>
          </w:p>
        </w:tc>
        <w:tc>
          <w:tcPr>
            <w:tcW w:w="940" w:type="dxa"/>
            <w:vAlign w:val="bottom"/>
          </w:tcPr>
          <w:p>
            <w:pPr>
              <w:spacing w:after="0"/>
              <w:rPr>
                <w:sz w:val="16"/>
                <w:szCs w:val="16"/>
                <w:color w:val="auto"/>
              </w:rPr>
            </w:pPr>
          </w:p>
        </w:tc>
      </w:tr>
      <w:tr>
        <w:trPr>
          <w:trHeight w:val="309"/>
        </w:trPr>
        <w:tc>
          <w:tcPr>
            <w:tcW w:w="7440" w:type="dxa"/>
            <w:vAlign w:val="bottom"/>
          </w:tcPr>
          <w:p>
            <w:pPr>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24"/>
                <w:szCs w:val="2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 %</w:t>
            </w:r>
          </w:p>
        </w:tc>
      </w:tr>
      <w:tr>
        <w:trPr>
          <w:trHeight w:val="292"/>
        </w:trPr>
        <w:tc>
          <w:tcPr>
            <w:tcW w:w="7440" w:type="dxa"/>
            <w:vAlign w:val="bottom"/>
          </w:tcPr>
          <w:p>
            <w:pPr>
              <w:spacing w:after="0"/>
              <w:rPr>
                <w:sz w:val="20"/>
                <w:szCs w:val="20"/>
                <w:color w:val="auto"/>
              </w:rPr>
            </w:pPr>
            <w:r>
              <w:rPr>
                <w:rFonts w:ascii="Arial" w:cs="Arial" w:eastAsia="Arial" w:hAnsi="Arial"/>
                <w:sz w:val="14"/>
                <w:szCs w:val="14"/>
                <w:color w:val="auto"/>
              </w:rPr>
              <w:t>Revenue</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$5,340</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$6,876</w:t>
            </w:r>
          </w:p>
        </w:tc>
        <w:tc>
          <w:tcPr>
            <w:tcW w:w="2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28.8%</w:t>
            </w:r>
          </w:p>
        </w:tc>
      </w:tr>
      <w:tr>
        <w:trPr>
          <w:trHeight w:val="269"/>
        </w:trPr>
        <w:tc>
          <w:tcPr>
            <w:tcW w:w="7440" w:type="dxa"/>
            <w:vAlign w:val="bottom"/>
          </w:tcPr>
          <w:p>
            <w:pPr>
              <w:spacing w:after="0"/>
              <w:rPr>
                <w:sz w:val="20"/>
                <w:szCs w:val="20"/>
                <w:color w:val="auto"/>
              </w:rPr>
            </w:pPr>
            <w:r>
              <w:rPr>
                <w:rFonts w:ascii="Arial" w:cs="Arial" w:eastAsia="Arial" w:hAnsi="Arial"/>
                <w:sz w:val="14"/>
                <w:szCs w:val="14"/>
                <w:color w:val="auto"/>
              </w:rPr>
              <w:t>2014 Olympics</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(1,103)</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7"/>
        </w:trPr>
        <w:tc>
          <w:tcPr>
            <w:tcW w:w="744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$5,340</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$5,773</w:t>
            </w:r>
          </w:p>
        </w:tc>
        <w:tc>
          <w:tcPr>
            <w:tcW w:w="2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8.1%</w:t>
            </w:r>
          </w:p>
        </w:tc>
      </w:tr>
      <w:tr>
        <w:trPr>
          <w:trHeight w:val="20"/>
        </w:trPr>
        <w:tc>
          <w:tcPr>
            <w:tcW w:w="7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Cable Networks Revenue Excluding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r>
      <w:tr>
        <w:trPr>
          <w:trHeight w:val="190"/>
        </w:trPr>
        <w:tc>
          <w:tcPr>
            <w:tcW w:w="7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March 31,</w:t>
            </w:r>
          </w:p>
        </w:tc>
        <w:tc>
          <w:tcPr>
            <w:tcW w:w="940" w:type="dxa"/>
            <w:vAlign w:val="bottom"/>
          </w:tcPr>
          <w:p>
            <w:pPr>
              <w:spacing w:after="0"/>
              <w:rPr>
                <w:sz w:val="16"/>
                <w:szCs w:val="16"/>
                <w:color w:val="auto"/>
              </w:rPr>
            </w:pPr>
          </w:p>
        </w:tc>
      </w:tr>
      <w:tr>
        <w:trPr>
          <w:trHeight w:val="309"/>
        </w:trPr>
        <w:tc>
          <w:tcPr>
            <w:tcW w:w="7440" w:type="dxa"/>
            <w:vAlign w:val="bottom"/>
          </w:tcPr>
          <w:p>
            <w:pPr>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24"/>
                <w:szCs w:val="2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 %</w:t>
            </w:r>
          </w:p>
        </w:tc>
      </w:tr>
      <w:tr>
        <w:trPr>
          <w:trHeight w:val="292"/>
        </w:trPr>
        <w:tc>
          <w:tcPr>
            <w:tcW w:w="7440" w:type="dxa"/>
            <w:vAlign w:val="bottom"/>
          </w:tcPr>
          <w:p>
            <w:pPr>
              <w:spacing w:after="0"/>
              <w:rPr>
                <w:sz w:val="20"/>
                <w:szCs w:val="20"/>
                <w:color w:val="auto"/>
              </w:rPr>
            </w:pPr>
            <w:r>
              <w:rPr>
                <w:rFonts w:ascii="Arial" w:cs="Arial" w:eastAsia="Arial" w:hAnsi="Arial"/>
                <w:sz w:val="14"/>
                <w:szCs w:val="14"/>
                <w:color w:val="auto"/>
              </w:rPr>
              <w:t>Revenue</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$2,225</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$2,505</w:t>
            </w:r>
          </w:p>
        </w:tc>
        <w:tc>
          <w:tcPr>
            <w:tcW w:w="2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12.6%</w:t>
            </w:r>
          </w:p>
        </w:tc>
      </w:tr>
      <w:tr>
        <w:trPr>
          <w:trHeight w:val="269"/>
        </w:trPr>
        <w:tc>
          <w:tcPr>
            <w:tcW w:w="7440" w:type="dxa"/>
            <w:vAlign w:val="bottom"/>
          </w:tcPr>
          <w:p>
            <w:pPr>
              <w:spacing w:after="0"/>
              <w:rPr>
                <w:sz w:val="20"/>
                <w:szCs w:val="20"/>
                <w:color w:val="auto"/>
              </w:rPr>
            </w:pPr>
            <w:r>
              <w:rPr>
                <w:rFonts w:ascii="Arial" w:cs="Arial" w:eastAsia="Arial" w:hAnsi="Arial"/>
                <w:sz w:val="14"/>
                <w:szCs w:val="14"/>
                <w:color w:val="auto"/>
              </w:rPr>
              <w:t>2014 Olympics</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(257)</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7"/>
        </w:trPr>
        <w:tc>
          <w:tcPr>
            <w:tcW w:w="744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$2,225</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$2,248</w:t>
            </w:r>
          </w:p>
        </w:tc>
        <w:tc>
          <w:tcPr>
            <w:tcW w:w="2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w:t>
            </w:r>
          </w:p>
        </w:tc>
      </w:tr>
      <w:tr>
        <w:trPr>
          <w:trHeight w:val="20"/>
        </w:trPr>
        <w:tc>
          <w:tcPr>
            <w:tcW w:w="7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Broadcast Television Revenue Excluding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r>
      <w:tr>
        <w:trPr>
          <w:trHeight w:val="190"/>
        </w:trPr>
        <w:tc>
          <w:tcPr>
            <w:tcW w:w="7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March 31,</w:t>
            </w:r>
          </w:p>
        </w:tc>
        <w:tc>
          <w:tcPr>
            <w:tcW w:w="940" w:type="dxa"/>
            <w:vAlign w:val="bottom"/>
          </w:tcPr>
          <w:p>
            <w:pPr>
              <w:spacing w:after="0"/>
              <w:rPr>
                <w:sz w:val="16"/>
                <w:szCs w:val="16"/>
                <w:color w:val="auto"/>
              </w:rPr>
            </w:pPr>
          </w:p>
        </w:tc>
      </w:tr>
      <w:tr>
        <w:trPr>
          <w:trHeight w:val="309"/>
        </w:trPr>
        <w:tc>
          <w:tcPr>
            <w:tcW w:w="7440" w:type="dxa"/>
            <w:vAlign w:val="bottom"/>
          </w:tcPr>
          <w:p>
            <w:pPr>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24"/>
                <w:szCs w:val="2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 %</w:t>
            </w:r>
          </w:p>
        </w:tc>
      </w:tr>
      <w:tr>
        <w:trPr>
          <w:trHeight w:val="292"/>
        </w:trPr>
        <w:tc>
          <w:tcPr>
            <w:tcW w:w="7440" w:type="dxa"/>
            <w:vAlign w:val="bottom"/>
          </w:tcPr>
          <w:p>
            <w:pPr>
              <w:spacing w:after="0"/>
              <w:rPr>
                <w:sz w:val="20"/>
                <w:szCs w:val="20"/>
                <w:color w:val="auto"/>
              </w:rPr>
            </w:pPr>
            <w:r>
              <w:rPr>
                <w:rFonts w:ascii="Arial" w:cs="Arial" w:eastAsia="Arial" w:hAnsi="Arial"/>
                <w:sz w:val="14"/>
                <w:szCs w:val="14"/>
                <w:color w:val="auto"/>
              </w:rPr>
              <w:t>Revenue</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$1,517</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$2,621</w:t>
            </w:r>
          </w:p>
        </w:tc>
        <w:tc>
          <w:tcPr>
            <w:tcW w:w="2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72.8%</w:t>
            </w:r>
          </w:p>
        </w:tc>
      </w:tr>
      <w:tr>
        <w:trPr>
          <w:trHeight w:val="269"/>
        </w:trPr>
        <w:tc>
          <w:tcPr>
            <w:tcW w:w="7440" w:type="dxa"/>
            <w:vAlign w:val="bottom"/>
          </w:tcPr>
          <w:p>
            <w:pPr>
              <w:spacing w:after="0"/>
              <w:rPr>
                <w:sz w:val="20"/>
                <w:szCs w:val="20"/>
                <w:color w:val="auto"/>
              </w:rPr>
            </w:pPr>
            <w:r>
              <w:rPr>
                <w:rFonts w:ascii="Arial" w:cs="Arial" w:eastAsia="Arial" w:hAnsi="Arial"/>
                <w:sz w:val="14"/>
                <w:szCs w:val="14"/>
                <w:color w:val="auto"/>
              </w:rPr>
              <w:t>2014 Olympics</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(846)</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7"/>
        </w:trPr>
        <w:tc>
          <w:tcPr>
            <w:tcW w:w="744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$1,517</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$1,775</w:t>
            </w:r>
          </w:p>
        </w:tc>
        <w:tc>
          <w:tcPr>
            <w:tcW w:w="2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17.0%</w:t>
            </w:r>
          </w:p>
        </w:tc>
      </w:tr>
      <w:tr>
        <w:trPr>
          <w:trHeight w:val="20"/>
        </w:trPr>
        <w:tc>
          <w:tcPr>
            <w:tcW w:w="7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w:t>
      </w:r>
      <w:r>
        <w:rPr>
          <w:rFonts w:ascii="Arial" w:cs="Arial" w:eastAsia="Arial" w:hAnsi="Arial"/>
          <w:sz w:val="13"/>
          <w:szCs w:val="13"/>
          <w:color w:val="auto"/>
        </w:rPr>
        <w:t xml:space="preserve"> Minor differences may exist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7"/>
          <w:szCs w:val="17"/>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Operating Cash Flow is defined as operating income (loss) before depreciation and amortization, excluding impairment charges related to fixed and intangible assets and gains or losses on the sale of assets, if any. This measure eliminates the significant level of noncash depreciation and amortization expense that results from the capital-intensive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 cont’d</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6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In Exhibit 99.1 to this Current Report on Form 8-K we provide reconciliations of Free Cash Flow in Table 4, Consolidated Operating Cash Flow in Table 1 and “adjusted” data in Tables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4"/>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2019-12-07T03:18:36Z</dcterms:created>
  <dcterms:modified xsi:type="dcterms:W3CDTF">2019-12-07T03:18:36Z</dcterms:modified>
</cp:coreProperties>
</file>