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28, 2012</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1280" w:type="dxa"/>
        <w:tblCellMar>
          <w:top w:w="0" w:type="dxa"/>
          <w:left w:w="0" w:type="dxa"/>
          <w:bottom w:w="0" w:type="dxa"/>
          <w:right w:w="0" w:type="dxa"/>
        </w:tblCellMar>
      </w:tblPr>
      <w:tr>
        <w:trPr>
          <w:trHeight w:val="529"/>
        </w:trPr>
        <w:tc>
          <w:tcPr>
            <w:tcW w:w="8540" w:type="dxa"/>
            <w:vAlign w:val="bottom"/>
            <w:gridSpan w:val="3"/>
          </w:tcPr>
          <w:p>
            <w:pPr>
              <w:jc w:val="center"/>
              <w:ind w:left="248"/>
              <w:spacing w:after="0"/>
              <w:rPr>
                <w:sz w:val="20"/>
                <w:szCs w:val="20"/>
                <w:color w:val="auto"/>
              </w:rPr>
            </w:pPr>
            <w:r>
              <w:rPr>
                <w:rFonts w:ascii="Arial" w:cs="Arial" w:eastAsia="Arial" w:hAnsi="Arial"/>
                <w:sz w:val="43"/>
                <w:szCs w:val="43"/>
                <w:b w:val="1"/>
                <w:bCs w:val="1"/>
                <w:color w:val="auto"/>
                <w:w w:val="96"/>
              </w:rPr>
              <w:t>NBCUniversal Media, LLC</w:t>
            </w:r>
          </w:p>
        </w:tc>
      </w:tr>
      <w:tr>
        <w:trPr>
          <w:trHeight w:val="228"/>
        </w:trPr>
        <w:tc>
          <w:tcPr>
            <w:tcW w:w="8540" w:type="dxa"/>
            <w:vAlign w:val="bottom"/>
            <w:gridSpan w:val="3"/>
          </w:tcPr>
          <w:p>
            <w:pPr>
              <w:jc w:val="center"/>
              <w:ind w:left="22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110"/>
        </w:trPr>
        <w:tc>
          <w:tcPr>
            <w:tcW w:w="324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r>
      <w:tr>
        <w:trPr>
          <w:trHeight w:val="251"/>
        </w:trPr>
        <w:tc>
          <w:tcPr>
            <w:tcW w:w="3240" w:type="dxa"/>
            <w:vAlign w:val="bottom"/>
          </w:tcPr>
          <w:p>
            <w:pPr>
              <w:jc w:val="center"/>
              <w:ind w:right="1328"/>
              <w:spacing w:after="0"/>
              <w:rPr>
                <w:sz w:val="20"/>
                <w:szCs w:val="20"/>
                <w:color w:val="auto"/>
              </w:rPr>
            </w:pPr>
            <w:r>
              <w:rPr>
                <w:rFonts w:ascii="Arial" w:cs="Arial" w:eastAsia="Arial" w:hAnsi="Arial"/>
                <w:sz w:val="18"/>
                <w:szCs w:val="18"/>
                <w:b w:val="1"/>
                <w:bCs w:val="1"/>
                <w:color w:val="auto"/>
                <w:w w:val="88"/>
              </w:rPr>
              <w:t>Delaware</w:t>
            </w:r>
          </w:p>
        </w:tc>
        <w:tc>
          <w:tcPr>
            <w:tcW w:w="5300" w:type="dxa"/>
            <w:vAlign w:val="bottom"/>
            <w:gridSpan w:val="2"/>
          </w:tcPr>
          <w:p>
            <w:pPr>
              <w:jc w:val="center"/>
              <w:ind w:left="3852"/>
              <w:spacing w:after="0"/>
              <w:rPr>
                <w:sz w:val="20"/>
                <w:szCs w:val="20"/>
                <w:color w:val="auto"/>
              </w:rPr>
            </w:pPr>
            <w:r>
              <w:rPr>
                <w:rFonts w:ascii="Arial" w:cs="Arial" w:eastAsia="Arial" w:hAnsi="Arial"/>
                <w:sz w:val="18"/>
                <w:szCs w:val="18"/>
                <w:b w:val="1"/>
                <w:bCs w:val="1"/>
                <w:color w:val="auto"/>
                <w:w w:val="87"/>
              </w:rPr>
              <w:t>14-1682529</w:t>
            </w:r>
          </w:p>
        </w:tc>
      </w:tr>
      <w:tr>
        <w:trPr>
          <w:trHeight w:val="149"/>
        </w:trPr>
        <w:tc>
          <w:tcPr>
            <w:tcW w:w="3240" w:type="dxa"/>
            <w:vAlign w:val="bottom"/>
          </w:tcPr>
          <w:p>
            <w:pPr>
              <w:jc w:val="center"/>
              <w:ind w:right="132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2920" w:type="dxa"/>
            <w:vAlign w:val="bottom"/>
          </w:tcPr>
          <w:p>
            <w:pPr>
              <w:jc w:val="center"/>
              <w:ind w:left="1499"/>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0"/>
        </w:trPr>
        <w:tc>
          <w:tcPr>
            <w:tcW w:w="3240" w:type="dxa"/>
            <w:vAlign w:val="bottom"/>
          </w:tcPr>
          <w:p>
            <w:pPr>
              <w:jc w:val="center"/>
              <w:ind w:right="1328"/>
              <w:spacing w:after="0"/>
              <w:rPr>
                <w:sz w:val="20"/>
                <w:szCs w:val="20"/>
                <w:color w:val="auto"/>
              </w:rPr>
            </w:pPr>
            <w:r>
              <w:rPr>
                <w:rFonts w:ascii="Arial" w:cs="Arial" w:eastAsia="Arial" w:hAnsi="Arial"/>
                <w:sz w:val="14"/>
                <w:szCs w:val="14"/>
                <w:b w:val="1"/>
                <w:bCs w:val="1"/>
                <w:color w:val="auto"/>
                <w:w w:val="89"/>
              </w:rPr>
              <w:t>Incorporation or Organization)</w:t>
            </w:r>
          </w:p>
        </w:tc>
        <w:tc>
          <w:tcPr>
            <w:tcW w:w="2380" w:type="dxa"/>
            <w:vAlign w:val="bottom"/>
          </w:tcPr>
          <w:p>
            <w:pPr>
              <w:spacing w:after="0"/>
              <w:rPr>
                <w:sz w:val="13"/>
                <w:szCs w:val="13"/>
                <w:color w:val="auto"/>
              </w:rPr>
            </w:pPr>
          </w:p>
        </w:tc>
        <w:tc>
          <w:tcPr>
            <w:tcW w:w="2920" w:type="dxa"/>
            <w:vAlign w:val="bottom"/>
          </w:tcPr>
          <w:p>
            <w:pPr>
              <w:jc w:val="center"/>
              <w:ind w:left="1499"/>
              <w:spacing w:after="0"/>
              <w:rPr>
                <w:sz w:val="20"/>
                <w:szCs w:val="20"/>
                <w:color w:val="auto"/>
              </w:rPr>
            </w:pPr>
            <w:r>
              <w:rPr>
                <w:rFonts w:ascii="Arial" w:cs="Arial" w:eastAsia="Arial" w:hAnsi="Arial"/>
                <w:sz w:val="14"/>
                <w:szCs w:val="14"/>
                <w:b w:val="1"/>
                <w:bCs w:val="1"/>
                <w:color w:val="auto"/>
                <w:w w:val="90"/>
              </w:rPr>
              <w:t>Identification Number)</w:t>
            </w:r>
          </w:p>
        </w:tc>
      </w:tr>
      <w:tr>
        <w:trPr>
          <w:trHeight w:val="216"/>
        </w:trPr>
        <w:tc>
          <w:tcPr>
            <w:tcW w:w="3240" w:type="dxa"/>
            <w:vAlign w:val="bottom"/>
          </w:tcPr>
          <w:p>
            <w:pPr>
              <w:spacing w:after="0"/>
              <w:rPr>
                <w:sz w:val="18"/>
                <w:szCs w:val="18"/>
                <w:color w:val="auto"/>
              </w:rPr>
            </w:pPr>
          </w:p>
        </w:tc>
        <w:tc>
          <w:tcPr>
            <w:tcW w:w="5300" w:type="dxa"/>
            <w:vAlign w:val="bottom"/>
            <w:gridSpan w:val="2"/>
          </w:tcPr>
          <w:p>
            <w:pPr>
              <w:jc w:val="center"/>
              <w:ind w:right="2839"/>
              <w:spacing w:after="0"/>
              <w:rPr>
                <w:sz w:val="20"/>
                <w:szCs w:val="20"/>
                <w:color w:val="auto"/>
              </w:rPr>
            </w:pPr>
            <w:r>
              <w:rPr>
                <w:rFonts w:ascii="Arial" w:cs="Arial" w:eastAsia="Arial" w:hAnsi="Arial"/>
                <w:sz w:val="18"/>
                <w:szCs w:val="18"/>
                <w:b w:val="1"/>
                <w:bCs w:val="1"/>
                <w:color w:val="auto"/>
                <w:w w:val="88"/>
              </w:rPr>
              <w:t>30 Rockefeller Plaza</w:t>
            </w:r>
          </w:p>
        </w:tc>
      </w:tr>
      <w:tr>
        <w:trPr>
          <w:trHeight w:val="216"/>
        </w:trPr>
        <w:tc>
          <w:tcPr>
            <w:tcW w:w="3240" w:type="dxa"/>
            <w:vAlign w:val="bottom"/>
          </w:tcPr>
          <w:p>
            <w:pPr>
              <w:spacing w:after="0"/>
              <w:rPr>
                <w:sz w:val="18"/>
                <w:szCs w:val="18"/>
                <w:color w:val="auto"/>
              </w:rPr>
            </w:pPr>
          </w:p>
        </w:tc>
        <w:tc>
          <w:tcPr>
            <w:tcW w:w="5300" w:type="dxa"/>
            <w:vAlign w:val="bottom"/>
            <w:gridSpan w:val="2"/>
          </w:tcPr>
          <w:p>
            <w:pPr>
              <w:jc w:val="center"/>
              <w:ind w:right="2839"/>
              <w:spacing w:after="0"/>
              <w:rPr>
                <w:sz w:val="20"/>
                <w:szCs w:val="20"/>
                <w:color w:val="auto"/>
              </w:rPr>
            </w:pPr>
            <w:r>
              <w:rPr>
                <w:rFonts w:ascii="Arial" w:cs="Arial" w:eastAsia="Arial" w:hAnsi="Arial"/>
                <w:sz w:val="18"/>
                <w:szCs w:val="18"/>
                <w:b w:val="1"/>
                <w:bCs w:val="1"/>
                <w:color w:val="auto"/>
                <w:w w:val="89"/>
              </w:rPr>
              <w:t>New York, New York 10112</w:t>
            </w:r>
          </w:p>
        </w:tc>
      </w:tr>
      <w:tr>
        <w:trPr>
          <w:trHeight w:val="218"/>
        </w:trPr>
        <w:tc>
          <w:tcPr>
            <w:tcW w:w="3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(212) 664-4444</w:t>
            </w:r>
          </w:p>
        </w:tc>
        <w:tc>
          <w:tcPr>
            <w:tcW w:w="2920" w:type="dxa"/>
            <w:vAlign w:val="bottom"/>
          </w:tcPr>
          <w:p>
            <w:pPr>
              <w:spacing w:after="0"/>
              <w:rPr>
                <w:sz w:val="18"/>
                <w:szCs w:val="18"/>
                <w:color w:val="auto"/>
              </w:rPr>
            </w:pPr>
          </w:p>
        </w:tc>
      </w:tr>
      <w:tr>
        <w:trPr>
          <w:trHeight w:val="174"/>
        </w:trPr>
        <w:tc>
          <w:tcPr>
            <w:tcW w:w="85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r>
      <w:tr>
        <w:trPr>
          <w:trHeight w:val="109"/>
        </w:trPr>
        <w:tc>
          <w:tcPr>
            <w:tcW w:w="324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r>
      <w:tr>
        <w:trPr>
          <w:trHeight w:val="222"/>
        </w:trPr>
        <w:tc>
          <w:tcPr>
            <w:tcW w:w="3240" w:type="dxa"/>
            <w:vAlign w:val="bottom"/>
          </w:tcPr>
          <w:p>
            <w:pPr>
              <w:spacing w:after="0"/>
              <w:rPr>
                <w:sz w:val="19"/>
                <w:szCs w:val="19"/>
                <w:color w:val="auto"/>
              </w:rPr>
            </w:pPr>
          </w:p>
        </w:tc>
        <w:tc>
          <w:tcPr>
            <w:tcW w:w="5300" w:type="dxa"/>
            <w:vAlign w:val="bottom"/>
            <w:gridSpan w:val="2"/>
          </w:tcPr>
          <w:p>
            <w:pPr>
              <w:jc w:val="center"/>
              <w:ind w:right="2819"/>
              <w:spacing w:after="0"/>
              <w:rPr>
                <w:sz w:val="20"/>
                <w:szCs w:val="20"/>
                <w:color w:val="auto"/>
              </w:rPr>
            </w:pPr>
            <w:r>
              <w:rPr>
                <w:rFonts w:ascii="Arial" w:cs="Arial" w:eastAsia="Arial" w:hAnsi="Arial"/>
                <w:sz w:val="18"/>
                <w:szCs w:val="18"/>
                <w:b w:val="1"/>
                <w:bCs w:val="1"/>
                <w:color w:val="auto"/>
                <w:w w:val="87"/>
              </w:rPr>
              <w:t>Stephen B. Burke</w:t>
            </w:r>
          </w:p>
        </w:tc>
      </w:tr>
      <w:tr>
        <w:trPr>
          <w:trHeight w:val="216"/>
        </w:trPr>
        <w:tc>
          <w:tcPr>
            <w:tcW w:w="3240" w:type="dxa"/>
            <w:vAlign w:val="bottom"/>
          </w:tcPr>
          <w:p>
            <w:pPr>
              <w:spacing w:after="0"/>
              <w:rPr>
                <w:sz w:val="18"/>
                <w:szCs w:val="18"/>
                <w:color w:val="auto"/>
              </w:rPr>
            </w:pPr>
          </w:p>
        </w:tc>
        <w:tc>
          <w:tcPr>
            <w:tcW w:w="5300" w:type="dxa"/>
            <w:vAlign w:val="bottom"/>
            <w:gridSpan w:val="2"/>
          </w:tcPr>
          <w:p>
            <w:pPr>
              <w:jc w:val="center"/>
              <w:ind w:right="2839"/>
              <w:spacing w:after="0"/>
              <w:rPr>
                <w:sz w:val="20"/>
                <w:szCs w:val="20"/>
                <w:color w:val="auto"/>
              </w:rPr>
            </w:pPr>
            <w:r>
              <w:rPr>
                <w:rFonts w:ascii="Arial" w:cs="Arial" w:eastAsia="Arial" w:hAnsi="Arial"/>
                <w:sz w:val="18"/>
                <w:szCs w:val="18"/>
                <w:b w:val="1"/>
                <w:bCs w:val="1"/>
                <w:color w:val="auto"/>
                <w:w w:val="88"/>
              </w:rPr>
              <w:t>30 Rockefeller Plaza</w:t>
            </w:r>
          </w:p>
        </w:tc>
      </w:tr>
      <w:tr>
        <w:trPr>
          <w:trHeight w:val="216"/>
        </w:trPr>
        <w:tc>
          <w:tcPr>
            <w:tcW w:w="3240" w:type="dxa"/>
            <w:vAlign w:val="bottom"/>
          </w:tcPr>
          <w:p>
            <w:pPr>
              <w:spacing w:after="0"/>
              <w:rPr>
                <w:sz w:val="18"/>
                <w:szCs w:val="18"/>
                <w:color w:val="auto"/>
              </w:rPr>
            </w:pPr>
          </w:p>
        </w:tc>
        <w:tc>
          <w:tcPr>
            <w:tcW w:w="5300" w:type="dxa"/>
            <w:vAlign w:val="bottom"/>
            <w:gridSpan w:val="2"/>
          </w:tcPr>
          <w:p>
            <w:pPr>
              <w:jc w:val="center"/>
              <w:ind w:right="2839"/>
              <w:spacing w:after="0"/>
              <w:rPr>
                <w:sz w:val="20"/>
                <w:szCs w:val="20"/>
                <w:color w:val="auto"/>
              </w:rPr>
            </w:pPr>
            <w:r>
              <w:rPr>
                <w:rFonts w:ascii="Arial" w:cs="Arial" w:eastAsia="Arial" w:hAnsi="Arial"/>
                <w:sz w:val="18"/>
                <w:szCs w:val="18"/>
                <w:b w:val="1"/>
                <w:bCs w:val="1"/>
                <w:color w:val="auto"/>
                <w:w w:val="89"/>
              </w:rPr>
              <w:t>New York, New York 10112</w:t>
            </w:r>
          </w:p>
        </w:tc>
      </w:tr>
      <w:tr>
        <w:trPr>
          <w:trHeight w:val="218"/>
        </w:trPr>
        <w:tc>
          <w:tcPr>
            <w:tcW w:w="32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(212) 666-4444</w:t>
            </w:r>
          </w:p>
        </w:tc>
        <w:tc>
          <w:tcPr>
            <w:tcW w:w="2920" w:type="dxa"/>
            <w:vAlign w:val="bottom"/>
          </w:tcPr>
          <w:p>
            <w:pPr>
              <w:spacing w:after="0"/>
              <w:rPr>
                <w:sz w:val="18"/>
                <w:szCs w:val="18"/>
                <w:color w:val="auto"/>
              </w:rPr>
            </w:pPr>
          </w:p>
        </w:tc>
      </w:tr>
      <w:tr>
        <w:trPr>
          <w:trHeight w:val="174"/>
        </w:trPr>
        <w:tc>
          <w:tcPr>
            <w:tcW w:w="85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87"/>
              </w:rPr>
              <w:t>(Name, Address, Including Zip Code, and Telephone Number, Including Area Code, of Agent For Service)</w:t>
            </w:r>
          </w:p>
        </w:tc>
      </w:tr>
      <w:tr>
        <w:trPr>
          <w:trHeight w:val="95"/>
        </w:trPr>
        <w:tc>
          <w:tcPr>
            <w:tcW w:w="324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r>
      <w:tr>
        <w:trPr>
          <w:trHeight w:val="235"/>
        </w:trPr>
        <w:tc>
          <w:tcPr>
            <w:tcW w:w="3240" w:type="dxa"/>
            <w:vAlign w:val="bottom"/>
          </w:tcPr>
          <w:p>
            <w:pPr>
              <w:spacing w:after="0"/>
              <w:rPr>
                <w:sz w:val="20"/>
                <w:szCs w:val="20"/>
                <w:color w:val="auto"/>
              </w:rPr>
            </w:pPr>
          </w:p>
        </w:tc>
        <w:tc>
          <w:tcPr>
            <w:tcW w:w="5300" w:type="dxa"/>
            <w:vAlign w:val="bottom"/>
            <w:gridSpan w:val="2"/>
          </w:tcPr>
          <w:p>
            <w:pPr>
              <w:jc w:val="center"/>
              <w:ind w:right="2819"/>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31"/>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Arthur R. Block, Esq.</w:t>
            </w:r>
          </w:p>
        </w:tc>
        <w:tc>
          <w:tcPr>
            <w:tcW w:w="2380" w:type="dxa"/>
            <w:vAlign w:val="bottom"/>
          </w:tcPr>
          <w:p>
            <w:pPr>
              <w:spacing w:after="0"/>
              <w:rPr>
                <w:sz w:val="20"/>
                <w:szCs w:val="20"/>
                <w:color w:val="auto"/>
              </w:rPr>
            </w:pPr>
          </w:p>
        </w:tc>
        <w:tc>
          <w:tcPr>
            <w:tcW w:w="2920" w:type="dxa"/>
            <w:vAlign w:val="bottom"/>
          </w:tcPr>
          <w:p>
            <w:pPr>
              <w:jc w:val="center"/>
              <w:ind w:left="519"/>
              <w:spacing w:after="0"/>
              <w:rPr>
                <w:sz w:val="20"/>
                <w:szCs w:val="20"/>
                <w:color w:val="auto"/>
              </w:rPr>
            </w:pPr>
            <w:r>
              <w:rPr>
                <w:rFonts w:ascii="Arial" w:cs="Arial" w:eastAsia="Arial" w:hAnsi="Arial"/>
                <w:sz w:val="18"/>
                <w:szCs w:val="18"/>
                <w:b w:val="1"/>
                <w:bCs w:val="1"/>
                <w:color w:val="auto"/>
                <w:w w:val="88"/>
              </w:rPr>
              <w:t>Bruce K. Dallas, Esq.</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8"/>
              </w:rPr>
              <w:t>Comcast Corporation</w:t>
            </w:r>
          </w:p>
        </w:tc>
        <w:tc>
          <w:tcPr>
            <w:tcW w:w="2380" w:type="dxa"/>
            <w:vAlign w:val="bottom"/>
          </w:tcPr>
          <w:p>
            <w:pPr>
              <w:spacing w:after="0"/>
              <w:rPr>
                <w:sz w:val="18"/>
                <w:szCs w:val="18"/>
                <w:color w:val="auto"/>
              </w:rPr>
            </w:pPr>
          </w:p>
        </w:tc>
        <w:tc>
          <w:tcPr>
            <w:tcW w:w="2920" w:type="dxa"/>
            <w:vAlign w:val="bottom"/>
          </w:tcPr>
          <w:p>
            <w:pPr>
              <w:jc w:val="center"/>
              <w:ind w:left="499"/>
              <w:spacing w:after="0"/>
              <w:rPr>
                <w:sz w:val="20"/>
                <w:szCs w:val="20"/>
                <w:color w:val="auto"/>
              </w:rPr>
            </w:pPr>
            <w:r>
              <w:rPr>
                <w:rFonts w:ascii="Arial" w:cs="Arial" w:eastAsia="Arial" w:hAnsi="Arial"/>
                <w:sz w:val="18"/>
                <w:szCs w:val="18"/>
                <w:b w:val="1"/>
                <w:bCs w:val="1"/>
                <w:color w:val="auto"/>
                <w:w w:val="92"/>
              </w:rPr>
              <w:t>Davis Polk &amp; Wardwell LLP</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380" w:type="dxa"/>
            <w:vAlign w:val="bottom"/>
          </w:tcPr>
          <w:p>
            <w:pPr>
              <w:spacing w:after="0"/>
              <w:rPr>
                <w:sz w:val="18"/>
                <w:szCs w:val="18"/>
                <w:color w:val="auto"/>
              </w:rPr>
            </w:pPr>
          </w:p>
        </w:tc>
        <w:tc>
          <w:tcPr>
            <w:tcW w:w="2920" w:type="dxa"/>
            <w:vAlign w:val="bottom"/>
          </w:tcPr>
          <w:p>
            <w:pPr>
              <w:jc w:val="center"/>
              <w:ind w:left="499"/>
              <w:spacing w:after="0"/>
              <w:rPr>
                <w:sz w:val="20"/>
                <w:szCs w:val="20"/>
                <w:color w:val="auto"/>
              </w:rPr>
            </w:pPr>
            <w:r>
              <w:rPr>
                <w:rFonts w:ascii="Arial" w:cs="Arial" w:eastAsia="Arial" w:hAnsi="Arial"/>
                <w:sz w:val="18"/>
                <w:szCs w:val="18"/>
                <w:b w:val="1"/>
                <w:bCs w:val="1"/>
                <w:color w:val="auto"/>
                <w:w w:val="89"/>
              </w:rPr>
              <w:t>1600 El Camino Real</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7"/>
              </w:rPr>
              <w:t>Philadelphia, Pennsylvania 19103-2838</w:t>
            </w:r>
          </w:p>
        </w:tc>
        <w:tc>
          <w:tcPr>
            <w:tcW w:w="2380" w:type="dxa"/>
            <w:vAlign w:val="bottom"/>
          </w:tcPr>
          <w:p>
            <w:pPr>
              <w:spacing w:after="0"/>
              <w:rPr>
                <w:sz w:val="18"/>
                <w:szCs w:val="18"/>
                <w:color w:val="auto"/>
              </w:rPr>
            </w:pPr>
          </w:p>
        </w:tc>
        <w:tc>
          <w:tcPr>
            <w:tcW w:w="2920" w:type="dxa"/>
            <w:vAlign w:val="bottom"/>
          </w:tcPr>
          <w:p>
            <w:pPr>
              <w:jc w:val="center"/>
              <w:ind w:left="499"/>
              <w:spacing w:after="0"/>
              <w:rPr>
                <w:sz w:val="20"/>
                <w:szCs w:val="20"/>
                <w:color w:val="auto"/>
              </w:rPr>
            </w:pPr>
            <w:r>
              <w:rPr>
                <w:rFonts w:ascii="Arial" w:cs="Arial" w:eastAsia="Arial" w:hAnsi="Arial"/>
                <w:sz w:val="18"/>
                <w:szCs w:val="18"/>
                <w:b w:val="1"/>
                <w:bCs w:val="1"/>
                <w:color w:val="auto"/>
                <w:w w:val="90"/>
              </w:rPr>
              <w:t>Menlo Park, California 94025</w:t>
            </w:r>
          </w:p>
        </w:tc>
      </w:tr>
      <w:tr>
        <w:trPr>
          <w:trHeight w:val="228"/>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5300" w:type="dxa"/>
            <w:vAlign w:val="bottom"/>
            <w:gridSpan w:val="2"/>
          </w:tcPr>
          <w:p>
            <w:pPr>
              <w:jc w:val="center"/>
              <w:ind w:left="2872"/>
              <w:spacing w:after="0"/>
              <w:rPr>
                <w:sz w:val="20"/>
                <w:szCs w:val="20"/>
                <w:color w:val="auto"/>
              </w:rPr>
            </w:pPr>
            <w:r>
              <w:rPr>
                <w:rFonts w:ascii="Arial" w:cs="Arial" w:eastAsia="Arial" w:hAnsi="Arial"/>
                <w:sz w:val="18"/>
                <w:szCs w:val="18"/>
                <w:b w:val="1"/>
                <w:bCs w:val="1"/>
                <w:color w:val="auto"/>
                <w:w w:val="89"/>
              </w:rPr>
              <w:t>(650) 752-2000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46" w:lineRule="exact"/>
        <w:rPr>
          <w:sz w:val="24"/>
          <w:szCs w:val="24"/>
          <w:color w:val="auto"/>
        </w:rPr>
      </w:pPr>
    </w:p>
    <w:p>
      <w:pPr>
        <w:ind w:left="360"/>
        <w:spacing w:after="0" w:line="184" w:lineRule="exact"/>
        <w:tabs>
          <w:tab w:leader="none" w:pos="11220" w:val="left"/>
        </w:tabs>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6"/>
          <w:szCs w:val="16"/>
          <w:color w:val="auto"/>
        </w:rPr>
        <w:t>☐</w:t>
      </w:r>
    </w:p>
    <w:p>
      <w:pPr>
        <w:spacing w:after="0" w:line="105" w:lineRule="exact"/>
        <w:rPr>
          <w:sz w:val="24"/>
          <w:szCs w:val="24"/>
          <w:color w:val="auto"/>
        </w:rPr>
      </w:pPr>
    </w:p>
    <w:p>
      <w:pPr>
        <w:ind w:right="420" w:firstLine="342"/>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right="5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00" w:type="dxa"/>
            <w:vAlign w:val="bottom"/>
            <w:gridSpan w:val="2"/>
          </w:tcPr>
          <w:p>
            <w:pPr>
              <w:spacing w:after="0"/>
              <w:rPr>
                <w:sz w:val="20"/>
                <w:szCs w:val="20"/>
                <w:color w:val="auto"/>
              </w:rPr>
            </w:pPr>
            <w:r>
              <w:rPr>
                <w:rFonts w:ascii="Arial" w:cs="Arial" w:eastAsia="Arial" w:hAnsi="Arial"/>
                <w:sz w:val="18"/>
                <w:szCs w:val="18"/>
                <w:color w:val="auto"/>
                <w:w w:val="94"/>
              </w:rPr>
              <w:t>Large accelerated filer</w:t>
            </w:r>
          </w:p>
        </w:tc>
        <w:tc>
          <w:tcPr>
            <w:tcW w:w="6560" w:type="dxa"/>
            <w:vAlign w:val="bottom"/>
            <w:gridSpan w:val="3"/>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gridSpan w:val="2"/>
          </w:tcPr>
          <w:p>
            <w:pPr>
              <w:ind w:left="840"/>
              <w:spacing w:after="0"/>
              <w:rPr>
                <w:sz w:val="20"/>
                <w:szCs w:val="20"/>
                <w:color w:val="auto"/>
              </w:rPr>
            </w:pPr>
            <w:r>
              <w:rPr>
                <w:rFonts w:ascii="Arial" w:cs="Arial" w:eastAsia="Arial" w:hAnsi="Arial"/>
                <w:sz w:val="18"/>
                <w:szCs w:val="18"/>
                <w:color w:val="auto"/>
              </w:rPr>
              <w:t>Accelerated filer</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6560" w:type="dxa"/>
            <w:vAlign w:val="bottom"/>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80" w:type="dxa"/>
            <w:vAlign w:val="bottom"/>
            <w:gridSpan w:val="2"/>
          </w:tcPr>
          <w:p>
            <w:pPr>
              <w:ind w:left="840"/>
              <w:spacing w:after="0"/>
              <w:rPr>
                <w:sz w:val="20"/>
                <w:szCs w:val="20"/>
                <w:color w:val="auto"/>
              </w:rPr>
            </w:pPr>
            <w:r>
              <w:rPr>
                <w:rFonts w:ascii="Arial" w:cs="Arial" w:eastAsia="Arial" w:hAnsi="Arial"/>
                <w:sz w:val="18"/>
                <w:szCs w:val="18"/>
                <w:color w:val="auto"/>
                <w:w w:val="98"/>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560" w:type="dxa"/>
            <w:vAlign w:val="bottom"/>
            <w:gridSpan w:val="3"/>
          </w:tcPr>
          <w:p>
            <w:pPr>
              <w:ind w:left="23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560" w:type="dxa"/>
            <w:vAlign w:val="bottom"/>
            <w:tcBorders>
              <w:right w:val="single" w:sz="8" w:color="auto"/>
            </w:tcBorders>
            <w:gridSpan w:val="3"/>
            <w:vMerge w:val="restart"/>
          </w:tcPr>
          <w:p>
            <w:pPr>
              <w:jc w:val="center"/>
              <w:ind w:right="1720"/>
              <w:spacing w:after="0"/>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5"/>
              <w:spacing w:after="0" w:line="117" w:lineRule="exact"/>
              <w:rPr>
                <w:sz w:val="20"/>
                <w:szCs w:val="20"/>
                <w:color w:val="auto"/>
              </w:rPr>
            </w:pPr>
            <w:r>
              <w:rPr>
                <w:rFonts w:ascii="Arial" w:cs="Arial" w:eastAsia="Arial" w:hAnsi="Arial"/>
                <w:sz w:val="12"/>
                <w:szCs w:val="12"/>
                <w:b w:val="1"/>
                <w:bCs w:val="1"/>
                <w:color w:val="auto"/>
              </w:rPr>
              <w:t>Proposed Maximum</w:t>
            </w: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560" w:type="dxa"/>
            <w:vAlign w:val="bottom"/>
            <w:tcBorders>
              <w:right w:val="single" w:sz="8" w:color="auto"/>
            </w:tcBorders>
            <w:gridSpan w:val="3"/>
            <w:vMerge w:val="continue"/>
          </w:tcPr>
          <w:p>
            <w:pPr>
              <w:spacing w:after="0"/>
              <w:rPr>
                <w:sz w:val="11"/>
                <w:szCs w:val="11"/>
                <w:color w:val="auto"/>
              </w:rPr>
            </w:pPr>
          </w:p>
        </w:tc>
        <w:tc>
          <w:tcPr>
            <w:tcW w:w="16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1380" w:type="dxa"/>
            <w:vAlign w:val="bottom"/>
          </w:tcPr>
          <w:p>
            <w:pPr>
              <w:jc w:val="center"/>
              <w:ind w:left="212"/>
              <w:spacing w:after="0" w:line="135"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6560" w:type="dxa"/>
            <w:vAlign w:val="bottom"/>
            <w:tcBorders>
              <w:bottom w:val="single" w:sz="8" w:color="auto"/>
              <w:right w:val="single" w:sz="8" w:color="auto"/>
            </w:tcBorders>
            <w:gridSpan w:val="3"/>
          </w:tcPr>
          <w:p>
            <w:pPr>
              <w:jc w:val="center"/>
              <w:ind w:right="1720"/>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1380" w:type="dxa"/>
            <w:vAlign w:val="bottom"/>
            <w:tcBorders>
              <w:bottom w:val="single" w:sz="8" w:color="auto"/>
            </w:tcBorders>
          </w:tcPr>
          <w:p>
            <w:pPr>
              <w:jc w:val="center"/>
              <w:ind w:left="212"/>
              <w:spacing w:after="0"/>
              <w:rPr>
                <w:sz w:val="20"/>
                <w:szCs w:val="20"/>
                <w:color w:val="auto"/>
              </w:rPr>
            </w:pPr>
            <w:r>
              <w:rPr>
                <w:rFonts w:ascii="Arial" w:cs="Arial" w:eastAsia="Arial" w:hAnsi="Arial"/>
                <w:sz w:val="14"/>
                <w:szCs w:val="14"/>
                <w:b w:val="1"/>
                <w:bCs w:val="1"/>
                <w:color w:val="auto"/>
                <w:w w:val="86"/>
              </w:rPr>
              <w:t>Registration Fee(1)</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Senior debt securities (the “Securities”)</w:t>
            </w:r>
          </w:p>
        </w:tc>
        <w:tc>
          <w:tcPr>
            <w:tcW w:w="16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4"/>
          <w:szCs w:val="24"/>
          <w:color w:val="auto"/>
        </w:rPr>
      </w:pPr>
    </w:p>
    <w:p>
      <w:pPr>
        <w:ind w:left="340" w:right="460" w:hanging="332"/>
        <w:spacing w:after="0" w:line="33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ENIOR</w:t>
      </w:r>
      <w:r>
        <w:rPr>
          <w:rFonts w:ascii="Arial" w:cs="Arial" w:eastAsia="Arial" w:hAnsi="Arial"/>
          <w:sz w:val="24"/>
          <w:szCs w:val="24"/>
          <w:b w:val="1"/>
          <w:bCs w:val="1"/>
          <w:color w:val="auto"/>
        </w:rPr>
        <w:t xml:space="preserve"> D</w:t>
      </w:r>
      <w:r>
        <w:rPr>
          <w:rFonts w:ascii="Arial" w:cs="Arial" w:eastAsia="Arial" w:hAnsi="Arial"/>
          <w:sz w:val="20"/>
          <w:szCs w:val="20"/>
          <w:b w:val="1"/>
          <w:bCs w:val="1"/>
          <w:color w:val="auto"/>
        </w:rPr>
        <w:t>EBT</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NBCUniversal Media, LLC is offering and selling from time to time its Senior Debt Securities under this prospectus. We will describe in a prospectus supplement, which must accompany this prospectus, the specific terms of the securities. Those terms may include: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300" w:type="dxa"/>
            <w:vAlign w:val="bottom"/>
          </w:tcPr>
          <w:p>
            <w:pPr>
              <w:ind w:left="1140"/>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rPr>
              <w:t>Currency of payments</w:t>
            </w:r>
          </w:p>
        </w:tc>
        <w:tc>
          <w:tcPr>
            <w:tcW w:w="3080" w:type="dxa"/>
            <w:vAlign w:val="bottom"/>
            <w:gridSpan w:val="2"/>
          </w:tcPr>
          <w:p>
            <w:pPr>
              <w:ind w:left="70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1300" w:type="dxa"/>
            <w:vAlign w:val="bottom"/>
          </w:tcPr>
          <w:p>
            <w:pPr>
              <w:ind w:left="1140"/>
              <w:spacing w:after="0"/>
              <w:rPr>
                <w:sz w:val="20"/>
                <w:szCs w:val="20"/>
                <w:color w:val="auto"/>
              </w:rPr>
            </w:pPr>
            <w:r>
              <w:rPr>
                <w:rFonts w:ascii="Arial" w:cs="Arial" w:eastAsia="Arial" w:hAnsi="Arial"/>
                <w:sz w:val="18"/>
                <w:szCs w:val="18"/>
                <w:color w:val="auto"/>
              </w:rPr>
              <w:t>•</w:t>
            </w:r>
          </w:p>
        </w:tc>
        <w:tc>
          <w:tcPr>
            <w:tcW w:w="302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2240" w:type="dxa"/>
            <w:vAlign w:val="bottom"/>
          </w:tcPr>
          <w:p>
            <w:pPr>
              <w:ind w:left="100"/>
              <w:spacing w:after="0"/>
              <w:rPr>
                <w:sz w:val="20"/>
                <w:szCs w:val="20"/>
                <w:color w:val="auto"/>
              </w:rPr>
            </w:pPr>
            <w:r>
              <w:rPr>
                <w:rFonts w:ascii="Arial" w:cs="Arial" w:eastAsia="Arial" w:hAnsi="Arial"/>
                <w:sz w:val="18"/>
                <w:szCs w:val="18"/>
                <w:color w:val="auto"/>
              </w:rPr>
              <w:t>Liquidation amount</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Sinking fund terms</w:t>
            </w:r>
          </w:p>
        </w:tc>
        <w:tc>
          <w:tcPr>
            <w:tcW w:w="4320" w:type="dxa"/>
            <w:vAlign w:val="bottom"/>
            <w:gridSpan w:val="2"/>
          </w:tcPr>
          <w:p>
            <w:pPr>
              <w:ind w:left="1140"/>
              <w:spacing w:after="0"/>
              <w:rPr>
                <w:sz w:val="20"/>
                <w:szCs w:val="20"/>
                <w:color w:val="auto"/>
              </w:rPr>
            </w:pPr>
            <w:r>
              <w:rPr>
                <w:rFonts w:ascii="Arial" w:cs="Arial" w:eastAsia="Arial" w:hAnsi="Arial"/>
                <w:sz w:val="18"/>
                <w:szCs w:val="18"/>
                <w:color w:val="auto"/>
              </w:rPr>
              <w:t>•  Listing on a securities exchange</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w w:val="97"/>
              </w:rPr>
              <w:t>Amount payable at maturity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10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15 of our annual report on Form 10-K for the year ended December 31, 2011, which is included as Exhibit 99.2 to the registration statement of which this prospectus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You should read this prospectus and any prospectus supplement carefully before you invest.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September 28, 2012</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5"/>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68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160" w:type="dxa"/>
            <w:vAlign w:val="bottom"/>
            <w:gridSpan w:val="10"/>
            <w:vMerge w:val="continue"/>
          </w:tcPr>
          <w:p>
            <w:pPr>
              <w:spacing w:after="0"/>
              <w:rPr>
                <w:sz w:val="13"/>
                <w:szCs w:val="13"/>
                <w:color w:val="auto"/>
              </w:rPr>
            </w:pPr>
          </w:p>
        </w:tc>
        <w:tc>
          <w:tcPr>
            <w:tcW w:w="688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8"/>
                <w:szCs w:val="18"/>
                <w:color w:val="auto"/>
              </w:rPr>
            </w:pP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Description of Senior Debt Securities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Global Securities</w:t>
              </w:r>
            </w:hyperlink>
          </w:p>
        </w:tc>
        <w:tc>
          <w:tcPr>
            <w:tcW w:w="1520" w:type="dxa"/>
            <w:vAlign w:val="bottom"/>
            <w:gridSpan w:val="2"/>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276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316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Available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560" w:type="dxa"/>
            <w:vAlign w:val="bottom"/>
            <w:gridSpan w:val="6"/>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Incorporation of Certain Documents by Reference</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or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this prospectus, unless otherwise indicated or the context otherwise requires, references to “NBCUniversal,” “our company,” “we,” “us” and “our” are both to (i) after January 28, 2011, NBCUniversal Media, LLC, the Delaware limited liability company into which NBC Universal, Inc. converted pursuant to the Joint Venture Transaction (as defined in “The Company”), together with its subsidiaries (including subsidiaries that hold the Comcast Content Business (as defined in “The Company”)) and (ii) on or prior to January 28, 2011, NBC Universal, Inc., together with its subsidiaries; references to “NBC Universal, Inc.” are to NBC Universal, Inc., excluding its subsidiaries; references to “Predecessor” are to NBCUniversal on or prior to January 28, 2011 (without giving effect to the Joint Venture Transaction) and references to “Successor” are to NBCUniversal after January 28, 2011, giving effect to the Joint Venture Transaction; references to “Comcast” are to Comcast Corporation and its subsidiaries; references to “GE” are to General Electric Company and its subsidiaries; and references to “NBCUniversal Holdings” are to NBCUniversal, LLC, a limited liability company that owns 100% of NBCUniversal Media, LLC.</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own or have rights to use the trademarks, service marks and trade names that we use in connection with the operation of our businesses, including NBC</w:t>
      </w:r>
      <w:r>
        <w:rPr>
          <w:rFonts w:ascii="Arial" w:cs="Arial" w:eastAsia="Arial" w:hAnsi="Arial"/>
          <w:sz w:val="10"/>
          <w:szCs w:val="10"/>
          <w:color w:val="auto"/>
        </w:rPr>
        <w:t>®</w:t>
      </w:r>
      <w:r>
        <w:rPr>
          <w:rFonts w:ascii="Arial" w:cs="Arial" w:eastAsia="Arial" w:hAnsi="Arial"/>
          <w:sz w:val="16"/>
          <w:szCs w:val="16"/>
          <w:color w:val="auto"/>
        </w:rPr>
        <w:t>, NBC Universal</w:t>
      </w:r>
      <w:r>
        <w:rPr>
          <w:rFonts w:ascii="Arial" w:cs="Arial" w:eastAsia="Arial" w:hAnsi="Arial"/>
          <w:sz w:val="10"/>
          <w:szCs w:val="10"/>
          <w:color w:val="auto"/>
        </w:rPr>
        <w:t>®</w:t>
      </w:r>
      <w:r>
        <w:rPr>
          <w:rFonts w:ascii="Arial" w:cs="Arial" w:eastAsia="Arial" w:hAnsi="Arial"/>
          <w:sz w:val="16"/>
          <w:szCs w:val="16"/>
          <w:color w:val="auto"/>
        </w:rPr>
        <w:t>, USA Network</w:t>
      </w:r>
      <w:r>
        <w:rPr>
          <w:rFonts w:ascii="Arial" w:cs="Arial" w:eastAsia="Arial" w:hAnsi="Arial"/>
          <w:sz w:val="10"/>
          <w:szCs w:val="10"/>
          <w:color w:val="auto"/>
        </w:rPr>
        <w:t>®</w:t>
      </w:r>
      <w:r>
        <w:rPr>
          <w:rFonts w:ascii="Arial" w:cs="Arial" w:eastAsia="Arial" w:hAnsi="Arial"/>
          <w:sz w:val="16"/>
          <w:szCs w:val="16"/>
          <w:color w:val="auto"/>
        </w:rPr>
        <w:t>, CNBC</w:t>
      </w:r>
      <w:r>
        <w:rPr>
          <w:rFonts w:ascii="Arial" w:cs="Arial" w:eastAsia="Arial" w:hAnsi="Arial"/>
          <w:sz w:val="10"/>
          <w:szCs w:val="10"/>
          <w:color w:val="auto"/>
        </w:rPr>
        <w:t>®</w:t>
      </w:r>
      <w:r>
        <w:rPr>
          <w:rFonts w:ascii="Arial" w:cs="Arial" w:eastAsia="Arial" w:hAnsi="Arial"/>
          <w:sz w:val="16"/>
          <w:szCs w:val="16"/>
          <w:color w:val="auto"/>
        </w:rPr>
        <w:t>, SyfyTM, E!</w:t>
      </w:r>
      <w:r>
        <w:rPr>
          <w:rFonts w:ascii="Arial" w:cs="Arial" w:eastAsia="Arial" w:hAnsi="Arial"/>
          <w:sz w:val="10"/>
          <w:szCs w:val="10"/>
          <w:color w:val="auto"/>
        </w:rPr>
        <w:t>®</w:t>
      </w:r>
      <w:r>
        <w:rPr>
          <w:rFonts w:ascii="Arial" w:cs="Arial" w:eastAsia="Arial" w:hAnsi="Arial"/>
          <w:sz w:val="16"/>
          <w:szCs w:val="16"/>
          <w:color w:val="auto"/>
        </w:rPr>
        <w:t>, Bravo</w:t>
      </w:r>
      <w:r>
        <w:rPr>
          <w:rFonts w:ascii="Arial" w:cs="Arial" w:eastAsia="Arial" w:hAnsi="Arial"/>
          <w:sz w:val="10"/>
          <w:szCs w:val="10"/>
          <w:color w:val="auto"/>
        </w:rPr>
        <w:t>®</w:t>
      </w:r>
      <w:r>
        <w:rPr>
          <w:rFonts w:ascii="Arial" w:cs="Arial" w:eastAsia="Arial" w:hAnsi="Arial"/>
          <w:sz w:val="16"/>
          <w:szCs w:val="16"/>
          <w:color w:val="auto"/>
        </w:rPr>
        <w:t>, The Golf Channel</w:t>
      </w:r>
      <w:r>
        <w:rPr>
          <w:rFonts w:ascii="Arial" w:cs="Arial" w:eastAsia="Arial" w:hAnsi="Arial"/>
          <w:sz w:val="10"/>
          <w:szCs w:val="10"/>
          <w:color w:val="auto"/>
        </w:rPr>
        <w:t>®</w:t>
      </w:r>
      <w:r>
        <w:rPr>
          <w:rFonts w:ascii="Arial" w:cs="Arial" w:eastAsia="Arial" w:hAnsi="Arial"/>
          <w:sz w:val="16"/>
          <w:szCs w:val="16"/>
          <w:color w:val="auto"/>
        </w:rPr>
        <w:t>, Oxygen</w:t>
      </w:r>
      <w:r>
        <w:rPr>
          <w:rFonts w:ascii="Arial" w:cs="Arial" w:eastAsia="Arial" w:hAnsi="Arial"/>
          <w:sz w:val="10"/>
          <w:szCs w:val="10"/>
          <w:color w:val="auto"/>
        </w:rPr>
        <w:t>®</w:t>
      </w:r>
      <w:r>
        <w:rPr>
          <w:rFonts w:ascii="Arial" w:cs="Arial" w:eastAsia="Arial" w:hAnsi="Arial"/>
          <w:sz w:val="16"/>
          <w:szCs w:val="16"/>
          <w:color w:val="auto"/>
        </w:rPr>
        <w:t>, MSNBC</w:t>
      </w:r>
      <w:r>
        <w:rPr>
          <w:rFonts w:ascii="Arial" w:cs="Arial" w:eastAsia="Arial" w:hAnsi="Arial"/>
          <w:sz w:val="10"/>
          <w:szCs w:val="10"/>
          <w:color w:val="auto"/>
        </w:rPr>
        <w:t>®</w:t>
      </w:r>
      <w:r>
        <w:rPr>
          <w:rFonts w:ascii="Arial" w:cs="Arial" w:eastAsia="Arial" w:hAnsi="Arial"/>
          <w:sz w:val="16"/>
          <w:szCs w:val="16"/>
          <w:color w:val="auto"/>
        </w:rPr>
        <w:t>, Style</w:t>
      </w:r>
      <w:r>
        <w:rPr>
          <w:rFonts w:ascii="Arial" w:cs="Arial" w:eastAsia="Arial" w:hAnsi="Arial"/>
          <w:sz w:val="10"/>
          <w:szCs w:val="10"/>
          <w:color w:val="auto"/>
        </w:rPr>
        <w:t>®</w:t>
      </w:r>
      <w:r>
        <w:rPr>
          <w:rFonts w:ascii="Arial" w:cs="Arial" w:eastAsia="Arial" w:hAnsi="Arial"/>
          <w:sz w:val="16"/>
          <w:szCs w:val="16"/>
          <w:color w:val="auto"/>
        </w:rPr>
        <w:t>, G4</w:t>
      </w:r>
      <w:r>
        <w:rPr>
          <w:rFonts w:ascii="Arial" w:cs="Arial" w:eastAsia="Arial" w:hAnsi="Arial"/>
          <w:sz w:val="10"/>
          <w:szCs w:val="10"/>
          <w:color w:val="auto"/>
        </w:rPr>
        <w:t>®</w:t>
      </w:r>
      <w:r>
        <w:rPr>
          <w:rFonts w:ascii="Arial" w:cs="Arial" w:eastAsia="Arial" w:hAnsi="Arial"/>
          <w:sz w:val="16"/>
          <w:szCs w:val="16"/>
          <w:color w:val="auto"/>
        </w:rPr>
        <w:t>, Sleuth</w:t>
      </w:r>
      <w:r>
        <w:rPr>
          <w:rFonts w:ascii="Arial" w:cs="Arial" w:eastAsia="Arial" w:hAnsi="Arial"/>
          <w:sz w:val="10"/>
          <w:szCs w:val="10"/>
          <w:color w:val="auto"/>
        </w:rPr>
        <w:t>®</w:t>
      </w:r>
      <w:r>
        <w:rPr>
          <w:rFonts w:ascii="Arial" w:cs="Arial" w:eastAsia="Arial" w:hAnsi="Arial"/>
          <w:sz w:val="16"/>
          <w:szCs w:val="16"/>
          <w:color w:val="auto"/>
        </w:rPr>
        <w:t>, mun2</w:t>
      </w:r>
      <w:r>
        <w:rPr>
          <w:rFonts w:ascii="Arial" w:cs="Arial" w:eastAsia="Arial" w:hAnsi="Arial"/>
          <w:sz w:val="10"/>
          <w:szCs w:val="10"/>
          <w:color w:val="auto"/>
        </w:rPr>
        <w:t>®</w:t>
      </w:r>
      <w:r>
        <w:rPr>
          <w:rFonts w:ascii="Arial" w:cs="Arial" w:eastAsia="Arial" w:hAnsi="Arial"/>
          <w:sz w:val="16"/>
          <w:szCs w:val="16"/>
          <w:color w:val="auto"/>
        </w:rPr>
        <w:t>, Universal HD</w:t>
      </w:r>
      <w:r>
        <w:rPr>
          <w:rFonts w:ascii="Arial" w:cs="Arial" w:eastAsia="Arial" w:hAnsi="Arial"/>
          <w:sz w:val="10"/>
          <w:szCs w:val="10"/>
          <w:color w:val="auto"/>
        </w:rPr>
        <w:t>®</w:t>
      </w:r>
      <w:r>
        <w:rPr>
          <w:rFonts w:ascii="Arial" w:cs="Arial" w:eastAsia="Arial" w:hAnsi="Arial"/>
          <w:sz w:val="16"/>
          <w:szCs w:val="16"/>
          <w:color w:val="auto"/>
        </w:rPr>
        <w:t>, CNBC World</w:t>
      </w:r>
      <w:r>
        <w:rPr>
          <w:rFonts w:ascii="Arial" w:cs="Arial" w:eastAsia="Arial" w:hAnsi="Arial"/>
          <w:sz w:val="10"/>
          <w:szCs w:val="10"/>
          <w:color w:val="auto"/>
        </w:rPr>
        <w:t>®</w:t>
      </w:r>
      <w:r>
        <w:rPr>
          <w:rFonts w:ascii="Arial" w:cs="Arial" w:eastAsia="Arial" w:hAnsi="Arial"/>
          <w:sz w:val="16"/>
          <w:szCs w:val="16"/>
          <w:color w:val="auto"/>
        </w:rPr>
        <w:t>, Telemundo</w:t>
      </w:r>
      <w:r>
        <w:rPr>
          <w:rFonts w:ascii="Arial" w:cs="Arial" w:eastAsia="Arial" w:hAnsi="Arial"/>
          <w:sz w:val="10"/>
          <w:szCs w:val="10"/>
          <w:color w:val="auto"/>
        </w:rPr>
        <w:t>®</w:t>
      </w:r>
      <w:r>
        <w:rPr>
          <w:rFonts w:ascii="Arial" w:cs="Arial" w:eastAsia="Arial" w:hAnsi="Arial"/>
          <w:sz w:val="16"/>
          <w:szCs w:val="16"/>
          <w:color w:val="auto"/>
        </w:rPr>
        <w:t>, Universal Pictures</w:t>
      </w:r>
      <w:r>
        <w:rPr>
          <w:rFonts w:ascii="Arial" w:cs="Arial" w:eastAsia="Arial" w:hAnsi="Arial"/>
          <w:sz w:val="10"/>
          <w:szCs w:val="10"/>
          <w:color w:val="auto"/>
        </w:rPr>
        <w:t>®</w:t>
      </w:r>
      <w:r>
        <w:rPr>
          <w:rFonts w:ascii="Arial" w:cs="Arial" w:eastAsia="Arial" w:hAnsi="Arial"/>
          <w:sz w:val="16"/>
          <w:szCs w:val="16"/>
          <w:color w:val="auto"/>
        </w:rPr>
        <w:t>, Focus Features</w:t>
      </w:r>
      <w:r>
        <w:rPr>
          <w:rFonts w:ascii="Arial" w:cs="Arial" w:eastAsia="Arial" w:hAnsi="Arial"/>
          <w:sz w:val="10"/>
          <w:szCs w:val="10"/>
          <w:color w:val="auto"/>
        </w:rPr>
        <w:t>®</w:t>
      </w:r>
      <w:r>
        <w:rPr>
          <w:rFonts w:ascii="Arial" w:cs="Arial" w:eastAsia="Arial" w:hAnsi="Arial"/>
          <w:sz w:val="16"/>
          <w:szCs w:val="16"/>
          <w:color w:val="auto"/>
        </w:rPr>
        <w:t>, Universal Studios Hollywood</w:t>
      </w:r>
      <w:r>
        <w:rPr>
          <w:rFonts w:ascii="Arial" w:cs="Arial" w:eastAsia="Arial" w:hAnsi="Arial"/>
          <w:sz w:val="10"/>
          <w:szCs w:val="10"/>
          <w:color w:val="auto"/>
        </w:rPr>
        <w:t>®</w:t>
      </w:r>
      <w:r>
        <w:rPr>
          <w:rFonts w:ascii="Arial" w:cs="Arial" w:eastAsia="Arial" w:hAnsi="Arial"/>
          <w:sz w:val="16"/>
          <w:szCs w:val="16"/>
          <w:color w:val="auto"/>
        </w:rPr>
        <w:t>, Universal Orlando</w:t>
      </w:r>
      <w:r>
        <w:rPr>
          <w:rFonts w:ascii="Arial" w:cs="Arial" w:eastAsia="Arial" w:hAnsi="Arial"/>
          <w:sz w:val="10"/>
          <w:szCs w:val="10"/>
          <w:color w:val="auto"/>
        </w:rPr>
        <w:t>®</w:t>
      </w:r>
      <w:r>
        <w:rPr>
          <w:rFonts w:ascii="Arial" w:cs="Arial" w:eastAsia="Arial" w:hAnsi="Arial"/>
          <w:sz w:val="16"/>
          <w:szCs w:val="16"/>
          <w:color w:val="auto"/>
        </w:rPr>
        <w:t>, Universal Studios Florida</w:t>
      </w:r>
      <w:r>
        <w:rPr>
          <w:rFonts w:ascii="Arial" w:cs="Arial" w:eastAsia="Arial" w:hAnsi="Arial"/>
          <w:sz w:val="10"/>
          <w:szCs w:val="10"/>
          <w:color w:val="auto"/>
        </w:rPr>
        <w:t>®</w:t>
      </w:r>
      <w:r>
        <w:rPr>
          <w:rFonts w:ascii="Arial" w:cs="Arial" w:eastAsia="Arial" w:hAnsi="Arial"/>
          <w:sz w:val="16"/>
          <w:szCs w:val="16"/>
          <w:color w:val="auto"/>
        </w:rPr>
        <w:t>, Universal’s Islands of Adventure</w:t>
      </w:r>
      <w:r>
        <w:rPr>
          <w:rFonts w:ascii="Arial" w:cs="Arial" w:eastAsia="Arial" w:hAnsi="Arial"/>
          <w:sz w:val="10"/>
          <w:szCs w:val="10"/>
          <w:color w:val="auto"/>
        </w:rPr>
        <w:t>®</w:t>
      </w:r>
      <w:r>
        <w:rPr>
          <w:rFonts w:ascii="Arial" w:cs="Arial" w:eastAsia="Arial" w:hAnsi="Arial"/>
          <w:sz w:val="16"/>
          <w:szCs w:val="16"/>
          <w:color w:val="auto"/>
        </w:rPr>
        <w:t>, Universal CityWalk</w:t>
      </w:r>
      <w:r>
        <w:rPr>
          <w:rFonts w:ascii="Arial" w:cs="Arial" w:eastAsia="Arial" w:hAnsi="Arial"/>
          <w:sz w:val="10"/>
          <w:szCs w:val="10"/>
          <w:color w:val="auto"/>
        </w:rPr>
        <w:t>®</w:t>
      </w:r>
      <w:r>
        <w:rPr>
          <w:rFonts w:ascii="Arial" w:cs="Arial" w:eastAsia="Arial" w:hAnsi="Arial"/>
          <w:sz w:val="16"/>
          <w:szCs w:val="16"/>
          <w:color w:val="auto"/>
        </w:rPr>
        <w:t>, CityWalk</w:t>
      </w:r>
      <w:r>
        <w:rPr>
          <w:rFonts w:ascii="Arial" w:cs="Arial" w:eastAsia="Arial" w:hAnsi="Arial"/>
          <w:sz w:val="10"/>
          <w:szCs w:val="10"/>
          <w:color w:val="auto"/>
        </w:rPr>
        <w:t>®</w:t>
      </w:r>
      <w:r>
        <w:rPr>
          <w:rFonts w:ascii="Arial" w:cs="Arial" w:eastAsia="Arial" w:hAnsi="Arial"/>
          <w:sz w:val="16"/>
          <w:szCs w:val="16"/>
          <w:color w:val="auto"/>
        </w:rPr>
        <w:t>, iVillage</w:t>
      </w:r>
      <w:r>
        <w:rPr>
          <w:rFonts w:ascii="Arial" w:cs="Arial" w:eastAsia="Arial" w:hAnsi="Arial"/>
          <w:sz w:val="10"/>
          <w:szCs w:val="10"/>
          <w:color w:val="auto"/>
        </w:rPr>
        <w:t>®</w:t>
      </w:r>
      <w:r>
        <w:rPr>
          <w:rFonts w:ascii="Arial" w:cs="Arial" w:eastAsia="Arial" w:hAnsi="Arial"/>
          <w:sz w:val="16"/>
          <w:szCs w:val="16"/>
          <w:color w:val="auto"/>
        </w:rPr>
        <w:t>, Fandango</w:t>
      </w:r>
      <w:r>
        <w:rPr>
          <w:rFonts w:ascii="Arial" w:cs="Arial" w:eastAsia="Arial" w:hAnsi="Arial"/>
          <w:sz w:val="10"/>
          <w:szCs w:val="10"/>
          <w:color w:val="auto"/>
        </w:rPr>
        <w:t>®</w:t>
      </w:r>
      <w:r>
        <w:rPr>
          <w:rFonts w:ascii="Arial" w:cs="Arial" w:eastAsia="Arial" w:hAnsi="Arial"/>
          <w:sz w:val="16"/>
          <w:szCs w:val="16"/>
          <w:color w:val="auto"/>
        </w:rPr>
        <w:t>, DailyCandy</w:t>
      </w:r>
      <w:r>
        <w:rPr>
          <w:rFonts w:ascii="Arial" w:cs="Arial" w:eastAsia="Arial" w:hAnsi="Arial"/>
          <w:sz w:val="10"/>
          <w:szCs w:val="10"/>
          <w:color w:val="auto"/>
        </w:rPr>
        <w:t>®</w:t>
      </w:r>
      <w:r>
        <w:rPr>
          <w:rFonts w:ascii="Arial" w:cs="Arial" w:eastAsia="Arial" w:hAnsi="Arial"/>
          <w:sz w:val="16"/>
          <w:szCs w:val="16"/>
          <w:color w:val="auto"/>
        </w:rPr>
        <w:t xml:space="preserve"> and other names and marks that identify our networks, programs and other businesses. In addition, we have certain rights to use the Harry Potter™ characters, names and related indicia (which are trademarks and copyrights of Warner Bros. Entertainment, Inc.). Each trademark, service mark or trade name of any other company appearing in this prospectus is, to our knowledge, owned or licensed by such other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its regional sports and news networks, certain of its Internet businesses and other related assets (the “Comcast Content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84" w:lineRule="exact"/>
        <w:rPr>
          <w:sz w:val="20"/>
          <w:szCs w:val="20"/>
          <w:color w:val="auto"/>
        </w:rPr>
      </w:pPr>
    </w:p>
    <w:p>
      <w:pPr>
        <w:ind w:left="900" w:right="5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or included in the registration statement of which this prospectus forms a part. For instructions on how to find copies of these and our filings incorporated by reference in this prospectus, see “Available Information”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executive offices are located at 30 Rockefeller Plaza, New York, NY, 10112-0015, and our telephone number is (212) 664-4444. Our parent company maintains a website at www.comcast.com where general information about us is available. We are not incorporating the contents of the website into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the securities described in this prospectus in one or more offerings from time to time.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In this prospectus and in documents that are incorporated by reference in this prospectus or included in the registration statement of which this prospectus forms a part,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below, in “Item 1A—Risk Factors” in our Annual Report on Form 10-K for the year ended December 31, 2011 and in other reports we file with the SEC. Our actual results could differ materially from our forward-looking statements or as a result of any of such factors, which could adversely affect our business, results of operations or financial condition. Important factors that could cause actual results to differ materially from those in the forward-looking statements include the following:</w:t>
      </w:r>
    </w:p>
    <w:p>
      <w:pPr>
        <w:spacing w:after="0" w:line="39" w:lineRule="exact"/>
        <w:rPr>
          <w:sz w:val="20"/>
          <w:szCs w:val="20"/>
          <w:color w:val="auto"/>
        </w:rPr>
      </w:pPr>
    </w:p>
    <w:p>
      <w:pPr>
        <w:ind w:left="900" w:right="5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businesses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controlled by Comcast, and GE has certain approval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Holdings may be required to purchase all or part of GE’s interests in NBCUniversal Holdings and may cause us to make distributions or loans to it to fund these purchases;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Comcast and GE may compete with us in certain cases and have the ability on their own to pursue opportunities that might be attractive to us;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elsewhere in this prospectus.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9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historical ratio of earnings to fixed charges for each of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NBCUniversal</w:t>
            </w:r>
          </w:p>
        </w:tc>
        <w:tc>
          <w:tcPr>
            <w:tcW w:w="2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166"/>
              <w:spacing w:after="0"/>
              <w:rPr>
                <w:sz w:val="20"/>
                <w:szCs w:val="20"/>
                <w:color w:val="auto"/>
              </w:rPr>
            </w:pPr>
            <w:r>
              <w:rPr>
                <w:rFonts w:ascii="Arial" w:cs="Arial" w:eastAsia="Arial" w:hAnsi="Arial"/>
                <w:sz w:val="14"/>
                <w:szCs w:val="14"/>
                <w:b w:val="1"/>
                <w:bCs w:val="1"/>
                <w:color w:val="auto"/>
                <w:w w:val="89"/>
              </w:rPr>
              <w:t>NBC Universal, Inc.</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1"/>
              </w:rPr>
              <w:t>Successor</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0"/>
              </w:rPr>
              <w:t>Predecessor</w:t>
            </w: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For the</w:t>
            </w:r>
          </w:p>
        </w:tc>
        <w:tc>
          <w:tcPr>
            <w:tcW w:w="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For the</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Six</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January 29,</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January 1</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2011 to</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January 28,</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4.3x</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4.8x</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NM</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6.7x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16.7x</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purposes of calculating these ratios, the term “earnings” consists of income before income taxes and noncontrolling interests, less net unconsolidated affiliates’ interests, plus fixed charges (excluding capitalized interest). The term “fixed charges” consists of interest expense, the amortization of debt issuance costs and an estimate of interest as a component of rental expense.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SENIOR DEBT SECURITIES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senior debt securities, consisting of notes, debentures or other evidences of indebtedness, may be issued from time to time in one or more series under an indenture dated April 30, 2010, entered into among us and The Bank of New York Mellon, as trustee (the “indenture”). The indenture is incorporated by reference into the registration statement of which this prospectus forms a part.</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Because the following is only a summary of the indenture and the senior debt securities, it does not contain all information that you may find useful. For further information about the indenture and the senior debt securities, you should read the indenture. As used in this section of the prospectus, the terms “we,” “us” and “our” refer solely to NBCUniversal and such references do not include any subsidiaries of NBCUniversal.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debt securities will constitute our unsecured and unsubordinated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senior debt securities being offered:</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principal amount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senior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senior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or rates, if any, per year, at which the senior debt securities will bear interest, or the method of determining such rate or rates;</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senior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form of the senior debt securities;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senior debt security;</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senior debt securities early at your option and the price or prices in the currency or currency unit in which the senior debt securities are payable;</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senior debt securities and the currency, currencies or currency units in which principal and interest, if any, on the senior debt securities may be payable;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senior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if any, to “reopen” a series of the senior debt securities and issue additional senior debt securities of such series;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terms of the senior debt securities, including any additional events of default or covenants provided for with respect to the senior debt securities, and any terms which may be required by or advisable under applicable laws or regulations.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present senior debt securities for exchange and for transfer in the manner, at the places and subject to the restrictions set forth in the senior debt securities and the prospectus supplement. We will provide these services without charge, although you may have to pay any tax or other governmental charge payable in connection with any exchange or transfer, as set forth in the indenture.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Senior debt securities will bear interest at a fixed rate or a floating rate. Senior debt securities bearing no interest or interest at a rate that at the time of issuance is below the prevailing market rate may be sold at a discount below their stated principal amount. Special U.S. federal income tax considerations applicable to any such discounted senior debt securities or to certain senior debt securities issued at par which are treated as having been issued at a discount for U.S. federal income tax purposes will be described in the relevant prospectus supplement.</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senior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and Interest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covenant to pay the principal of and interest on senior debt securities of each series when due and in the manner provided in the senior debt securities and the indenture. As used in the indenture and in this “Description of Senior Debt Securities,” the term “principal” will be deemed to include “and premium, if 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Consolidation, Merger or Sale of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2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 (or similar provision of our state of incorporation).</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any consolidation or merger or any sale, assignment, conveyance, lease, transfer or other disposition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senior debt securities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Existence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To the extent we are not subject to the reporting requirements of Section 13 or 15(d) of the Exchange Act (the “Reporting Requirements”) or do not otherwise report on an annual and quarterly basis on forms provided for such annual and quarterly reporting pursuant to rules and regulations promulgated by the SEC, we will be required to make available to the trustee and the registered holders, without cost to any holder, within 90 days following our fiscal year end and within 45 days following our first, second and third fiscal quarter ends, the annual and quarterly financial statements that would be required to be filed with the SEC on Forms 10-K and 10-Q (were our company subject to the Reporting Requirements) along with a “Management’s Discussion and Analysis of Financial Condition and Results of Operations” (“MD&amp;A”) and, with respect to annual financial statements, a report thereon by an independent registered public accounting firm, in each case in a manner that complies in all material respects with the requirements specified in such form for such financial statements and MD&amp;A.</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have electronically filed with the SEC’s Next-Generation EDGAR system (or any successor system), the reports described above, we shall be deemed to have satisfied the foregoing requirements.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all series of senior debt securities are unconditionally guaranteed in full by a person subject to the Reporting Requirements, the foregoing requirements will be deemed satisfied by such guarantor filing any document or report that such guarantor is required to file with the SEC pursuant to Section 13 or 15(d) of the Exchange Act.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Negative Covenants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covenants set forth above, the following additional covenants shall apply to the notes of each series. These covenants do not limit our ability to incur indebtedness and apply only to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Liens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With respect to the senior debt securities of each series, we will not create or incur any Lien on any of our Properties, whether now owned or hereafter acquired, in order to secure any of our Indebtedness, without effectively providing that the senior debt securities of such series shall be equally and ratably secured until such time as such Indebtedness is no longer secured by such Lien, except:</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holders of the senior debt securities of such series;</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Liens securing Indebtedness which are incurred to extend, renew or refinance Indebtedness which is secured by Liens permitted to be incurred under clause (a), (b) and this clause (c) of this covenant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foregoing, we may, without securing the senior debt securities of any series, create or incur Liens which would otherwise be subject to the restrictions set forth in the preceding paragraph, if after giving effect thereto, Aggregate Debt does not exceed the greater of (a) 15% of Consolidated Net Worth calculated as of the date of the creation or incurrence of the Lien and (b) 15% of Consolidated Net Worth calculated as of the date of initial issuance of the senior debt securities of such series; provided that Liens created or incurred pursuant to this paragraph may be extended, renewed or replaced so long as the amount of Indebtedness secured is not increased (other than by the amount equal to any costs and expenses (including any premiums, fees or penalties) incurred in connection therewith) and such refinancing Indebtedness, if then outstanding, is included in subsequent calculations of Aggregate Debt.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the senior debt securities of each series, we will not enter into any sale and lease-back transaction for the sale and leasing back of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whether now owned or hereafter acquired, unless:</w:t>
      </w:r>
    </w:p>
    <w:p>
      <w:pPr>
        <w:spacing w:after="0" w:line="8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90"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above; or</w:t>
      </w:r>
    </w:p>
    <w:p>
      <w:pPr>
        <w:spacing w:after="0" w:line="59" w:lineRule="exact"/>
        <w:rPr>
          <w:rFonts w:ascii="Arial" w:cs="Arial" w:eastAsia="Arial" w:hAnsi="Arial"/>
          <w:sz w:val="18"/>
          <w:szCs w:val="18"/>
          <w:color w:val="auto"/>
        </w:rPr>
      </w:pPr>
    </w:p>
    <w:p>
      <w:pPr>
        <w:jc w:val="both"/>
        <w:ind w:left="900" w:right="6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apply an amount equal to the fair value of the Property sold to the purchase of Property or to the retirement of our long-term Indebtedness within 365 days of the effective date of any such sale and lease-back transaction. In lieu of applying such amount to such retirement, we may deliver senior debt securities to the trustee therefor for cancellation, such senior debt securities to be credited at the cost thereof to us.</w:t>
      </w:r>
    </w:p>
    <w:p>
      <w:pPr>
        <w:spacing w:after="0" w:line="10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Notwithstanding the foregoing, we may enter into any sale lease-back transaction which would otherwise be subject to the foregoing restrictions with respect to the senior debt securities of any series if after giving effect thereto and at the time of determination, Aggregate Debt does not exceed the greater of (a) 15% of Consolidated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Net Worth calculated as of the closing date of the sale and lease-back transaction and (b) 15% of Consolidated Net Worth calculated as of the date of initial issuance of the senior debt securities of such series.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the sum of the following as of the date of determination:</w:t>
      </w:r>
    </w:p>
    <w:p>
      <w:pPr>
        <w:spacing w:after="0" w:line="96" w:lineRule="exact"/>
        <w:rPr>
          <w:sz w:val="20"/>
          <w:szCs w:val="20"/>
          <w:color w:val="auto"/>
        </w:rPr>
      </w:pPr>
    </w:p>
    <w:p>
      <w:pPr>
        <w:ind w:left="900" w:right="2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 of our Indebtedness incurred after the date of initial issuance of the senior debt securities and secured by Liens not permitted by the first sentence under “—Limitation on Liens;” and</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Attributable Liens in respect of sale and lease-back transactions entered into after the date of the initial issuance of the senior debt securities pursuant to the second paragraph of “—Limitation on Sale and Lease-Back Transactions.”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the lesser of:</w:t>
      </w:r>
    </w:p>
    <w:p>
      <w:pPr>
        <w:spacing w:after="0" w:line="9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and</w:t>
      </w:r>
    </w:p>
    <w:p>
      <w:pPr>
        <w:spacing w:after="0" w:line="9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senior debt securities issued under the indenture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74" w:lineRule="exact"/>
        <w:rPr>
          <w:sz w:val="20"/>
          <w:szCs w:val="20"/>
          <w:color w:val="auto"/>
        </w:rPr>
      </w:pPr>
    </w:p>
    <w:p>
      <w:pPr>
        <w:ind w:right="7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means, as of any date of determination, our stockholders’ equity or members’ capital as reflected on the most recent consolidated balance sheet available to holders and prepared in accordance with GAAP.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6" w:lineRule="exact"/>
        <w:rPr>
          <w:sz w:val="20"/>
          <w:szCs w:val="20"/>
          <w:color w:val="auto"/>
        </w:rPr>
      </w:pPr>
    </w:p>
    <w:p>
      <w:pPr>
        <w:ind w:left="900" w:right="2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interest rate lock agreements and interest rate collar agreements;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equity prices.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right="3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on any of our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59"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us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6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our books in conformity with GAAP;</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5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us from fluctuations in interest rates, currencies, equities or the price of commodities;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our favor;</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we are a party as lessee, provided the aggregate value of all such pledges and deposits in connection with any such lease does not at any time exceed 16 2/3% of the annual fixed rentals payable under such lease;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in the ordinary course of our business;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are a party in the ordinary course of our business, but not in excess of $25,000,000;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$300,000,000 at any one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securing Specified Non-Recourse Debt;</w:t>
      </w:r>
    </w:p>
    <w:p>
      <w:pPr>
        <w:spacing w:after="0" w:line="9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property or asset, whether real, personal or mixed, or tangible or intangible, including shares of capital stock.</w:t>
      </w:r>
    </w:p>
    <w:p>
      <w:pPr>
        <w:spacing w:after="0" w:line="171"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Non-Recourse Debt</w:t>
      </w:r>
      <w:r>
        <w:rPr>
          <w:rFonts w:ascii="Arial" w:cs="Arial" w:eastAsia="Arial" w:hAnsi="Arial"/>
          <w:sz w:val="16"/>
          <w:szCs w:val="16"/>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us.</w:t>
      </w:r>
    </w:p>
    <w:p>
      <w:pPr>
        <w:spacing w:after="0" w:line="7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indenture with respect to the senior debt securities of any series:</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default in paying interest on the senior debt securities of such series when it becomes due and the default continues for a period of 30 days or more;</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in the indenture (other than defaults specified in clause (a) and (b) above) and the default or breach continues for a period of 90 days or more after we receive written notice from the trustee or we and the trustee receive notice from the holders of at least 25% in aggregate principal amount of the senior debt securities of all affected series outstanding under the indenture (voting together as a single class);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 Event of Default (other than an Event of Default specified in clause (d) above) under the indenture occurs and is continuing, then the trustee may and, at the direction of the holders of at least 25% in aggregate principal amount of the senior debt securities of all affected series under the indenture (voting together as a single class), will by written notice, require us to repay immediately the entire principal amount of the outstanding senior debt securities of each affected series, together with all accrued and unpaid interest.</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an Event of Default under the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has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outstanding under the indenture (voting together as a single class) also have the right to waive past defaults, except a default in paying principal or interest on any outstanding senior debt security of such series, or in respect of a covenant or a provision that cannot be modified or amended without the consent of all holders of the senior debt securities of such series.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outstanding under the indenture (voting together as a single class) may seek to institute a proceeding only after they have made written request, and offered indemnity as the trustee may reasonably require,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senior debt securities of all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as the trustee may reasonably require. Subject to certain provisions, the holders of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majority in aggregate principal amount of the senior debt securities of all affected series under the indenture (voting together as a single class) have the right to direct the time, method and place of conducting any proceeding for any remedy available to the trustee, or exercising any trust, or power conferred on the trustee.</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and the trustee may amend or modify the indenture or the senior debt securities of any series without notice to or the consent of any holder of senior debt securities in order to:</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cure ambiguities, omissions, defects or inconsistencies;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the form or forms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obligations to holders of any outstanding senior debt securities in compliance with the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Senior Debt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amendments and modifications of the indenture or the senior debt securities of any series may be made with the consent of the holders of not less than a majority in aggregate principal amount of the senior debt securities of all series outstanding under the indenture that are affected by the amendment or modification (voting together as a single class), and our compliance with any provision of the indenture with respect to the senior debt securities of any series issued under the indenture may be waived by written notice to us and the trustee by the holders of a majority in aggregate principal amount of the senior debt securities of all series outstanding under the indenture that are affected by the waiver (voting together as a single class). However, no modification or amendment may, without the consent of the holder of such affected senior debt securities or other debt security:</w:t>
      </w:r>
    </w:p>
    <w:p>
      <w:pPr>
        <w:spacing w:after="0" w:line="39" w:lineRule="exact"/>
        <w:rPr>
          <w:sz w:val="20"/>
          <w:szCs w:val="20"/>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Satisfaction, Discharge and Covenant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terminate our obligations under the indenture with respect to the senior debt securities of any series, when:</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100" w:hanging="446"/>
        <w:spacing w:after="0" w:line="294"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interest and any premium;</w:t>
      </w:r>
    </w:p>
    <w:p>
      <w:pPr>
        <w:spacing w:after="0" w:line="3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right="360" w:firstLine="456"/>
        <w:spacing w:after="0" w:line="357" w:lineRule="auto"/>
        <w:rPr>
          <w:sz w:val="20"/>
          <w:szCs w:val="20"/>
          <w:color w:val="auto"/>
        </w:rPr>
      </w:pPr>
      <w:r>
        <w:rPr>
          <w:rFonts w:ascii="Arial" w:cs="Arial" w:eastAsia="Arial" w:hAnsi="Arial"/>
          <w:sz w:val="15"/>
          <w:szCs w:val="15"/>
          <w:color w:val="auto"/>
        </w:rPr>
        <w:t>We may elect to have our obligations under the indenture discharged with respect to the senior debt securities of any series (“legal defeasance”). Legal defeasance means that we will be deemed to have paid and discharged the entire indebtedness represented by the senior debt securities of a series, except for:</w:t>
      </w: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of senior debt securities, substitution of mutilated,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may elect to have our obligations released with respect to certain covenants in the indenture (“covenant defeasance”). Any failure to comply with these obligations will not constitute a default or an Event of Default with respect to the senior debt securities of a series. In the event covenant defeasance occurs, certain events, not including nonpayment, bankruptcy and insolvency events, described under “—Events of Default” will no longer constitute an Event of Default for that series.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outstanding senior debt securities of any series:</w:t>
      </w:r>
    </w:p>
    <w:p>
      <w:pPr>
        <w:spacing w:after="0" w:line="90" w:lineRule="exact"/>
        <w:rPr>
          <w:sz w:val="20"/>
          <w:szCs w:val="20"/>
          <w:color w:val="auto"/>
        </w:rPr>
      </w:pPr>
    </w:p>
    <w:p>
      <w:pPr>
        <w:ind w:left="900" w:right="4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combination of cash and U.S. government obligations, the scheduled payments of principal and interest on which shall be in an amount;</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4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100" w:hanging="325"/>
        <w:spacing w:after="0" w:line="323"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16" w:lineRule="exact"/>
        <w:rPr>
          <w:rFonts w:ascii="Arial" w:cs="Arial" w:eastAsia="Arial" w:hAnsi="Arial"/>
          <w:sz w:val="15"/>
          <w:szCs w:val="15"/>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or any other material agreement or instrument to which we are a party;</w:t>
      </w:r>
    </w:p>
    <w:p>
      <w:pPr>
        <w:spacing w:after="0" w:line="59" w:lineRule="exact"/>
        <w:rPr>
          <w:rFonts w:ascii="Arial" w:cs="Arial" w:eastAsia="Arial" w:hAnsi="Arial"/>
          <w:sz w:val="18"/>
          <w:szCs w:val="18"/>
          <w:color w:val="auto"/>
        </w:rPr>
      </w:pPr>
    </w:p>
    <w:p>
      <w:pPr>
        <w:ind w:left="900" w:right="440" w:hanging="325"/>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senior debt securities will be governed by and construed in accordance with the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maintain ordinary banking relationships and credit facilities with affiliates of the trustee. Gerald L. Hassell, one of Comcast’s directors, is the Chief Executive Officer and President and a director of the trustee.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issue the senior debt securities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indenture.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indenture.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indenture. We understand that under existing industry practices, if we request any action of holders or if an owner of a beneficial interest in a global security desires to give or take any action which a holder is entitled to give or take under the indenture,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Principal, premium, if any, and interest payments on senior debt securities represented by a global security registered in the name of a depositary or its nominee will be made to such depositary or its nominee, as the case may be, as the registered owner of such global security. None of us, the trustees or any of our other agents or agent of the trustees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trustee or other relevant agent of ours. We expect that such instructions will be based upon directions received by the depositary from participants with respect to ownership of beneficial interests in such global security.</w:t>
      </w:r>
    </w:p>
    <w:p>
      <w:pPr>
        <w:spacing w:after="0" w:line="27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as amended (the “Securities Act”), and describe any commissions we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 Menlo Park, California.</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and the related consolidated financial statement schedule appearing in the Company’s Annual Report on Form 10-K for the fiscal year ended December 31, 2011, which is included in this Registration Statement as Exhibit 99.2, have been audited by Deloitte &amp; Touche LLP, an independent registered public accounting firm, as stated in their reports, which are included in the Company’s Annual Report on Form 10-K for the fiscal year ended December 31, 2011 at Exhibit 99.2 of this Registration Statement. The report on the Company’s consolidated financial statements expresses an unqualified opinion and includes an explanatory paragraph referring to General Electric Company’s transaction with Comcast Corporation on January 28, 2011. Such consolidated financial statements and consolidated financial statement schedule have been so included in reliance upon the reports of such firm given upon their authority as experts in accounting and auditing.</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annual consolidated financial statements of NBC Universal, Inc. as of December 31, 2010 and for each of the years in the two-year period ended December 31, 2010, contained in the Company’s Annual Report on Form 10-K, which is included in the registration statement of which this prospectus forms a part, have been included in reliance upon the reports of KPMG LLP, independent registered public accounting firm, included in the registration statement of which this prospectus forms a part, and upon the authority of said firm as experts in accounting and auditing.</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S-3 under the Securities Act. This prospectus, which is a part of the registration statement, does not contain all of the information included in the registration statement. Any statement made in this prospectus concerning the contents of any contract, agreement or other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document is not necessarily complete. For further information regarding NBCUniversal, please refer to the registration statement, including its exhibits. If we have filed any contract, agreement or other document as an exhibit to the registration statement, you should read the exhibit for a more complete understanding of the documents or matters involved. Copies of our Annual Report on Form 10-K for the year ended December 31, 2011, our Quarterly Reports on Form 10-Q for the three months ended March 31, 2012 and the six months ended June 30, 2012 and our Current Report on Form 8-K dated August 22, 2012 are filed as exhibits 99.2 through 99.5 to the registration statement of which this prospectus forms a part.</w:t>
      </w:r>
    </w:p>
    <w:p>
      <w:pPr>
        <w:spacing w:after="0" w:line="11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We file annual, quarterly and special reports and other information with the SEC. 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1-800-SEC-0330 for further information on the operation of the public reference room.</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filings will also be available to the public from commercial document retrieval services and at the SEC website at “www.sec.gov.” In addition, you may request a copy of any of these filings, at no cost, by writing or telephoning us at the following address or phone number: NBCUniversal Media, LLC, c/o Comcast Corporation, One Comcast Center, Philadelphia, Pennsylvania 19103-2838, (215) 286-1700.</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NCORPORATION OF CERTAIN DOCUMENTS BY REFERENCE</w:t>
      </w:r>
    </w:p>
    <w:p>
      <w:pPr>
        <w:spacing w:after="0" w:line="1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SEC requires us to include certain information in the registration statement of which this prospectus forms a part, which means that we can disclose important information to you by referring you to those documents. The information in the registration statement is considered to be part of this prospectus. In addition, information we file with the SEC in the future will automatically be incorporated by reference into this prospectus and will update and supersede information contained in this prospectus and any accompanying prospectus supplement.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Sections 13(a), 13(c), 14 or 15(d) of the Exchange Act until we sell all of the securities we are offering; provided, that any documents we may file on Form SD will not be incorporated by reference into this prospectus.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30 Rockefeller Plaza, New York, NY, 10112-0015, (212) 664-4444.</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NBCUniversal is also included in the following exhibits to the registration statement of which this prospectus forms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8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99.2: Annual Report on Form 10-K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99.3: Quarterly Report on Form 10-Q for the three months ended March 31,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99.4: Quarterly Report on Form 10-Q for the six months ended June 30,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99.5: Current Report on Form 8-K dated August 22,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estimated costs and expenses payable by the Registrant in connection with this Registration Statement.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Amount to be</w:t>
            </w:r>
          </w:p>
        </w:tc>
        <w:tc>
          <w:tcPr>
            <w:tcW w:w="140" w:type="dxa"/>
            <w:vAlign w:val="bottom"/>
          </w:tcPr>
          <w:p>
            <w:pPr>
              <w:spacing w:after="0"/>
              <w:rPr>
                <w:sz w:val="14"/>
                <w:szCs w:val="14"/>
                <w:color w:val="auto"/>
              </w:rPr>
            </w:pPr>
          </w:p>
        </w:tc>
      </w:tr>
      <w:tr>
        <w:trPr>
          <w:trHeight w:val="161"/>
        </w:trPr>
        <w:tc>
          <w:tcPr>
            <w:tcW w:w="6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Registration fee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fees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40" w:type="dxa"/>
            <w:vAlign w:val="bottom"/>
            <w:shd w:val="clear" w:color="auto" w:fill="CCEEFF"/>
          </w:tcPr>
          <w:p>
            <w:pPr>
              <w:spacing w:after="0"/>
              <w:rPr>
                <w:sz w:val="18"/>
                <w:szCs w:val="18"/>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18-108 of the Limited Liability Company Act of Delaware empowers a limited liability company, subject to such standards and restrictions, if any, as are set forth in its limited liability company agreement, to indemnify and hold harmless any member or manager or other person from and against any and all claims and demands whatsoever.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Comcast maintains standard policies of insurance on behalf of us and NBCUniversal Holdings under which coverage is provided to our respective officers and NBCUniversal Holdings’ directors against loss arising from claims made by reason of a breach of duty or other wrongful act.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Comcast Corporation is organized under the laws of the Commonwealth of Pennsylvania. The Pennsylvania Business Corporation Law contains provisions for mandatory and discretionary indemnification of a corporation’s directors, officers and other personnel, and related matters.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to which any such officer or director is a party or is threatened to be made a party by reason of such officer or director being a representative of the corporation or serving at the request of the corporation as a representative of another entity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 Article Twelfth of the Comcast charter provides that no officer of Comcast will be personally liable, as such, for monetary damages (other than under criminal statutes and under laws imposing such liability on directors for the payment of taxes) unless such person’s conduct constitutes self-dealing, willful misconduct or recklessness. 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whether civil, criminal, administrative or investigative (a “Proceeding”). No indemnification will be made, however,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Comcast’s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its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addition, the By-Laws of General Electric Company (“GE”) provide that GE will indemnify, to the fullest extent of applicable law, each person who is, was or has agreed to become a director or officer of GE or while an officer or director of GE, is or was serving or has agreed to serve at the request of GE in any capacity at another corporation, partnership, joint venture, trust, employee benefit plan or other enterprise, who was, is or is threatened to be made a party or is otherwise involved in any threatened, pending or completed action, suit or proceeding against (i) judgments, fines, amounts paid or to be paid in settlement, taxes or penalties, and (ii) costs, charges and expenses, including attorneys’ fees, incurred in connection with such proceeding, provided, however, that no indemnification shall be provided to any such person if a judgment or other final adjudication adverse to the director or officer and from which there is no further right to appeal establishes that (i) his or her acts were committed in bad faith or were the result of active and deliberate dishonesty and, in either case, were material to the cause of action so adjudicated, or (ii) he or she personally gained in fact a financial profit or other advantage to which he or she was not legally entitled. GE may, to the extent authorized by its board of directors, or by a committee of its board, provide indemnification to employees or agents of GE who are not officers or directors of GE with such scope and effect as determined by its board, or such committee. The directors of NBCUniversal Holdings designated by GE are insured on a primary basis under Comcast’s directors’ and officers’ liability insurance policies purchased by Comcast and are insured on an excess basis under GE’s directors’ and officers’ outside directorship liability insurance purchased by 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980" w:type="dxa"/>
            <w:vAlign w:val="bottom"/>
          </w:tcPr>
          <w:p>
            <w:pPr>
              <w:spacing w:after="0"/>
              <w:rPr>
                <w:sz w:val="15"/>
                <w:szCs w:val="15"/>
                <w:color w:val="auto"/>
              </w:rPr>
            </w:pPr>
          </w:p>
        </w:tc>
        <w:tc>
          <w:tcPr>
            <w:tcW w:w="97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w:t>
            </w:r>
          </w:p>
        </w:tc>
      </w:tr>
      <w:tr>
        <w:trPr>
          <w:trHeight w:val="209"/>
        </w:trPr>
        <w:tc>
          <w:tcPr>
            <w:tcW w:w="72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16"/>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Standard Provisions*</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Indenture, dated as of April 30, 2010 between NBC Universal, Inc. (n/k/a NBCUniversal Media, LLC) and The Bank of New York</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Mellon, as Trustee (incorporated by reference to Exhibit 4.1 to the Registration Statement on Form S-4 of NBCUniversal Media, LLC</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filed on May 13, 2011)</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Debt Security*</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KPMG LLP*</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65"/>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tcPr>
          <w:p>
            <w:pPr>
              <w:ind w:left="38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14"/>
                <w:szCs w:val="14"/>
                <w:color w:val="auto"/>
              </w:rPr>
            </w:pPr>
          </w:p>
        </w:tc>
        <w:tc>
          <w:tcPr>
            <w:tcW w:w="97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Letter pursuant to General Instruction I.B.2 of Form S-3 regarding eligibility to use Form S-3 as of September 1, 2011*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for the three months ended March 31,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for the six months ended June 30,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Current Report on Form 8-K dated August 22,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2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280" w:firstLine="421"/>
        <w:spacing w:after="0" w:line="268" w:lineRule="auto"/>
        <w:tabs>
          <w:tab w:leader="none" w:pos="164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90" w:lineRule="exact"/>
        <w:rPr>
          <w:sz w:val="20"/>
          <w:szCs w:val="20"/>
          <w:color w:val="auto"/>
        </w:rPr>
      </w:pPr>
    </w:p>
    <w:p>
      <w:pPr>
        <w:ind w:left="920" w:right="20" w:firstLine="1"/>
        <w:spacing w:after="0" w:line="255" w:lineRule="auto"/>
        <w:tabs>
          <w:tab w:leader="none" w:pos="12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61" w:lineRule="exact"/>
        <w:rPr>
          <w:rFonts w:ascii="Arial" w:cs="Arial" w:eastAsia="Arial" w:hAnsi="Arial"/>
          <w:sz w:val="18"/>
          <w:szCs w:val="18"/>
          <w:color w:val="auto"/>
        </w:rPr>
      </w:pPr>
    </w:p>
    <w:p>
      <w:pPr>
        <w:jc w:val="both"/>
        <w:ind w:left="460" w:right="400" w:firstLine="443"/>
        <w:spacing w:after="0" w:line="259"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6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 xml:space="preserve">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(5) That, for the purpose of determining liability of the registrant under the Securities Act to any purchaser in the initial distribution of the securities:</w:t>
      </w:r>
    </w:p>
    <w:p>
      <w:pPr>
        <w:spacing w:after="0" w:line="113"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540" w:hanging="199"/>
        <w:spacing w:after="0"/>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900" w:right="76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SEC under Section 305(b)(2) of the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NBCUniversal Media, LLC has duly certified reasonable grounds to believe it meets the S-3 requirements and caused this registration statement to be signed on its behalf by the undersigned, thereunto duly authorized, in the City of New York, State of New York, on September 28,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tbl>
      <w:tblPr>
        <w:tblLayout w:type="fixed"/>
        <w:tblInd w:w="688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80" w:type="dxa"/>
            <w:vAlign w:val="bottom"/>
          </w:tcPr>
          <w:p>
            <w:pPr>
              <w:ind w:left="260"/>
              <w:spacing w:after="0"/>
              <w:rPr>
                <w:sz w:val="20"/>
                <w:szCs w:val="20"/>
                <w:color w:val="auto"/>
              </w:rPr>
            </w:pPr>
            <w:r>
              <w:rPr>
                <w:rFonts w:ascii="Arial" w:cs="Arial" w:eastAsia="Arial" w:hAnsi="Arial"/>
                <w:sz w:val="18"/>
                <w:szCs w:val="18"/>
                <w:color w:val="auto"/>
              </w:rPr>
              <w:t>NBCUNIVERSAL, LLC</w:t>
            </w:r>
          </w:p>
        </w:tc>
      </w:tr>
      <w:tr>
        <w:trPr>
          <w:trHeight w:val="222"/>
        </w:trPr>
        <w:tc>
          <w:tcPr>
            <w:tcW w:w="260" w:type="dxa"/>
            <w:vAlign w:val="bottom"/>
          </w:tcPr>
          <w:p>
            <w:pPr>
              <w:spacing w:after="0"/>
              <w:rPr>
                <w:sz w:val="19"/>
                <w:szCs w:val="19"/>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its sole member</w:t>
            </w:r>
          </w:p>
        </w:tc>
      </w:tr>
      <w:tr>
        <w:trPr>
          <w:trHeight w:val="447"/>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Stephen B. Burke</w:t>
            </w:r>
          </w:p>
        </w:tc>
      </w:tr>
      <w:tr>
        <w:trPr>
          <w:trHeight w:val="202"/>
        </w:trPr>
        <w:tc>
          <w:tcPr>
            <w:tcW w:w="260" w:type="dxa"/>
            <w:vAlign w:val="bottom"/>
          </w:tcPr>
          <w:p>
            <w:pPr>
              <w:spacing w:after="0"/>
              <w:rPr>
                <w:sz w:val="17"/>
                <w:szCs w:val="17"/>
                <w:color w:val="auto"/>
              </w:rPr>
            </w:pPr>
          </w:p>
        </w:tc>
        <w:tc>
          <w:tcPr>
            <w:tcW w:w="4280" w:type="dxa"/>
            <w:vAlign w:val="bottom"/>
          </w:tcPr>
          <w:p>
            <w:pPr>
              <w:ind w:left="260"/>
              <w:spacing w:after="0" w:line="202" w:lineRule="exact"/>
              <w:rPr>
                <w:sz w:val="20"/>
                <w:szCs w:val="20"/>
                <w:color w:val="auto"/>
              </w:rPr>
            </w:pPr>
            <w:r>
              <w:rPr>
                <w:rFonts w:ascii="Arial" w:cs="Arial" w:eastAsia="Arial" w:hAnsi="Arial"/>
                <w:sz w:val="18"/>
                <w:szCs w:val="18"/>
                <w:color w:val="auto"/>
              </w:rPr>
              <w:t>Name: Stephen B. Burke</w:t>
            </w:r>
          </w:p>
        </w:tc>
      </w:tr>
      <w:tr>
        <w:trPr>
          <w:trHeight w:val="222"/>
        </w:trPr>
        <w:tc>
          <w:tcPr>
            <w:tcW w:w="260" w:type="dxa"/>
            <w:vAlign w:val="bottom"/>
          </w:tcPr>
          <w:p>
            <w:pPr>
              <w:spacing w:after="0"/>
              <w:rPr>
                <w:sz w:val="19"/>
                <w:szCs w:val="19"/>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Title:  Chief Executive Officer</w:t>
            </w:r>
          </w:p>
        </w:tc>
      </w:tr>
    </w:tbl>
    <w:p>
      <w:pPr>
        <w:spacing w:after="0" w:line="169"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Michael J. Angelakis, Arthur R. Block, Stephen B. Burke, David L. Cohen, Brian L. Roberts and Lawrence J. Salva and each of them, his true and lawful attorneys-in-fact and agents, with full power to act separately and full power of substitution and resubstitution, for him and in his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their substitute or substitutes may lawfully do or cause to be done by virtue hereof.</w:t>
      </w:r>
    </w:p>
    <w:p>
      <w:pPr>
        <w:spacing w:after="0" w:line="14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right="1555"/>
              <w:spacing w:after="0"/>
              <w:rPr>
                <w:sz w:val="20"/>
                <w:szCs w:val="20"/>
                <w:color w:val="auto"/>
              </w:rPr>
            </w:pPr>
            <w:r>
              <w:rPr>
                <w:rFonts w:ascii="Arial" w:cs="Arial" w:eastAsia="Arial" w:hAnsi="Arial"/>
                <w:sz w:val="14"/>
                <w:szCs w:val="14"/>
                <w:color w:val="auto"/>
                <w:w w:val="85"/>
              </w:rPr>
              <w:t>Name</w:t>
            </w:r>
          </w:p>
        </w:tc>
        <w:tc>
          <w:tcPr>
            <w:tcW w:w="120" w:type="dxa"/>
            <w:vAlign w:val="bottom"/>
          </w:tcPr>
          <w:p>
            <w:pPr>
              <w:spacing w:after="0"/>
              <w:rPr>
                <w:sz w:val="15"/>
                <w:szCs w:val="15"/>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410"/>
        </w:trPr>
        <w:tc>
          <w:tcPr>
            <w:tcW w:w="16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73"/>
              </w:rPr>
              <w:t>/s/</w:t>
            </w:r>
          </w:p>
        </w:tc>
        <w:tc>
          <w:tcPr>
            <w:tcW w:w="2840" w:type="dxa"/>
            <w:vAlign w:val="bottom"/>
            <w:tcBorders>
              <w:bottom w:val="single" w:sz="8" w:color="auto"/>
            </w:tcBorders>
          </w:tcPr>
          <w:p>
            <w:pPr>
              <w:jc w:val="center"/>
              <w:ind w:right="1215"/>
              <w:spacing w:after="0"/>
              <w:rPr>
                <w:sz w:val="20"/>
                <w:szCs w:val="20"/>
                <w:color w:val="auto"/>
              </w:rPr>
            </w:pPr>
            <w:r>
              <w:rPr>
                <w:rFonts w:ascii="Arial" w:cs="Arial" w:eastAsia="Arial" w:hAnsi="Arial"/>
                <w:sz w:val="18"/>
                <w:szCs w:val="18"/>
                <w:color w:val="auto"/>
                <w:w w:val="90"/>
              </w:rPr>
              <w:t>Brian L. Roberts</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 Executive Officer of</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190"/>
        </w:trPr>
        <w:tc>
          <w:tcPr>
            <w:tcW w:w="1660" w:type="dxa"/>
            <w:vAlign w:val="bottom"/>
          </w:tcPr>
          <w:p>
            <w:pPr>
              <w:spacing w:after="0"/>
              <w:rPr>
                <w:sz w:val="16"/>
                <w:szCs w:val="16"/>
                <w:color w:val="auto"/>
              </w:rPr>
            </w:pPr>
          </w:p>
        </w:tc>
        <w:tc>
          <w:tcPr>
            <w:tcW w:w="2840" w:type="dxa"/>
            <w:vAlign w:val="bottom"/>
          </w:tcPr>
          <w:p>
            <w:pPr>
              <w:jc w:val="center"/>
              <w:ind w:right="1575"/>
              <w:spacing w:after="0" w:line="190" w:lineRule="exact"/>
              <w:rPr>
                <w:sz w:val="20"/>
                <w:szCs w:val="20"/>
                <w:color w:val="auto"/>
              </w:rPr>
            </w:pPr>
            <w:r>
              <w:rPr>
                <w:rFonts w:ascii="Arial" w:cs="Arial" w:eastAsia="Arial" w:hAnsi="Arial"/>
                <w:sz w:val="18"/>
                <w:szCs w:val="18"/>
                <w:color w:val="auto"/>
                <w:w w:val="90"/>
              </w:rPr>
              <w:t>Brian L. Roberts</w:t>
            </w:r>
          </w:p>
        </w:tc>
        <w:tc>
          <w:tcPr>
            <w:tcW w:w="120" w:type="dxa"/>
            <w:vAlign w:val="bottom"/>
          </w:tcPr>
          <w:p>
            <w:pPr>
              <w:spacing w:after="0"/>
              <w:rPr>
                <w:sz w:val="16"/>
                <w:szCs w:val="16"/>
                <w:color w:val="auto"/>
              </w:rPr>
            </w:pPr>
          </w:p>
        </w:tc>
        <w:tc>
          <w:tcPr>
            <w:tcW w:w="470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2"/>
              </w:rPr>
              <w:t>NBCUniversal Media, LLC and Director of</w:t>
            </w:r>
          </w:p>
        </w:tc>
        <w:tc>
          <w:tcPr>
            <w:tcW w:w="2100" w:type="dxa"/>
            <w:vAlign w:val="bottom"/>
          </w:tcPr>
          <w:p>
            <w:pPr>
              <w:spacing w:after="0"/>
              <w:rPr>
                <w:sz w:val="16"/>
                <w:szCs w:val="16"/>
                <w:color w:val="auto"/>
              </w:rPr>
            </w:pPr>
          </w:p>
        </w:tc>
      </w:tr>
      <w:tr>
        <w:trPr>
          <w:trHeight w:val="222"/>
        </w:trPr>
        <w:tc>
          <w:tcPr>
            <w:tcW w:w="1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NBCUniversal, LLC</w:t>
            </w:r>
          </w:p>
        </w:tc>
        <w:tc>
          <w:tcPr>
            <w:tcW w:w="2100" w:type="dxa"/>
            <w:vAlign w:val="bottom"/>
          </w:tcPr>
          <w:p>
            <w:pPr>
              <w:spacing w:after="0"/>
              <w:rPr>
                <w:sz w:val="19"/>
                <w:szCs w:val="19"/>
                <w:color w:val="auto"/>
              </w:rPr>
            </w:pPr>
          </w:p>
        </w:tc>
      </w:tr>
      <w:tr>
        <w:trPr>
          <w:trHeight w:val="446"/>
        </w:trPr>
        <w:tc>
          <w:tcPr>
            <w:tcW w:w="16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215"/>
              <w:spacing w:after="0"/>
              <w:rPr>
                <w:sz w:val="20"/>
                <w:szCs w:val="20"/>
                <w:color w:val="auto"/>
              </w:rPr>
            </w:pPr>
            <w:r>
              <w:rPr>
                <w:rFonts w:ascii="Arial" w:cs="Arial" w:eastAsia="Arial" w:hAnsi="Arial"/>
                <w:sz w:val="18"/>
                <w:szCs w:val="18"/>
                <w:color w:val="auto"/>
                <w:w w:val="91"/>
              </w:rPr>
              <w:t>Michael J. Angelakis</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 Financial Officer of NBCUniversal</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190"/>
        </w:trPr>
        <w:tc>
          <w:tcPr>
            <w:tcW w:w="450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0"/>
              </w:rPr>
              <w:t>Michael J. Angelakis</w:t>
            </w:r>
          </w:p>
        </w:tc>
        <w:tc>
          <w:tcPr>
            <w:tcW w:w="120" w:type="dxa"/>
            <w:vAlign w:val="bottom"/>
          </w:tcPr>
          <w:p>
            <w:pPr>
              <w:spacing w:after="0"/>
              <w:rPr>
                <w:sz w:val="16"/>
                <w:szCs w:val="16"/>
                <w:color w:val="auto"/>
              </w:rPr>
            </w:pPr>
          </w:p>
        </w:tc>
        <w:tc>
          <w:tcPr>
            <w:tcW w:w="470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2"/>
              </w:rPr>
              <w:t>Media, LLC and Director of</w:t>
            </w:r>
          </w:p>
        </w:tc>
        <w:tc>
          <w:tcPr>
            <w:tcW w:w="2100" w:type="dxa"/>
            <w:vAlign w:val="bottom"/>
          </w:tcPr>
          <w:p>
            <w:pPr>
              <w:spacing w:after="0"/>
              <w:rPr>
                <w:sz w:val="16"/>
                <w:szCs w:val="16"/>
                <w:color w:val="auto"/>
              </w:rPr>
            </w:pPr>
          </w:p>
        </w:tc>
      </w:tr>
      <w:tr>
        <w:trPr>
          <w:trHeight w:val="222"/>
        </w:trPr>
        <w:tc>
          <w:tcPr>
            <w:tcW w:w="1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NBCUniversal, LLC</w:t>
            </w:r>
          </w:p>
        </w:tc>
        <w:tc>
          <w:tcPr>
            <w:tcW w:w="2100" w:type="dxa"/>
            <w:vAlign w:val="bottom"/>
          </w:tcPr>
          <w:p>
            <w:pPr>
              <w:spacing w:after="0"/>
              <w:rPr>
                <w:sz w:val="19"/>
                <w:szCs w:val="19"/>
                <w:color w:val="auto"/>
              </w:rPr>
            </w:pPr>
          </w:p>
        </w:tc>
      </w:tr>
      <w:tr>
        <w:trPr>
          <w:trHeight w:val="446"/>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tcPr>
          <w:p>
            <w:pPr>
              <w:jc w:val="center"/>
              <w:ind w:right="1235"/>
              <w:spacing w:after="0"/>
              <w:rPr>
                <w:sz w:val="20"/>
                <w:szCs w:val="20"/>
                <w:color w:val="auto"/>
              </w:rPr>
            </w:pPr>
            <w:r>
              <w:rPr>
                <w:rFonts w:ascii="Arial" w:cs="Arial" w:eastAsia="Arial" w:hAnsi="Arial"/>
                <w:sz w:val="18"/>
                <w:szCs w:val="18"/>
                <w:color w:val="auto"/>
                <w:w w:val="87"/>
              </w:rPr>
              <w:t>Stephen B. Burke</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Chief Executive Officer and President of</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190"/>
        </w:trPr>
        <w:tc>
          <w:tcPr>
            <w:tcW w:w="450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7"/>
              </w:rPr>
              <w:t>Stephen B. Burke</w:t>
            </w:r>
          </w:p>
        </w:tc>
        <w:tc>
          <w:tcPr>
            <w:tcW w:w="120" w:type="dxa"/>
            <w:vAlign w:val="bottom"/>
          </w:tcPr>
          <w:p>
            <w:pPr>
              <w:spacing w:after="0"/>
              <w:rPr>
                <w:sz w:val="16"/>
                <w:szCs w:val="16"/>
                <w:color w:val="auto"/>
              </w:rPr>
            </w:pPr>
          </w:p>
        </w:tc>
        <w:tc>
          <w:tcPr>
            <w:tcW w:w="470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2"/>
              </w:rPr>
              <w:t>NBCUniversal Media, LLC and Director of</w:t>
            </w:r>
          </w:p>
        </w:tc>
        <w:tc>
          <w:tcPr>
            <w:tcW w:w="2100" w:type="dxa"/>
            <w:vAlign w:val="bottom"/>
          </w:tcPr>
          <w:p>
            <w:pPr>
              <w:spacing w:after="0"/>
              <w:rPr>
                <w:sz w:val="16"/>
                <w:szCs w:val="16"/>
                <w:color w:val="auto"/>
              </w:rPr>
            </w:pPr>
          </w:p>
        </w:tc>
      </w:tr>
      <w:tr>
        <w:trPr>
          <w:trHeight w:val="222"/>
        </w:trPr>
        <w:tc>
          <w:tcPr>
            <w:tcW w:w="16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NBCUniversal, LLC</w:t>
            </w:r>
          </w:p>
        </w:tc>
        <w:tc>
          <w:tcPr>
            <w:tcW w:w="2100" w:type="dxa"/>
            <w:vAlign w:val="bottom"/>
          </w:tcPr>
          <w:p>
            <w:pPr>
              <w:spacing w:after="0"/>
              <w:rPr>
                <w:sz w:val="19"/>
                <w:szCs w:val="19"/>
                <w:color w:val="auto"/>
              </w:rPr>
            </w:pPr>
          </w:p>
        </w:tc>
      </w:tr>
      <w:tr>
        <w:trPr>
          <w:trHeight w:val="447"/>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tcPr>
          <w:p>
            <w:pPr>
              <w:jc w:val="center"/>
              <w:ind w:right="1235"/>
              <w:spacing w:after="0"/>
              <w:rPr>
                <w:sz w:val="20"/>
                <w:szCs w:val="20"/>
                <w:color w:val="auto"/>
              </w:rPr>
            </w:pPr>
            <w:r>
              <w:rPr>
                <w:rFonts w:ascii="Arial" w:cs="Arial" w:eastAsia="Arial" w:hAnsi="Arial"/>
                <w:sz w:val="18"/>
                <w:szCs w:val="18"/>
                <w:color w:val="auto"/>
                <w:w w:val="91"/>
              </w:rPr>
              <w:t>Jeffrey R. Immelt</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Director of NBCUniversal, LLC</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217"/>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1"/>
              </w:rPr>
              <w:t>Jeffrey R. Immelt</w:t>
            </w: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Keith S. Sherin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Director of NBCUniversal, LLC</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217"/>
        </w:trPr>
        <w:tc>
          <w:tcPr>
            <w:tcW w:w="1660" w:type="dxa"/>
            <w:vAlign w:val="bottom"/>
          </w:tcPr>
          <w:p>
            <w:pPr>
              <w:spacing w:after="0"/>
              <w:rPr>
                <w:sz w:val="18"/>
                <w:szCs w:val="18"/>
                <w:color w:val="auto"/>
              </w:rPr>
            </w:pPr>
          </w:p>
        </w:tc>
        <w:tc>
          <w:tcPr>
            <w:tcW w:w="2840" w:type="dxa"/>
            <w:vAlign w:val="bottom"/>
          </w:tcPr>
          <w:p>
            <w:pPr>
              <w:jc w:val="center"/>
              <w:ind w:right="1555"/>
              <w:spacing w:after="0"/>
              <w:rPr>
                <w:sz w:val="20"/>
                <w:szCs w:val="20"/>
                <w:color w:val="auto"/>
              </w:rPr>
            </w:pPr>
            <w:r>
              <w:rPr>
                <w:rFonts w:ascii="Arial" w:cs="Arial" w:eastAsia="Arial" w:hAnsi="Arial"/>
                <w:sz w:val="18"/>
                <w:szCs w:val="18"/>
                <w:color w:val="auto"/>
                <w:w w:val="89"/>
              </w:rPr>
              <w:t>Keith S. Sherin</w:t>
            </w: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7"/>
        </w:trPr>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tcPr>
          <w:p>
            <w:pPr>
              <w:jc w:val="center"/>
              <w:ind w:right="1235"/>
              <w:spacing w:after="0"/>
              <w:rPr>
                <w:sz w:val="20"/>
                <w:szCs w:val="20"/>
                <w:color w:val="auto"/>
              </w:rPr>
            </w:pPr>
            <w:r>
              <w:rPr>
                <w:rFonts w:ascii="Arial" w:cs="Arial" w:eastAsia="Arial" w:hAnsi="Arial"/>
                <w:sz w:val="18"/>
                <w:szCs w:val="18"/>
                <w:color w:val="auto"/>
                <w:w w:val="87"/>
              </w:rPr>
              <w:t>Lawrence J. Salva</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 Accounting Officer of</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September 28, 2012</w:t>
            </w:r>
          </w:p>
        </w:tc>
      </w:tr>
      <w:tr>
        <w:trPr>
          <w:trHeight w:val="218"/>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87"/>
              </w:rPr>
              <w:t>Lawrence J. Salva</w:t>
            </w:r>
          </w:p>
        </w:tc>
        <w:tc>
          <w:tcPr>
            <w:tcW w:w="120" w:type="dxa"/>
            <w:vAlign w:val="bottom"/>
          </w:tcPr>
          <w:p>
            <w:pPr>
              <w:spacing w:after="0"/>
              <w:rPr>
                <w:sz w:val="18"/>
                <w:szCs w:val="18"/>
                <w:color w:val="auto"/>
              </w:rPr>
            </w:pPr>
          </w:p>
        </w:tc>
        <w:tc>
          <w:tcPr>
            <w:tcW w:w="47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3"/>
              </w:rPr>
              <w:t>NBCUniversal Media, LLC</w:t>
            </w:r>
          </w:p>
        </w:tc>
        <w:tc>
          <w:tcPr>
            <w:tcW w:w="210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980" w:type="dxa"/>
            <w:vAlign w:val="bottom"/>
          </w:tcPr>
          <w:p>
            <w:pPr>
              <w:spacing w:after="0"/>
              <w:rPr>
                <w:sz w:val="24"/>
                <w:szCs w:val="24"/>
                <w:color w:val="auto"/>
              </w:rPr>
            </w:pPr>
          </w:p>
        </w:tc>
        <w:tc>
          <w:tcPr>
            <w:tcW w:w="97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w:t>
            </w:r>
          </w:p>
        </w:tc>
      </w:tr>
      <w:tr>
        <w:trPr>
          <w:trHeight w:val="309"/>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Standard Provisions*</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Indenture, dated as of April 30, 2010 between NBC Universal, Inc. (n/k/a NBCUniversal Media, LLC) and The Bank of New York</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Mellon, as Trustee (incorporated by reference to Exhibit 4.1 to the Registration Statement on Form S-4 of NBCUniversal Media, LLC</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filed on May 13, 2011)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Debt Security*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KPMG LLP*</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Indenture*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Letter pursuant to General Instruction I.B.2 of Form S-3 regarding eligibility to use Form S-3 as of September 1, 2011*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for the three months ended March 31, 2012*</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for the six months ended June 30, 2012*</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Current Report on Form 8-K dated August 22,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__________, 20__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NBCUniversal Media,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the [</w:t>
      </w:r>
      <w:r>
        <w:rPr>
          <w:rFonts w:ascii="Arial" w:cs="Arial" w:eastAsia="Arial" w:hAnsi="Arial"/>
          <w:sz w:val="18"/>
          <w:szCs w:val="18"/>
          <w:i w:val="1"/>
          <w:iCs w:val="1"/>
          <w:color w:val="auto"/>
        </w:rPr>
        <w:t>indicate number/principal amount of each type of security to be sold</w:t>
      </w:r>
      <w:r>
        <w:rPr>
          <w:rFonts w:ascii="Arial" w:cs="Arial" w:eastAsia="Arial" w:hAnsi="Arial"/>
          <w:sz w:val="18"/>
          <w:szCs w:val="18"/>
          <w:color w:val="auto"/>
        </w:rPr>
        <w:t>]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an Indenture dated as of [—] between the Company and The Bank of New York Mellon, as trustee.</w:t>
      </w:r>
    </w:p>
    <w:p>
      <w:pPr>
        <w:spacing w:after="0" w:line="14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5"/>
          <w:szCs w:val="15"/>
          <w:b w:val="1"/>
          <w:bCs w:val="1"/>
          <w:color w:val="auto"/>
        </w:rPr>
        <w:t>Applicable Time</w:t>
      </w:r>
      <w:r>
        <w:rPr>
          <w:rFonts w:ascii="Arial" w:cs="Arial" w:eastAsia="Arial" w:hAnsi="Arial"/>
          <w:sz w:val="15"/>
          <w:szCs w:val="15"/>
          <w:color w:val="auto"/>
        </w:rPr>
        <w:t>” means [—] [p.m.] (New York time) on the date hereof.</w:t>
      </w:r>
    </w:p>
    <w:p>
      <w:pPr>
        <w:spacing w:after="0" w:line="8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 at 10:00 A.M. (New York time) on [—] or at such other time, not later than [—] as shall be designated by the Manager.</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the provisions contained in the document entitled NBCUniversal Media, LLC Underwriting Agreement Standard Provisions dated September [ ], 2012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___________ [and ___________, whose authority hereunder may be exercised by them jointly or by___________ alone].</w:t>
      </w:r>
    </w:p>
    <w:p>
      <w:pPr>
        <w:sectPr>
          <w:pgSz w:w="11900" w:h="16838" w:orient="portrait"/>
          <w:cols w:equalWidth="0" w:num="1">
            <w:col w:w="11420"/>
          </w:cols>
          <w:pgMar w:left="240" w:top="125" w:right="239" w:bottom="1440" w:gutter="0" w:footer="0" w:header="0"/>
        </w:sectPr>
      </w:pPr>
    </w:p>
    <w:bookmarkStart w:id="30" w:name="page31"/>
    <w:bookmarkEnd w:id="30"/>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31" w:name="page32"/>
    <w:bookmarkEnd w:id="3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19"/>
          </w:cols>
          <w:pgMar w:left="240" w:top="274"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Subject to Overallotment Option: $</w:t>
      </w:r>
    </w:p>
    <w:p>
      <w:pPr>
        <w:spacing w:after="0" w:line="171" w:lineRule="exact"/>
        <w:rPr>
          <w:sz w:val="20"/>
          <w:szCs w:val="20"/>
          <w:color w:val="auto"/>
        </w:rPr>
      </w:pPr>
    </w:p>
    <w:p>
      <w:pPr>
        <w:spacing w:after="0"/>
        <w:tabs>
          <w:tab w:leader="none" w:pos="1800" w:val="left"/>
          <w:tab w:leader="none" w:pos="6560" w:val="left"/>
        </w:tabs>
        <w:rPr>
          <w:sz w:val="20"/>
          <w:szCs w:val="20"/>
          <w:color w:val="auto"/>
        </w:rPr>
      </w:pPr>
      <w:r>
        <w:rPr>
          <w:rFonts w:ascii="Arial" w:cs="Arial" w:eastAsia="Arial" w:hAnsi="Arial"/>
          <w:sz w:val="18"/>
          <w:szCs w:val="18"/>
          <w:color w:val="auto"/>
        </w:rPr>
        <w:t>Purchase Price: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Price to the Public: $[</w:t>
      </w:r>
      <w:r>
        <w:rPr>
          <w:sz w:val="20"/>
          <w:szCs w:val="20"/>
          <w:color w:val="auto"/>
        </w:rPr>
        <w:tab/>
      </w:r>
      <w:r>
        <w:rPr>
          <w:rFonts w:ascii="Arial" w:cs="Arial" w:eastAsia="Arial" w:hAnsi="Arial"/>
          <w:sz w:val="16"/>
          <w:szCs w:val="16"/>
          <w:color w:val="auto"/>
        </w:rPr>
        <w:t>] per [$1,000] principal amount (plus accrued interest from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tabs>
          <w:tab w:leader="none" w:pos="2300" w:val="left"/>
          <w:tab w:leader="none" w:pos="3280" w:val="left"/>
          <w:tab w:leader="none" w:pos="496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6"/>
          <w:szCs w:val="16"/>
          <w:color w:val="auto"/>
        </w:rPr>
        <w:t>] (Interest accrues from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5" w:lineRule="exact"/>
        <w:rPr>
          <w:sz w:val="20"/>
          <w:szCs w:val="20"/>
          <w:color w:val="auto"/>
        </w:rPr>
      </w:pPr>
    </w:p>
    <w:p>
      <w:pPr>
        <w:sectPr>
          <w:pgSz w:w="11900" w:h="16838" w:orient="portrait"/>
          <w:cols w:equalWidth="0" w:num="3">
            <w:col w:w="6720" w:space="120"/>
            <w:col w:w="120" w:space="300"/>
            <w:col w:w="29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274" w:right="1440" w:bottom="1440" w:gutter="0" w:footer="0" w:header="0"/>
          <w:type w:val="continuous"/>
        </w:sectPr>
      </w:pPr>
    </w:p>
    <w:bookmarkStart w:id="32" w:name="page33"/>
    <w:bookmarkEnd w:id="32"/>
    <w:tbl>
      <w:tblPr>
        <w:tblLayout w:type="fixed"/>
        <w:tblInd w:w="4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080" w:type="dxa"/>
            <w:vAlign w:val="bottom"/>
            <w:gridSpan w:val="2"/>
          </w:tcPr>
          <w:p>
            <w:pPr>
              <w:jc w:val="center"/>
              <w:ind w:right="2272"/>
              <w:spacing w:after="0"/>
              <w:rPr>
                <w:sz w:val="20"/>
                <w:szCs w:val="20"/>
                <w:color w:val="auto"/>
              </w:rPr>
            </w:pPr>
            <w:r>
              <w:rPr>
                <w:rFonts w:ascii="Arial" w:cs="Arial" w:eastAsia="Arial" w:hAnsi="Arial"/>
                <w:sz w:val="18"/>
                <w:szCs w:val="18"/>
                <w:b w:val="1"/>
                <w:bCs w:val="1"/>
                <w:color w:val="auto"/>
                <w:w w:val="99"/>
              </w:rPr>
              <w:t>SCHEDULE II</w:t>
            </w:r>
          </w:p>
        </w:tc>
      </w:tr>
      <w:tr>
        <w:trPr>
          <w:trHeight w:val="228"/>
        </w:trPr>
        <w:tc>
          <w:tcPr>
            <w:tcW w:w="720" w:type="dxa"/>
            <w:vAlign w:val="bottom"/>
          </w:tcPr>
          <w:p>
            <w:pPr>
              <w:spacing w:after="0"/>
              <w:rPr>
                <w:sz w:val="19"/>
                <w:szCs w:val="19"/>
                <w:color w:val="auto"/>
              </w:rPr>
            </w:pPr>
          </w:p>
        </w:tc>
        <w:tc>
          <w:tcPr>
            <w:tcW w:w="908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342"/>
        </w:trPr>
        <w:tc>
          <w:tcPr>
            <w:tcW w:w="7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0"/>
              </w:rPr>
              <w:t>[Number/Principal Amount of Offered</w:t>
            </w:r>
          </w:p>
        </w:tc>
      </w:tr>
      <w:tr>
        <w:trPr>
          <w:trHeight w:val="159"/>
        </w:trPr>
        <w:tc>
          <w:tcPr>
            <w:tcW w:w="72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3"/>
              </w:rPr>
              <w:t>Underwriter</w:t>
            </w:r>
          </w:p>
        </w:tc>
        <w:tc>
          <w:tcPr>
            <w:tcW w:w="6860" w:type="dxa"/>
            <w:vAlign w:val="bottom"/>
          </w:tcPr>
          <w:p>
            <w:pPr>
              <w:spacing w:after="0"/>
              <w:rPr>
                <w:sz w:val="13"/>
                <w:szCs w:val="13"/>
                <w:color w:val="auto"/>
              </w:rPr>
            </w:pPr>
          </w:p>
        </w:tc>
        <w:tc>
          <w:tcPr>
            <w:tcW w:w="22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Securities to be Purchased]</w:t>
            </w:r>
          </w:p>
        </w:tc>
      </w:tr>
      <w:tr>
        <w:trPr>
          <w:trHeight w:val="505"/>
        </w:trPr>
        <w:tc>
          <w:tcPr>
            <w:tcW w:w="720" w:type="dxa"/>
            <w:vAlign w:val="bottom"/>
          </w:tcPr>
          <w:p>
            <w:pPr>
              <w:spacing w:after="0"/>
              <w:rPr>
                <w:sz w:val="24"/>
                <w:szCs w:val="24"/>
                <w:color w:val="auto"/>
              </w:rPr>
            </w:pPr>
          </w:p>
        </w:tc>
        <w:tc>
          <w:tcPr>
            <w:tcW w:w="6860" w:type="dxa"/>
            <w:vAlign w:val="bottom"/>
          </w:tcPr>
          <w:p>
            <w:pPr>
              <w:jc w:val="center"/>
              <w:ind w:right="12"/>
              <w:spacing w:after="0"/>
              <w:rPr>
                <w:sz w:val="20"/>
                <w:szCs w:val="20"/>
                <w:color w:val="auto"/>
              </w:rPr>
            </w:pPr>
            <w:r>
              <w:rPr>
                <w:rFonts w:ascii="Arial" w:cs="Arial" w:eastAsia="Arial" w:hAnsi="Arial"/>
                <w:sz w:val="18"/>
                <w:szCs w:val="18"/>
                <w:color w:val="auto"/>
                <w:w w:val="79"/>
              </w:rPr>
              <w:t>4</w:t>
            </w: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20"/>
          </w:cols>
          <w:pgMar w:left="14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right="2359"/>
        <w:spacing w:after="0" w:line="430" w:lineRule="auto"/>
        <w:rPr>
          <w:sz w:val="20"/>
          <w:szCs w:val="20"/>
          <w:color w:val="auto"/>
        </w:rPr>
      </w:pPr>
      <w:r>
        <w:rPr>
          <w:rFonts w:ascii="Arial" w:cs="Arial" w:eastAsia="Arial" w:hAnsi="Arial"/>
          <w:sz w:val="18"/>
          <w:szCs w:val="18"/>
          <w:color w:val="auto"/>
        </w:rPr>
        <w:t>[Term sheet reflecting the terms on Schedule I or, if there is no term sheet, orally conveyed pricing information] [List any other free writing prospectus to be included in the Time of Sale Prospectus]</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34" w:name="page35"/>
    <w:bookmarkEnd w:id="3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240" w:top="274"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NBCUniversal Media, LLC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46"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September 28, 2012</w:t>
      </w:r>
    </w:p>
    <w:p>
      <w:pPr>
        <w:spacing w:after="0" w:line="20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From time to time, NBCUniversal Media,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in one or more offerings on terms determined at the time of sale, the Company proposes to issue and sell certain of its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issuable under an indenture (the “</w:t>
      </w:r>
      <w:r>
        <w:rPr>
          <w:rFonts w:ascii="Arial" w:cs="Arial" w:eastAsia="Arial" w:hAnsi="Arial"/>
          <w:sz w:val="18"/>
          <w:szCs w:val="18"/>
          <w:b w:val="1"/>
          <w:bCs w:val="1"/>
          <w:color w:val="auto"/>
        </w:rPr>
        <w:t>Indenture</w:t>
      </w:r>
      <w:r>
        <w:rPr>
          <w:rFonts w:ascii="Arial" w:cs="Arial" w:eastAsia="Arial" w:hAnsi="Arial"/>
          <w:sz w:val="18"/>
          <w:szCs w:val="18"/>
          <w:color w:val="auto"/>
        </w:rPr>
        <w:t>”) entered into by the Company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Debt Securities are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4"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The Company has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5"/>
          <w:szCs w:val="15"/>
          <w:b w:val="1"/>
          <w:bCs w:val="1"/>
          <w:color w:val="auto"/>
        </w:rPr>
        <w:t>Prospectus Supplement</w:t>
      </w:r>
      <w:r>
        <w:rPr>
          <w:rFonts w:ascii="Arial" w:cs="Arial" w:eastAsia="Arial" w:hAnsi="Arial"/>
          <w:sz w:val="15"/>
          <w:szCs w:val="15"/>
          <w:color w:val="auto"/>
        </w:rPr>
        <w:t>”) specifically relating to the Securities listed on Schedule I hereto (the “</w:t>
      </w:r>
      <w:r>
        <w:rPr>
          <w:rFonts w:ascii="Arial" w:cs="Arial" w:eastAsia="Arial" w:hAnsi="Arial"/>
          <w:sz w:val="15"/>
          <w:szCs w:val="15"/>
          <w:b w:val="1"/>
          <w:bCs w:val="1"/>
          <w:color w:val="auto"/>
        </w:rPr>
        <w:t>Offered Securities</w:t>
      </w:r>
      <w:r>
        <w:rPr>
          <w:rFonts w:ascii="Arial" w:cs="Arial" w:eastAsia="Arial" w:hAnsi="Arial"/>
          <w:sz w:val="15"/>
          <w:szCs w:val="15"/>
          <w:color w:val="auto"/>
        </w:rPr>
        <w:t>”) pursuant to Rule 424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The term “</w:t>
      </w:r>
      <w:r>
        <w:rPr>
          <w:rFonts w:ascii="Arial" w:cs="Arial" w:eastAsia="Arial" w:hAnsi="Arial"/>
          <w:sz w:val="15"/>
          <w:szCs w:val="15"/>
          <w:b w:val="1"/>
          <w:bCs w:val="1"/>
          <w:color w:val="auto"/>
        </w:rPr>
        <w:t>Registration Statement</w:t>
      </w:r>
      <w:r>
        <w:rPr>
          <w:rFonts w:ascii="Arial" w:cs="Arial" w:eastAsia="Arial" w:hAnsi="Arial"/>
          <w:sz w:val="15"/>
          <w:szCs w:val="15"/>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5"/>
          <w:szCs w:val="15"/>
          <w:b w:val="1"/>
          <w:bCs w:val="1"/>
          <w:color w:val="auto"/>
        </w:rPr>
        <w:t>Base Prospectus</w:t>
      </w:r>
      <w:r>
        <w:rPr>
          <w:rFonts w:ascii="Arial" w:cs="Arial" w:eastAsia="Arial" w:hAnsi="Arial"/>
          <w:sz w:val="15"/>
          <w:szCs w:val="15"/>
          <w:color w:val="auto"/>
        </w:rPr>
        <w:t>” means the prospectus included in the Registration Statement. The term “</w:t>
      </w:r>
      <w:r>
        <w:rPr>
          <w:rFonts w:ascii="Arial" w:cs="Arial" w:eastAsia="Arial" w:hAnsi="Arial"/>
          <w:sz w:val="15"/>
          <w:szCs w:val="15"/>
          <w:b w:val="1"/>
          <w:bCs w:val="1"/>
          <w:color w:val="auto"/>
        </w:rPr>
        <w:t>Prospectus</w:t>
      </w:r>
      <w:r>
        <w:rPr>
          <w:rFonts w:ascii="Arial" w:cs="Arial" w:eastAsia="Arial" w:hAnsi="Arial"/>
          <w:sz w:val="15"/>
          <w:szCs w:val="15"/>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5"/>
          <w:szCs w:val="15"/>
          <w:b w:val="1"/>
          <w:bCs w:val="1"/>
          <w:color w:val="auto"/>
        </w:rPr>
        <w:t>preliminary prospectus</w:t>
      </w:r>
      <w:r>
        <w:rPr>
          <w:rFonts w:ascii="Arial" w:cs="Arial" w:eastAsia="Arial" w:hAnsi="Arial"/>
          <w:sz w:val="15"/>
          <w:szCs w:val="15"/>
          <w:color w:val="auto"/>
        </w:rPr>
        <w:t>” means a preliminary prospectus supplement specifically relating to the Offered Securities, together with the Base Prospectus. The term “</w:t>
      </w:r>
      <w:r>
        <w:rPr>
          <w:rFonts w:ascii="Arial" w:cs="Arial" w:eastAsia="Arial" w:hAnsi="Arial"/>
          <w:sz w:val="15"/>
          <w:szCs w:val="15"/>
          <w:b w:val="1"/>
          <w:bCs w:val="1"/>
          <w:color w:val="auto"/>
        </w:rPr>
        <w:t>free writing prospectus</w:t>
      </w:r>
      <w:r>
        <w:rPr>
          <w:rFonts w:ascii="Arial" w:cs="Arial" w:eastAsia="Arial" w:hAnsi="Arial"/>
          <w:sz w:val="15"/>
          <w:szCs w:val="15"/>
          <w:color w:val="auto"/>
        </w:rPr>
        <w:t>” has the meaning set forth in Rule 405 under the Securities Act. The term “</w:t>
      </w:r>
      <w:r>
        <w:rPr>
          <w:rFonts w:ascii="Arial" w:cs="Arial" w:eastAsia="Arial" w:hAnsi="Arial"/>
          <w:sz w:val="15"/>
          <w:szCs w:val="15"/>
          <w:b w:val="1"/>
          <w:bCs w:val="1"/>
          <w:color w:val="auto"/>
        </w:rPr>
        <w:t>issuer free writing</w:t>
      </w:r>
    </w:p>
    <w:p>
      <w:pPr>
        <w:sectPr>
          <w:pgSz w:w="11900" w:h="16838" w:orient="portrait"/>
          <w:cols w:equalWidth="0" w:num="1">
            <w:col w:w="11420"/>
          </w:cols>
          <w:pgMar w:left="240" w:top="125" w:right="239" w:bottom="1440" w:gutter="0" w:footer="0" w:header="0"/>
        </w:sectPr>
      </w:pPr>
    </w:p>
    <w:bookmarkStart w:id="36" w:name="page37"/>
    <w:bookmarkEnd w:id="36"/>
    <w:p>
      <w:pPr>
        <w:ind w:right="12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firstLine="443"/>
        <w:spacing w:after="0" w:line="298" w:lineRule="auto"/>
        <w:tabs>
          <w:tab w:leader="none" w:pos="11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or any development involving a prospective material adverse change, in the condition, financial or otherwise, or in the earnings, business or operations of the Company and its consolidated subsidiaries, taken as a whole, from that set forth in or contemplated by the Time of Sale Prospectus; and the Manager shall have received, 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7" w:name="page38"/>
    <w:bookmarkEnd w:id="37"/>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32" w:lineRule="exact"/>
        <w:rPr>
          <w:sz w:val="20"/>
          <w:szCs w:val="20"/>
          <w:color w:val="auto"/>
        </w:rPr>
      </w:pPr>
    </w:p>
    <w:p>
      <w:pPr>
        <w:ind w:right="160" w:firstLine="443"/>
        <w:spacing w:after="0" w:line="332" w:lineRule="auto"/>
        <w:tabs>
          <w:tab w:leader="none" w:pos="6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Richard Cotton, Esq., Executive Vice President and General Counsel of the Company (or another lawyer of the Company reasonably satisfactory to the Underwriters), dated the Closing Date, to the effect (as applicable) that:</w:t>
      </w:r>
    </w:p>
    <w:p>
      <w:pPr>
        <w:spacing w:after="0" w:line="4" w:lineRule="exact"/>
        <w:rPr>
          <w:rFonts w:ascii="Arial" w:cs="Arial" w:eastAsia="Arial" w:hAnsi="Arial"/>
          <w:sz w:val="16"/>
          <w:szCs w:val="16"/>
          <w:color w:val="auto"/>
        </w:rPr>
      </w:pPr>
    </w:p>
    <w:p>
      <w:pPr>
        <w:ind w:left="460" w:right="140" w:firstLine="421"/>
        <w:spacing w:after="0" w:line="306" w:lineRule="auto"/>
        <w:tabs>
          <w:tab w:leader="none" w:pos="1089"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jurisdiction, wherein it owns or leases property or conducts business, which requires such qualification, except to the extent that the failure to be so qualified or be in good standing would not have a material adverse effect on the Company and its subsidiaries, taken as a whole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and the Offered Securities (each, a</w:t>
      </w:r>
    </w:p>
    <w:p>
      <w:pPr>
        <w:spacing w:after="0" w:line="38"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formation or limited liability company agreement of the Company or any agreement or other instrument binding upon the Company that is filed as an exhibit to the Registration Statement or to any document incorporated by reference in the Time of Sale Prospectus, and, to the knowledge of such counsel,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 and</w:t>
      </w:r>
    </w:p>
    <w:p>
      <w:pPr>
        <w:spacing w:after="0" w:line="37" w:lineRule="exact"/>
        <w:rPr>
          <w:sz w:val="20"/>
          <w:szCs w:val="20"/>
          <w:color w:val="auto"/>
        </w:rPr>
      </w:pPr>
    </w:p>
    <w:p>
      <w:pPr>
        <w:ind w:left="460" w:right="260" w:firstLine="421"/>
        <w:spacing w:after="0" w:line="306" w:lineRule="auto"/>
        <w:tabs>
          <w:tab w:leader="none" w:pos="11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disclosed in the Time of Sale Prospectus, after due inquiry, such counsel does not know of any legal or governmental proceedings pending or threatened to which the Company or any of its subsidiaries is a party or to which any of the properties of the Company or any of its subsidiaries is subject which, if determined adversely, would have a Material Adverse Effect.</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38" w:name="page39"/>
    <w:bookmarkEnd w:id="38"/>
    <w:p>
      <w:pPr>
        <w:ind w:right="860" w:firstLine="443"/>
        <w:spacing w:after="0" w:line="332" w:lineRule="auto"/>
        <w:tabs>
          <w:tab w:leader="none" w:pos="677"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 shall have received on the Closing Date an opinion of Wilkinson Barker Knauer, LLP, outside Federal Communications Commission (the “</w:t>
      </w:r>
      <w:r>
        <w:rPr>
          <w:rFonts w:ascii="Arial" w:cs="Arial" w:eastAsia="Arial" w:hAnsi="Arial"/>
          <w:sz w:val="16"/>
          <w:szCs w:val="16"/>
          <w:b w:val="1"/>
          <w:bCs w:val="1"/>
          <w:color w:val="auto"/>
        </w:rPr>
        <w:t>FCC</w:t>
      </w:r>
      <w:r>
        <w:rPr>
          <w:rFonts w:ascii="Arial" w:cs="Arial" w:eastAsia="Arial" w:hAnsi="Arial"/>
          <w:sz w:val="16"/>
          <w:szCs w:val="16"/>
          <w:color w:val="auto"/>
        </w:rPr>
        <w:t>”) broadcast regulatory counsel for the Company, dated the Closing Date, to the effect (as applicable) that:</w:t>
      </w:r>
    </w:p>
    <w:p>
      <w:pPr>
        <w:spacing w:after="0" w:line="4" w:lineRule="exact"/>
        <w:rPr>
          <w:rFonts w:ascii="Arial" w:cs="Arial" w:eastAsia="Arial" w:hAnsi="Arial"/>
          <w:sz w:val="16"/>
          <w:szCs w:val="16"/>
          <w:color w:val="auto"/>
        </w:rPr>
      </w:pPr>
    </w:p>
    <w:p>
      <w:pPr>
        <w:ind w:left="1100" w:hanging="219"/>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approval of the FCC is required in connection with the issuance and sale of the Offered Securities;</w:t>
      </w:r>
    </w:p>
    <w:p>
      <w:pPr>
        <w:spacing w:after="0" w:line="90" w:lineRule="exact"/>
        <w:rPr>
          <w:rFonts w:ascii="Arial" w:cs="Arial" w:eastAsia="Arial" w:hAnsi="Arial"/>
          <w:sz w:val="18"/>
          <w:szCs w:val="18"/>
          <w:color w:val="auto"/>
        </w:rPr>
      </w:pPr>
    </w:p>
    <w:p>
      <w:pPr>
        <w:ind w:left="460" w:right="80" w:firstLine="421"/>
        <w:spacing w:after="0" w:line="294" w:lineRule="auto"/>
        <w:tabs>
          <w:tab w:leader="none" w:pos="113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as otherwise explicitly set forth in the Time of Sale Prospectus, the execution and delivery by the Company of the Underwriting Agreement and the Indenture, and the issuance and sale of the Offered Securities and the performance by the Company of its obligations thereunder will not violate any statute, regulation or other law of the United States relating specifically to the broadcast industry or, to the knowledge of such counsel, any order, judgment or decree of any court or governmental body of the United States relating specifically to the broadcast industry and applicable to the Company or any of its subsidiaries, and which violation would have a Material Adverse Effect; and</w:t>
      </w:r>
    </w:p>
    <w:p>
      <w:pPr>
        <w:spacing w:after="0" w:line="34" w:lineRule="exact"/>
        <w:rPr>
          <w:rFonts w:ascii="Arial" w:cs="Arial" w:eastAsia="Arial" w:hAnsi="Arial"/>
          <w:sz w:val="16"/>
          <w:szCs w:val="16"/>
          <w:color w:val="auto"/>
        </w:rPr>
      </w:pPr>
    </w:p>
    <w:p>
      <w:pPr>
        <w:ind w:left="460" w:firstLine="421"/>
        <w:spacing w:after="0" w:line="294" w:lineRule="auto"/>
        <w:tabs>
          <w:tab w:leader="none" w:pos="1187"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statements incorporated by reference (or included) in the Time of Sale Prospectus from the Company’s Annual Report on Form 10-K for the year ended December 31, 2011 under the caption “Legislation and Regulation”, insofar as they constitute summaries of matters of FCC broadcast law and regulations or legal conclusions with respect thereto, constitute accurate summaries of the matters described therein in all material respects as of the date of such Form 10-K and as of the Closing Date there have been no changes applicable to the Company or any of its subsidiaries, which changes would have a Material Adverse Effect.</w:t>
      </w:r>
    </w:p>
    <w:p>
      <w:pPr>
        <w:spacing w:after="0" w:line="34"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right="80" w:firstLine="421"/>
        <w:spacing w:after="0" w:line="268" w:lineRule="auto"/>
        <w:tabs>
          <w:tab w:leader="none" w:pos="10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is validly existing as a limited liability company in good standing under the laws of the State of Delaware and has full power and authority to own its properties and conduct its business as presently conducted;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39" w:name="page40"/>
    <w:bookmarkEnd w:id="39"/>
    <w:p>
      <w:pPr>
        <w:ind w:left="-280" w:right="320" w:firstLine="421"/>
        <w:spacing w:after="0" w:line="268" w:lineRule="auto"/>
        <w:tabs>
          <w:tab w:leader="none" w:pos="39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ind w:left="-280" w:firstLine="421"/>
        <w:spacing w:after="0" w:line="291" w:lineRule="auto"/>
        <w:tabs>
          <w:tab w:leader="none" w:pos="44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the Offered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39" w:lineRule="exact"/>
        <w:rPr>
          <w:rFonts w:ascii="Arial" w:cs="Arial" w:eastAsia="Arial" w:hAnsi="Arial"/>
          <w:sz w:val="16"/>
          <w:szCs w:val="16"/>
          <w:color w:val="auto"/>
        </w:rPr>
      </w:pPr>
    </w:p>
    <w:p>
      <w:pPr>
        <w:ind w:left="440" w:hanging="299"/>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280" w:right="60" w:firstLine="421"/>
        <w:spacing w:after="0" w:line="268" w:lineRule="auto"/>
        <w:tabs>
          <w:tab w:leader="none" w:pos="3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Offered Securities conform in all material respects to the description thereof contained in the Time of Sale Prospectus, as then amended or supplemented, under the caption “Description of the Notes”;</w:t>
      </w:r>
    </w:p>
    <w:p>
      <w:pPr>
        <w:spacing w:after="0" w:line="50" w:lineRule="exact"/>
        <w:rPr>
          <w:rFonts w:ascii="Arial" w:cs="Arial" w:eastAsia="Arial" w:hAnsi="Arial"/>
          <w:sz w:val="18"/>
          <w:szCs w:val="18"/>
          <w:color w:val="auto"/>
        </w:rPr>
      </w:pPr>
    </w:p>
    <w:p>
      <w:pPr>
        <w:ind w:left="-280" w:right="640" w:firstLine="421"/>
        <w:spacing w:after="0" w:line="268" w:lineRule="auto"/>
        <w:tabs>
          <w:tab w:leader="none" w:pos="4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“Material U.S. Federal Income Tax Consequences for Non-U.S. Holders” and “Underwriting” relating to legal matters fairly summarize in all material respects such legal matters;</w:t>
      </w:r>
    </w:p>
    <w:p>
      <w:pPr>
        <w:spacing w:after="0" w:line="50" w:lineRule="exact"/>
        <w:rPr>
          <w:rFonts w:ascii="Arial" w:cs="Arial" w:eastAsia="Arial" w:hAnsi="Arial"/>
          <w:sz w:val="18"/>
          <w:szCs w:val="18"/>
          <w:color w:val="auto"/>
        </w:rPr>
      </w:pPr>
    </w:p>
    <w:p>
      <w:pPr>
        <w:ind w:left="-280" w:right="180" w:firstLine="421"/>
        <w:spacing w:after="0" w:line="253" w:lineRule="auto"/>
        <w:tabs>
          <w:tab w:leader="none" w:pos="4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the Company of this Agreement and, as applicable, the Transaction Documents will not contravene (i) any of the terms, conditions or provisions of the certificate of formation or limited liability company agreement of the Company or (ii) any provision of laws of the State of New York or any federal law of the United States of America that in such counsel’s experience is normally applicable to general business corporations in relation to transactions of the type contemplated by this Agreement and, as applicable, the Transaction Documents (except with respect to federal, state or foreign securities laws or to laws relating specifically to the cable communications industry, as to which such counsel is not called upon to express any opinion);</w:t>
      </w:r>
    </w:p>
    <w:p>
      <w:pPr>
        <w:spacing w:after="0" w:line="1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80" w:right="239" w:bottom="1440" w:gutter="0" w:footer="0" w:header="0"/>
        </w:sectPr>
      </w:pPr>
    </w:p>
    <w:bookmarkStart w:id="40" w:name="page41"/>
    <w:bookmarkEnd w:id="40"/>
    <w:p>
      <w:pPr>
        <w:ind w:left="-280" w:firstLine="421"/>
        <w:spacing w:after="0" w:line="291" w:lineRule="auto"/>
        <w:tabs>
          <w:tab w:leader="none" w:pos="535"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this Agreement and the Transaction Documents, as applicable, is required in connection with the execution, delivery and performance by the Company of this Agreement and, as applicable, the Transaction Documents (except such as may be required under federal, state or foreign securities or Blue Sky laws and with respect to consents, approvals and authorizations relating specifically to the cable communications industry, as to which such counsel is not called upon to express any opinion); and</w:t>
      </w:r>
    </w:p>
    <w:p>
      <w:pPr>
        <w:spacing w:after="0" w:line="39" w:lineRule="exact"/>
        <w:rPr>
          <w:rFonts w:ascii="Arial" w:cs="Arial" w:eastAsia="Arial" w:hAnsi="Arial"/>
          <w:sz w:val="16"/>
          <w:szCs w:val="16"/>
          <w:color w:val="auto"/>
        </w:rPr>
      </w:pPr>
    </w:p>
    <w:p>
      <w:pPr>
        <w:ind w:left="-280" w:firstLine="421"/>
        <w:spacing w:after="0" w:line="286" w:lineRule="auto"/>
        <w:tabs>
          <w:tab w:leader="none" w:pos="4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80" w:right="259" w:bottom="1440" w:gutter="0" w:footer="0" w:header="0"/>
        </w:sectPr>
      </w:pPr>
    </w:p>
    <w:bookmarkStart w:id="41" w:name="page42"/>
    <w:bookmarkEnd w:id="41"/>
    <w:p>
      <w:pPr>
        <w:ind w:left="92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 The Manager shall have received on the Closing Date an opinion of its own counsel, in a form acceptable to the Manager, dated the Closing Date.</w:t>
      </w:r>
    </w:p>
    <w:p>
      <w:pPr>
        <w:spacing w:after="0" w:line="12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respect to the matters set forth in (d)(ix) above, Davis Polk &amp; Wardwell LLP may state that its belief is based upon participation by it in the preparation of the Registration Statement (excluding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62" w:lineRule="exact"/>
        <w:rPr>
          <w:sz w:val="20"/>
          <w:szCs w:val="20"/>
          <w:color w:val="auto"/>
        </w:rPr>
      </w:pPr>
    </w:p>
    <w:p>
      <w:pPr>
        <w:ind w:left="460" w:right="280" w:firstLine="443"/>
        <w:spacing w:after="0" w:line="256" w:lineRule="auto"/>
        <w:tabs>
          <w:tab w:leader="none" w:pos="11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42" w:name="page43"/>
    <w:bookmarkEnd w:id="42"/>
    <w:p>
      <w:pPr>
        <w:ind w:firstLine="443"/>
        <w:spacing w:after="0" w:line="298"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Applicable Time and prior to the Closing Date, 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40" w:firstLine="443"/>
        <w:spacing w:after="0" w:line="306"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firstLine="443"/>
        <w:spacing w:after="0" w:line="335" w:lineRule="auto"/>
        <w:tabs>
          <w:tab w:leader="none" w:pos="687"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Before amending or supplementing the Registration Statement, the Time of Sale Prospectus or the Prospectus with respect to the Offered Securities, to furnish the Manager a copy of each such proposed amendment or supplement and will not file any such proposed amendment or supplement to which the Manager reasonably objects unless, in the Company’s good faith judgment, the Company is required by law or regulation to make such filing.</w:t>
      </w:r>
    </w:p>
    <w:p>
      <w:pPr>
        <w:spacing w:after="0" w:line="7" w:lineRule="exact"/>
        <w:rPr>
          <w:rFonts w:ascii="Arial" w:cs="Arial" w:eastAsia="Arial" w:hAnsi="Arial"/>
          <w:sz w:val="15"/>
          <w:szCs w:val="15"/>
          <w:color w:val="auto"/>
        </w:rPr>
      </w:pPr>
    </w:p>
    <w:p>
      <w:pPr>
        <w:ind w:right="60" w:firstLine="443"/>
        <w:spacing w:after="0" w:line="268" w:lineRule="auto"/>
        <w:tabs>
          <w:tab w:leader="none" w:pos="6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50" w:lineRule="exact"/>
        <w:rPr>
          <w:rFonts w:ascii="Arial" w:cs="Arial" w:eastAsia="Arial" w:hAnsi="Arial"/>
          <w:sz w:val="18"/>
          <w:szCs w:val="18"/>
          <w:color w:val="auto"/>
        </w:rPr>
      </w:pPr>
    </w:p>
    <w:p>
      <w:pPr>
        <w:ind w:right="200" w:firstLine="443"/>
        <w:spacing w:after="0" w:line="259"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700" w:top="280" w:right="319" w:bottom="1440" w:gutter="0" w:footer="0" w:header="0"/>
        </w:sectPr>
      </w:pPr>
    </w:p>
    <w:bookmarkStart w:id="43" w:name="page44"/>
    <w:bookmarkEnd w:id="43"/>
    <w:p>
      <w:pPr>
        <w:ind w:firstLine="443"/>
        <w:spacing w:after="0" w:line="288" w:lineRule="auto"/>
        <w:tabs>
          <w:tab w:leader="none" w:pos="67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38" w:lineRule="exact"/>
        <w:rPr>
          <w:rFonts w:ascii="Arial" w:cs="Arial" w:eastAsia="Arial" w:hAnsi="Arial"/>
          <w:sz w:val="16"/>
          <w:szCs w:val="16"/>
          <w:color w:val="auto"/>
        </w:rPr>
      </w:pPr>
    </w:p>
    <w:p>
      <w:pPr>
        <w:ind w:right="80" w:firstLine="443"/>
        <w:spacing w:after="0" w:line="286" w:lineRule="auto"/>
        <w:tabs>
          <w:tab w:leader="none" w:pos="65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46" w:lineRule="exact"/>
        <w:rPr>
          <w:rFonts w:ascii="Arial" w:cs="Arial" w:eastAsia="Arial" w:hAnsi="Arial"/>
          <w:sz w:val="16"/>
          <w:szCs w:val="16"/>
          <w:color w:val="auto"/>
        </w:rPr>
      </w:pPr>
    </w:p>
    <w:p>
      <w:pPr>
        <w:ind w:right="220" w:firstLine="443"/>
        <w:spacing w:after="0" w:line="332"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44" w:name="page45"/>
    <w:bookmarkEnd w:id="44"/>
    <w:p>
      <w:pPr>
        <w:ind w:right="60" w:firstLine="443"/>
        <w:spacing w:after="0" w:line="294"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 or otherwise reporting on an annual and quarterly basis on forms provided for such annual and quarterly reporting pursuant to rules and regulations promulgated by the Commission.</w:t>
      </w:r>
    </w:p>
    <w:p>
      <w:pPr>
        <w:spacing w:after="0" w:line="34" w:lineRule="exact"/>
        <w:rPr>
          <w:rFonts w:ascii="Arial" w:cs="Arial" w:eastAsia="Arial" w:hAnsi="Arial"/>
          <w:sz w:val="16"/>
          <w:szCs w:val="16"/>
          <w:color w:val="auto"/>
        </w:rPr>
      </w:pPr>
    </w:p>
    <w:p>
      <w:pPr>
        <w:ind w:right="160" w:firstLine="443"/>
        <w:spacing w:after="0" w:line="332"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period beginning on the date of this Agreement and continuing to and including the Closing Date, not to offer, sell, contract to sell or otherwise dispose of any debt securities of the Company with a tenor greater than one year without the prior written consent of the Manager.</w:t>
      </w:r>
    </w:p>
    <w:p>
      <w:pPr>
        <w:spacing w:after="0" w:line="4" w:lineRule="exact"/>
        <w:rPr>
          <w:rFonts w:ascii="Arial" w:cs="Arial" w:eastAsia="Arial" w:hAnsi="Arial"/>
          <w:sz w:val="16"/>
          <w:szCs w:val="16"/>
          <w:color w:val="auto"/>
        </w:rPr>
      </w:pPr>
    </w:p>
    <w:p>
      <w:pPr>
        <w:ind w:right="100" w:firstLine="443"/>
        <w:spacing w:after="0" w:line="306"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5" w:lineRule="exact"/>
        <w:rPr>
          <w:rFonts w:ascii="Arial" w:cs="Arial" w:eastAsia="Arial" w:hAnsi="Arial"/>
          <w:sz w:val="16"/>
          <w:szCs w:val="16"/>
          <w:color w:val="auto"/>
        </w:rPr>
      </w:pPr>
    </w:p>
    <w:p>
      <w:pPr>
        <w:ind w:firstLine="443"/>
        <w:spacing w:after="0" w:line="268" w:lineRule="auto"/>
        <w:tabs>
          <w:tab w:leader="none" w:pos="6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0" w:lineRule="exact"/>
        <w:rPr>
          <w:rFonts w:ascii="Arial" w:cs="Arial" w:eastAsia="Arial" w:hAnsi="Arial"/>
          <w:sz w:val="18"/>
          <w:szCs w:val="18"/>
          <w:color w:val="auto"/>
        </w:rPr>
      </w:pPr>
    </w:p>
    <w:p>
      <w:pPr>
        <w:ind w:right="60" w:firstLine="443"/>
        <w:spacing w:after="0" w:line="291"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the Time of Sale Prospectus and the Prospectus (including all exhibits, amendments and supplements thereto) and the distribution thereof; (iii) the costs of reproducing and distributing each of the Transaction Documents; (iv) the fees and expenses of the Company’s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45" w:name="page46"/>
    <w:bookmarkEnd w:id="4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39" w:lineRule="exact"/>
        <w:rPr>
          <w:sz w:val="20"/>
          <w:szCs w:val="20"/>
          <w:color w:val="auto"/>
        </w:rPr>
      </w:pPr>
    </w:p>
    <w:p>
      <w:pPr>
        <w:ind w:right="200" w:firstLine="443"/>
        <w:spacing w:after="0" w:line="294" w:lineRule="auto"/>
        <w:tabs>
          <w:tab w:leader="none" w:pos="7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34" w:lineRule="exact"/>
        <w:rPr>
          <w:rFonts w:ascii="Arial" w:cs="Arial" w:eastAsia="Arial" w:hAnsi="Arial"/>
          <w:sz w:val="16"/>
          <w:szCs w:val="16"/>
          <w:color w:val="auto"/>
        </w:rPr>
      </w:pPr>
    </w:p>
    <w:p>
      <w:pPr>
        <w:ind w:right="40" w:firstLine="443"/>
        <w:spacing w:after="0" w:line="287"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Prospectus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Prospectus or any such Issuer Free Writing Prospectus is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46" w:name="page47"/>
    <w:bookmarkEnd w:id="46"/>
    <w:p>
      <w:pPr>
        <w:ind w:right="3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2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firstLine="443"/>
        <w:spacing w:after="0" w:line="323" w:lineRule="auto"/>
        <w:tabs>
          <w:tab w:leader="none" w:pos="67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Registration Statement has become effective; no stop order suspending the effectiveness of the Registration Statement is in effect, and no proceedings for such purpose are pending before or threatened by the Commission. The Company is a majority owned subsidiary of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6" w:lineRule="exact"/>
        <w:rPr>
          <w:rFonts w:ascii="Arial" w:cs="Arial" w:eastAsia="Arial" w:hAnsi="Arial"/>
          <w:sz w:val="15"/>
          <w:szCs w:val="15"/>
          <w:color w:val="auto"/>
        </w:rPr>
      </w:pPr>
    </w:p>
    <w:p>
      <w:pPr>
        <w:ind w:left="700" w:hanging="257"/>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(or included) in the Time of Sale</w:t>
      </w:r>
    </w:p>
    <w:p>
      <w:pPr>
        <w:spacing w:after="0" w:line="38" w:lineRule="exact"/>
        <w:rPr>
          <w:rFonts w:ascii="Arial" w:cs="Arial" w:eastAsia="Arial" w:hAnsi="Arial"/>
          <w:sz w:val="16"/>
          <w:szCs w:val="16"/>
          <w:color w:val="auto"/>
        </w:rPr>
      </w:pPr>
    </w:p>
    <w:p>
      <w:pPr>
        <w:ind w:right="60"/>
        <w:spacing w:after="0" w:line="288" w:lineRule="auto"/>
        <w:rPr>
          <w:rFonts w:ascii="Arial" w:cs="Arial" w:eastAsia="Arial" w:hAnsi="Arial"/>
          <w:sz w:val="16"/>
          <w:szCs w:val="16"/>
          <w:color w:val="auto"/>
        </w:rPr>
      </w:pPr>
      <w:r>
        <w:rPr>
          <w:rFonts w:ascii="Arial" w:cs="Arial" w:eastAsia="Arial" w:hAnsi="Arial"/>
          <w:sz w:val="16"/>
          <w:szCs w:val="16"/>
          <w:color w:val="auto"/>
        </w:rPr>
        <w:t>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46" w:lineRule="exact"/>
        <w:rPr>
          <w:sz w:val="20"/>
          <w:szCs w:val="20"/>
          <w:color w:val="auto"/>
        </w:rPr>
      </w:pPr>
    </w:p>
    <w:p>
      <w:pPr>
        <w:ind w:right="20" w:firstLine="443"/>
        <w:spacing w:after="0" w:line="289" w:lineRule="auto"/>
        <w:tabs>
          <w:tab w:leader="none" w:pos="67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37" w:lineRule="exact"/>
        <w:rPr>
          <w:rFonts w:ascii="Arial" w:cs="Arial" w:eastAsia="Arial" w:hAnsi="Arial"/>
          <w:sz w:val="16"/>
          <w:szCs w:val="16"/>
          <w:color w:val="auto"/>
        </w:rPr>
      </w:pPr>
    </w:p>
    <w:p>
      <w:pPr>
        <w:ind w:right="200" w:firstLine="443"/>
        <w:spacing w:after="0" w:line="259"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been duly formed, is validly existing as a limited liability company in good standing under the laws of the State of Delaware and has full power and authority to own its properties and conduct its business as presently conducted and is duly qualified to transact business and is in good standing in each jurisdiction in which the conduct of</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48" w:name="page49"/>
    <w:bookmarkEnd w:id="4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business or its ownership or leasing of property requires such qualification, except to the extent that the failure to be so qualified or be in good standing would not have a Material Adverse Effect.</w:t>
      </w:r>
    </w:p>
    <w:p>
      <w:pPr>
        <w:spacing w:after="0" w:line="51" w:lineRule="exact"/>
        <w:rPr>
          <w:sz w:val="20"/>
          <w:szCs w:val="20"/>
          <w:color w:val="auto"/>
        </w:rPr>
      </w:pPr>
    </w:p>
    <w:p>
      <w:pPr>
        <w:ind w:firstLine="443"/>
        <w:spacing w:after="0" w:line="294" w:lineRule="auto"/>
        <w:tabs>
          <w:tab w:leader="none" w:pos="6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(i) The Offered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660" w:hanging="217"/>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100" w:firstLine="443"/>
        <w:spacing w:after="0" w:line="291" w:lineRule="auto"/>
        <w:tabs>
          <w:tab w:leader="none" w:pos="68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is not in violation of its certificate of formation or limited liability company agreement. None of the Company’s subsidiaries is in violation of its certificate of incorporation, by-laws or other constituent documents. Neither the Company nor any of its subsidiaries is in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for any such default that would not, individually or in the aggregate, reasonably be expected to have a Material Adverse Effect.</w:t>
      </w:r>
    </w:p>
    <w:p>
      <w:pPr>
        <w:spacing w:after="0" w:line="39" w:lineRule="exact"/>
        <w:rPr>
          <w:rFonts w:ascii="Arial" w:cs="Arial" w:eastAsia="Arial" w:hAnsi="Arial"/>
          <w:sz w:val="16"/>
          <w:szCs w:val="16"/>
          <w:color w:val="auto"/>
        </w:rPr>
      </w:pPr>
    </w:p>
    <w:p>
      <w:pPr>
        <w:ind w:right="40" w:firstLine="443"/>
        <w:spacing w:after="0" w:line="302" w:lineRule="auto"/>
        <w:tabs>
          <w:tab w:leader="none" w:pos="687"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formation or limited liability company agreement of the Company, (iii) any agreement or other instrument binding upon the Company or any of its subsidiaries, or (iv) any judgment, order or decree of any governmental body, agency or court having jurisdiction over the Company or any of its subsidiaries except, in the case of clauses (i), (iii) and</w:t>
      </w:r>
    </w:p>
    <w:p>
      <w:pPr>
        <w:spacing w:after="0" w:line="2" w:lineRule="exact"/>
        <w:rPr>
          <w:rFonts w:ascii="Arial" w:cs="Arial" w:eastAsia="Arial" w:hAnsi="Arial"/>
          <w:sz w:val="15"/>
          <w:szCs w:val="15"/>
          <w:color w:val="auto"/>
        </w:rPr>
      </w:pPr>
    </w:p>
    <w:p>
      <w:pPr>
        <w:ind w:left="300" w:hanging="296"/>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w:t>
      </w:r>
    </w:p>
    <w:p>
      <w:pPr>
        <w:spacing w:after="0" w:line="83" w:lineRule="exact"/>
        <w:rPr>
          <w:rFonts w:ascii="Arial" w:cs="Arial" w:eastAsia="Arial" w:hAnsi="Arial"/>
          <w:sz w:val="18"/>
          <w:szCs w:val="18"/>
          <w:color w:val="auto"/>
        </w:rPr>
      </w:pPr>
    </w:p>
    <w:p>
      <w:pPr>
        <w:ind w:left="660" w:hanging="217"/>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49" w:name="page50"/>
    <w:bookmarkEnd w:id="49"/>
    <w:p>
      <w:pPr>
        <w:ind w:left="46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1" w:lineRule="exact"/>
        <w:rPr>
          <w:sz w:val="20"/>
          <w:szCs w:val="20"/>
          <w:color w:val="auto"/>
        </w:rPr>
      </w:pPr>
    </w:p>
    <w:p>
      <w:pPr>
        <w:ind w:left="460" w:right="220" w:firstLine="443"/>
        <w:spacing w:after="0" w:line="259"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which, if determined adversely, would not have a Material Adverse Effect.</w:t>
      </w:r>
    </w:p>
    <w:p>
      <w:pPr>
        <w:spacing w:after="0" w:line="59" w:lineRule="exact"/>
        <w:rPr>
          <w:rFonts w:ascii="Arial" w:cs="Arial" w:eastAsia="Arial" w:hAnsi="Arial"/>
          <w:sz w:val="18"/>
          <w:szCs w:val="18"/>
          <w:color w:val="auto"/>
        </w:rPr>
      </w:pPr>
    </w:p>
    <w:p>
      <w:pPr>
        <w:ind w:left="460" w:right="140" w:firstLine="443"/>
        <w:spacing w:after="0" w:line="298" w:lineRule="auto"/>
        <w:tabs>
          <w:tab w:leader="none" w:pos="110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Company and its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Time of Sale Prospectus, except to the extent that the failure to obtain or file would not have a Material Adverse Effect.</w:t>
      </w:r>
    </w:p>
    <w:p>
      <w:pPr>
        <w:spacing w:after="0" w:line="31" w:lineRule="exact"/>
        <w:rPr>
          <w:rFonts w:ascii="Arial" w:cs="Arial" w:eastAsia="Arial" w:hAnsi="Arial"/>
          <w:sz w:val="16"/>
          <w:szCs w:val="16"/>
          <w:color w:val="auto"/>
        </w:rPr>
      </w:pPr>
    </w:p>
    <w:p>
      <w:pPr>
        <w:ind w:left="460" w:firstLine="443"/>
        <w:spacing w:after="0" w:line="259" w:lineRule="auto"/>
        <w:tabs>
          <w:tab w:leader="none" w:pos="11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177"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50" w:name="page51"/>
    <w:bookmarkEnd w:id="5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4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51" w:name="page52"/>
    <w:bookmarkEnd w:id="5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52" w:name="page53"/>
    <w:bookmarkEnd w:id="5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2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VIII.</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a general moratorium on commercial banking activities in New York shall have been declared by either Federal or New York State authorities, or (iii) there shall have occurred any outbreak or escalation of hostilities or a severe deterioration in U.S. financial markets or any other calamity or crisis that is material and adverse and (b) in the case of any of the events specified in clause (a)(iii),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54" w:name="page55"/>
    <w:bookmarkEnd w:id="54"/>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55" w:name="page56"/>
    <w:bookmarkEnd w:id="55"/>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1080"/>
          </w:cols>
          <w:pgMar w:left="240" w:top="280" w:right="5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DEBT SECURITY]</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TRANSFERS OF THIS SECURITY ARE LIMITED TO TRANSFERS IN WHOLE, BUT NOT IN PART, TO DTC, TO NOMINEES OF DTC OR TO A SUCCESSOR THEREOF OR SUCH SUCCESSOR’S NOMINEE AND TRANSFERS OF PORTIONS OF THIS GLOBAL SECURITY SHALL BE LIMITED TO TRANSFERS MADE IN ACCORDANCE WITH THE TRANSFER RESTRICTIONS SET FORTH IN THE INDENTURE.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NBCUNIVERSAL MEDIA, LLC</w:t>
      </w:r>
    </w:p>
    <w:p>
      <w:pPr>
        <w:spacing w:after="0" w:line="44" w:lineRule="exact"/>
        <w:rPr>
          <w:sz w:val="20"/>
          <w:szCs w:val="20"/>
          <w:color w:val="auto"/>
        </w:rPr>
      </w:pPr>
    </w:p>
    <w:p>
      <w:pPr>
        <w:jc w:val="center"/>
        <w:ind w:right="-19"/>
        <w:spacing w:after="0"/>
        <w:tabs>
          <w:tab w:leader="none" w:pos="520" w:val="left"/>
          <w:tab w:leader="none" w:pos="5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Notes due [</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420"/>
          </w:cols>
          <w:pgMar w:left="240" w:top="274"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ISIN No.: </w:t>
      </w:r>
      <w:r>
        <w:rPr>
          <w:rFonts w:ascii="Arial" w:cs="Arial" w:eastAsia="Arial" w:hAnsi="Arial"/>
          <w:sz w:val="18"/>
          <w:szCs w:val="18"/>
          <w:b w:val="1"/>
          <w:bCs w:val="1"/>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59" w:lineRule="exact"/>
        <w:rPr>
          <w:sz w:val="20"/>
          <w:szCs w:val="20"/>
          <w:color w:val="auto"/>
        </w:rPr>
      </w:pPr>
    </w:p>
    <w:p>
      <w:pPr>
        <w:sectPr>
          <w:pgSz w:w="11900" w:h="16838" w:orient="portrait"/>
          <w:cols w:equalWidth="0" w:num="4">
            <w:col w:w="360" w:space="580"/>
            <w:col w:w="8180" w:space="720"/>
            <w:col w:w="960" w:space="560"/>
            <w:col w:w="6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NBCUNIVERSAL MEDIA, LLC, a Delaware limited liability company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company under the Indenture</w:t>
      </w:r>
    </w:p>
    <w:p>
      <w:pPr>
        <w:spacing w:after="0" w:line="44"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referred to on the reverse hereof), for value received, promises to pay to CEDE &amp; CO. or registered assigns, the principal amount of</w:t>
      </w:r>
      <w:r>
        <w:rPr>
          <w:sz w:val="20"/>
          <w:szCs w:val="20"/>
          <w:color w:val="auto"/>
        </w:rPr>
        <w:tab/>
      </w:r>
      <w:r>
        <w:rPr>
          <w:rFonts w:ascii="Arial" w:cs="Arial" w:eastAsia="Arial" w:hAnsi="Arial"/>
          <w:sz w:val="16"/>
          <w:szCs w:val="16"/>
          <w:color w:val="auto"/>
        </w:rPr>
        <w:t>UNITED</w:t>
      </w:r>
    </w:p>
    <w:p>
      <w:pPr>
        <w:spacing w:after="0" w:line="9" w:lineRule="exact"/>
        <w:rPr>
          <w:sz w:val="20"/>
          <w:szCs w:val="20"/>
          <w:color w:val="auto"/>
        </w:rPr>
      </w:pPr>
    </w:p>
    <w:p>
      <w:pPr>
        <w:spacing w:after="0"/>
        <w:tabs>
          <w:tab w:leader="none" w:pos="9940" w:val="left"/>
        </w:tabs>
        <w:rPr>
          <w:sz w:val="20"/>
          <w:szCs w:val="20"/>
          <w:color w:val="auto"/>
        </w:rPr>
      </w:pPr>
      <w:r>
        <w:rPr>
          <w:rFonts w:ascii="Arial" w:cs="Arial" w:eastAsia="Arial" w:hAnsi="Arial"/>
          <w:sz w:val="16"/>
          <w:szCs w:val="16"/>
          <w:color w:val="auto"/>
        </w:rPr>
        <w:t xml:space="preserve">STATES DOLLARS (or such other principal amount as shall be set forth on the Schedule of Exchanges of Notes annexed hereto) on </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type w:val="continuous"/>
        </w:sectPr>
      </w:pP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 Payment Dates: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and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ectPr>
          <w:pgSz w:w="11900" w:h="16838" w:orient="portrait"/>
          <w:cols w:equalWidth="0" w:num="4">
            <w:col w:w="2240" w:space="540"/>
            <w:col w:w="440" w:space="540"/>
            <w:col w:w="3980" w:space="540"/>
            <w:col w:w="3140"/>
          </w:cols>
          <w:pgMar w:left="240" w:top="274" w:right="23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 Record Dates: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(whether or not a Business Day) (each, an “</w:t>
      </w:r>
      <w:r>
        <w:rPr>
          <w:rFonts w:ascii="Arial" w:cs="Arial" w:eastAsia="Arial" w:hAnsi="Arial"/>
          <w:sz w:val="16"/>
          <w:szCs w:val="16"/>
          <w:b w:val="1"/>
          <w:bCs w:val="1"/>
          <w:color w:val="auto"/>
        </w:rPr>
        <w:t>Interest Record Date</w:t>
      </w:r>
      <w:r>
        <w:rPr>
          <w:rFonts w:ascii="Arial" w:cs="Arial" w:eastAsia="Arial" w:hAnsi="Arial"/>
          <w:sz w:val="16"/>
          <w:szCs w:val="16"/>
          <w:color w:val="auto"/>
        </w:rPr>
        <w:t>”).</w:t>
      </w:r>
    </w:p>
    <w:p>
      <w:pPr>
        <w:spacing w:after="0" w:line="199" w:lineRule="exact"/>
        <w:rPr>
          <w:sz w:val="20"/>
          <w:szCs w:val="20"/>
          <w:color w:val="auto"/>
        </w:rPr>
      </w:pPr>
    </w:p>
    <w:p>
      <w:pPr>
        <w:sectPr>
          <w:pgSz w:w="11900" w:h="16838" w:orient="portrait"/>
          <w:cols w:equalWidth="0" w:num="3">
            <w:col w:w="2140" w:space="520"/>
            <w:col w:w="460" w:space="520"/>
            <w:col w:w="7780"/>
          </w:cols>
          <w:pgMar w:left="240" w:top="274" w:right="239" w:bottom="1440" w:gutter="0" w:footer="0" w:header="0"/>
          <w:type w:val="continuous"/>
        </w:sectPr>
      </w:pPr>
    </w:p>
    <w:p>
      <w:pPr>
        <w:jc w:val="center"/>
        <w:ind w:right="40"/>
        <w:spacing w:after="0"/>
        <w:rPr>
          <w:sz w:val="20"/>
          <w:szCs w:val="20"/>
          <w:color w:val="auto"/>
        </w:rPr>
      </w:pPr>
      <w:r>
        <w:rPr>
          <w:rFonts w:ascii="Arial" w:cs="Arial" w:eastAsia="Arial" w:hAnsi="Arial"/>
          <w:sz w:val="15"/>
          <w:szCs w:val="15"/>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58" w:name="page59"/>
    <w:bookmarkEnd w:id="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NBCUNIVERSAL MEDIA,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Securities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6" w:lineRule="exact"/>
        <w:rPr>
          <w:sz w:val="20"/>
          <w:szCs w:val="20"/>
          <w:color w:val="auto"/>
        </w:rPr>
      </w:pPr>
    </w:p>
    <w:p>
      <w:pPr>
        <w:jc w:val="right"/>
        <w:ind w:right="259"/>
        <w:spacing w:after="0"/>
        <w:rPr>
          <w:sz w:val="20"/>
          <w:szCs w:val="20"/>
          <w:color w:val="auto"/>
        </w:rPr>
      </w:pPr>
      <w:r>
        <w:rPr>
          <w:rFonts w:ascii="Arial" w:cs="Arial" w:eastAsia="Arial" w:hAnsi="Arial"/>
          <w:sz w:val="18"/>
          <w:szCs w:val="18"/>
          <w:b w:val="1"/>
          <w:bCs w:val="1"/>
          <w:color w:val="auto"/>
        </w:rPr>
        <w:t>THE BANK OF NEW YORK MELLON,</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ind w:left="4600"/>
        <w:spacing w:after="0"/>
        <w:tabs>
          <w:tab w:leader="none" w:pos="5160" w:val="left"/>
          <w:tab w:leader="none" w:pos="67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 Notes due</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8"/>
          <w:szCs w:val="18"/>
          <w:b w:val="1"/>
          <w:bCs w:val="1"/>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promises to pay interest on the principal amount of this Note at the rate per annum set forth above. Interest on the Notes will accrue from the</w:t>
      </w:r>
    </w:p>
    <w:p>
      <w:pPr>
        <w:spacing w:after="0" w:line="3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most recent date to which interest has been paid or duly provided for or, if no interest has been paid or duly provided for, from [ ]. The Issuer will pay interest semiannually in arrears on each Interest Payment Date, commencing [ ] to the Persons in whose names the Notes are registered at the close of business on the preceding [ ] or [ ] (whether or not a Business Day), as the case may be. Interest will be computed on the basis of a 360-day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consisting of twelve 30-day months in a manner consistent with Rule 11620(b) of the NASD Uniform Practice Code.</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at the same rate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Note is one of the [ ]% Notes due [ ]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April 30, 2010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Issuer and the Trustee, and established pursuant to an Officer’s Certificate dated [ ], (the “</w:t>
      </w:r>
      <w:r>
        <w:rPr>
          <w:rFonts w:ascii="Arial" w:cs="Arial" w:eastAsia="Arial" w:hAnsi="Arial"/>
          <w:sz w:val="16"/>
          <w:szCs w:val="16"/>
          <w:b w:val="1"/>
          <w:bCs w:val="1"/>
          <w:color w:val="auto"/>
        </w:rPr>
        <w:t>Officer’s Certificate”</w:t>
      </w:r>
      <w:r>
        <w:rPr>
          <w:rFonts w:ascii="Arial" w:cs="Arial" w:eastAsia="Arial" w:hAnsi="Arial"/>
          <w:sz w:val="16"/>
          <w:szCs w:val="16"/>
          <w:color w:val="auto"/>
        </w:rPr>
        <w:t>), issued pursuant to Section 2.01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2.03 thereof (together, the “</w:t>
      </w:r>
      <w:r>
        <w:rPr>
          <w:rFonts w:ascii="Arial" w:cs="Arial" w:eastAsia="Arial" w:hAnsi="Arial"/>
          <w:sz w:val="18"/>
          <w:szCs w:val="18"/>
          <w:b w:val="1"/>
          <w:bCs w:val="1"/>
          <w:color w:val="auto"/>
        </w:rPr>
        <w:t>Indenture</w:t>
      </w:r>
      <w:r>
        <w:rPr>
          <w:rFonts w:ascii="Arial" w:cs="Arial" w:eastAsia="Arial" w:hAnsi="Arial"/>
          <w:sz w:val="18"/>
          <w:szCs w:val="18"/>
          <w:color w:val="auto"/>
        </w:rPr>
        <w:t>”). This Note is a “Security” and the Notes are “Securities” under the Base Indenture.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1400"/>
          </w:cols>
          <w:pgMar w:left="240" w:top="280" w:right="259" w:bottom="1440" w:gutter="0" w:footer="0" w:header="0"/>
        </w:sectPr>
      </w:pPr>
    </w:p>
    <w:bookmarkStart w:id="61" w:name="page62"/>
    <w:bookmarkEnd w:id="61"/>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except the portion thereof not so to be redeemed.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the Outstanding Securities of all series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Optional Redemption.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Issuer may at its option redeem any of the Notes in whole or in part, at any time or from time to time, prior to their maturity, on at least 30 days’, but not more than 60 days’, prior notice mailed to the registered address of each Holder of Notes to be redeemed (the “</w:t>
      </w:r>
      <w:r>
        <w:rPr>
          <w:rFonts w:ascii="Arial" w:cs="Arial" w:eastAsia="Arial" w:hAnsi="Arial"/>
          <w:sz w:val="18"/>
          <w:szCs w:val="18"/>
          <w:b w:val="1"/>
          <w:bCs w:val="1"/>
          <w:color w:val="auto"/>
        </w:rPr>
        <w:t>Redemption Date</w:t>
      </w:r>
      <w:r>
        <w:rPr>
          <w:rFonts w:ascii="Arial" w:cs="Arial" w:eastAsia="Arial" w:hAnsi="Arial"/>
          <w:sz w:val="18"/>
          <w:szCs w:val="18"/>
          <w:color w:val="auto"/>
        </w:rPr>
        <w:t>”), at a redemption price, calculated by the Issuer, equal to the greater 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100% of the principal amount of the Notes to be redeemed;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1380"/>
          </w:cols>
          <w:pgMar w:left="240" w:top="280" w:right="279" w:bottom="1440" w:gutter="0" w:footer="0" w:header="0"/>
        </w:sectPr>
      </w:pPr>
    </w:p>
    <w:bookmarkStart w:id="62" w:name="page63"/>
    <w:bookmarkEnd w:id="62"/>
    <w:p>
      <w:pPr>
        <w:jc w:val="both"/>
        <w:ind w:right="320" w:firstLine="464"/>
        <w:spacing w:after="0" w:line="305" w:lineRule="auto"/>
        <w:tabs>
          <w:tab w:leader="none" w:pos="715" w:val="left"/>
        </w:tabs>
        <w:numPr>
          <w:ilvl w:val="0"/>
          <w:numId w:val="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w:t>
      </w:r>
    </w:p>
    <w:p>
      <w:pPr>
        <w:spacing w:after="0"/>
        <w:tabs>
          <w:tab w:leader="none" w:pos="4340" w:val="left"/>
        </w:tabs>
        <w:rPr>
          <w:sz w:val="20"/>
          <w:szCs w:val="20"/>
          <w:color w:val="auto"/>
        </w:rPr>
      </w:pPr>
      <w:r>
        <w:rPr>
          <w:rFonts w:ascii="Arial" w:cs="Arial" w:eastAsia="Arial" w:hAnsi="Arial"/>
          <w:sz w:val="18"/>
          <w:szCs w:val="18"/>
          <w:color w:val="auto"/>
        </w:rPr>
        <w:t>months) at the Treasury Rate (as defined below) plus [</w:t>
      </w:r>
      <w:r>
        <w:rPr>
          <w:sz w:val="20"/>
          <w:szCs w:val="20"/>
          <w:color w:val="auto"/>
        </w:rPr>
        <w:tab/>
      </w:r>
      <w:r>
        <w:rPr>
          <w:rFonts w:ascii="Arial" w:cs="Arial" w:eastAsia="Arial" w:hAnsi="Arial"/>
          <w:sz w:val="15"/>
          <w:szCs w:val="15"/>
          <w:color w:val="auto"/>
        </w:rPr>
        <w:t>] basis points,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7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means each of (i) [ ], [ ] and [ ] or their affiliates which are primary U.S. government securities dealers (a “</w:t>
      </w:r>
      <w:r>
        <w:rPr>
          <w:rFonts w:ascii="Arial" w:cs="Arial" w:eastAsia="Arial" w:hAnsi="Arial"/>
          <w:sz w:val="16"/>
          <w:szCs w:val="16"/>
          <w:b w:val="1"/>
          <w:bCs w:val="1"/>
          <w:color w:val="auto"/>
        </w:rPr>
        <w:t>Primary Treasury Dealer</w:t>
      </w:r>
      <w:r>
        <w:rPr>
          <w:rFonts w:ascii="Arial" w:cs="Arial" w:eastAsia="Arial" w:hAnsi="Arial"/>
          <w:sz w:val="16"/>
          <w:szCs w:val="16"/>
          <w:color w:val="auto"/>
        </w:rPr>
        <w:t>”),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9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400"/>
          </w:cols>
          <w:pgMar w:left="240" w:top="280" w:right="259" w:bottom="1440" w:gutter="0" w:footer="0" w:header="0"/>
        </w:sectPr>
      </w:pPr>
    </w:p>
    <w:bookmarkStart w:id="63" w:name="page64"/>
    <w:bookmarkEnd w:id="63"/>
    <w:p>
      <w:pPr>
        <w:ind w:right="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Notice of any redemption will be distributed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the Trustee by a method the Trustee deems to be fair and appropriate. No Notes of a principal amount of $2,000 or less will be redeemed in part.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4 (R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H</w:t>
      </w:r>
      <w:r>
        <w:rPr>
          <w:rFonts w:ascii="Arial" w:cs="Arial" w:eastAsia="Arial" w:hAnsi="Arial"/>
          <w:sz w:val="14"/>
          <w:szCs w:val="14"/>
          <w:color w:val="auto"/>
        </w:rPr>
        <w:t>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 of the Base Indenture shall apply to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Note shall not be entitled to any benefit under the Indenture or be valid until the Trustee manually signs the certificate of authentication on this Note.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Information</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the Issuer is not subject to the reporting requirements of Section 13 or 15(d) of the Exchange Act (the “</w:t>
      </w:r>
      <w:r>
        <w:rPr>
          <w:rFonts w:ascii="Arial" w:cs="Arial" w:eastAsia="Arial" w:hAnsi="Arial"/>
          <w:sz w:val="16"/>
          <w:szCs w:val="16"/>
          <w:b w:val="1"/>
          <w:bCs w:val="1"/>
          <w:color w:val="auto"/>
        </w:rPr>
        <w:t>Reporting Requirements</w:t>
      </w:r>
      <w:r>
        <w:rPr>
          <w:rFonts w:ascii="Arial" w:cs="Arial" w:eastAsia="Arial" w:hAnsi="Arial"/>
          <w:sz w:val="16"/>
          <w:szCs w:val="16"/>
          <w:color w:val="auto"/>
        </w:rPr>
        <w:t>”) or does not otherwise report on an annual and quarterly basis on forms provided for such annual and quarterly reporting pursuant to rules and regulations promulgated by the Commission, the Issuer will be required to make available to the Trustee and the Holders, without cost to any Holder, within 90 days following its fiscal year end and within 45 days following its first, second and third fiscal quarter ends, the annual and quarterly financial statements that would be required to be filed with the Commission on Forms 10-K and 10-Q (were the Issuer subject to the Reporting Requirements) along with a “Management’s Discussion and Analysis of Financial Condition and Results of Operations” (“</w:t>
      </w:r>
      <w:r>
        <w:rPr>
          <w:rFonts w:ascii="Arial" w:cs="Arial" w:eastAsia="Arial" w:hAnsi="Arial"/>
          <w:sz w:val="16"/>
          <w:szCs w:val="16"/>
          <w:b w:val="1"/>
          <w:bCs w:val="1"/>
          <w:color w:val="auto"/>
        </w:rPr>
        <w:t>MD&amp;A</w:t>
      </w:r>
      <w:r>
        <w:rPr>
          <w:rFonts w:ascii="Arial" w:cs="Arial" w:eastAsia="Arial" w:hAnsi="Arial"/>
          <w:sz w:val="16"/>
          <w:szCs w:val="16"/>
          <w:color w:val="auto"/>
        </w:rPr>
        <w:t>”) and, with respect to annual financial statements, a report thereon by an independent registered public accounting firm, in each case in a manner that complies in all material respects with the requirements specified in such form for such financial statements and MD&amp;A. The Issuer will not be required to provide such information if the Notes are guaranteed by a person subject to the Reporting Requirements and the Issuer would have been exempt from the Reporting Requirements pursuant to Rule 12h-5 of the Exchange Act.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360"/>
          </w:cols>
          <w:pgMar w:left="240" w:top="274" w:right="299" w:bottom="1440" w:gutter="0" w:footer="0" w:header="0"/>
        </w:sectPr>
      </w:pPr>
    </w:p>
    <w:bookmarkStart w:id="64" w:name="page65"/>
    <w:bookmarkEnd w:id="64"/>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Issuer has electronically filed with the Commission’s Next-Generation EDGAR system (or any successor system), the reports described above, the Issuer shall be deemed to have satisfied the foregoing requirements.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the Notes are unconditionally guaranteed in full by a person subject to the Reporting Requirements, the foregoing requirements will be deemed satisfied by such guarantor filing any document or report that such guarantor is required to file with the Commission pursuant to Section 13 or 15(d) of the Exchange Act.</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Delivery of the reports, information and documents required by this paragraph 9 to be delivered to the Trustee is for informational purposes only and the Trustee’s receipt of such shall not constitute constructive notice of any information contained therein or determinable from information contained therein.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Abbreviations and Defined Terms.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CUSIP Numbers.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and the Trustee may use CUSIP and ISIN numbers in notices of redemption, as a convenience to the Holders of the Notes. No representation is made as to the accuracy of such numbers as printed on the Notes or as contained in any notice of redemption and reliance may be placed only on the other identification numbers printed hereon.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this Note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420"/>
          </w:cols>
          <w:pgMar w:left="240" w:top="2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 or type assignee’s name, address and zip code)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(Insert assignee’s soc. sec. or tax I.D. No.)</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400" w:type="dxa"/>
            <w:vAlign w:val="bottom"/>
            <w:gridSpan w:val="3"/>
          </w:tcPr>
          <w:p>
            <w:pPr>
              <w:ind w:left="18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05"/>
        </w:trPr>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tcPr>
          <w:p>
            <w:pPr>
              <w:spacing w:after="0"/>
              <w:rPr>
                <w:sz w:val="17"/>
                <w:szCs w:val="17"/>
                <w:color w:val="auto"/>
              </w:rPr>
            </w:pPr>
          </w:p>
        </w:tc>
      </w:tr>
      <w:tr>
        <w:trPr>
          <w:trHeight w:val="493"/>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580" w:type="dxa"/>
            <w:vAlign w:val="bottom"/>
            <w:tcBorders>
              <w:bottom w:val="single" w:sz="8" w:color="auto"/>
            </w:tcBorders>
          </w:tcPr>
          <w:p>
            <w:pPr>
              <w:spacing w:after="0"/>
              <w:rPr>
                <w:sz w:val="24"/>
                <w:szCs w:val="24"/>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1"/>
              </w:rPr>
              <w:t>Your Signature:</w:t>
            </w:r>
          </w:p>
        </w:tc>
        <w:tc>
          <w:tcPr>
            <w:tcW w:w="2140" w:type="dxa"/>
            <w:vAlign w:val="bottom"/>
            <w:tcBorders>
              <w:bottom w:val="single" w:sz="8" w:color="auto"/>
            </w:tcBorders>
          </w:tcPr>
          <w:p>
            <w:pPr>
              <w:spacing w:after="0"/>
              <w:rPr>
                <w:sz w:val="24"/>
                <w:szCs w:val="24"/>
                <w:color w:val="auto"/>
              </w:rPr>
            </w:pPr>
          </w:p>
        </w:tc>
        <w:tc>
          <w:tcPr>
            <w:tcW w:w="5900" w:type="dxa"/>
            <w:vAlign w:val="bottom"/>
          </w:tcPr>
          <w:p>
            <w:pPr>
              <w:spacing w:after="0"/>
              <w:rPr>
                <w:sz w:val="24"/>
                <w:szCs w:val="24"/>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In connection with any transfer of any of the Notes evidenced by this certificate, the undersigned represents that from the date of this certificate through and including the date on which the undersigned disposes of such Notes or any interest therein that either: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179" w:lineRule="exact"/>
        <w:rPr>
          <w:sz w:val="20"/>
          <w:szCs w:val="20"/>
          <w:color w:val="auto"/>
        </w:rPr>
      </w:pPr>
    </w:p>
    <w:p>
      <w:pPr>
        <w:ind w:left="1040" w:right="80" w:hanging="573"/>
        <w:spacing w:after="0" w:line="223" w:lineRule="exact"/>
        <w:tabs>
          <w:tab w:leader="none" w:pos="770" w:val="left"/>
        </w:tabs>
        <w:numPr>
          <w:ilvl w:val="0"/>
          <w:numId w:val="5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portion of the assets used to acquire or hold the Notes evidenced by this certificate (or any interest therein) constitutes assets of any employee benefit plan subject to Title I of the U.S. Employee Retirement Income Security Act of 1974, as amended (“ERISA”), any plan, account or other arrangement subject to Section 4975 of the U.S. Internal Revenue Code of 1986, as amended (the “Code”), or provisions under any other federal, state, local, non-U.S. or other laws or regulations that are similar to such provisions of ERISA or the Code (collectively “Similar Laws”), or any entity whose underlying assets are considered to include “plan assets” of any such plan, account or arrangement within the meaning of ERISA and the Code; or</w:t>
      </w:r>
    </w:p>
    <w:p>
      <w:pPr>
        <w:sectPr>
          <w:pgSz w:w="11900" w:h="16838" w:orient="portrait"/>
          <w:cols w:equalWidth="0" w:num="1">
            <w:col w:w="11420"/>
          </w:cols>
          <w:pgMar w:left="240" w:top="280" w:right="239" w:bottom="1440" w:gutter="0" w:footer="0" w:header="0"/>
        </w:sectPr>
      </w:pPr>
    </w:p>
    <w:bookmarkStart w:id="66" w:name="page67"/>
    <w:bookmarkEnd w:id="66"/>
    <w:p>
      <w:pPr>
        <w:ind w:left="1040" w:right="1840" w:hanging="580"/>
        <w:spacing w:after="0" w:line="229"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w:t>
      </w:r>
      <w:r>
        <w:rPr>
          <w:rFonts w:ascii="MS PGothic" w:cs="MS PGothic" w:eastAsia="MS PGothic" w:hAnsi="MS PGothic"/>
          <w:sz w:val="18"/>
          <w:szCs w:val="18"/>
          <w:color w:val="auto"/>
        </w:rPr>
        <w:t>☐</w:t>
      </w:r>
      <w:r>
        <w:rPr>
          <w:rFonts w:ascii="Arial" w:cs="Arial" w:eastAsia="Arial" w:hAnsi="Arial"/>
          <w:sz w:val="18"/>
          <w:szCs w:val="18"/>
          <w:color w:val="auto"/>
        </w:rPr>
        <w:t xml:space="preserve"> the acquisition and holding of the Notes evidenced by this certificate (and any interest therein) will not constitute a non-exempt prohibited transaction under Section 406 of ERISA or Section 4975 of the Code or a similar violation under any applicable Similar Law.</w:t>
      </w:r>
    </w:p>
    <w:p>
      <w:pPr>
        <w:spacing w:after="0" w:line="15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Unless one of the boxes in A above is checked, the Trustee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252095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525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4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340"/>
          </w:cols>
          <w:pgMar w:left="240" w:top="247" w:right="319" w:bottom="1440" w:gutter="0" w:footer="0" w:header="0"/>
        </w:sectPr>
      </w:pPr>
    </w:p>
    <w:bookmarkStart w:id="67" w:name="page68"/>
    <w:bookmarkEnd w:id="67"/>
    <w:p>
      <w:pPr>
        <w:ind w:left="4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Definitive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r>
      <w:tr>
        <w:trPr>
          <w:trHeight w:val="175"/>
        </w:trPr>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 of Exchange</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Principal amount of</w:t>
            </w:r>
          </w:p>
        </w:tc>
        <w:tc>
          <w:tcPr>
            <w:tcW w:w="1940" w:type="dxa"/>
            <w:vAlign w:val="bottom"/>
          </w:tcPr>
          <w:p>
            <w:pPr>
              <w:spacing w:after="0"/>
              <w:rPr>
                <w:sz w:val="14"/>
                <w:szCs w:val="14"/>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following such</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authorized signatory of</w:t>
            </w:r>
          </w:p>
        </w:tc>
      </w:tr>
      <w:tr>
        <w:trPr>
          <w:trHeight w:val="149"/>
        </w:trPr>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Trustee or Securities</w:t>
            </w:r>
          </w:p>
        </w:tc>
      </w:tr>
      <w:tr>
        <w:trPr>
          <w:trHeight w:val="175"/>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2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Custodian</w:t>
            </w:r>
          </w:p>
        </w:tc>
      </w:tr>
    </w:tbl>
    <w:p>
      <w:pPr>
        <w:sectPr>
          <w:pgSz w:w="11900" w:h="16838" w:orient="portrait"/>
          <w:cols w:equalWidth="0" w:num="2">
            <w:col w:w="4700" w:space="240"/>
            <w:col w:w="6480"/>
          </w:cols>
          <w:pgMar w:left="240" w:top="274"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New York</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Menlo Park</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Washington DC</w:t>
      </w:r>
    </w:p>
    <w:p>
      <w:pPr>
        <w:spacing w:after="0" w:line="44"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São Paulo</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1337945"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794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Paris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222" w:lineRule="exact"/>
        <w:rPr>
          <w:sz w:val="20"/>
          <w:szCs w:val="20"/>
          <w:color w:val="auto"/>
        </w:rPr>
      </w:pPr>
    </w:p>
    <w:p>
      <w:pPr>
        <w:sectPr>
          <w:pgSz w:w="11900" w:h="16838" w:orient="portrait"/>
          <w:cols w:equalWidth="0" w:num="2">
            <w:col w:w="8760" w:space="720"/>
            <w:col w:w="194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720" w:type="dxa"/>
            <w:vAlign w:val="bottom"/>
          </w:tcPr>
          <w:p>
            <w:pPr>
              <w:ind w:left="500"/>
              <w:spacing w:after="0"/>
              <w:rPr>
                <w:sz w:val="20"/>
                <w:szCs w:val="20"/>
                <w:color w:val="auto"/>
              </w:rPr>
            </w:pPr>
            <w:r>
              <w:rPr>
                <w:rFonts w:ascii="Arial" w:cs="Arial" w:eastAsia="Arial" w:hAnsi="Arial"/>
                <w:sz w:val="18"/>
                <w:szCs w:val="18"/>
                <w:color w:val="auto"/>
                <w:w w:val="89"/>
              </w:rPr>
              <w:t>650 752 2000 tel</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1600 El Camino Real</w:t>
            </w:r>
          </w:p>
        </w:tc>
        <w:tc>
          <w:tcPr>
            <w:tcW w:w="1720" w:type="dxa"/>
            <w:vAlign w:val="bottom"/>
          </w:tcPr>
          <w:p>
            <w:pPr>
              <w:ind w:left="500"/>
              <w:spacing w:after="0"/>
              <w:rPr>
                <w:sz w:val="20"/>
                <w:szCs w:val="20"/>
                <w:color w:val="auto"/>
              </w:rPr>
            </w:pPr>
            <w:r>
              <w:rPr>
                <w:rFonts w:ascii="Arial" w:cs="Arial" w:eastAsia="Arial" w:hAnsi="Arial"/>
                <w:sz w:val="18"/>
                <w:szCs w:val="18"/>
                <w:color w:val="auto"/>
                <w:w w:val="86"/>
              </w:rPr>
              <w:t>650 752 2111 fax</w:t>
            </w:r>
          </w:p>
        </w:tc>
      </w:tr>
      <w:tr>
        <w:trPr>
          <w:trHeight w:val="222"/>
        </w:trPr>
        <w:tc>
          <w:tcPr>
            <w:tcW w:w="2480" w:type="dxa"/>
            <w:vAlign w:val="bottom"/>
            <w:gridSpan w:val="2"/>
          </w:tcPr>
          <w:p>
            <w:pPr>
              <w:spacing w:after="0"/>
              <w:rPr>
                <w:sz w:val="20"/>
                <w:szCs w:val="20"/>
                <w:color w:val="auto"/>
              </w:rPr>
            </w:pPr>
            <w:r>
              <w:rPr>
                <w:rFonts w:ascii="Arial" w:cs="Arial" w:eastAsia="Arial" w:hAnsi="Arial"/>
                <w:sz w:val="18"/>
                <w:szCs w:val="18"/>
                <w:color w:val="auto"/>
              </w:rPr>
              <w:t>Menlo Park, CA 94025</w:t>
            </w:r>
          </w:p>
        </w:tc>
        <w:tc>
          <w:tcPr>
            <w:tcW w:w="1720" w:type="dxa"/>
            <w:vAlign w:val="bottom"/>
          </w:tcPr>
          <w:p>
            <w:pPr>
              <w:spacing w:after="0"/>
              <w:rPr>
                <w:sz w:val="19"/>
                <w:szCs w:val="19"/>
                <w:color w:val="auto"/>
              </w:rPr>
            </w:pP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September</w:t>
            </w:r>
          </w:p>
        </w:tc>
        <w:tc>
          <w:tcPr>
            <w:tcW w:w="1520" w:type="dxa"/>
            <w:vAlign w:val="bottom"/>
          </w:tcPr>
          <w:p>
            <w:pPr>
              <w:jc w:val="right"/>
              <w:ind w:right="792"/>
              <w:spacing w:after="0"/>
              <w:rPr>
                <w:sz w:val="20"/>
                <w:szCs w:val="20"/>
                <w:color w:val="auto"/>
              </w:rPr>
            </w:pPr>
            <w:r>
              <w:rPr>
                <w:rFonts w:ascii="Arial" w:cs="Arial" w:eastAsia="Arial" w:hAnsi="Arial"/>
                <w:sz w:val="18"/>
                <w:szCs w:val="18"/>
                <w:color w:val="auto"/>
              </w:rPr>
              <w:t>, 2012</w:t>
            </w:r>
          </w:p>
        </w:tc>
        <w:tc>
          <w:tcPr>
            <w:tcW w:w="172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10112-0015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NBCUniversal Media,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is filing with the Securities and Exchange Commission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Company’s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may be issued pursuant to an indenture dated as of April 30, 2010, between the Company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4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Based upon the foregoing, we advise you that, in our opinion,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NBCUniversal Media, LLC</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Company shall remain validly existing as a limited liability company in good standing under the laws of the State of Delaware; (iii) the Registration Statement shall have become effective and such effectiveness shall not have been terminated or rescinded; (iv) the Indenture and the Debt Securities are each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require no action by or in respect of, or filing with, any governmental body, agency or official and (b) do not contravene, or constitute a default under, any public policy, any provision of applicable law or regulation or any judgment, injunction, order or decree or any agreement or other instrument binding upon the Company.</w:t>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Limited Liability Company Act of the State of Delaware.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7"/>
          </w:tcPr>
          <w:p>
            <w:pPr>
              <w:ind w:left="100"/>
              <w:spacing w:after="0" w:line="142" w:lineRule="exact"/>
              <w:rPr>
                <w:sz w:val="20"/>
                <w:szCs w:val="20"/>
                <w:color w:val="auto"/>
              </w:rPr>
            </w:pPr>
            <w:r>
              <w:rPr>
                <w:rFonts w:ascii="Arial" w:cs="Arial" w:eastAsia="Arial" w:hAnsi="Arial"/>
                <w:sz w:val="14"/>
                <w:szCs w:val="14"/>
                <w:b w:val="1"/>
                <w:bCs w:val="1"/>
                <w:color w:val="auto"/>
              </w:rPr>
              <w:t>NBCUniversal Media, LLC</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7"/>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NBC Universal, Inc.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614"/>
              <w:spacing w:after="0" w:line="142" w:lineRule="exact"/>
              <w:rPr>
                <w:sz w:val="20"/>
                <w:szCs w:val="20"/>
                <w:color w:val="auto"/>
              </w:rPr>
            </w:pPr>
            <w:r>
              <w:rPr>
                <w:rFonts w:ascii="Arial" w:cs="Arial" w:eastAsia="Arial" w:hAnsi="Arial"/>
                <w:sz w:val="14"/>
                <w:szCs w:val="14"/>
                <w:b w:val="1"/>
                <w:bCs w:val="1"/>
                <w:color w:val="auto"/>
                <w:w w:val="76"/>
              </w:rPr>
              <w:t>Successor</w:t>
            </w:r>
          </w:p>
        </w:tc>
        <w:tc>
          <w:tcPr>
            <w:tcW w:w="20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rPr>
              <w:t>Predecessor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9"/>
            <w:vMerge w:val="restart"/>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92"/>
              <w:spacing w:after="0" w:line="148"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8"/>
              </w:rPr>
              <w:t>For the 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0"/>
              </w:rPr>
              <w:t>For the Period</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9"/>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172"/>
              <w:spacing w:after="0" w:line="129" w:lineRule="exact"/>
              <w:rPr>
                <w:sz w:val="20"/>
                <w:szCs w:val="20"/>
                <w:color w:val="auto"/>
              </w:rPr>
            </w:pPr>
            <w:r>
              <w:rPr>
                <w:rFonts w:ascii="Arial" w:cs="Arial" w:eastAsia="Arial" w:hAnsi="Arial"/>
                <w:sz w:val="14"/>
                <w:szCs w:val="14"/>
                <w:b w:val="1"/>
                <w:bCs w:val="1"/>
                <w:color w:val="auto"/>
                <w:w w:val="85"/>
              </w:rPr>
              <w:t>June 30,</w:t>
            </w:r>
          </w:p>
        </w:tc>
        <w:tc>
          <w:tcPr>
            <w:tcW w:w="126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4"/>
              </w:rPr>
              <w:t>January 29, 2011 to</w:t>
            </w:r>
          </w:p>
        </w:tc>
        <w:tc>
          <w:tcPr>
            <w:tcW w:w="6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1, 2011 to</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7"/>
              <w:spacing w:after="0" w:line="148"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right w:val="single" w:sz="8" w:color="auto"/>
            </w:tcBorders>
            <w:gridSpan w:val="3"/>
          </w:tcPr>
          <w:p>
            <w:pPr>
              <w:ind w:left="20"/>
              <w:spacing w:after="0" w:line="148" w:lineRule="exact"/>
              <w:rPr>
                <w:sz w:val="20"/>
                <w:szCs w:val="20"/>
                <w:color w:val="auto"/>
              </w:rPr>
            </w:pPr>
            <w:r>
              <w:rPr>
                <w:rFonts w:ascii="Arial" w:cs="Arial" w:eastAsia="Arial" w:hAnsi="Arial"/>
                <w:sz w:val="14"/>
                <w:szCs w:val="14"/>
                <w:b w:val="1"/>
                <w:bCs w:val="1"/>
                <w:color w:val="auto"/>
                <w:w w:val="95"/>
              </w:rPr>
              <w:t>December 31, 2011</w:t>
            </w:r>
          </w:p>
        </w:tc>
        <w:tc>
          <w:tcPr>
            <w:tcW w:w="60" w:type="dxa"/>
            <w:vAlign w:val="bottom"/>
          </w:tcPr>
          <w:p>
            <w:pPr>
              <w:spacing w:after="0"/>
              <w:rPr>
                <w:sz w:val="14"/>
                <w:szCs w:val="14"/>
                <w:color w:val="auto"/>
              </w:rPr>
            </w:pPr>
          </w:p>
        </w:tc>
        <w:tc>
          <w:tcPr>
            <w:tcW w:w="126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January 28, 2011</w:t>
            </w:r>
          </w:p>
        </w:tc>
        <w:tc>
          <w:tcPr>
            <w:tcW w:w="100" w:type="dxa"/>
            <w:vAlign w:val="bottom"/>
          </w:tcPr>
          <w:p>
            <w:pPr>
              <w:spacing w:after="0"/>
              <w:rPr>
                <w:sz w:val="14"/>
                <w:szCs w:val="14"/>
                <w:color w:val="auto"/>
              </w:rPr>
            </w:pPr>
          </w:p>
        </w:tc>
        <w:tc>
          <w:tcPr>
            <w:tcW w:w="40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Earnings:</w:t>
            </w:r>
          </w:p>
        </w:tc>
        <w:tc>
          <w:tcPr>
            <w:tcW w:w="39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Pretax income (loss) from continuing operations before adjustment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 in consolidating subsidiaries</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1,048</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2,261</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2,188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2,989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of investees,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Amortization of capitalized interest, net of amount capitalized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pretax income (loss) of subsidiaries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Earnings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2,396</w:t>
            </w:r>
          </w:p>
        </w:tc>
        <w:tc>
          <w:tcPr>
            <w:tcW w:w="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2,476</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2,347</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3,064</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2"/>
              </w:rPr>
              <w:t>Interest expense, including amortization of capitalized financing costs</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4.3x</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4.8x</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6.7x</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16.9x</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16.7x</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21.5x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consent to the use in this Registration Statement on Form S-3 of our reports dated February 22, 2012, relating to the consolidated financial statements and consolidated financial statement schedule of NBC Universal, Inc. and subsidiaries (as predecessor) and NBCUniversal Media, LLC and subsidiaries (as successor) (which report on the consolidated financial statements expresses an unqualified opinion and includes an explanatory paragraph referring to General Electric Company’s transaction with Comcast Corporation on January 28, 2011) appearing in the Annual Report on Form 10-K of NBCUniversal Media, LLC for the fiscal year ended December 31, 2011, which is included in this Registration Statement as Exhibit 99.2, and to the reference to us under the heading “Experts” in the Prospectus, which is part of this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We consent to the use of our report dated February 28, 2011, except for Notes 1, 9 &amp; 18 and the consolidated financial statement schedule as to which the date is May 13, 2011, and except for the Consolidated Statement of Comprehensive Income and Notes 21 &amp; 22 as to which the date is February 22, 2012, with respect to the consolidated balance sheet of NBC Universal, Inc. as of December 31, 2010 (predecessor), and the related consolidated statements of income, comprehensive income, cash flows, and changes in equity for each of the years in the two-year period ended December, 2010 (predecessor), appearing in the 2011 Annual Report on Form 10-K of NBCUniversal Media, LLC., and to the reference to our firm under the heading “Experts” in the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right="560"/>
        <w:spacing w:after="0" w:line="281" w:lineRule="exact"/>
        <w:rPr>
          <w:sz w:val="20"/>
          <w:szCs w:val="20"/>
          <w:color w:val="auto"/>
        </w:rPr>
      </w:pPr>
      <w:r>
        <w:rPr>
          <w:rFonts w:ascii="Arial" w:cs="Arial" w:eastAsia="Arial" w:hAnsi="Arial"/>
          <w:sz w:val="22"/>
          <w:szCs w:val="22"/>
          <w:b w:val="1"/>
          <w:bCs w:val="1"/>
          <w:color w:val="auto"/>
        </w:rPr>
        <w:t xml:space="preserve">CHECK IF AN APPLICATION TO DETERMINE ELIGIBILITY OF A TRUSTEE PURSUANT TO SECTION 305(b)(2)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jc w:val="center"/>
              <w:ind w:left="1503"/>
              <w:spacing w:after="0"/>
              <w:rPr>
                <w:sz w:val="20"/>
                <w:szCs w:val="20"/>
                <w:color w:val="auto"/>
              </w:rPr>
            </w:pPr>
            <w:r>
              <w:rPr>
                <w:rFonts w:ascii="Arial" w:cs="Arial" w:eastAsia="Arial" w:hAnsi="Arial"/>
                <w:sz w:val="18"/>
                <w:szCs w:val="18"/>
                <w:b w:val="1"/>
                <w:bCs w:val="1"/>
                <w:color w:val="auto"/>
                <w:w w:val="90"/>
              </w:rPr>
              <w:t>New York</w:t>
            </w:r>
          </w:p>
        </w:tc>
        <w:tc>
          <w:tcPr>
            <w:tcW w:w="7220" w:type="dxa"/>
            <w:vAlign w:val="bottom"/>
            <w:gridSpan w:val="3"/>
          </w:tcPr>
          <w:p>
            <w:pPr>
              <w:jc w:val="center"/>
              <w:ind w:left="1596"/>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4200" w:type="dxa"/>
            <w:vAlign w:val="bottom"/>
          </w:tcPr>
          <w:p>
            <w:pPr>
              <w:jc w:val="center"/>
              <w:ind w:left="1503"/>
              <w:spacing w:after="0" w:line="149" w:lineRule="exact"/>
              <w:rPr>
                <w:sz w:val="20"/>
                <w:szCs w:val="20"/>
                <w:color w:val="auto"/>
              </w:rPr>
            </w:pPr>
            <w:r>
              <w:rPr>
                <w:rFonts w:ascii="Arial" w:cs="Arial" w:eastAsia="Arial" w:hAnsi="Arial"/>
                <w:sz w:val="14"/>
                <w:szCs w:val="14"/>
                <w:b w:val="1"/>
                <w:bCs w:val="1"/>
                <w:color w:val="auto"/>
                <w:w w:val="87"/>
              </w:rPr>
              <w:t>(Jurisdiction of incorporation</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95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200" w:type="dxa"/>
            <w:vAlign w:val="bottom"/>
          </w:tcPr>
          <w:p>
            <w:pPr>
              <w:jc w:val="center"/>
              <w:ind w:left="1503"/>
              <w:spacing w:after="0"/>
              <w:rPr>
                <w:sz w:val="20"/>
                <w:szCs w:val="20"/>
                <w:color w:val="auto"/>
              </w:rPr>
            </w:pPr>
            <w:r>
              <w:rPr>
                <w:rFonts w:ascii="Arial" w:cs="Arial" w:eastAsia="Arial" w:hAnsi="Arial"/>
                <w:sz w:val="14"/>
                <w:szCs w:val="14"/>
                <w:b w:val="1"/>
                <w:bCs w:val="1"/>
                <w:color w:val="auto"/>
                <w:w w:val="87"/>
              </w:rPr>
              <w:t>if not a U.S. national bank)</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952"/>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4200" w:type="dxa"/>
            <w:vAlign w:val="bottom"/>
          </w:tcPr>
          <w:p>
            <w:pPr>
              <w:jc w:val="center"/>
              <w:ind w:left="1503"/>
              <w:spacing w:after="0"/>
              <w:rPr>
                <w:sz w:val="20"/>
                <w:szCs w:val="20"/>
                <w:color w:val="auto"/>
              </w:rPr>
            </w:pPr>
            <w:r>
              <w:rPr>
                <w:rFonts w:ascii="Arial" w:cs="Arial" w:eastAsia="Arial" w:hAnsi="Arial"/>
                <w:sz w:val="18"/>
                <w:szCs w:val="18"/>
                <w:b w:val="1"/>
                <w:bCs w:val="1"/>
                <w:color w:val="auto"/>
                <w:w w:val="91"/>
              </w:rPr>
              <w:t>One Wall Street, New York, N.Y.</w:t>
            </w:r>
          </w:p>
        </w:tc>
        <w:tc>
          <w:tcPr>
            <w:tcW w:w="7220" w:type="dxa"/>
            <w:vAlign w:val="bottom"/>
            <w:gridSpan w:val="3"/>
          </w:tcPr>
          <w:p>
            <w:pPr>
              <w:jc w:val="center"/>
              <w:ind w:left="1616"/>
              <w:spacing w:after="0"/>
              <w:rPr>
                <w:sz w:val="20"/>
                <w:szCs w:val="20"/>
                <w:color w:val="auto"/>
              </w:rPr>
            </w:pPr>
            <w:r>
              <w:rPr>
                <w:rFonts w:ascii="Arial" w:cs="Arial" w:eastAsia="Arial" w:hAnsi="Arial"/>
                <w:sz w:val="18"/>
                <w:szCs w:val="18"/>
                <w:b w:val="1"/>
                <w:bCs w:val="1"/>
                <w:color w:val="auto"/>
                <w:w w:val="87"/>
              </w:rPr>
              <w:t>10286</w:t>
            </w:r>
          </w:p>
        </w:tc>
      </w:tr>
      <w:tr>
        <w:trPr>
          <w:trHeight w:val="174"/>
        </w:trPr>
        <w:tc>
          <w:tcPr>
            <w:tcW w:w="4200" w:type="dxa"/>
            <w:vAlign w:val="bottom"/>
          </w:tcPr>
          <w:p>
            <w:pPr>
              <w:jc w:val="center"/>
              <w:ind w:left="150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952"/>
              <w:spacing w:after="0"/>
              <w:rPr>
                <w:sz w:val="20"/>
                <w:szCs w:val="20"/>
                <w:color w:val="auto"/>
              </w:rPr>
            </w:pPr>
            <w:r>
              <w:rPr>
                <w:rFonts w:ascii="Arial" w:cs="Arial" w:eastAsia="Arial" w:hAnsi="Arial"/>
                <w:sz w:val="14"/>
                <w:szCs w:val="14"/>
                <w:b w:val="1"/>
                <w:bCs w:val="1"/>
                <w:color w:val="auto"/>
                <w:w w:val="86"/>
              </w:rPr>
              <w:t>(Zip code)</w:t>
            </w:r>
          </w:p>
        </w:tc>
      </w:tr>
      <w:tr>
        <w:trPr>
          <w:trHeight w:val="149"/>
        </w:trPr>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278"/>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93"/>
              </w:rPr>
              <w:t>NBCUniversal Media, LLC</w:t>
            </w:r>
          </w:p>
        </w:tc>
      </w:tr>
      <w:tr>
        <w:trPr>
          <w:trHeight w:val="174"/>
        </w:trPr>
        <w:tc>
          <w:tcPr>
            <w:tcW w:w="4200" w:type="dxa"/>
            <w:vAlign w:val="bottom"/>
          </w:tcPr>
          <w:p>
            <w:pPr>
              <w:spacing w:after="0"/>
              <w:rPr>
                <w:sz w:val="15"/>
                <w:szCs w:val="15"/>
                <w:color w:val="auto"/>
              </w:rPr>
            </w:pPr>
          </w:p>
        </w:tc>
        <w:tc>
          <w:tcPr>
            <w:tcW w:w="7220" w:type="dxa"/>
            <w:vAlign w:val="bottom"/>
            <w:gridSpan w:val="3"/>
          </w:tcPr>
          <w:p>
            <w:pPr>
              <w:jc w:val="center"/>
              <w:ind w:right="413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49"/>
        </w:trPr>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305"/>
        </w:trPr>
        <w:tc>
          <w:tcPr>
            <w:tcW w:w="4200" w:type="dxa"/>
            <w:vAlign w:val="bottom"/>
          </w:tcPr>
          <w:p>
            <w:pPr>
              <w:jc w:val="center"/>
              <w:ind w:left="1503"/>
              <w:spacing w:after="0"/>
              <w:rPr>
                <w:sz w:val="20"/>
                <w:szCs w:val="20"/>
                <w:color w:val="auto"/>
              </w:rPr>
            </w:pPr>
            <w:r>
              <w:rPr>
                <w:rFonts w:ascii="Arial" w:cs="Arial" w:eastAsia="Arial" w:hAnsi="Arial"/>
                <w:sz w:val="18"/>
                <w:szCs w:val="18"/>
                <w:b w:val="1"/>
                <w:bCs w:val="1"/>
                <w:color w:val="auto"/>
                <w:w w:val="88"/>
              </w:rPr>
              <w:t>Delaware</w:t>
            </w:r>
          </w:p>
        </w:tc>
        <w:tc>
          <w:tcPr>
            <w:tcW w:w="7220" w:type="dxa"/>
            <w:vAlign w:val="bottom"/>
            <w:gridSpan w:val="3"/>
          </w:tcPr>
          <w:p>
            <w:pPr>
              <w:jc w:val="center"/>
              <w:ind w:left="1596"/>
              <w:spacing w:after="0"/>
              <w:rPr>
                <w:sz w:val="20"/>
                <w:szCs w:val="20"/>
                <w:color w:val="auto"/>
              </w:rPr>
            </w:pPr>
            <w:r>
              <w:rPr>
                <w:rFonts w:ascii="Arial" w:cs="Arial" w:eastAsia="Arial" w:hAnsi="Arial"/>
                <w:sz w:val="18"/>
                <w:szCs w:val="18"/>
                <w:b w:val="1"/>
                <w:bCs w:val="1"/>
                <w:color w:val="auto"/>
                <w:w w:val="89"/>
              </w:rPr>
              <w:t>14-1682529</w:t>
            </w:r>
          </w:p>
        </w:tc>
      </w:tr>
      <w:tr>
        <w:trPr>
          <w:trHeight w:val="149"/>
        </w:trPr>
        <w:tc>
          <w:tcPr>
            <w:tcW w:w="4200" w:type="dxa"/>
            <w:vAlign w:val="bottom"/>
          </w:tcPr>
          <w:p>
            <w:pPr>
              <w:jc w:val="center"/>
              <w:ind w:left="150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95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200" w:type="dxa"/>
            <w:vAlign w:val="bottom"/>
          </w:tcPr>
          <w:p>
            <w:pPr>
              <w:jc w:val="center"/>
              <w:ind w:left="1523"/>
              <w:spacing w:after="0"/>
              <w:rPr>
                <w:sz w:val="20"/>
                <w:szCs w:val="20"/>
                <w:color w:val="auto"/>
              </w:rPr>
            </w:pPr>
            <w:r>
              <w:rPr>
                <w:rFonts w:ascii="Arial" w:cs="Arial" w:eastAsia="Arial" w:hAnsi="Arial"/>
                <w:sz w:val="14"/>
                <w:szCs w:val="14"/>
                <w:b w:val="1"/>
                <w:bCs w:val="1"/>
                <w:color w:val="auto"/>
                <w:w w:val="88"/>
              </w:rPr>
              <w:t>incorporation or organization)</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95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200" w:type="dxa"/>
            <w:vAlign w:val="bottom"/>
          </w:tcPr>
          <w:p>
            <w:pPr>
              <w:jc w:val="center"/>
              <w:ind w:left="1503"/>
              <w:spacing w:after="0"/>
              <w:rPr>
                <w:sz w:val="20"/>
                <w:szCs w:val="20"/>
                <w:color w:val="auto"/>
              </w:rPr>
            </w:pPr>
            <w:r>
              <w:rPr>
                <w:rFonts w:ascii="Arial" w:cs="Arial" w:eastAsia="Arial" w:hAnsi="Arial"/>
                <w:sz w:val="18"/>
                <w:szCs w:val="18"/>
                <w:b w:val="1"/>
                <w:bCs w:val="1"/>
                <w:color w:val="auto"/>
                <w:w w:val="88"/>
              </w:rPr>
              <w:t>30 Rockefeller Plaza</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1"/>
        </w:trPr>
        <w:tc>
          <w:tcPr>
            <w:tcW w:w="4200" w:type="dxa"/>
            <w:vAlign w:val="bottom"/>
          </w:tcPr>
          <w:p>
            <w:pPr>
              <w:jc w:val="center"/>
              <w:ind w:left="1503"/>
              <w:spacing w:after="0"/>
              <w:rPr>
                <w:sz w:val="20"/>
                <w:szCs w:val="20"/>
                <w:color w:val="auto"/>
              </w:rPr>
            </w:pPr>
            <w:r>
              <w:rPr>
                <w:rFonts w:ascii="Arial" w:cs="Arial" w:eastAsia="Arial" w:hAnsi="Arial"/>
                <w:sz w:val="18"/>
                <w:szCs w:val="18"/>
                <w:b w:val="1"/>
                <w:bCs w:val="1"/>
                <w:color w:val="auto"/>
                <w:w w:val="90"/>
              </w:rPr>
              <w:t>New York, New York</w:t>
            </w:r>
          </w:p>
        </w:tc>
        <w:tc>
          <w:tcPr>
            <w:tcW w:w="7220" w:type="dxa"/>
            <w:vAlign w:val="bottom"/>
            <w:gridSpan w:val="3"/>
          </w:tcPr>
          <w:p>
            <w:pPr>
              <w:jc w:val="center"/>
              <w:ind w:left="1596"/>
              <w:spacing w:after="0"/>
              <w:rPr>
                <w:sz w:val="20"/>
                <w:szCs w:val="20"/>
                <w:color w:val="auto"/>
              </w:rPr>
            </w:pPr>
            <w:r>
              <w:rPr>
                <w:rFonts w:ascii="Arial" w:cs="Arial" w:eastAsia="Arial" w:hAnsi="Arial"/>
                <w:sz w:val="18"/>
                <w:szCs w:val="18"/>
                <w:b w:val="1"/>
                <w:bCs w:val="1"/>
                <w:color w:val="auto"/>
                <w:w w:val="83"/>
              </w:rPr>
              <w:t>10112</w:t>
            </w:r>
          </w:p>
        </w:tc>
      </w:tr>
      <w:tr>
        <w:trPr>
          <w:trHeight w:val="174"/>
        </w:trPr>
        <w:tc>
          <w:tcPr>
            <w:tcW w:w="4200" w:type="dxa"/>
            <w:vAlign w:val="bottom"/>
          </w:tcPr>
          <w:p>
            <w:pPr>
              <w:jc w:val="center"/>
              <w:ind w:left="150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952"/>
              <w:spacing w:after="0"/>
              <w:rPr>
                <w:sz w:val="20"/>
                <w:szCs w:val="20"/>
                <w:color w:val="auto"/>
              </w:rPr>
            </w:pPr>
            <w:r>
              <w:rPr>
                <w:rFonts w:ascii="Arial" w:cs="Arial" w:eastAsia="Arial" w:hAnsi="Arial"/>
                <w:sz w:val="14"/>
                <w:szCs w:val="14"/>
                <w:b w:val="1"/>
                <w:bCs w:val="1"/>
                <w:color w:val="auto"/>
                <w:w w:val="86"/>
              </w:rPr>
              <w:t>(Zip code)</w:t>
            </w:r>
          </w:p>
        </w:tc>
      </w:tr>
      <w:tr>
        <w:trPr>
          <w:trHeight w:val="163"/>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78"/>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6"/>
              </w:rPr>
              <w:t>Senior Debt Securities</w:t>
            </w:r>
          </w:p>
        </w:tc>
      </w:tr>
      <w:tr>
        <w:trPr>
          <w:trHeight w:val="174"/>
        </w:trPr>
        <w:tc>
          <w:tcPr>
            <w:tcW w:w="4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4"/>
                <w:szCs w:val="14"/>
                <w:b w:val="1"/>
                <w:bCs w:val="1"/>
                <w:color w:val="auto"/>
                <w:w w:val="86"/>
              </w:rPr>
              <w:t>(Title of the indenture securities)</w:t>
            </w:r>
          </w:p>
        </w:tc>
      </w:tr>
      <w:tr>
        <w:trPr>
          <w:trHeight w:val="149"/>
        </w:trPr>
        <w:tc>
          <w:tcPr>
            <w:tcW w:w="4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6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554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Address</w:t>
            </w:r>
          </w:p>
        </w:tc>
      </w:tr>
      <w:tr>
        <w:trPr>
          <w:trHeight w:val="201"/>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rPr>
              <w:t>Superintendent of Banks of the State of</w:t>
            </w:r>
          </w:p>
        </w:tc>
        <w:tc>
          <w:tcPr>
            <w:tcW w:w="10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One State Street, New York, N.Y.</w:t>
            </w: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5640" w:type="dxa"/>
            <w:vAlign w:val="bottom"/>
            <w:gridSpan w:val="2"/>
          </w:tcPr>
          <w:p>
            <w:pPr>
              <w:ind w:left="100"/>
              <w:spacing w:after="0"/>
              <w:rPr>
                <w:sz w:val="20"/>
                <w:szCs w:val="20"/>
                <w:color w:val="auto"/>
              </w:rPr>
            </w:pPr>
            <w:r>
              <w:rPr>
                <w:rFonts w:ascii="Arial" w:cs="Arial" w:eastAsia="Arial" w:hAnsi="Arial"/>
                <w:sz w:val="18"/>
                <w:szCs w:val="18"/>
                <w:color w:val="auto"/>
              </w:rPr>
              <w:t>10004-1417, and Albany, N.Y. 12223</w:t>
            </w: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5640" w:type="dxa"/>
            <w:vAlign w:val="bottom"/>
            <w:gridSpan w:val="2"/>
          </w:tcPr>
          <w:p>
            <w:pPr>
              <w:ind w:left="10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5640" w:type="dxa"/>
            <w:vAlign w:val="bottom"/>
            <w:gridSpan w:val="2"/>
          </w:tcPr>
          <w:p>
            <w:pPr>
              <w:ind w:left="100"/>
              <w:spacing w:after="0"/>
              <w:rPr>
                <w:sz w:val="20"/>
                <w:szCs w:val="20"/>
                <w:color w:val="auto"/>
              </w:rPr>
            </w:pPr>
            <w:r>
              <w:rPr>
                <w:rFonts w:ascii="Arial" w:cs="Arial" w:eastAsia="Arial" w:hAnsi="Arial"/>
                <w:sz w:val="18"/>
                <w:szCs w:val="18"/>
                <w:color w:val="auto"/>
              </w:rPr>
              <w:t>Washington, D.C. 20429</w:t>
            </w: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New York Clearing House Association</w:t>
            </w:r>
          </w:p>
        </w:tc>
        <w:tc>
          <w:tcPr>
            <w:tcW w:w="5640" w:type="dxa"/>
            <w:vAlign w:val="bottom"/>
            <w:gridSpan w:val="2"/>
          </w:tcPr>
          <w:p>
            <w:pPr>
              <w:ind w:left="100"/>
              <w:spacing w:after="0"/>
              <w:rPr>
                <w:sz w:val="20"/>
                <w:szCs w:val="20"/>
                <w:color w:val="auto"/>
              </w:rPr>
            </w:pPr>
            <w:r>
              <w:rPr>
                <w:rFonts w:ascii="Arial" w:cs="Arial" w:eastAsia="Arial" w:hAnsi="Arial"/>
                <w:sz w:val="18"/>
                <w:szCs w:val="18"/>
                <w:color w:val="auto"/>
              </w:rPr>
              <w:t>New York, N.Y. 10005</w:t>
            </w:r>
          </w:p>
        </w:tc>
      </w:tr>
    </w:tbl>
    <w:p>
      <w:pPr>
        <w:spacing w:after="0" w:line="190" w:lineRule="exact"/>
        <w:rPr>
          <w:sz w:val="20"/>
          <w:szCs w:val="20"/>
          <w:color w:val="auto"/>
        </w:rPr>
      </w:pPr>
    </w:p>
    <w:p>
      <w:pPr>
        <w:ind w:left="900" w:hanging="446"/>
        <w:spacing w:after="0"/>
        <w:tabs>
          <w:tab w:leader="none" w:pos="90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252" w:lineRule="exact"/>
        <w:rPr>
          <w:rFonts w:ascii="Arial" w:cs="Arial" w:eastAsia="Arial" w:hAnsi="Arial"/>
          <w:sz w:val="18"/>
          <w:szCs w:val="18"/>
          <w:b w:val="1"/>
          <w:bCs w:val="1"/>
          <w:color w:val="auto"/>
        </w:rPr>
      </w:pPr>
    </w:p>
    <w:p>
      <w:pPr>
        <w:ind w:left="460" w:right="5640"/>
        <w:spacing w:after="0" w:line="3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6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60" w:right="1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900" w:right="140" w:hanging="446"/>
        <w:spacing w:after="0" w:line="294"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75" w:name="page76"/>
    <w:bookmarkEnd w:id="75"/>
    <w:p>
      <w:pPr>
        <w:ind w:left="452" w:hanging="452"/>
        <w:spacing w:after="0"/>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333-154173).</w:t>
      </w:r>
    </w:p>
    <w:p>
      <w:pPr>
        <w:spacing w:after="0" w:line="90" w:lineRule="exact"/>
        <w:rPr>
          <w:sz w:val="20"/>
          <w:szCs w:val="20"/>
          <w:color w:val="auto"/>
        </w:rPr>
      </w:pPr>
    </w:p>
    <w:p>
      <w:pPr>
        <w:ind w:left="452" w:hanging="452"/>
        <w:spacing w:after="0"/>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672" w:hanging="112"/>
        <w:spacing w:after="0"/>
        <w:tabs>
          <w:tab w:leader="none" w:pos="56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72"/>
          </w:cols>
          <w:pgMar w:left="248" w:top="280" w:right="107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26th day of September,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Laurence J. O’Brien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40"/>
          </w:cols>
          <w:pgMar w:left="240" w:top="280"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33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member of the Federal Reserve System, at the close of business June 30, 2012, published in accordance with a call made by the Federal Reserve Bank of this District pursuant to the provisions of the Federal Reserve Act.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w w:val="92"/>
              </w:rPr>
              <w:t>Dollar Amounts In Thousands</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1620" w:type="dxa"/>
            <w:vAlign w:val="bottom"/>
          </w:tcPr>
          <w:p>
            <w:pPr>
              <w:jc w:val="right"/>
              <w:spacing w:after="0"/>
              <w:rPr>
                <w:sz w:val="20"/>
                <w:szCs w:val="20"/>
                <w:color w:val="auto"/>
              </w:rPr>
            </w:pPr>
            <w:r>
              <w:rPr>
                <w:rFonts w:ascii="Arial" w:cs="Arial" w:eastAsia="Arial" w:hAnsi="Arial"/>
                <w:sz w:val="18"/>
                <w:szCs w:val="18"/>
                <w:color w:val="auto"/>
              </w:rPr>
              <w:t>107,102,000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8,793,000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80,993,000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 in domestic offices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1620" w:type="dxa"/>
            <w:vAlign w:val="bottom"/>
          </w:tcPr>
          <w:p>
            <w:pPr>
              <w:jc w:val="right"/>
              <w:spacing w:after="0"/>
              <w:rPr>
                <w:sz w:val="20"/>
                <w:szCs w:val="20"/>
                <w:color w:val="auto"/>
              </w:rPr>
            </w:pPr>
            <w:r>
              <w:rPr>
                <w:rFonts w:ascii="Arial" w:cs="Arial" w:eastAsia="Arial" w:hAnsi="Arial"/>
                <w:sz w:val="18"/>
                <w:szCs w:val="18"/>
                <w:color w:val="auto"/>
              </w:rPr>
              <w:t>3,971,000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162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1620" w:type="dxa"/>
            <w:vAlign w:val="bottom"/>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Trading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4,149,000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62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620" w:type="dxa"/>
            <w:vAlign w:val="bottom"/>
          </w:tcPr>
          <w:p>
            <w:pPr>
              <w:jc w:val="right"/>
              <w:spacing w:after="0"/>
              <w:rPr>
                <w:sz w:val="20"/>
                <w:szCs w:val="20"/>
                <w:color w:val="auto"/>
              </w:rPr>
            </w:pPr>
            <w:r>
              <w:rPr>
                <w:rFonts w:ascii="Arial" w:cs="Arial" w:eastAsia="Arial" w:hAnsi="Arial"/>
                <w:sz w:val="18"/>
                <w:szCs w:val="18"/>
                <w:color w:val="auto"/>
              </w:rPr>
              <w:t>6,403,000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Other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259,069,000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Deposits: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116,929,000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71,309,000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45,620,000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99,535,000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94,664,000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4,305,000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liabilities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6,135,000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1,065,000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7,935,000</w:t>
            </w:r>
          </w:p>
        </w:tc>
        <w:tc>
          <w:tcPr>
            <w:tcW w:w="100" w:type="dxa"/>
            <w:vAlign w:val="bottom"/>
            <w:shd w:val="clear" w:color="auto" w:fill="CCEEFF"/>
          </w:tcPr>
          <w:p>
            <w:pPr>
              <w:spacing w:after="0"/>
              <w:rPr>
                <w:sz w:val="18"/>
                <w:szCs w:val="18"/>
                <w:color w:val="auto"/>
              </w:rPr>
            </w:pPr>
          </w:p>
        </w:tc>
      </w:tr>
      <w:tr>
        <w:trPr>
          <w:trHeight w:val="222"/>
        </w:trPr>
        <w:tc>
          <w:tcPr>
            <w:tcW w:w="103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240,050,000</w:t>
            </w: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9,681,000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8,819,000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-966,000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18,669,000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Total equity capital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19,019,000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259,069,000</w:t>
            </w: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79" w:name="page80"/>
    <w:bookmarkEnd w:id="7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-125730</wp:posOffset>
            </wp:positionV>
            <wp:extent cx="10287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428625"/>
                    </a:xfrm>
                    <a:prstGeom prst="rect">
                      <a:avLst/>
                    </a:prstGeom>
                    <a:noFill/>
                  </pic:spPr>
                </pic:pic>
              </a:graphicData>
            </a:graphic>
          </wp:anchor>
        </w:drawing>
      </w:r>
    </w:p>
    <w:p>
      <w:pPr>
        <w:spacing w:after="0"/>
        <w:tabs>
          <w:tab w:leader="none" w:pos="410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Kowalski</w:t>
      </w:r>
    </w:p>
    <w:p>
      <w:pPr>
        <w:sectPr>
          <w:pgSz w:w="11900" w:h="16838" w:orient="portrait"/>
          <w:cols w:equalWidth="0" w:num="1">
            <w:col w:w="11420"/>
          </w:cols>
          <w:pgMar w:left="240" w:top="2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[NBCUniversal Media, LLC Letterhead]</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NBCUniversal Media,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Pursuant to Form S-3 General Instruction I.B.2.v</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Eligibility to Use Form S-3 as of September 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is filing this letter to disclose the basis on which it reasonably believes that it would have been eligible to use Form S-3 as of September 1, 2011, for the offering of the non-convertible senior debt securities covered by the accompanying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This letter is being submitted pursuant to General Instruction I.B.2.v of Form S-3.</w:t>
      </w:r>
    </w:p>
    <w:p>
      <w:pPr>
        <w:spacing w:after="0" w:line="1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September 1, 2011, NBCUniversal had outstanding an aggregate of $9.1 billion of non-convertible debt securities comprising seven series of senior notes (the “</w:t>
      </w:r>
      <w:r>
        <w:rPr>
          <w:rFonts w:ascii="Arial" w:cs="Arial" w:eastAsia="Arial" w:hAnsi="Arial"/>
          <w:sz w:val="18"/>
          <w:szCs w:val="18"/>
          <w:b w:val="1"/>
          <w:bCs w:val="1"/>
          <w:color w:val="auto"/>
        </w:rPr>
        <w:t>Existing Senior Notes</w:t>
      </w:r>
      <w:r>
        <w:rPr>
          <w:rFonts w:ascii="Arial" w:cs="Arial" w:eastAsia="Arial" w:hAnsi="Arial"/>
          <w:sz w:val="18"/>
          <w:szCs w:val="18"/>
          <w:color w:val="auto"/>
        </w:rPr>
        <w:t xml:space="preserve">”). An A/B exchange offer relating to the Existing Senior Notes was registered on Form S-4, which was declared effective by the Commission on July 20, 2011 (File No. 333-174175). Each of the Existing Senior Notes was rated “investment grade”, as defined in General Instruction I.B.2.v, as of September 1, 2011, and none of the Existing Senior Notes has been downgraded or put on a watch-list since its issuance. The non-convertible senior debt securities to be offered and sold under the Registration Statement will be issued under the same indenture as the Existing Senior Notes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Senior Notes.</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as of September 1, 2011, NBCUniversal was, and continues to be, a majority-owned subsidiary of Comcast Corporation. As of September 1, 2011, Comcast Corporation was, and continues to be, a “well-known seasoned issuer,” as defined in Rule 405, and met, and continues to meet, the registrant requirements set forth in General Instruction I.A of Form S-3.</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Accordingly, NBCUniversal reasonably believes that it would have been eligible to use Form S-3 as of September 1, 2011, and currently is eligible to use Form S-3 pursuant to General Instruction I.B.2.v and to have the Registration Statement become automatically effective under General Instruction I.D.1.c.iv. NBCUniversal confirms that it will file the final prospectus for any offering under the Registration Statement on or before September 2,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86995</wp:posOffset>
            </wp:positionV>
            <wp:extent cx="22383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52" w:lineRule="exact"/>
        <w:rPr>
          <w:sz w:val="20"/>
          <w:szCs w:val="20"/>
          <w:color w:val="auto"/>
        </w:rPr>
      </w:pPr>
    </w:p>
    <w:p>
      <w:pPr>
        <w:ind w:left="4000" w:right="3400" w:hanging="3087"/>
        <w:spacing w:after="0" w:line="307" w:lineRule="auto"/>
        <w:tabs>
          <w:tab w:leader="none" w:pos="1352" w:val="left"/>
        </w:tabs>
        <w:numPr>
          <w:ilvl w:val="0"/>
          <w:numId w:val="6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2011</w:t>
      </w:r>
    </w:p>
    <w:p>
      <w:pPr>
        <w:spacing w:after="0" w:line="169" w:lineRule="exact"/>
        <w:rPr>
          <w:sz w:val="20"/>
          <w:szCs w:val="20"/>
          <w:color w:val="auto"/>
        </w:rPr>
      </w:pPr>
    </w:p>
    <w:p>
      <w:pPr>
        <w:ind w:left="1360" w:hanging="447"/>
        <w:spacing w:after="0"/>
        <w:tabs>
          <w:tab w:leader="none" w:pos="1360" w:val="left"/>
        </w:tabs>
        <w:numPr>
          <w:ilvl w:val="0"/>
          <w:numId w:val="6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0"/>
          <w:szCs w:val="20"/>
          <w:color w:val="auto"/>
        </w:rPr>
      </w:pPr>
    </w:p>
    <w:tbl>
      <w:tblPr>
        <w:tblLayout w:type="fixed"/>
        <w:tblInd w:w="3620" w:type="dxa"/>
        <w:tblCellMar>
          <w:top w:w="0" w:type="dxa"/>
          <w:left w:w="0" w:type="dxa"/>
          <w:bottom w:w="0" w:type="dxa"/>
          <w:right w:w="0" w:type="dxa"/>
        </w:tblCellMar>
      </w:tblPr>
      <w:tr>
        <w:trPr>
          <w:trHeight w:val="17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1020" w:type="dxa"/>
            <w:vAlign w:val="bottom"/>
          </w:tcPr>
          <w:p>
            <w:pPr>
              <w:ind w:left="380"/>
              <w:spacing w:after="0"/>
              <w:rPr>
                <w:sz w:val="20"/>
                <w:szCs w:val="20"/>
                <w:color w:val="auto"/>
              </w:rPr>
            </w:pPr>
            <w:r>
              <w:rPr>
                <w:rFonts w:ascii="Arial" w:cs="Arial" w:eastAsia="Arial" w:hAnsi="Arial"/>
                <w:sz w:val="14"/>
                <w:szCs w:val="14"/>
                <w:b w:val="1"/>
                <w:bCs w:val="1"/>
                <w:color w:val="auto"/>
              </w:rPr>
              <w:t>TO</w:t>
            </w:r>
          </w:p>
        </w:tc>
      </w:tr>
      <w:tr>
        <w:trPr>
          <w:trHeight w:val="186"/>
        </w:trPr>
        <w:tc>
          <w:tcPr>
            <w:tcW w:w="340" w:type="dxa"/>
            <w:vAlign w:val="bottom"/>
          </w:tcPr>
          <w:p>
            <w:pPr>
              <w:spacing w:after="0"/>
              <w:rPr>
                <w:sz w:val="16"/>
                <w:szCs w:val="16"/>
                <w:color w:val="auto"/>
              </w:rPr>
            </w:pPr>
          </w:p>
        </w:tc>
        <w:tc>
          <w:tcPr>
            <w:tcW w:w="3520" w:type="dxa"/>
            <w:vAlign w:val="bottom"/>
            <w:gridSpan w:val="2"/>
          </w:tcPr>
          <w:p>
            <w:pPr>
              <w:ind w:left="580"/>
              <w:spacing w:after="0"/>
              <w:rPr>
                <w:sz w:val="20"/>
                <w:szCs w:val="20"/>
                <w:color w:val="auto"/>
              </w:rPr>
            </w:pPr>
            <w:r>
              <w:rPr>
                <w:rFonts w:ascii="Arial" w:cs="Arial" w:eastAsia="Arial" w:hAnsi="Arial"/>
                <w:sz w:val="14"/>
                <w:szCs w:val="14"/>
                <w:b w:val="1"/>
                <w:bCs w:val="1"/>
                <w:color w:val="auto"/>
              </w:rPr>
              <w:t>Commission file number 333-174175</w:t>
            </w:r>
          </w:p>
        </w:tc>
      </w:tr>
      <w:tr>
        <w:trPr>
          <w:trHeight w:val="136"/>
        </w:trPr>
        <w:tc>
          <w:tcPr>
            <w:tcW w:w="34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4" w:lineRule="exact"/>
        <w:rPr>
          <w:sz w:val="20"/>
          <w:szCs w:val="20"/>
          <w:color w:val="auto"/>
        </w:rPr>
      </w:pPr>
    </w:p>
    <w:tbl>
      <w:tblPr>
        <w:tblLayout w:type="fixed"/>
        <w:tblInd w:w="1540" w:type="dxa"/>
        <w:tblCellMar>
          <w:top w:w="0" w:type="dxa"/>
          <w:left w:w="0" w:type="dxa"/>
          <w:bottom w:w="0" w:type="dxa"/>
          <w:right w:w="0" w:type="dxa"/>
        </w:tblCellMar>
      </w:tblPr>
      <w:tr>
        <w:trPr>
          <w:trHeight w:val="165"/>
        </w:trPr>
        <w:tc>
          <w:tcPr>
            <w:tcW w:w="4380" w:type="dxa"/>
            <w:vAlign w:val="bottom"/>
          </w:tcPr>
          <w:p>
            <w:pPr>
              <w:jc w:val="center"/>
              <w:ind w:right="1672"/>
              <w:spacing w:after="0"/>
              <w:rPr>
                <w:sz w:val="20"/>
                <w:szCs w:val="20"/>
                <w:color w:val="auto"/>
              </w:rPr>
            </w:pPr>
            <w:r>
              <w:rPr>
                <w:rFonts w:ascii="Arial" w:cs="Arial" w:eastAsia="Arial" w:hAnsi="Arial"/>
                <w:sz w:val="14"/>
                <w:szCs w:val="14"/>
                <w:b w:val="1"/>
                <w:bCs w:val="1"/>
                <w:color w:val="auto"/>
                <w:w w:val="93"/>
              </w:rPr>
              <w:t>DELAWARE</w:t>
            </w:r>
          </w:p>
        </w:tc>
        <w:tc>
          <w:tcPr>
            <w:tcW w:w="3800" w:type="dxa"/>
            <w:vAlign w:val="bottom"/>
          </w:tcPr>
          <w:p>
            <w:pPr>
              <w:jc w:val="center"/>
              <w:ind w:left="1652"/>
              <w:spacing w:after="0"/>
              <w:rPr>
                <w:sz w:val="20"/>
                <w:szCs w:val="20"/>
                <w:color w:val="auto"/>
              </w:rPr>
            </w:pPr>
            <w:r>
              <w:rPr>
                <w:rFonts w:ascii="Arial" w:cs="Arial" w:eastAsia="Arial" w:hAnsi="Arial"/>
                <w:sz w:val="14"/>
                <w:szCs w:val="14"/>
                <w:b w:val="1"/>
                <w:bCs w:val="1"/>
                <w:color w:val="auto"/>
                <w:w w:val="96"/>
              </w:rPr>
              <w:t>14-1682529</w:t>
            </w:r>
          </w:p>
        </w:tc>
      </w:tr>
      <w:tr>
        <w:trPr>
          <w:trHeight w:val="149"/>
        </w:trPr>
        <w:tc>
          <w:tcPr>
            <w:tcW w:w="4380" w:type="dxa"/>
            <w:vAlign w:val="bottom"/>
          </w:tcPr>
          <w:p>
            <w:pPr>
              <w:jc w:val="center"/>
              <w:ind w:right="1672"/>
              <w:spacing w:after="0" w:line="149" w:lineRule="exact"/>
              <w:rPr>
                <w:sz w:val="20"/>
                <w:szCs w:val="20"/>
                <w:color w:val="auto"/>
              </w:rPr>
            </w:pPr>
            <w:r>
              <w:rPr>
                <w:rFonts w:ascii="Arial" w:cs="Arial" w:eastAsia="Arial" w:hAnsi="Arial"/>
                <w:sz w:val="14"/>
                <w:szCs w:val="14"/>
                <w:color w:val="auto"/>
                <w:w w:val="95"/>
              </w:rPr>
              <w:t>(State or other jurisdiction of</w:t>
            </w:r>
          </w:p>
        </w:tc>
        <w:tc>
          <w:tcPr>
            <w:tcW w:w="3800" w:type="dxa"/>
            <w:vAlign w:val="bottom"/>
          </w:tcPr>
          <w:p>
            <w:pPr>
              <w:jc w:val="center"/>
              <w:ind w:left="1652"/>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62"/>
        </w:trPr>
        <w:tc>
          <w:tcPr>
            <w:tcW w:w="4380" w:type="dxa"/>
            <w:vAlign w:val="bottom"/>
          </w:tcPr>
          <w:p>
            <w:pPr>
              <w:jc w:val="center"/>
              <w:ind w:right="1672"/>
              <w:spacing w:after="0"/>
              <w:rPr>
                <w:sz w:val="20"/>
                <w:szCs w:val="20"/>
                <w:color w:val="auto"/>
              </w:rPr>
            </w:pPr>
            <w:r>
              <w:rPr>
                <w:rFonts w:ascii="Arial" w:cs="Arial" w:eastAsia="Arial" w:hAnsi="Arial"/>
                <w:sz w:val="14"/>
                <w:szCs w:val="14"/>
                <w:color w:val="auto"/>
                <w:w w:val="96"/>
              </w:rPr>
              <w:t>incorporation or organization)</w:t>
            </w:r>
          </w:p>
        </w:tc>
        <w:tc>
          <w:tcPr>
            <w:tcW w:w="3800" w:type="dxa"/>
            <w:vAlign w:val="bottom"/>
          </w:tcPr>
          <w:p>
            <w:pPr>
              <w:spacing w:after="0"/>
              <w:rPr>
                <w:sz w:val="14"/>
                <w:szCs w:val="14"/>
                <w:color w:val="auto"/>
              </w:rPr>
            </w:pPr>
          </w:p>
        </w:tc>
      </w:tr>
      <w:tr>
        <w:trPr>
          <w:trHeight w:val="256"/>
        </w:trPr>
        <w:tc>
          <w:tcPr>
            <w:tcW w:w="4380" w:type="dxa"/>
            <w:vAlign w:val="bottom"/>
          </w:tcPr>
          <w:p>
            <w:pPr>
              <w:jc w:val="center"/>
              <w:ind w:right="1652"/>
              <w:spacing w:after="0"/>
              <w:rPr>
                <w:sz w:val="20"/>
                <w:szCs w:val="20"/>
                <w:color w:val="auto"/>
              </w:rPr>
            </w:pPr>
            <w:r>
              <w:rPr>
                <w:rFonts w:ascii="Arial" w:cs="Arial" w:eastAsia="Arial" w:hAnsi="Arial"/>
                <w:sz w:val="14"/>
                <w:szCs w:val="14"/>
                <w:b w:val="1"/>
                <w:bCs w:val="1"/>
                <w:color w:val="auto"/>
                <w:w w:val="95"/>
              </w:rPr>
              <w:t>30 Rockefeller Plaza, New York, New York</w:t>
            </w:r>
          </w:p>
        </w:tc>
        <w:tc>
          <w:tcPr>
            <w:tcW w:w="3800" w:type="dxa"/>
            <w:vAlign w:val="bottom"/>
          </w:tcPr>
          <w:p>
            <w:pPr>
              <w:jc w:val="center"/>
              <w:ind w:left="1652"/>
              <w:spacing w:after="0"/>
              <w:rPr>
                <w:sz w:val="20"/>
                <w:szCs w:val="20"/>
                <w:color w:val="auto"/>
              </w:rPr>
            </w:pPr>
            <w:r>
              <w:rPr>
                <w:rFonts w:ascii="Arial" w:cs="Arial" w:eastAsia="Arial" w:hAnsi="Arial"/>
                <w:sz w:val="14"/>
                <w:szCs w:val="14"/>
                <w:b w:val="1"/>
                <w:bCs w:val="1"/>
                <w:color w:val="auto"/>
                <w:w w:val="96"/>
              </w:rPr>
              <w:t>10112-0015</w:t>
            </w:r>
          </w:p>
        </w:tc>
      </w:tr>
      <w:tr>
        <w:trPr>
          <w:trHeight w:val="162"/>
        </w:trPr>
        <w:tc>
          <w:tcPr>
            <w:tcW w:w="4380" w:type="dxa"/>
            <w:vAlign w:val="bottom"/>
          </w:tcPr>
          <w:p>
            <w:pPr>
              <w:jc w:val="center"/>
              <w:ind w:right="1672"/>
              <w:spacing w:after="0"/>
              <w:rPr>
                <w:sz w:val="20"/>
                <w:szCs w:val="20"/>
                <w:color w:val="auto"/>
              </w:rPr>
            </w:pPr>
            <w:r>
              <w:rPr>
                <w:rFonts w:ascii="Arial" w:cs="Arial" w:eastAsia="Arial" w:hAnsi="Arial"/>
                <w:sz w:val="14"/>
                <w:szCs w:val="14"/>
                <w:color w:val="auto"/>
                <w:w w:val="96"/>
              </w:rPr>
              <w:t>(Address of principal executive offices)</w:t>
            </w:r>
          </w:p>
        </w:tc>
        <w:tc>
          <w:tcPr>
            <w:tcW w:w="3800" w:type="dxa"/>
            <w:vAlign w:val="bottom"/>
          </w:tcPr>
          <w:p>
            <w:pPr>
              <w:jc w:val="center"/>
              <w:ind w:left="1652"/>
              <w:spacing w:after="0"/>
              <w:rPr>
                <w:sz w:val="20"/>
                <w:szCs w:val="20"/>
                <w:color w:val="auto"/>
              </w:rPr>
            </w:pPr>
            <w:r>
              <w:rPr>
                <w:rFonts w:ascii="Arial" w:cs="Arial" w:eastAsia="Arial" w:hAnsi="Arial"/>
                <w:sz w:val="14"/>
                <w:szCs w:val="14"/>
                <w:color w:val="auto"/>
                <w:w w:val="96"/>
              </w:rPr>
              <w:t>(Zip Code)</w:t>
            </w:r>
          </w:p>
        </w:tc>
      </w:tr>
    </w:tbl>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(212) 664-4444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104140</wp:posOffset>
            </wp:positionV>
            <wp:extent cx="22383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89535</wp:posOffset>
            </wp:positionV>
            <wp:extent cx="22383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89535</wp:posOffset>
            </wp:positionV>
            <wp:extent cx="22383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0" w:lineRule="exact"/>
        <w:rPr>
          <w:sz w:val="20"/>
          <w:szCs w:val="20"/>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0" w:lineRule="exact"/>
        <w:rPr>
          <w:sz w:val="20"/>
          <w:szCs w:val="20"/>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4"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 w:lineRule="exact"/>
        <w:rPr>
          <w:sz w:val="20"/>
          <w:szCs w:val="20"/>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6" w:lineRule="exact"/>
        <w:rPr>
          <w:sz w:val="20"/>
          <w:szCs w:val="20"/>
          <w:color w:val="auto"/>
        </w:rPr>
      </w:pPr>
    </w:p>
    <w:p>
      <w:pPr>
        <w:jc w:val="center"/>
        <w:spacing w:after="0" w:line="161" w:lineRule="exact"/>
        <w:tabs>
          <w:tab w:leader="none" w:pos="1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0"/>
          <w:szCs w:val="20"/>
          <w:color w:val="auto"/>
        </w:rPr>
      </w:pPr>
    </w:p>
    <w:p>
      <w:pPr>
        <w:ind w:right="340"/>
        <w:spacing w:after="0" w:line="16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4"/>
          <w:szCs w:val="14"/>
          <w:color w:val="auto"/>
        </w:rPr>
        <w:t>☒</w:t>
      </w:r>
    </w:p>
    <w:p>
      <w:pPr>
        <w:spacing w:after="0" w:line="26"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0" w:lineRule="exact"/>
        <w:rPr>
          <w:sz w:val="20"/>
          <w:szCs w:val="20"/>
          <w:color w:val="auto"/>
        </w:rPr>
      </w:pPr>
    </w:p>
    <w:p>
      <w:pPr>
        <w:ind w:right="86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w:t>
      </w:r>
    </w:p>
    <w:p>
      <w:pPr>
        <w:spacing w:after="0" w:line="5" w:lineRule="exact"/>
        <w:rPr>
          <w:sz w:val="20"/>
          <w:szCs w:val="20"/>
          <w:color w:val="auto"/>
        </w:rPr>
      </w:pPr>
    </w:p>
    <w:p>
      <w:pPr>
        <w:ind w:left="528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 Not applicable.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Registrant meets the conditions set forth in General Instruction I(1)(a), (b) and (d) of Form 10-K and is therefore filing this Form 10-K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120015</wp:posOffset>
            </wp:positionV>
            <wp:extent cx="22383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2011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53439A"/>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Business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1A</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Risk Factors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1B</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Unresolved Staff Comments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2</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Properties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3</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Legal Proceedings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11"/>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tcPr>
          <w:p>
            <w:pPr>
              <w:ind w:left="100"/>
              <w:spacing w:after="0"/>
              <w:rPr>
                <w:sz w:val="20"/>
                <w:szCs w:val="20"/>
                <w:color w:val="auto"/>
              </w:rPr>
            </w:pPr>
            <w:r>
              <w:rPr>
                <w:rFonts w:ascii="Arial" w:cs="Arial" w:eastAsia="Arial" w:hAnsi="Arial"/>
                <w:sz w:val="18"/>
                <w:szCs w:val="18"/>
                <w:color w:val="auto"/>
              </w:rPr>
              <w:t>Mine Safety Disclosures</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5</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6</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Selected Financial Data</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7</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7A</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8</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9A</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Controls and Procedures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11"/>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60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6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10</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11</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Executive Compensation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12</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Item 13</w:t>
            </w:r>
          </w:p>
        </w:tc>
        <w:tc>
          <w:tcPr>
            <w:tcW w:w="9600" w:type="dxa"/>
            <w:vAlign w:val="bottom"/>
          </w:tcPr>
          <w:p>
            <w:pPr>
              <w:ind w:left="1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11"/>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60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6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1"/>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960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3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Annual Report on Form 10-K is for the year ended December 31, 2011.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NBCUniversal Media, LLC and its consolidated subsidiaries as “NBCUniversal,” “we,” “us” and “our;” and Comcast Corporation as “Comcast.”</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registered trademarks include NBCUniversal and the NBCUniversal logo. This Annual Report on Form 10-K also contains other trademarks, service marks and trade names owned by us, as well as those owned by others.</w:t>
      </w:r>
    </w:p>
    <w:p>
      <w:pPr>
        <w:sectPr>
          <w:pgSz w:w="11900" w:h="16838" w:orient="portrait"/>
          <w:cols w:equalWidth="0" w:num="1">
            <w:col w:w="11280"/>
          </w:cols>
          <w:pgMar w:left="240" w:top="284" w:right="379" w:bottom="1440" w:gutter="0" w:footer="0" w:header="0"/>
        </w:sectPr>
      </w:pPr>
    </w:p>
    <w:bookmarkStart w:id="83" w:name="page84"/>
    <w:bookmarkEnd w:id="83"/>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53439A"/>
        </w:rPr>
        <w:t>Item 1: Business</w:t>
      </w:r>
    </w:p>
    <w:p>
      <w:pPr>
        <w:spacing w:after="0" w:line="1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one of the world’s leading media and entertainment companies. We develop, produce and distribute entertainment, news and information, sports and other content for global audiences, and we own and operate a diversified and integrated portfolio of some of the most recognizable media brands in the world.</w:t>
      </w:r>
    </w:p>
    <w:p>
      <w:pPr>
        <w:spacing w:after="0" w:line="15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its regional sports and news networks, certain of its Internet businesses and other related assets (the “Comcast Content Business”). For additional information on the Joint Venture Transaction, refer to “Management’s Discussion and Analysis of Financial Condition and Results of Operations” and Note 4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95" w:lineRule="exact"/>
        <w:rPr>
          <w:sz w:val="20"/>
          <w:szCs w:val="20"/>
          <w:color w:val="auto"/>
        </w:rPr>
      </w:pPr>
    </w:p>
    <w:p>
      <w:pPr>
        <w:ind w:left="800" w:right="1200" w:hanging="225"/>
        <w:spacing w:after="0" w:line="264"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television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our cable television production studio, and our related digital media properties.</w:t>
      </w:r>
    </w:p>
    <w:p>
      <w:pPr>
        <w:spacing w:after="0" w:line="71" w:lineRule="exact"/>
        <w:rPr>
          <w:rFonts w:ascii="Arial" w:cs="Arial" w:eastAsia="Arial" w:hAnsi="Arial"/>
          <w:sz w:val="18"/>
          <w:szCs w:val="18"/>
          <w:color w:val="auto"/>
        </w:rPr>
      </w:pPr>
    </w:p>
    <w:p>
      <w:pPr>
        <w:ind w:left="800" w:right="1060" w:hanging="225"/>
        <w:spacing w:after="0" w:line="264"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our NBC and Telemundo broadcast networks, our NBC and Telemundo owned</w:t>
      </w:r>
      <w:r>
        <w:rPr>
          <w:rFonts w:ascii="Arial" w:cs="Arial" w:eastAsia="Arial" w:hAnsi="Arial"/>
          <w:sz w:val="18"/>
          <w:szCs w:val="18"/>
          <w:b w:val="1"/>
          <w:bCs w:val="1"/>
          <w:color w:val="auto"/>
        </w:rPr>
        <w:t xml:space="preserve"> </w:t>
      </w:r>
      <w:r>
        <w:rPr>
          <w:rFonts w:ascii="Arial" w:cs="Arial" w:eastAsia="Arial" w:hAnsi="Arial"/>
          <w:sz w:val="18"/>
          <w:szCs w:val="18"/>
          <w:color w:val="auto"/>
        </w:rPr>
        <w:t>local television stations, our broadcast television production operations, and our related digital media properties.</w:t>
      </w:r>
    </w:p>
    <w:p>
      <w:pPr>
        <w:spacing w:after="0" w:line="71" w:lineRule="exact"/>
        <w:rPr>
          <w:rFonts w:ascii="Arial" w:cs="Arial" w:eastAsia="Arial" w:hAnsi="Arial"/>
          <w:sz w:val="18"/>
          <w:szCs w:val="18"/>
          <w:color w:val="auto"/>
        </w:rPr>
      </w:pPr>
    </w:p>
    <w:p>
      <w:pPr>
        <w:ind w:left="800" w:right="1040" w:hanging="225"/>
        <w:spacing w:after="0" w:line="264"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71" w:lineRule="exact"/>
        <w:rPr>
          <w:rFonts w:ascii="Arial" w:cs="Arial" w:eastAsia="Arial" w:hAnsi="Arial"/>
          <w:sz w:val="18"/>
          <w:szCs w:val="18"/>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80"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For financial and other information about our reportable segments, refer to Note 21 to our consolidated financial statements included in this Annual Report on Form 10-K. For information on the Federal Communications Commission (“FCC”) order and the Department of Justice (“DOJ”) consent decree related to the Joint Venture Transaction, see Legislation and Regulation below.</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2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phone number is (212) 664-4444, and our principal executive offices are located at 30 Rockefeller Plaza, New York, NY, 10112-0015.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parent company website at www.comcast.com as soon as reasonably practicable after such reports are electronically filed with the SEC. The information posted on the Comcast website is not incorporated into our SEC filings.</w:t>
      </w:r>
    </w:p>
    <w:p>
      <w:pPr>
        <w:spacing w:after="0" w:line="300"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54" w:right="239" w:bottom="1440" w:gutter="0" w:footer="0" w:header="0"/>
        </w:sectPr>
      </w:pPr>
    </w:p>
    <w:bookmarkStart w:id="84" w:name="page85"/>
    <w:bookmarkEnd w:id="84"/>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Cable Networks segment operates a diversified portfolio of 15 national cable networks, 13 regional sports and news networks, more than 60 international channels, and digital media properties consisting primarily of brand-aligned and other websites, including DailyCandy, Fandango and iVillage. The table below presents a summary of our national cable networks.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80" w:type="dxa"/>
            <w:vAlign w:val="bottom"/>
          </w:tcPr>
          <w:p>
            <w:pPr>
              <w:jc w:val="right"/>
              <w:ind w:right="17"/>
              <w:spacing w:after="0"/>
              <w:rPr>
                <w:sz w:val="20"/>
                <w:szCs w:val="20"/>
                <w:color w:val="auto"/>
              </w:rPr>
            </w:pPr>
            <w:r>
              <w:rPr>
                <w:rFonts w:ascii="Arial" w:cs="Arial" w:eastAsia="Arial" w:hAnsi="Arial"/>
                <w:sz w:val="14"/>
                <w:szCs w:val="14"/>
                <w:color w:val="auto"/>
              </w:rPr>
              <w:t>Approximate U.S.</w:t>
            </w:r>
          </w:p>
        </w:tc>
        <w:tc>
          <w:tcPr>
            <w:tcW w:w="514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21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Subscribers at</w:t>
            </w:r>
          </w:p>
        </w:tc>
        <w:tc>
          <w:tcPr>
            <w:tcW w:w="5140" w:type="dxa"/>
            <w:vAlign w:val="bottom"/>
          </w:tcPr>
          <w:p>
            <w:pPr>
              <w:spacing w:after="0"/>
              <w:rPr>
                <w:sz w:val="12"/>
                <w:szCs w:val="12"/>
                <w:color w:val="auto"/>
              </w:rPr>
            </w:pPr>
          </w:p>
        </w:tc>
      </w:tr>
      <w:tr>
        <w:trPr>
          <w:trHeight w:val="122"/>
        </w:trPr>
        <w:tc>
          <w:tcPr>
            <w:tcW w:w="4100" w:type="dxa"/>
            <w:vAlign w:val="bottom"/>
          </w:tcPr>
          <w:p>
            <w:pPr>
              <w:spacing w:after="0"/>
              <w:rPr>
                <w:sz w:val="10"/>
                <w:szCs w:val="10"/>
                <w:color w:val="auto"/>
              </w:rPr>
            </w:pPr>
          </w:p>
        </w:tc>
        <w:tc>
          <w:tcPr>
            <w:tcW w:w="2180" w:type="dxa"/>
            <w:vAlign w:val="bottom"/>
          </w:tcPr>
          <w:p>
            <w:pPr>
              <w:jc w:val="right"/>
              <w:ind w:right="17"/>
              <w:spacing w:after="0" w:line="123" w:lineRule="exact"/>
              <w:rPr>
                <w:sz w:val="20"/>
                <w:szCs w:val="20"/>
                <w:color w:val="auto"/>
              </w:rPr>
            </w:pPr>
            <w:r>
              <w:rPr>
                <w:rFonts w:ascii="Arial" w:cs="Arial" w:eastAsia="Arial" w:hAnsi="Arial"/>
                <w:sz w:val="14"/>
                <w:szCs w:val="14"/>
                <w:color w:val="auto"/>
              </w:rPr>
              <w:t>December 31, 2011</w:t>
            </w:r>
          </w:p>
        </w:tc>
        <w:tc>
          <w:tcPr>
            <w:tcW w:w="5140" w:type="dxa"/>
            <w:vAlign w:val="bottom"/>
          </w:tcPr>
          <w:p>
            <w:pPr>
              <w:spacing w:after="0"/>
              <w:rPr>
                <w:sz w:val="10"/>
                <w:szCs w:val="10"/>
                <w:color w:val="auto"/>
              </w:rPr>
            </w:pPr>
          </w:p>
        </w:tc>
      </w:tr>
      <w:tr>
        <w:trPr>
          <w:trHeight w:val="189"/>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w:t>
            </w:r>
          </w:p>
        </w:tc>
        <w:tc>
          <w:tcPr>
            <w:tcW w:w="2180" w:type="dxa"/>
            <w:vAlign w:val="bottom"/>
            <w:tcBorders>
              <w:bottom w:val="single" w:sz="8" w:color="auto"/>
            </w:tcBorders>
          </w:tcPr>
          <w:p>
            <w:pPr>
              <w:jc w:val="right"/>
              <w:ind w:right="17"/>
              <w:spacing w:after="0" w:line="189"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Description of Programming</w:t>
            </w:r>
          </w:p>
        </w:tc>
      </w:tr>
      <w:tr>
        <w:trPr>
          <w:trHeight w:val="199"/>
        </w:trPr>
        <w:tc>
          <w:tcPr>
            <w:tcW w:w="410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21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99</w:t>
            </w:r>
          </w:p>
        </w:tc>
        <w:tc>
          <w:tcPr>
            <w:tcW w:w="5140" w:type="dxa"/>
            <w:vAlign w:val="bottom"/>
          </w:tcPr>
          <w:p>
            <w:pPr>
              <w:ind w:left="12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98</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98</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97</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24 hour news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85</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78</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NBC Sports Network (formerly VERSUS)</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76</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Style</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76</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Lifestyle</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61</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Gamer lifestyle</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42</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40</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Cloo (formerly Sleuth)</w:t>
            </w:r>
          </w:p>
        </w:tc>
        <w:tc>
          <w:tcPr>
            <w:tcW w:w="21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39</w:t>
            </w:r>
          </w:p>
        </w:tc>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Crime, mystery and suspense</w:t>
            </w:r>
          </w:p>
        </w:tc>
      </w:tr>
      <w:tr>
        <w:trPr>
          <w:trHeight w:val="199"/>
        </w:trPr>
        <w:tc>
          <w:tcPr>
            <w:tcW w:w="4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Universal HD</w:t>
            </w:r>
          </w:p>
        </w:tc>
        <w:tc>
          <w:tcPr>
            <w:tcW w:w="21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25</w:t>
            </w:r>
          </w:p>
        </w:tc>
        <w:tc>
          <w:tcPr>
            <w:tcW w:w="514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HD, general entertainment programming</w:t>
            </w:r>
          </w:p>
        </w:tc>
      </w:tr>
    </w:tbl>
    <w:p>
      <w:pPr>
        <w:spacing w:after="0" w:line="67" w:lineRule="exact"/>
        <w:rPr>
          <w:sz w:val="20"/>
          <w:szCs w:val="20"/>
          <w:color w:val="auto"/>
        </w:rPr>
      </w:pPr>
    </w:p>
    <w:p>
      <w:pPr>
        <w:ind w:left="300" w:right="80" w:hanging="292"/>
        <w:spacing w:after="0" w:line="231" w:lineRule="auto"/>
        <w:tabs>
          <w:tab w:leader="none" w:pos="3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Subscriber data is based on The Nielsen Company’s January 2012 report, which covers the period from December 14, 2011 through December 20, 2011, except for Universal HD, which was derived from information provided by multichannel video providers.</w:t>
      </w:r>
    </w:p>
    <w:p>
      <w:pPr>
        <w:spacing w:after="0" w:line="15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Our 13 regional sports and news networks are Comcast SportsNet Philadelphia, Comcast SportsNet Mid-Atlantic (Baltimore/Washington), Cable Sports Southeast, Comcast SportsNet Chicago, MountainWest Sports Network, Comcast SportsNet California (Sacramento), Comcast SportsNet New England (Boston), Comcast SportsNet Northwest (Portland), Comcast Sports Southwest (Houston), Comcast SportsNet Bay Area (San Francisco), New England Cable News (Boston), Comcast Network Philadelphia and Comcast Network Mid-Atlantic (Baltimore/Washington).</w:t>
      </w:r>
    </w:p>
    <w:p>
      <w:pPr>
        <w:spacing w:after="0" w:line="12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Internet and wireless distributors. These distributors may exhibit our content on television, online and through mobile applications, and in a range of consumer experiences that may include video on demand, electronic sell-through and pay-per-view.</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cable networks develop their own programs or acquire programming rights from third parties. Our Cable Networks segment includes our production studio, Universal Cable Production, that identifies, develops and produces original content for cable television and other distribution platforms both for our cable networks and for those of third parties. We license this content to all forms of television, including broadcast and cable networks, and through home video and various digital media platforms, both in the United States and internationally.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primarily generates revenue from the distribution of our cable network programming and from the sale of advertising. Distribution revenue is generated from distribution agreements with multichannel video providers. Advertising revenue is generated from the sale of advertising time on our cable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500" w:right="239" w:bottom="1440" w:gutter="0" w:footer="0" w:header="0"/>
        </w:sectPr>
      </w:pPr>
    </w:p>
    <w:bookmarkStart w:id="85" w:name="page86"/>
    <w:bookmarkEnd w:id="85"/>
    <w:p>
      <w:pPr>
        <w:ind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networks and related digital media properties. We also generate content licensing and other revenue from the licensing and sale of our owned programming in the United States and internationally, including revenue from the sale of our owned programming on standard-definition digital video discs and Blu-ray discs (together, “DVDs”) and through digital media platforms, and from the licensing of our brands for consumer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networks, which together serve audiences and advertisers in all 50 states, including the largest U.S. metropolitan areas. Our Broadcast Television segment also includes our owned and operated NBC and Telemundo local television stations, our broadcast television production operations and our related digital media properties.</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Broadcast Television segment primarily generates revenue from the sale of advertising and from content licensing. Advertising revenue is generated from the sale of advertising time on our broadcast networks, owned local television stations and related digital media properties. Content licensing revenue is generated from the licensing of our owned programming in the United States and internationally. We also generate revenue from the sale of our owned programming on DVDs, through digital media platforms and from the licensing of our brands and characters for consumer products. In addition, our owned local television stations are beginning to receive retransmission fees from multichannel video providers in exchange for consent that allows carriage of the stations’ signal. We also receive a portion of the retransmission fees received by our NBC affiliated stations. We expect these fees to increase in the future as we, and our affiliated stations, renegotiate distribution agreements with multichannel video providers.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NBC Network</w:t>
      </w:r>
    </w:p>
    <w:p>
      <w:pPr>
        <w:ind w:right="160"/>
        <w:spacing w:after="0" w:line="236" w:lineRule="auto"/>
        <w:rPr>
          <w:sz w:val="20"/>
          <w:szCs w:val="20"/>
          <w:color w:val="auto"/>
        </w:rPr>
      </w:pPr>
      <w:r>
        <w:rPr>
          <w:rFonts w:ascii="Arial" w:cs="Arial" w:eastAsia="Arial" w:hAnsi="Arial"/>
          <w:sz w:val="18"/>
          <w:szCs w:val="18"/>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television stations. The NBC network develops a broad range of content through its entertainment, news and sports divisions and also airs a variety of special-events programming. The NBC network’s television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operates various websites that extend its brands and content online.</w:t>
      </w:r>
    </w:p>
    <w:p>
      <w:pPr>
        <w:spacing w:after="0" w:line="15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The NBC network produces its own programs or acquires the rights to programming from third parties. We have various contractual commitments for the licensing of rights to multiyear programming, including sports programming. Our most significant sports programming commitments include an agreement with the NFL to produce and broadcast a specified number of regular season and playoff games, including NBC’s </w:t>
      </w:r>
      <w:r>
        <w:rPr>
          <w:rFonts w:ascii="Arial" w:cs="Arial" w:eastAsia="Arial" w:hAnsi="Arial"/>
          <w:sz w:val="16"/>
          <w:szCs w:val="16"/>
          <w:i w:val="1"/>
          <w:iCs w:val="1"/>
          <w:color w:val="auto"/>
        </w:rPr>
        <w:t>Sunday Night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Football </w:t>
      </w:r>
      <w:r>
        <w:rPr>
          <w:rFonts w:ascii="Arial" w:cs="Arial" w:eastAsia="Arial" w:hAnsi="Arial"/>
          <w:sz w:val="16"/>
          <w:szCs w:val="16"/>
          <w:color w:val="auto"/>
        </w:rPr>
        <w:t>through the 2022-23 season and the 2012, 2015, 2018 and 2021 Super Bowls. In addition, the NBC network has broadcast the Summer</w:t>
      </w:r>
      <w:r>
        <w:rPr>
          <w:rFonts w:ascii="Arial" w:cs="Arial" w:eastAsia="Arial" w:hAnsi="Arial"/>
          <w:sz w:val="16"/>
          <w:szCs w:val="16"/>
          <w:i w:val="1"/>
          <w:iCs w:val="1"/>
          <w:color w:val="auto"/>
        </w:rPr>
        <w:t xml:space="preserve"> </w:t>
      </w:r>
      <w:r>
        <w:rPr>
          <w:rFonts w:ascii="Arial" w:cs="Arial" w:eastAsia="Arial" w:hAnsi="Arial"/>
          <w:sz w:val="16"/>
          <w:szCs w:val="16"/>
          <w:color w:val="auto"/>
        </w:rPr>
        <w:t>Olympic Games since 1988 and the Winter Olympic Games since 2002, and owns the U.S. broadcast rights for the 2012 London Olympic Games, 2014 Sochi Olympic Games, 2016 Rio de Janeiro Olympic Games, 2018 Pyeongchang Olympic Games and 2020 Summer Olympic Games. We also have broadcast rights to a specified number of NHL games through the 2020-21 season and certain PGA TOUR Golf events through 2021. Our sports programming agreements also include rights to distribute content on our national cable sports networks, NBC Sports Network and Golf Channel, our regional sports networks where applicable, and on various digital media platforms.</w:t>
      </w:r>
    </w:p>
    <w:p>
      <w:pPr>
        <w:spacing w:after="0" w:line="33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broadcast television production operations create and produce original content, including scripted and unscripted series, talk shows and digital media projects that are sold to broadcast networks, cable networks, local television stations and other media platforms owned by us and third parties, as well as through home video, both in the United States and internationally. We also produce “first-run” syndicated shows, which are</w:t>
      </w:r>
    </w:p>
    <w:p>
      <w:pPr>
        <w:spacing w:after="0" w:line="293"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86" w:name="page87"/>
    <w:bookmarkEnd w:id="86"/>
    <w:p>
      <w:pPr>
        <w:ind w:right="1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programs for initial exhibition on local television stations in the United States, on a market-by-market basis, without prior exhibition on a network. We currently distribute some of our programs after their exhibition on a broadcast network, as well as older television programs from our library, to local television stations and cable networks in the off-network syndication market in the United States.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NBC Local Television Stations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own and operate 10 NBC affiliated local television stations that collectively reached approximately 31 million U.S. television households, which represents approximately 27% of all U.S. television households, as of December 31, 2011. In addition to airing NBC’s national programming, our stations produce news, sports, public affairs and other programming that addresses local needs and acquire syndicated programming from other sources. The table below presents a summary of the NBC affiliated local television stations that we own and operate.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Arial" w:cs="Arial" w:eastAsia="Arial" w:hAnsi="Arial"/>
                <w:sz w:val="14"/>
                <w:szCs w:val="14"/>
                <w:color w:val="auto"/>
              </w:rPr>
              <w:t>DMA Served</w:t>
            </w:r>
            <w:r>
              <w:rPr>
                <w:rFonts w:ascii="Arial" w:cs="Arial" w:eastAsia="Arial" w:hAnsi="Arial"/>
                <w:sz w:val="22"/>
                <w:szCs w:val="22"/>
                <w:color w:val="auto"/>
                <w:vertAlign w:val="superscript"/>
              </w:rPr>
              <w:t>(a)</w:t>
            </w:r>
          </w:p>
        </w:tc>
        <w:tc>
          <w:tcPr>
            <w:tcW w:w="2820" w:type="dxa"/>
            <w:vAlign w:val="bottom"/>
          </w:tcPr>
          <w:p>
            <w:pPr>
              <w:spacing w:after="0"/>
              <w:rPr>
                <w:sz w:val="14"/>
                <w:szCs w:val="14"/>
                <w:color w:val="auto"/>
              </w:rPr>
            </w:pPr>
          </w:p>
        </w:tc>
        <w:tc>
          <w:tcPr>
            <w:tcW w:w="1680" w:type="dxa"/>
            <w:vAlign w:val="bottom"/>
            <w:vMerge w:val="restart"/>
          </w:tcPr>
          <w:p>
            <w:pPr>
              <w:jc w:val="right"/>
              <w:ind w:right="54"/>
              <w:spacing w:after="0"/>
              <w:rPr>
                <w:sz w:val="20"/>
                <w:szCs w:val="20"/>
                <w:color w:val="auto"/>
              </w:rPr>
            </w:pPr>
            <w:r>
              <w:rPr>
                <w:rFonts w:ascii="Arial" w:cs="Arial" w:eastAsia="Arial" w:hAnsi="Arial"/>
                <w:sz w:val="14"/>
                <w:szCs w:val="14"/>
                <w:color w:val="auto"/>
              </w:rPr>
              <w:t>General Market Rank</w:t>
            </w:r>
            <w:r>
              <w:rPr>
                <w:rFonts w:ascii="Arial" w:cs="Arial" w:eastAsia="Arial" w:hAnsi="Arial"/>
                <w:sz w:val="22"/>
                <w:szCs w:val="22"/>
                <w:color w:val="auto"/>
                <w:vertAlign w:val="superscript"/>
              </w:rPr>
              <w:t>(b)</w:t>
            </w: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c>
          <w:tcPr>
            <w:tcW w:w="0" w:type="dxa"/>
            <w:vAlign w:val="bottom"/>
          </w:tcPr>
          <w:p>
            <w:pPr>
              <w:spacing w:after="0"/>
              <w:rPr>
                <w:sz w:val="1"/>
                <w:szCs w:val="1"/>
                <w:color w:val="auto"/>
              </w:rPr>
            </w:pPr>
          </w:p>
        </w:tc>
      </w:tr>
      <w:tr>
        <w:trPr>
          <w:trHeight w:val="176"/>
        </w:trPr>
        <w:tc>
          <w:tcPr>
            <w:tcW w:w="5080" w:type="dxa"/>
            <w:vAlign w:val="bottom"/>
            <w:tcBorders>
              <w:bottom w:val="single" w:sz="8" w:color="auto"/>
            </w:tcBorders>
            <w:vMerge w:val="continue"/>
          </w:tcPr>
          <w:p>
            <w:pPr>
              <w:spacing w:after="0"/>
              <w:rPr>
                <w:sz w:val="15"/>
                <w:szCs w:val="15"/>
                <w:color w:val="auto"/>
              </w:rPr>
            </w:pPr>
          </w:p>
        </w:tc>
        <w:tc>
          <w:tcPr>
            <w:tcW w:w="2820" w:type="dxa"/>
            <w:vAlign w:val="bottom"/>
            <w:tcBorders>
              <w:bottom w:val="single" w:sz="8" w:color="auto"/>
            </w:tcBorders>
          </w:tcPr>
          <w:p>
            <w:pPr>
              <w:jc w:val="center"/>
              <w:ind w:left="1954"/>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right"/>
              <w:ind w:right="136"/>
              <w:spacing w:after="0" w:line="176" w:lineRule="exact"/>
              <w:rPr>
                <w:sz w:val="20"/>
                <w:szCs w:val="20"/>
                <w:color w:val="auto"/>
              </w:rPr>
            </w:pPr>
            <w:r>
              <w:rPr>
                <w:rFonts w:ascii="Arial" w:cs="Arial" w:eastAsia="Arial" w:hAnsi="Arial"/>
                <w:sz w:val="13"/>
                <w:szCs w:val="13"/>
                <w:color w:val="auto"/>
              </w:rPr>
              <w:t>Television Households</w:t>
            </w:r>
            <w:r>
              <w:rPr>
                <w:rFonts w:ascii="Arial" w:cs="Arial" w:eastAsia="Arial" w:hAnsi="Arial"/>
                <w:sz w:val="20"/>
                <w:szCs w:val="20"/>
                <w:color w:val="auto"/>
                <w:vertAlign w:val="superscript"/>
              </w:rPr>
              <w:t>(d)</w:t>
            </w:r>
          </w:p>
        </w:tc>
        <w:tc>
          <w:tcPr>
            <w:tcW w:w="0" w:type="dxa"/>
            <w:vAlign w:val="bottom"/>
          </w:tcPr>
          <w:p>
            <w:pPr>
              <w:spacing w:after="0"/>
              <w:rPr>
                <w:sz w:val="1"/>
                <w:szCs w:val="1"/>
                <w:color w:val="auto"/>
              </w:rPr>
            </w:pPr>
          </w:p>
        </w:tc>
      </w:tr>
      <w:tr>
        <w:trPr>
          <w:trHeight w:val="199"/>
        </w:trPr>
        <w:tc>
          <w:tcPr>
            <w:tcW w:w="508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820" w:type="dxa"/>
            <w:vAlign w:val="bottom"/>
          </w:tcPr>
          <w:p>
            <w:pPr>
              <w:jc w:val="center"/>
              <w:ind w:left="1954"/>
              <w:spacing w:after="0" w:line="200" w:lineRule="exact"/>
              <w:rPr>
                <w:sz w:val="20"/>
                <w:szCs w:val="20"/>
                <w:color w:val="auto"/>
              </w:rPr>
            </w:pPr>
            <w:r>
              <w:rPr>
                <w:rFonts w:ascii="Arial" w:cs="Arial" w:eastAsia="Arial" w:hAnsi="Arial"/>
                <w:sz w:val="18"/>
                <w:szCs w:val="18"/>
                <w:color w:val="auto"/>
                <w:w w:val="98"/>
              </w:rPr>
              <w:t>WNBC</w:t>
            </w:r>
          </w:p>
        </w:tc>
        <w:tc>
          <w:tcPr>
            <w:tcW w:w="16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820" w:type="dxa"/>
            <w:vAlign w:val="bottom"/>
          </w:tcPr>
          <w:p>
            <w:pPr>
              <w:jc w:val="center"/>
              <w:ind w:left="1934"/>
              <w:spacing w:after="0" w:line="202" w:lineRule="exact"/>
              <w:rPr>
                <w:sz w:val="20"/>
                <w:szCs w:val="20"/>
                <w:color w:val="auto"/>
              </w:rPr>
            </w:pPr>
            <w:r>
              <w:rPr>
                <w:rFonts w:ascii="Arial" w:cs="Arial" w:eastAsia="Arial" w:hAnsi="Arial"/>
                <w:sz w:val="18"/>
                <w:szCs w:val="18"/>
                <w:color w:val="auto"/>
                <w:w w:val="95"/>
              </w:rPr>
              <w:t>KNBC</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820" w:type="dxa"/>
            <w:vAlign w:val="bottom"/>
          </w:tcPr>
          <w:p>
            <w:pPr>
              <w:jc w:val="center"/>
              <w:ind w:left="1934"/>
              <w:spacing w:after="0" w:line="202" w:lineRule="exact"/>
              <w:rPr>
                <w:sz w:val="20"/>
                <w:szCs w:val="20"/>
                <w:color w:val="auto"/>
              </w:rPr>
            </w:pPr>
            <w:r>
              <w:rPr>
                <w:rFonts w:ascii="Arial" w:cs="Arial" w:eastAsia="Arial" w:hAnsi="Arial"/>
                <w:sz w:val="18"/>
                <w:szCs w:val="18"/>
                <w:color w:val="auto"/>
                <w:w w:val="96"/>
              </w:rPr>
              <w:t>WMAQ</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82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8"/>
              </w:rPr>
              <w:t>WCAU</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820" w:type="dxa"/>
            <w:vAlign w:val="bottom"/>
          </w:tcPr>
          <w:p>
            <w:pPr>
              <w:jc w:val="center"/>
              <w:ind w:left="1934"/>
              <w:spacing w:after="0" w:line="203" w:lineRule="exact"/>
              <w:rPr>
                <w:sz w:val="20"/>
                <w:szCs w:val="20"/>
                <w:color w:val="auto"/>
              </w:rPr>
            </w:pPr>
            <w:r>
              <w:rPr>
                <w:rFonts w:ascii="Arial" w:cs="Arial" w:eastAsia="Arial" w:hAnsi="Arial"/>
                <w:sz w:val="18"/>
                <w:szCs w:val="18"/>
                <w:color w:val="auto"/>
                <w:w w:val="92"/>
              </w:rPr>
              <w:t>KXAS</w:t>
            </w:r>
            <w:r>
              <w:rPr>
                <w:rFonts w:ascii="Arial" w:cs="Arial" w:eastAsia="Arial" w:hAnsi="Arial"/>
                <w:sz w:val="22"/>
                <w:szCs w:val="22"/>
                <w:color w:val="auto"/>
                <w:w w:val="92"/>
                <w:vertAlign w:val="superscript"/>
              </w:rPr>
              <w:t>(c)</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820" w:type="dxa"/>
            <w:vAlign w:val="bottom"/>
          </w:tcPr>
          <w:p>
            <w:pPr>
              <w:jc w:val="center"/>
              <w:ind w:left="1934"/>
              <w:spacing w:after="0" w:line="202" w:lineRule="exact"/>
              <w:rPr>
                <w:sz w:val="20"/>
                <w:szCs w:val="20"/>
                <w:color w:val="auto"/>
              </w:rPr>
            </w:pPr>
            <w:r>
              <w:rPr>
                <w:rFonts w:ascii="Arial" w:cs="Arial" w:eastAsia="Arial" w:hAnsi="Arial"/>
                <w:sz w:val="18"/>
                <w:szCs w:val="18"/>
                <w:color w:val="auto"/>
                <w:w w:val="99"/>
              </w:rPr>
              <w:t>KNTV</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82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7"/>
              </w:rPr>
              <w:t>WRC</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820" w:type="dxa"/>
            <w:vAlign w:val="bottom"/>
          </w:tcPr>
          <w:p>
            <w:pPr>
              <w:jc w:val="center"/>
              <w:ind w:left="1934"/>
              <w:spacing w:after="0" w:line="202" w:lineRule="exact"/>
              <w:rPr>
                <w:sz w:val="20"/>
                <w:szCs w:val="20"/>
                <w:color w:val="auto"/>
              </w:rPr>
            </w:pPr>
            <w:r>
              <w:rPr>
                <w:rFonts w:ascii="Arial" w:cs="Arial" w:eastAsia="Arial" w:hAnsi="Arial"/>
                <w:sz w:val="18"/>
                <w:szCs w:val="18"/>
                <w:color w:val="auto"/>
                <w:w w:val="97"/>
              </w:rPr>
              <w:t>WTVJ</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820" w:type="dxa"/>
            <w:vAlign w:val="bottom"/>
          </w:tcPr>
          <w:p>
            <w:pPr>
              <w:jc w:val="center"/>
              <w:ind w:left="1954"/>
              <w:spacing w:after="0" w:line="203" w:lineRule="exact"/>
              <w:rPr>
                <w:sz w:val="20"/>
                <w:szCs w:val="20"/>
                <w:color w:val="auto"/>
              </w:rPr>
            </w:pPr>
            <w:r>
              <w:rPr>
                <w:rFonts w:ascii="Arial" w:cs="Arial" w:eastAsia="Arial" w:hAnsi="Arial"/>
                <w:sz w:val="18"/>
                <w:szCs w:val="18"/>
                <w:color w:val="auto"/>
                <w:w w:val="92"/>
              </w:rPr>
              <w:t>KNSD</w:t>
            </w:r>
            <w:r>
              <w:rPr>
                <w:rFonts w:ascii="Arial" w:cs="Arial" w:eastAsia="Arial" w:hAnsi="Arial"/>
                <w:sz w:val="22"/>
                <w:szCs w:val="22"/>
                <w:color w:val="auto"/>
                <w:w w:val="92"/>
                <w:vertAlign w:val="superscript"/>
              </w:rPr>
              <w:t>(c)</w:t>
            </w:r>
          </w:p>
        </w:tc>
        <w:tc>
          <w:tcPr>
            <w:tcW w:w="16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820" w:type="dxa"/>
            <w:vAlign w:val="bottom"/>
            <w:tcBorders>
              <w:bottom w:val="single" w:sz="8" w:color="auto"/>
            </w:tcBorders>
          </w:tcPr>
          <w:p>
            <w:pPr>
              <w:jc w:val="center"/>
              <w:ind w:left="1934"/>
              <w:spacing w:after="0" w:line="200" w:lineRule="exact"/>
              <w:rPr>
                <w:sz w:val="20"/>
                <w:szCs w:val="20"/>
                <w:color w:val="auto"/>
              </w:rPr>
            </w:pPr>
            <w:r>
              <w:rPr>
                <w:rFonts w:ascii="Arial" w:cs="Arial" w:eastAsia="Arial" w:hAnsi="Arial"/>
                <w:sz w:val="18"/>
                <w:szCs w:val="18"/>
                <w:color w:val="auto"/>
                <w:w w:val="97"/>
              </w:rPr>
              <w:t>WVIT</w:t>
            </w:r>
          </w:p>
        </w:tc>
        <w:tc>
          <w:tcPr>
            <w:tcW w:w="168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Designated market area (“DMA”)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2011-12 season.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Owned through a joint venture with LIN TV Corp.</w:t>
      </w:r>
    </w:p>
    <w:p>
      <w:pPr>
        <w:spacing w:after="0" w:line="55" w:lineRule="exact"/>
        <w:rPr>
          <w:rFonts w:ascii="Arial" w:cs="Arial" w:eastAsia="Arial" w:hAnsi="Arial"/>
          <w:sz w:val="14"/>
          <w:szCs w:val="14"/>
          <w:color w:val="auto"/>
        </w:rPr>
      </w:pPr>
    </w:p>
    <w:p>
      <w:pPr>
        <w:ind w:left="300" w:right="220" w:hanging="292"/>
        <w:spacing w:after="0" w:line="231" w:lineRule="auto"/>
        <w:tabs>
          <w:tab w:leader="none" w:pos="3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Nielsen estimates for the 2011-12 season. The percentage of U.S. television households does not reflect the calculation of national audience reach under the FCC’s national television ownership cap limits. See “Legislation and Regulation – Broadcast Television – Ownership Limits – National Television Ownership.”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53439A"/>
        </w:rPr>
        <w:t>Telemundo</w:t>
      </w:r>
    </w:p>
    <w:p>
      <w:pPr>
        <w:ind w:right="260"/>
        <w:spacing w:after="0" w:line="237"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owned local television stations; mun2, a cable network featuring diverse, youth-oriented entertainment for bicultural Latinos; and Telemundo-related digital media properties consisting primarily of brand-aligned websites, such as Telemundo.com.</w:t>
      </w:r>
    </w:p>
    <w:p>
      <w:pPr>
        <w:spacing w:after="0" w:line="15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Telemundo network is a leading Spanish-language broadcast network featuring original telenovelas, theatrical films, news, specials and sporting events. We develop our own programming primarily through Telemundo’s production studio and also acquire the rights to content from third parties. In 2011, we entered into an agreement with the Federation Internationale de Football Association (“FIFA”) to license the Spanish-language U.S. broadcast rights to FIFA World Cup soccer from 2015 through 2022 and also acquired the Spanish-language U.S. broadcast rights for the NFL games that the NBC network will broadcast as part of our agreement with the NFL that runs through the 2022-23 season.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29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Telemundo Local Television Stations</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December 31, 2011, Telemundo owned 15 local television stations, including 14 local television stations affiliated with the Telemundo network and an independent television station in Puerto Rico. The table below presents a summary of these television stations, which collectively reached approximately 55% of U.S. Hispanic television households as of December 31,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color w:val="auto"/>
              </w:rPr>
              <w:t>DMA Served</w:t>
            </w:r>
            <w:r>
              <w:rPr>
                <w:rFonts w:ascii="Arial" w:cs="Arial" w:eastAsia="Arial" w:hAnsi="Arial"/>
                <w:sz w:val="22"/>
                <w:szCs w:val="22"/>
                <w:color w:val="auto"/>
                <w:vertAlign w:val="superscript"/>
              </w:rPr>
              <w:t>(a)</w:t>
            </w:r>
          </w:p>
        </w:tc>
        <w:tc>
          <w:tcPr>
            <w:tcW w:w="2620" w:type="dxa"/>
            <w:vAlign w:val="bottom"/>
          </w:tcPr>
          <w:p>
            <w:pPr>
              <w:spacing w:after="0"/>
              <w:rPr>
                <w:sz w:val="14"/>
                <w:szCs w:val="14"/>
                <w:color w:val="auto"/>
              </w:rPr>
            </w:pPr>
          </w:p>
        </w:tc>
        <w:tc>
          <w:tcPr>
            <w:tcW w:w="1720" w:type="dxa"/>
            <w:vAlign w:val="bottom"/>
            <w:vMerge w:val="restart"/>
          </w:tcPr>
          <w:p>
            <w:pPr>
              <w:jc w:val="right"/>
              <w:ind w:right="53"/>
              <w:spacing w:after="0"/>
              <w:rPr>
                <w:sz w:val="20"/>
                <w:szCs w:val="20"/>
                <w:color w:val="auto"/>
              </w:rPr>
            </w:pPr>
            <w:r>
              <w:rPr>
                <w:rFonts w:ascii="Arial" w:cs="Arial" w:eastAsia="Arial" w:hAnsi="Arial"/>
                <w:sz w:val="14"/>
                <w:szCs w:val="14"/>
                <w:color w:val="auto"/>
              </w:rPr>
              <w:t>Hispanic Market Rank</w:t>
            </w:r>
            <w:r>
              <w:rPr>
                <w:rFonts w:ascii="Arial" w:cs="Arial" w:eastAsia="Arial" w:hAnsi="Arial"/>
                <w:sz w:val="22"/>
                <w:szCs w:val="22"/>
                <w:color w:val="auto"/>
                <w:vertAlign w:val="superscript"/>
              </w:rPr>
              <w:t>(b)</w:t>
            </w:r>
          </w:p>
        </w:tc>
        <w:tc>
          <w:tcPr>
            <w:tcW w:w="2380" w:type="dxa"/>
            <w:vAlign w:val="bottom"/>
          </w:tcPr>
          <w:p>
            <w:pPr>
              <w:jc w:val="right"/>
              <w:ind w:right="135"/>
              <w:spacing w:after="0"/>
              <w:rPr>
                <w:sz w:val="20"/>
                <w:szCs w:val="20"/>
                <w:color w:val="auto"/>
              </w:rPr>
            </w:pPr>
            <w:r>
              <w:rPr>
                <w:rFonts w:ascii="Arial" w:cs="Arial" w:eastAsia="Arial" w:hAnsi="Arial"/>
                <w:sz w:val="14"/>
                <w:szCs w:val="14"/>
                <w:color w:val="auto"/>
              </w:rPr>
              <w:t>Percentage of U.S.</w:t>
            </w:r>
          </w:p>
        </w:tc>
        <w:tc>
          <w:tcPr>
            <w:tcW w:w="0" w:type="dxa"/>
            <w:vAlign w:val="bottom"/>
          </w:tcPr>
          <w:p>
            <w:pPr>
              <w:spacing w:after="0"/>
              <w:rPr>
                <w:sz w:val="1"/>
                <w:szCs w:val="1"/>
                <w:color w:val="auto"/>
              </w:rPr>
            </w:pPr>
          </w:p>
        </w:tc>
      </w:tr>
      <w:tr>
        <w:trPr>
          <w:trHeight w:val="176"/>
        </w:trPr>
        <w:tc>
          <w:tcPr>
            <w:tcW w:w="470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tcBorders>
          </w:tcPr>
          <w:p>
            <w:pPr>
              <w:jc w:val="center"/>
              <w:ind w:left="1553"/>
              <w:spacing w:after="0"/>
              <w:rPr>
                <w:sz w:val="20"/>
                <w:szCs w:val="20"/>
                <w:color w:val="auto"/>
              </w:rPr>
            </w:pPr>
            <w:r>
              <w:rPr>
                <w:rFonts w:ascii="Arial" w:cs="Arial" w:eastAsia="Arial" w:hAnsi="Arial"/>
                <w:sz w:val="14"/>
                <w:szCs w:val="14"/>
                <w:color w:val="auto"/>
                <w:w w:val="96"/>
              </w:rPr>
              <w:t>Station</w:t>
            </w:r>
          </w:p>
        </w:tc>
        <w:tc>
          <w:tcPr>
            <w:tcW w:w="1720" w:type="dxa"/>
            <w:vAlign w:val="bottom"/>
            <w:tcBorders>
              <w:bottom w:val="single" w:sz="8" w:color="auto"/>
            </w:tcBorders>
            <w:vMerge w:val="continue"/>
          </w:tcPr>
          <w:p>
            <w:pPr>
              <w:spacing w:after="0"/>
              <w:rPr>
                <w:sz w:val="15"/>
                <w:szCs w:val="15"/>
                <w:color w:val="auto"/>
              </w:rPr>
            </w:pPr>
          </w:p>
        </w:tc>
        <w:tc>
          <w:tcPr>
            <w:tcW w:w="2380" w:type="dxa"/>
            <w:vAlign w:val="bottom"/>
            <w:tcBorders>
              <w:bottom w:val="single" w:sz="8" w:color="auto"/>
            </w:tcBorders>
          </w:tcPr>
          <w:p>
            <w:pPr>
              <w:jc w:val="right"/>
              <w:ind w:right="135"/>
              <w:spacing w:after="0" w:line="176" w:lineRule="exact"/>
              <w:rPr>
                <w:sz w:val="20"/>
                <w:szCs w:val="20"/>
                <w:color w:val="auto"/>
              </w:rPr>
            </w:pPr>
            <w:r>
              <w:rPr>
                <w:rFonts w:ascii="Arial" w:cs="Arial" w:eastAsia="Arial" w:hAnsi="Arial"/>
                <w:sz w:val="13"/>
                <w:szCs w:val="13"/>
                <w:color w:val="auto"/>
              </w:rPr>
              <w:t>Hispanic Television Households</w:t>
            </w:r>
            <w:r>
              <w:rPr>
                <w:rFonts w:ascii="Arial" w:cs="Arial" w:eastAsia="Arial" w:hAnsi="Arial"/>
                <w:sz w:val="20"/>
                <w:szCs w:val="20"/>
                <w:color w:val="auto"/>
                <w:vertAlign w:val="superscript"/>
              </w:rPr>
              <w:t>(c)</w:t>
            </w:r>
          </w:p>
        </w:tc>
        <w:tc>
          <w:tcPr>
            <w:tcW w:w="0" w:type="dxa"/>
            <w:vAlign w:val="bottom"/>
          </w:tcPr>
          <w:p>
            <w:pPr>
              <w:spacing w:after="0"/>
              <w:rPr>
                <w:sz w:val="1"/>
                <w:szCs w:val="1"/>
                <w:color w:val="auto"/>
              </w:rPr>
            </w:pPr>
          </w:p>
        </w:tc>
      </w:tr>
      <w:tr>
        <w:trPr>
          <w:trHeight w:val="199"/>
        </w:trPr>
        <w:tc>
          <w:tcPr>
            <w:tcW w:w="470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2620" w:type="dxa"/>
            <w:vAlign w:val="bottom"/>
          </w:tcPr>
          <w:p>
            <w:pPr>
              <w:jc w:val="center"/>
              <w:ind w:left="1553"/>
              <w:spacing w:after="0" w:line="200" w:lineRule="exact"/>
              <w:rPr>
                <w:sz w:val="20"/>
                <w:szCs w:val="20"/>
                <w:color w:val="auto"/>
              </w:rPr>
            </w:pPr>
            <w:r>
              <w:rPr>
                <w:rFonts w:ascii="Arial" w:cs="Arial" w:eastAsia="Arial" w:hAnsi="Arial"/>
                <w:sz w:val="18"/>
                <w:szCs w:val="18"/>
                <w:color w:val="auto"/>
                <w:w w:val="95"/>
              </w:rPr>
              <w:t>KVEA</w:t>
            </w:r>
          </w:p>
        </w:tc>
        <w:tc>
          <w:tcPr>
            <w:tcW w:w="1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w:t>
            </w:r>
          </w:p>
        </w:tc>
        <w:tc>
          <w:tcPr>
            <w:tcW w:w="238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6"/>
              </w:rPr>
              <w:t>WNJU</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9"/>
              </w:rPr>
              <w:t>WSCV</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KTMD</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8"/>
              </w:rPr>
              <w:t>WSNS-TV</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Dallas-Ft. Worth, TX</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KXTX</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2620" w:type="dxa"/>
            <w:vAlign w:val="bottom"/>
          </w:tcPr>
          <w:p>
            <w:pPr>
              <w:jc w:val="center"/>
              <w:ind w:left="1553"/>
              <w:spacing w:after="0" w:line="203" w:lineRule="exact"/>
              <w:rPr>
                <w:sz w:val="20"/>
                <w:szCs w:val="20"/>
                <w:color w:val="auto"/>
              </w:rPr>
            </w:pPr>
            <w:r>
              <w:rPr>
                <w:rFonts w:ascii="Arial" w:cs="Arial" w:eastAsia="Arial" w:hAnsi="Arial"/>
                <w:sz w:val="18"/>
                <w:szCs w:val="18"/>
                <w:color w:val="auto"/>
                <w:w w:val="92"/>
              </w:rPr>
              <w:t>KVDA</w:t>
            </w:r>
            <w:r>
              <w:rPr>
                <w:rFonts w:ascii="Arial" w:cs="Arial" w:eastAsia="Arial" w:hAnsi="Arial"/>
                <w:sz w:val="22"/>
                <w:szCs w:val="22"/>
                <w:color w:val="auto"/>
                <w:w w:val="92"/>
                <w:vertAlign w:val="superscript"/>
              </w:rPr>
              <w:t>(d)</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KSTS</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1"/>
              </w:rPr>
              <w:t>KTAZ</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2620" w:type="dxa"/>
            <w:vAlign w:val="bottom"/>
          </w:tcPr>
          <w:p>
            <w:pPr>
              <w:jc w:val="center"/>
              <w:ind w:left="1553"/>
              <w:spacing w:after="0" w:line="203" w:lineRule="exact"/>
              <w:rPr>
                <w:sz w:val="20"/>
                <w:szCs w:val="20"/>
                <w:color w:val="auto"/>
              </w:rPr>
            </w:pPr>
            <w:r>
              <w:rPr>
                <w:rFonts w:ascii="Arial" w:cs="Arial" w:eastAsia="Arial" w:hAnsi="Arial"/>
                <w:sz w:val="18"/>
                <w:szCs w:val="18"/>
                <w:color w:val="auto"/>
                <w:w w:val="89"/>
              </w:rPr>
              <w:t>KNSO</w:t>
            </w:r>
            <w:r>
              <w:rPr>
                <w:rFonts w:ascii="Arial" w:cs="Arial" w:eastAsia="Arial" w:hAnsi="Arial"/>
                <w:sz w:val="22"/>
                <w:szCs w:val="22"/>
                <w:color w:val="auto"/>
                <w:w w:val="89"/>
                <w:vertAlign w:val="superscript"/>
              </w:rPr>
              <w:t>(d)</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9"/>
              </w:rPr>
              <w:t>KDEN</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KBLR</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2620" w:type="dxa"/>
            <w:vAlign w:val="bottom"/>
          </w:tcPr>
          <w:p>
            <w:pPr>
              <w:jc w:val="center"/>
              <w:ind w:left="1553"/>
              <w:spacing w:after="0" w:line="203" w:lineRule="exact"/>
              <w:rPr>
                <w:sz w:val="20"/>
                <w:szCs w:val="20"/>
                <w:color w:val="auto"/>
              </w:rPr>
            </w:pPr>
            <w:r>
              <w:rPr>
                <w:rFonts w:ascii="Arial" w:cs="Arial" w:eastAsia="Arial" w:hAnsi="Arial"/>
                <w:sz w:val="18"/>
                <w:szCs w:val="18"/>
                <w:color w:val="auto"/>
                <w:w w:val="90"/>
              </w:rPr>
              <w:t>WNEU</w:t>
            </w:r>
            <w:r>
              <w:rPr>
                <w:rFonts w:ascii="Arial" w:cs="Arial" w:eastAsia="Arial" w:hAnsi="Arial"/>
                <w:sz w:val="22"/>
                <w:szCs w:val="22"/>
                <w:color w:val="auto"/>
                <w:w w:val="90"/>
                <w:vertAlign w:val="superscript"/>
              </w:rPr>
              <w:t>(d)</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2620" w:type="dxa"/>
            <w:vAlign w:val="bottom"/>
          </w:tcPr>
          <w:p>
            <w:pPr>
              <w:jc w:val="center"/>
              <w:ind w:left="1553"/>
              <w:spacing w:after="0" w:line="202" w:lineRule="exact"/>
              <w:rPr>
                <w:sz w:val="20"/>
                <w:szCs w:val="20"/>
                <w:color w:val="auto"/>
              </w:rPr>
            </w:pPr>
            <w:r>
              <w:rPr>
                <w:rFonts w:ascii="Arial" w:cs="Arial" w:eastAsia="Arial" w:hAnsi="Arial"/>
                <w:sz w:val="18"/>
                <w:szCs w:val="18"/>
                <w:color w:val="auto"/>
                <w:w w:val="97"/>
              </w:rPr>
              <w:t>KHRR</w:t>
            </w:r>
          </w:p>
        </w:tc>
        <w:tc>
          <w:tcPr>
            <w:tcW w:w="1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w:t>
            </w:r>
          </w:p>
        </w:tc>
        <w:tc>
          <w:tcPr>
            <w:tcW w:w="2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2620" w:type="dxa"/>
            <w:vAlign w:val="bottom"/>
            <w:tcBorders>
              <w:bottom w:val="single" w:sz="8" w:color="auto"/>
            </w:tcBorders>
          </w:tcPr>
          <w:p>
            <w:pPr>
              <w:jc w:val="center"/>
              <w:ind w:left="1553"/>
              <w:spacing w:after="0" w:line="200" w:lineRule="exact"/>
              <w:rPr>
                <w:sz w:val="20"/>
                <w:szCs w:val="20"/>
                <w:color w:val="auto"/>
              </w:rPr>
            </w:pPr>
            <w:r>
              <w:rPr>
                <w:rFonts w:ascii="Arial" w:cs="Arial" w:eastAsia="Arial" w:hAnsi="Arial"/>
                <w:sz w:val="18"/>
                <w:szCs w:val="18"/>
                <w:color w:val="auto"/>
                <w:w w:val="98"/>
              </w:rPr>
              <w:t>WKAQ</w:t>
            </w:r>
          </w:p>
        </w:tc>
        <w:tc>
          <w:tcPr>
            <w:tcW w:w="17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 million U.S. Hispanic households as of December 31, 2011.</w:t>
      </w:r>
    </w:p>
    <w:p>
      <w:pPr>
        <w:spacing w:after="0" w:line="55" w:lineRule="exact"/>
        <w:rPr>
          <w:rFonts w:ascii="Arial" w:cs="Arial" w:eastAsia="Arial" w:hAnsi="Arial"/>
          <w:sz w:val="14"/>
          <w:szCs w:val="14"/>
          <w:color w:val="auto"/>
        </w:rPr>
      </w:pPr>
    </w:p>
    <w:p>
      <w:pPr>
        <w:ind w:left="280" w:right="180" w:hanging="272"/>
        <w:spacing w:after="0" w:line="231" w:lineRule="auto"/>
        <w:tabs>
          <w:tab w:leader="none" w:pos="2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Nielsen estimates for the 2011-12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Our Filmed Entertainment segment consists of the operations of Universal Pictures, which produces, acquires, markets and distributes filmed entertainment worldwide in various media formats for theatrical, home entertainment, television and increasingly through other distribution platforms. We also develop, produce and license stage plays. Our content consists of theatrical films, direct-to-video titles and our film library, which is comprised of approximately 4,500 titles in a variety of genres.</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under both the Universal Pictures and Focus Features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w:t>
      </w:r>
    </w:p>
    <w:p>
      <w:pPr>
        <w:spacing w:after="0" w:line="15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After their theatrical release, we distribute our films globally for home entertainment use on DVD and in various digital formats, which includes the licensing of our films to third parties for electronic sell-through over the Internet.</w:t>
      </w:r>
    </w:p>
    <w:p>
      <w:pPr>
        <w:spacing w:after="0" w:line="15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also license our films, including selections from our film library, to all forms of television, including broadcast, cable and premium networks, and pay-per-view and video on demand services. These arrangements for theatrical films generally provide for a specified number of exhibitions during a fixed term and include exclusive exhibition rights for the licensing of films for specified periods of time.</w:t>
      </w:r>
    </w:p>
    <w:p>
      <w:pPr>
        <w:spacing w:after="0" w:line="323" w:lineRule="exact"/>
        <w:rPr>
          <w:sz w:val="20"/>
          <w:szCs w:val="20"/>
          <w:color w:val="auto"/>
        </w:rPr>
      </w:pPr>
    </w:p>
    <w:p>
      <w:pPr>
        <w:ind w:left="5660"/>
        <w:spacing w:after="0"/>
        <w:tabs>
          <w:tab w:leader="none" w:pos="846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27" w:right="239" w:bottom="1440" w:gutter="0" w:footer="0" w:header="0"/>
        </w:sectPr>
      </w:pPr>
    </w:p>
    <w:bookmarkStart w:id="88" w:name="page89"/>
    <w:bookmarkEnd w:id="88"/>
    <w:p>
      <w:pPr>
        <w:ind w:right="1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response to the high cost of producing films, we have entered,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Filmed Entertainment segment primarily generates revenue from the worldwide theatrical release of our owned and acquired films, content licensing and home entertainment. Content licensing revenue is generated from the licensing of our owned and acquired films to broadcast, cable and premium networks, as well as other distribution platforms. Home entertainment revenue is generated from the licensing and sale of our owned and acquired films through DVD sales to retail stores, rental kiosks and subscription by mail, as well as through digital media platforms, including electronic sell through. We also generate revenue from distributing third parties’ filmed entertainment, producing stage plays, publishing music and licensing consumer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Our Theme Parks segment consists primarily of our Universal theme parks in Orlando and Hollywood. Universal Orlando includes two theme parks, Universal Studios Florida and Universal’s Islands of Adventure, as well as CityWalk, a dining, retail and entertainment complex. Universal Orlando also features three on-site themed hotels in which we own a noncontrolling interest. Our Universal theme park in Hollywood consists primarily of Universal Studios Hollywood. In addition, we license the right to use the Universal Studios brand name, certain characters and other intellectual property to third parties that own and operate the Universal Studios Japan theme park in Osaka, Japan and the Universal Studios Singapore theme park on Sentosa Island, Singapore. We also own a water park, Wet ‘n Wild, located in Orlando.</w:t>
      </w:r>
    </w:p>
    <w:p>
      <w:pPr>
        <w:spacing w:after="0" w:line="13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retail outlets and merchandising.</w:t>
      </w:r>
    </w:p>
    <w:p>
      <w:pPr>
        <w:spacing w:after="0" w:line="155" w:lineRule="exact"/>
        <w:rPr>
          <w:sz w:val="20"/>
          <w:szCs w:val="20"/>
          <w:color w:val="auto"/>
        </w:rPr>
      </w:pPr>
    </w:p>
    <w:p>
      <w:pPr>
        <w:ind w:right="520"/>
        <w:spacing w:after="0" w:line="299" w:lineRule="auto"/>
        <w:rPr>
          <w:sz w:val="20"/>
          <w:szCs w:val="20"/>
          <w:color w:val="auto"/>
        </w:rPr>
      </w:pPr>
      <w:r>
        <w:rPr>
          <w:rFonts w:ascii="Arial" w:cs="Arial" w:eastAsia="Arial" w:hAnsi="Arial"/>
          <w:sz w:val="16"/>
          <w:szCs w:val="16"/>
          <w:color w:val="auto"/>
        </w:rPr>
        <w:t>Our Theme Parks segment generates revenue primarily from theme park attendance and per capita spending, as well as from management, licensing and other fees. Per capita spending includes ticket price and in-park spending on food, beverage and merchandise.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cable networks, broadcast networks and owned local television stations compete for viewers’ attention and audience share with all forms of programming provided to viewers, including broadcast and cable networks, local television broadcast stations, premium networks, home entertainment, pay-per-view and video on demand services, online activities, including Internet streaming and downloading and websites providing social networking and user-generated content, and other forms of entertainment, news and information. In addition, our cable networks, broadcast networks and owned local television stations compete for advertising revenue with other national and local media, including other television networks, television stations, online and mobile outlets, radio stations and print media.</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broadcast networks and owned local television stations compete for the acquisition of programming and for on-air and creative talent with other cable and broadcast networks and local television stations. The market for programming is very competitive, particularly for sports programming, where the cost for such programming is significant.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345" w:right="239" w:bottom="1440" w:gutter="0" w:footer="0" w:header="0"/>
        </w:sectPr>
      </w:pPr>
    </w:p>
    <w:bookmarkStart w:id="89" w:name="page90"/>
    <w:bookmarkEnd w:id="89"/>
    <w:p>
      <w:pPr>
        <w:ind w:right="1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cable networks compete with other cable networks for distribution by multichannel video providers. Our broadcast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5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addition, our cable and broadcast television production operations compete with other production companies and creators of content for the acquisition of story properties, creative, performing and technical personnel, exhibition outlets and consumer interest in their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and scripts for films. Our filmed entertainment business also competes with the other major studios and other producers of entertainment content for distribution of their content through various exhibition and distribution outlets and on digital media platforms.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“Management’s Discussion and Analysis of Financial Condition and Results of Operations – Segment Operating Results – Seasonality and Cyclicality”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In addition, our businesses are subject to compliance with the terms of the FCC Order approving the Joint Venture Transaction (the “FCC Order”) and a consent decree entered into with the DOJ (the “DOJ Consent Decree”), which contain conditions and commitments of varying duration, ranging from three to seven years. Legislators and regulators at all levels of government frequently consider changing, and sometimes do change, existing statutes, rules, regulations, or interpretations of existing statutes, rules or regulations, or prescribe new ones, which may significantly affect our businesses. We are unable to predict any such changes, or how any such changes will ultimately affect our businesses. The following paragraphs summarize material existing and potential future legal and regulatory requirements affecting our businesses, although reference should be made to the Communications Act, FCC regulations, the FCC Order, the DOJ Consent Decree and other legislation for further information.</w:t>
      </w:r>
    </w:p>
    <w:p>
      <w:pPr>
        <w:spacing w:after="0" w:line="305"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other than terrestrially-delivered programming networks, from favoring affiliated cable operators over competing multichannel video providers, such as DBS providers and phone companies that offer multichannel video programming services, and limit the ability of these cable networks to offer exclusive programming arrangements to affiliated cable operators. This restriction is scheduled to end on October 5, 2012, although the FCC will evaluate whether it should extend that date. In addition, FCC regulations allow multichannel video providers to file program access complaints to try to show that their lack of access to a terrestrially-delivered programming network has hindered significantly their ability to deliver video programming to subscribers. Regardless of whether the FCC decides to sunset the exclusivity prohibitions in 2012, we will be subject to program access obligations under the terms of the FCC Order.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FCC launched a rulemaking in 2007 to consider whether companies that own multiple cable networks should be required to make each of their networks available to multichannel video providers on a stand-alone or “unbundled” basis when negotiating distribution agreements, although it has not further acted on that rulemaking. We currently offer our cable networks on both a bundled and, when requested, on a stand-alone basis.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Increased regulatory requirements imposed on the manner in which we negotiate programming distribution agreements with multichannel video providers may adversely affect our cable networks business.</w:t>
      </w:r>
    </w:p>
    <w:p>
      <w:pPr>
        <w:spacing w:after="0" w:line="15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Under the terms of the FCC Order, multichannel video providers can invoke commercial arbitration for program access pursuant to conditions adopted in the FCC Order against our cable networks, including our regional sports and news networks. In addition, under the FCC Order and DOJ Consent Decree, we are required to make certain of our cable, broadcast and film programming available to bona fide online video distributors under certain conditions, and they may invoke commercial arbitration pursuant to conditions adopted in the FCC Order and DOJ Consent Decree to resolve disputes regarding the availability of, and the terms and conditions of access to, such programming. For more information on these conditions, see “Broadcast Television” below and refer to the “Must-Carry/Retransmission Consent” discussion within that section.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Children’s Programming</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Children’s Television Act (“CTA”) and FCC regulations limit the amount and content of commercial matter that may be shown on cable networks and broadcast networks during programming originally produced and broadcast primarily for an audience of children under 13 years of age. The FCC is currently considering whether to prohibit interactive advertising during children’s television programming. The FCC Order includes certain commitments and conditions related to children’s television and advertising directed at children, including commitments that we will not insert interactive advertising into children’s television programming in any of the advertising spots we control as the programmer, and that we will provide at least $15 million worth of public service announcements on childhood obesity, FDA nutritional guidelines, digital literacy, and parental controls per year until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Broadcast Television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Communications Act permits the operation of local broadcast television stations only in accordance with a license issued by the FCC upon a finding that the grant of the license would serve the public interest, convenience and necessity. The FCC grants television broadcast station licenses for specific periods of time and, upon application, may renew the licenses for additional terms. Under the Communications Act, television broadcast licenses may be granted for a maximum term of eight years. Generally, the FCC renews broadcast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323" w:right="239" w:bottom="1440" w:gutter="0" w:footer="0" w:header="0"/>
        </w:sectPr>
      </w:pPr>
    </w:p>
    <w:bookmarkStart w:id="91" w:name="page92"/>
    <w:bookmarkEnd w:id="91"/>
    <w:p>
      <w:pPr>
        <w:jc w:val="both"/>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 upon finding that the television station has served the public interest, convenience and necessity; there have been no serious violations by the licensee of the Communications Act or FCC regulations; and there have been no violations by the licensee of the Communications Act or FCC regulations, which, taken together, indicate a pattern of abuse.</w:t>
      </w:r>
    </w:p>
    <w:p>
      <w:pPr>
        <w:spacing w:after="0" w:line="15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CTA and FCC regulations also require that the FCC consider in its review of broadcast television station license renewals whether the station has served the educational and informational (“E/I”) needs of children. Under the FCC’s regulations,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regulations include a similar standard whereby the amount of E/I programming deemed to meet the station’s E/I obligation increases in proportion to the amount of free multicast programming aired. Under the FCC Order, we have committed to provide an additional hour of E/I programming per week on either the primary or multicast streams of our owned NBC affiliated local television stations and on the primary signal of our owned Telemundo affiliated local television stations. FCC regulations also limit the display during children’s programming of Internet addresses of websites that contain or link to commercial material or that use program characters to sell products.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16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Under the FCC Order, we have committed to expand local news and information programming on our owned local television stations and to enter into cooperative arrangements with locally focused nonprofit news organizations in certain markets.</w:t>
      </w:r>
    </w:p>
    <w:p>
      <w:pPr>
        <w:spacing w:after="0" w:line="15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Three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 ownership regulations detailed below once every four years, and the most recent review was initiated in December 2011 (“2011 Media Ownership Notice”). In addition, there is pending litigation relating to regulations adopted in a prior review. We cannot predict when the pending litigation or the FCC’s current review will be completed or whether or how any of these regulations will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53439A"/>
        </w:rPr>
        <w:t>Local Television Ownership</w:t>
      </w:r>
    </w:p>
    <w:p>
      <w:pPr>
        <w:ind w:right="160"/>
        <w:spacing w:after="0" w:line="239" w:lineRule="auto"/>
        <w:rPr>
          <w:sz w:val="20"/>
          <w:szCs w:val="20"/>
          <w:color w:val="auto"/>
        </w:rPr>
      </w:pPr>
      <w:r>
        <w:rPr>
          <w:rFonts w:ascii="Arial" w:cs="Arial" w:eastAsia="Arial" w:hAnsi="Arial"/>
          <w:sz w:val="18"/>
          <w:szCs w:val="18"/>
          <w:color w:val="auto"/>
        </w:rPr>
        <w:t>Under the FCC’s local television ownership rule, a licensee may own up to two broadcast television stations in the same DMA, as long as at least one of the two stations is not among the top four-ranked stations in the</w:t>
      </w:r>
    </w:p>
    <w:p>
      <w:pPr>
        <w:spacing w:after="0" w:line="324" w:lineRule="exact"/>
        <w:rPr>
          <w:sz w:val="20"/>
          <w:szCs w:val="20"/>
          <w:color w:val="auto"/>
        </w:rPr>
      </w:pPr>
    </w:p>
    <w:p>
      <w:pPr>
        <w:jc w:val="both"/>
        <w:ind w:left="5660"/>
        <w:spacing w:after="0"/>
        <w:tabs>
          <w:tab w:leader="none" w:pos="846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92" w:name="page93"/>
    <w:bookmarkEnd w:id="92"/>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The 2011 Media Ownership Notice proposes minor modifications to the local television ownership rule. It also raises questions regarding whether local news-sharing agreements and shared services agreements should count toward the FCC’s ownership limitations.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3439A"/>
        </w:rPr>
        <w:t>National Television Ownership</w:t>
      </w:r>
    </w:p>
    <w:p>
      <w:pPr>
        <w:ind w:right="240"/>
        <w:spacing w:after="0" w:line="238" w:lineRule="auto"/>
        <w:rPr>
          <w:sz w:val="20"/>
          <w:szCs w:val="20"/>
          <w:color w:val="auto"/>
        </w:rPr>
      </w:pPr>
      <w:r>
        <w:rPr>
          <w:rFonts w:ascii="Arial" w:cs="Arial" w:eastAsia="Arial" w:hAnsi="Arial"/>
          <w:sz w:val="18"/>
          <w:szCs w:val="18"/>
          <w:color w:val="auto"/>
        </w:rPr>
        <w:t>The Communications Act and FCC regulations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 reach does not exceed this limit.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Foreign Ownership</w:t>
      </w:r>
    </w:p>
    <w:p>
      <w:pPr>
        <w:spacing w:after="0" w:line="237"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Dual Network Rule</w:t>
      </w:r>
    </w:p>
    <w:p>
      <w:pPr>
        <w:ind w:right="780"/>
        <w:spacing w:after="0" w:line="239" w:lineRule="auto"/>
        <w:rPr>
          <w:sz w:val="20"/>
          <w:szCs w:val="20"/>
          <w:color w:val="auto"/>
        </w:rPr>
      </w:pPr>
      <w:r>
        <w:rPr>
          <w:rFonts w:ascii="Arial" w:cs="Arial" w:eastAsia="Arial" w:hAnsi="Arial"/>
          <w:sz w:val="18"/>
          <w:szCs w:val="18"/>
          <w:color w:val="auto"/>
        </w:rPr>
        <w:t>The dual network rule prohibits any of the four major television broadcast networks, ABC, CBS, Fox and NBC, from being under common ownership or control with another of the four.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Federal law and FCC regulations also establish a must-carry/retransmission consent election regime for carriage of commercial television stations by satellite providers. Through the period ending December 31, 2011, all of the NBC network owned local television stations elected retransmission consent and the Telemundo network owned local television stations elected must-carry or retransmission consent depending on circumstances within their respective DMAs. For the period beginning on January 1, 2012 and ending on December 31, 2014, all of the NBC network and Telemundo network owned local television stations elected retransmission consent.</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enacting The Satellite Television Extension and Localism Act of 2010 (“STELA”),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Several other multichannel video providers and third parties filed a petition asking the FCC to initiate a rulemaking to consider changes to the current retransmission consent regulations and also asked Congress to review the issue. The FCC launched a rulemaking in 2011 that, among other things, seeks comment on proposals to modify the good faith negotiating standard and to eliminate regulations providing local television stations with exclusivity protections in their markets for network and syndicated programming. Legislation has been introduced that would eliminate both must-carry and retransmission consent as well as more narrow legislation that would establish an arbitration mechanism to resolve impasses in retransmission consent negotiations. We cannot predict what new laws or regulations, if any, may be adopted or how any such laws or regulations would affect our businesses. In addition to potential remedies under the general retransmission consent regime, multichannel video providers may invoke commercial arbitration under rules established in the FCC Order to resolve any disputes regarding carriage of any of our owned and operated television stations.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29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Internet Distribution</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FCC Order and DOJ Consent Decree, we are required to make certain of our cable, broadcast and film programming available to bona fide online video distributors under certain conditions, and they may invoke commercial arbitration under conditions adopted in the FCC Order and DOJ Consent Decree to resolve disputes regarding the availability, and the terms and conditions of access to, such programming. In addition, we are required to continue distributing programming via nbc.com that is generally equivalent to the programming that we distributed via nbc.com as of January 1, 2011, on generally equivalent terms and conditions, so long as at least one of the other major broadcast networks continues to distribute some programming in a similar fashion. If the two other broadcast network owners of Hulu renew their agreements, we must either continue to provide content to Hulu on the terms in place as of January 2011 or enter into agreements on substantially the same terms as the broadcast network that provides the most economically favorable terms to Hulu.</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Spectrum</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FCC’s National Broadband Plan recommends that, as part of an FCC effort to make more spectrum available for mobile wireless broadband, the FCC reallocate up to 120 MHz of spectrum from the broadcast television bands. Among other things, it recommends updating television service area and distance separation regulations, repacking current television station channel assignments, as well as sharing frequencies, and the reallocation of 120 MHz of spectrum from the broadcast television bands for broadband use.</w:t>
      </w:r>
    </w:p>
    <w:p>
      <w:pPr>
        <w:spacing w:after="0" w:line="15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plan also urges Congress to authorize incentive auctions to allow incumbents like broadcast television licensees to turn in spectrum rights and share in auction proceeds and calls for authority to assess spectrum fees on commercial, full-power local television stations. Bills have been introduced in Congress that would authorize the FCC to conduct such incentive auctions and to share the proceeds with the broadcast licensees who relinquish their spectrum for such auctions, but only to the extent such relinquishment is voluntary on the part of the broadcast licensee. In November 2010, the FCC proposed to allow the sharing of television channels by multiple TV stations, sought input on improving reception in the VHF band and proposed changes to allow fixed and mobile wireless broadband services in the broadcast television bands. The FCC has emphasized that it does not intend to decrease broadcasters’ carriage rights and that it believes each sharing station will be licensed individually, with the rights and obligations that accompany that license. We cannot predict whether or how any such regulations or actions might affect our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Indecency</w:t>
      </w:r>
    </w:p>
    <w:p>
      <w:pPr>
        <w:spacing w:after="0" w:line="1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FCC regulations prohibit the broadcast of obscene material on television stations at any time and indecent or profane material between the hours of 6 a.m. and 10 p.m. Broadcasters risk violating this prohibition because the vagueness of the relevant FCC definitions makes it difficult to apply. Moreover, the FCC has in some instances imposed separate fines for each allegedly indecent “utterance,” in contrast with its previous policy that had generally considered all indecent words or phrases within a given program as constituting a single violation. The maximum penalty for broadcasting indecent or profane programming is $325,000 per indecent or profane utterance.</w:t>
      </w:r>
    </w:p>
    <w:p>
      <w:pPr>
        <w:spacing w:after="0" w:line="15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Indecency regulation is the subject of ongoing court review, regarding both the FCC’s “fleeting expletives” policy and the FCC’s definition of what constitutes indecent material. The Second Circuit Court of Appeals ruled that the FCC’s indecency policy is unconstitutional because it is “impermissibly vague,” although the ruling is now under review by the Supreme Court. From time to time, we have received and may receive in the future letters of inquiry from the FCC prompted by complaints alleging that certain programming on our owned local television stations included indecent or profane material. In addition, some policymakers support the extension of indecency regulations to cable networks. Increased content regulation, particularly if it is vague and difficult to apply, could have an adverse effect on our broadcast and cable networks businesses.</w:t>
      </w:r>
    </w:p>
    <w:p>
      <w:pPr>
        <w:spacing w:after="0" w:line="30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Sponsorship Identification</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Federal legislation and FCC regulations provide that whenever a broadcast station transmits any programming for which it has received money, service or other valuable consideration, it must provide an accurate on-air identification of the sponsor of the programming. The FCC is examining whether “embedded advertising,” such as product placements and product integration, in broadcast programming should be subject to stricter disclosure requirements and whether the sponsorship identification regulations should be extended to cable networks.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 The majority of our European channels are under United Kingdom jurisdiction and therefore subject to stricter regulation by its regulator.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filmed entertainment business is subject to the provisions of so-called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our motion picture company is subject to certain restrictions on trade practices in the United States, including a requirement to offer motion pictures for exhibition to theaters on a theater-by-theater basis. The Federal Trade Commission (“FTC”) has called for stronger industry safeguards applicable to the marketing of violent movies to children.</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countries outside the United States, there are a variety of existing or contemplated governmental laws and regulations that may affect our ability to distribute and license motion picture and television products, as well as consumer merchandise products, including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Theme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00"/>
          </w:cols>
          <w:pgMar w:left="240" w:top="323" w:right="259" w:bottom="1440" w:gutter="0" w:footer="0" w:header="0"/>
        </w:sectPr>
      </w:pPr>
    </w:p>
    <w:bookmarkStart w:id="95" w:name="page96"/>
    <w:bookmarkEnd w:id="95"/>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56"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negatively impacting their value and further increasing the costs of enforcing our rights.</w:t>
      </w:r>
    </w:p>
    <w:p>
      <w:pPr>
        <w:spacing w:after="0" w:line="129"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Copyright laws also require that we pay standard industry licensing fees for the public performance of music in the content we create.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FTC has begun to exercise greater authority over privacy protections generally, using its existing authority over unfair and deceptive practices and other public proceedings to apply greater restrictions on the collection and use of personally identifiable and other information relating to consumers. In December 2010, the FTC staff issued a draft recommendation that privacy regulations should address consumer concerns over the collection and use of personal and profiling information, even in the absence of demonstrated consumer harm. In a December 2010 report, the Commerce Department also suggested an expansion of privacy protections, although with greater reliance on enforceable industry codes. Legislation has also been introduced in Congress that would regulate the use of personal and profiling information for advertising. In addition, the FTC is reviewing its implementation of the Children’s Online Privacy Protection Act (“COPPA”). COPPA imposes requirements on website operators and online services that are aimed at children under 13 years of age or that collect personal information or knowingly post personal information from children under 13 years of age. The FTC has proposed certain changes to its COPPA regulations that would expand the scope of the regulations.</w:t>
      </w:r>
    </w:p>
    <w:p>
      <w:pPr>
        <w:spacing w:after="0" w:line="16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also subject to state and federal regulations and laws regarding information security. Most of these regulations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 disclosed because of a security breach.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ind w:right="420"/>
        <w:spacing w:after="0" w:line="237"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We are unable to predict whether such reports will result in legislative proposals, whether legislative proposals may be adopted, or, if adopted, what impact they will have on our businesses.</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Environmental Matters</w:t>
      </w:r>
    </w:p>
    <w:p>
      <w:pPr>
        <w:spacing w:after="0" w:line="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our current and former facilities and at off-site waste disposal locations, although our share of the cost of such cleanups to date has not been material. 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As of December 31, 2011, we employed approximately 34,000 full-time and part-time employees. We also used freelance and temporary employees in the ordinary course of our business.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including as a result of the Joint Venture Transaction.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15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or as a result of any of such factors, which could adversely affect our business, results of operations or financial condition. We undertake no obligation to update any forward-looking statements.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323" w:right="239" w:bottom="1440" w:gutter="0" w:footer="0" w:header="0"/>
        </w:sectPr>
      </w:pPr>
    </w:p>
    <w:bookmarkStart w:id="97" w:name="page98"/>
    <w:bookmarkEnd w:id="97"/>
    <w:p>
      <w:pPr>
        <w:spacing w:after="0"/>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1A: Risk Factors</w:t>
      </w:r>
    </w:p>
    <w:p>
      <w:pPr>
        <w:spacing w:after="0" w:line="10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 and results of operations could be adversely affected if we do not compete effectively.</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All of our businesses operate in intensely competitive industries and compete with a growing number of companies that provide a broad range of entertainment, news and information content to consumers.</w:t>
      </w:r>
    </w:p>
    <w:p>
      <w:pPr>
        <w:spacing w:after="0" w:line="155"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Our businesses also face substantial and increasing competition from providers of similar types of content, as well as from other forms of entertainment and recreational activities. We must compete to obtain talent, programming and other resources required in operating these businesses. For example, our cable and broadcast networks and owned local television stations compete for viewers with other similar networks and stations, as well as with other forms of entertainment and content available in the home, such as video games, DVDs and websites. More recently, we have begun competing for viewers with services that provide Internet video streaming and downloading of our competitors’ content and, in some cases, of the service’s own high-quality original content. They also compete for the sale of advertising time with other networks and stations, as well as with all other advertising platforms, such as radio stations, print media and websites. In addition, our cable networks compete with other cable networks and programming providers for carriage of their programming by multichannel video providers. Our filmed entertainment business competes with other film studios and independent producers for sources of financing for the production of its films, for the exhibition of its films in theaters and for shelf space in retail stores for its DVDs and also competes for consumers with other film producers and distributors and all other forms of entertainment inside and outside the home. Our theme parks business also competes with other multi-park entertainment companies. For a more detailed description of the competition facing all of our businesses, see “Competition” above.</w:t>
      </w:r>
    </w:p>
    <w:p>
      <w:pPr>
        <w:spacing w:after="0" w:line="341"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Our ability to compete effectively also is in part dependent on our perceived image and reputation among our various constituencies, including our customers, consumers, advertisers, investors and governmental authorities. There can be no assurance that we will be able to compete effectively against existing or new competitors or that competition will not have a material adverse effect on our business or results of operations.</w:t>
      </w:r>
    </w:p>
    <w:p>
      <w:pPr>
        <w:spacing w:after="0" w:line="102"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b w:val="1"/>
          <w:bCs w:val="1"/>
          <w:color w:val="auto"/>
        </w:rPr>
        <w:t>Changes in consumer behavior driven by new technologies may adversely affect our competitive position, business and results of operations.</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We operate in a highly competitive, consumer-driven and rapidly changing environment. New technologies have been, and will likely continue to be, developed that further increase the number of competitors we face and that drive changes in consumer behavior. These technologies may affect the demand for all of our products and services, as the number of entertainment choices available to, and the manners in which they are delivered to consumers continue to increase. Our failure to effectively anticipate or adapt to emerging technologies or changes in consumer behavior could have an adverse effect on our competitive position, business and results of operations.</w:t>
      </w:r>
    </w:p>
    <w:p>
      <w:pPr>
        <w:spacing w:after="0" w:line="15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New technologies also are affecting consumer behavior in ways that affect how content is viewed, which may have a negative impact on our business and results of operations. For example, the increased availability of video on demand services, DVRs and video programming on the Internet (including high-quality original video programming that may be viewed only through Internet streaming services), as well as increased access to various media through wireless devices, have the potential to reduce the viewing of our content through traditional distribution outlets, which could adversely affect the price and amount of advertising that advertisers are willing to purchase from us, the amount multichannel video providers are willing to pay for our content and the levels of DVD and theatrical sales. Some of these new technologies also give consumers greater flexibility to watch programming on a time-delayed or on-demand basis or to fast-forward or skip advertisements within our programming, which also may adversely impact the advertising revenue we receive. Delayed</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500" w:right="239" w:bottom="1440" w:gutter="0" w:footer="0" w:header="0"/>
        </w:sectPr>
      </w:pPr>
    </w:p>
    <w:bookmarkStart w:id="98" w:name="page99"/>
    <w:bookmarkEnd w:id="98"/>
    <w:p>
      <w:pPr>
        <w:ind w:right="5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viewing and advertising skipping have the potential to become more common as the penetration of DVRs increases and content becomes increasingly available via video on demand services and Internet sources. These and other changes in technology, distribution platforms and consumer behavior could have an adverse effect on our competitive position, businesses and results of operations.</w:t>
      </w:r>
    </w:p>
    <w:p>
      <w:pPr>
        <w:spacing w:after="0" w:line="13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businesses are subject to various laws and regulations at the international, federal, state and local levels. Our broadcast television business is highly regulated by federal laws and regulations, and our cable networks, filmed entertainment and theme parks businesses are subject to various other laws and regulations at the international, federal, state and local levels, including laws and regulations relating to environmental protection, that have become more stringent over time, and the safety of consumer products and theme park operations. In addition, as a result of the Joint Venture Transaction, we are subject to the FCC Order and the DOJ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 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which could materially affect our results of operations. For a more detailed discussion of the risks associated with the regulation of all of our businesses, see “Business—Legislation and Regulation” above.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results of operations and financial condition.</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Weak economic conditions in the United States and internationally persisted during 2011. A substantial portion of our revenue comes from customers whose spending patterns may be affected by prevailing economic conditions. A continued or further decline in economic conditions, or an increase in price levels generally due to inflationary pressures, could adversely affect demand for any of our products and services and have a negative impact on our results of operations. For example, weak economic conditions could reduce prices that multichannel video providers pay for our cable networks’ programming and have reduced and could continue to reduce the performance of our theatrical and home entertainment releases in our filmed entertainment business and attendance and spending for our theme parks business. Weak economic conditions and turmoil in the global financial markets may also impair the ability of third parties to satisfy their obligations to us. Further, any disruption in the global financial markets may affect our ability to obtain financing on acceptable terms. If these weak economic conditions continue or deteriorate, our business, results of operations and financial condition may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advertising expenditures or changes in advertising markets could negatively impact our results of operations.</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cable networks and broadcast television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In addition, advertisers’ willingness to purchase advertising may be adversely affected by lower audience ratings for our television programming. Changes in the advertising industry also could adversely affect the advertising revenue of our cable and broadcast networks. For example, we rely on Nielsen ratings and Nielsen’s audience measurement techniques to measure the popularity of our content. A change in such measurement techniques or the introduction of new techniques could neg-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00"/>
          </w:cols>
          <w:pgMar w:left="240" w:top="291" w:right="259" w:bottom="1440" w:gutter="0" w:footer="0" w:header="0"/>
        </w:sectPr>
      </w:pPr>
    </w:p>
    <w:bookmarkStart w:id="99" w:name="page100"/>
    <w:bookmarkEnd w:id="99"/>
    <w:p>
      <w:pPr>
        <w:ind w:right="1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atively impact the advertising revenue we generate. Further, natural disasters, wars, acts of terrorism or other significant adverse news events could lead to a reduction in advertising expenditures as a result of uninterrupted news coverage and general economic uncertainty. Reductions in advertising expenditures could negatively impact our results of operations.</w:t>
      </w:r>
    </w:p>
    <w:p>
      <w:pPr>
        <w:spacing w:after="0" w:line="132" w:lineRule="exact"/>
        <w:rPr>
          <w:sz w:val="20"/>
          <w:szCs w:val="20"/>
          <w:color w:val="auto"/>
        </w:rPr>
      </w:pPr>
    </w:p>
    <w:p>
      <w:pPr>
        <w:ind w:right="700"/>
        <w:spacing w:after="0" w:line="278" w:lineRule="auto"/>
        <w:rPr>
          <w:sz w:val="20"/>
          <w:szCs w:val="20"/>
          <w:color w:val="auto"/>
        </w:rPr>
      </w:pPr>
      <w:r>
        <w:rPr>
          <w:rFonts w:ascii="Arial" w:cs="Arial" w:eastAsia="Arial" w:hAnsi="Arial"/>
          <w:sz w:val="16"/>
          <w:szCs w:val="16"/>
          <w:b w:val="1"/>
          <w:bCs w:val="1"/>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Most of our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and broadcast networks and for theme park attractions, before learning the extent to which it would earn consumer acceptance. In addition, poor theatrical performance of a film may require us to reduce our estimate of revenue from that film, which would accelerate the amortization of capitalized film costs and could result in a significant impairment charge. We also obtain a significant portion of our content from third parties, such as movie studios, television production companies, sports organizations and other suppliers. Competition for popular content, particularly for sports programming, is intense, and we may be forced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and the timing and amount of our rights payments, and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results of operations may be adversely affected.</w:t>
      </w:r>
    </w:p>
    <w:p>
      <w:pPr>
        <w:spacing w:after="0" w:line="139"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The loss of our programming distribution agreements, or the renewal of these agreements on less favorable terms, could adversely affect our businesses and results of operations.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cable networks depend on the maintenance of distribution agreements with multichannel video providers. Our broadcast networks depend on the maintenance of network affiliation agreements with third-party local television stations in the markets where we do not own the affiliated local television stations. In addition, every three years, each of our owned local television stations must elect, with respect to its retransmission by multichannel video providers within its DMA, either “must-carry” status, pursuant to which the distributor’s carriage of the station is mandatory and does not generate any compensation for the local station, or “retransmission consent,” pursuant to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television stations. All of our NBC and Telemundo owned local television stations have elected retransmission consent for the period January 1, 2012 through December 31, 2014. Increasingly, our cable networks, broadcast television and filmed entertainment businesses also have entered into agreements to license their prior season and library content on other distribution platforms.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 and results of operations.</w:t>
      </w:r>
    </w:p>
    <w:p>
      <w:pPr>
        <w:spacing w:after="0" w:line="33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100" w:name="page101"/>
    <w:bookmarkEnd w:id="100"/>
    <w:p>
      <w:pPr>
        <w:ind w:right="100"/>
        <w:spacing w:after="0" w:line="2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businesses depend on using and protecting certain intellectual property rights and on not infringing the intellectual property rights of others.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which could require us to change our business practices or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 and results of operations could be adversely affected.</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intellectual property constitutes a significant part of the value of our businesses, and our success is highly dependent on protecting intellectual property rights in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on our content, and increases our costs due to our active enforcement of protecting our intellectual property rights. 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Any repeal or weakening of laws or enforcement in the United States or internationally that is intended to combat piracy and protect intellectual property rights, or a failure of the legal system to adapt to new technologies, could make it more difficult for us to adequately protect our intellectual property rights, negatively impacting their value or increasing the costs of enforcing our rights. See “Business – Legislation and Regulation – Other Areas of Regulation – Intellectual Property” above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keeping pace with technological developments.</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the use of certain types of technology and equipment may provide our competitors with a competitive advantage. If we choose technology or equipment that is not as effective, cost-efficient or attractive to consumers as that employed by our competitors, if we fail to employ technologies desired by our customers before our competitors do so or if we fail to execute effectively on our technology initiatives, our business and results of operations could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DVDs have been declining.</w:t>
      </w:r>
    </w:p>
    <w:p>
      <w:pPr>
        <w:spacing w:after="0" w:line="1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Several factors, including weak economic conditions, the maturation of the standard-definition DVD format, piracy and intense competition for consumer discretionary spending and leisure time, are contributing to an industry-wide decline in DVD sales both in the United States and internationally, which has had an adverse effect on our filmed entertainment business’ results of operations. DVD sales have also been adversely affected by an increasing shift by consumers toward subscription rental, discount rental kiosks and digital forms of entertainment, such as video on demand services, which generate less revenue per transaction than DVD sales. A continued decline in our DVD sales volume could have an adverse impact on our filmed entertainment business, as well as on our cable networks and broadcast television businesses.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323" w:right="239" w:bottom="1440" w:gutter="0" w:footer="0" w:header="0"/>
        </w:sectPr>
      </w:pPr>
    </w:p>
    <w:bookmarkStart w:id="101" w:name="page102"/>
    <w:bookmarkEnd w:id="101"/>
    <w:p>
      <w:pPr>
        <w:ind w:right="100"/>
        <w:spacing w:after="0" w:line="2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rely on network and information systems and other technologies, as well as key properties, and a disruption, cyber attack, failure or destruction of such networks, systems, technologies or properties may disrupt our business.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Network and information systems and other technologies, including those related to our network management and programming delivery, are critical to our business activities. Network and information systems-related events,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or damage to our properties, equipment and data. These events also could result in large expenditures to repair or replace the damaged properties, networks or information systems or to protect them from similar events in the future. Further, any security breaches, such as misappropriation, misuse, leakage, falsification or accidental release or loss of information maintained in our information technology systems and networks, including customer, personnel and vendor data, could damage our reputation and require us to expend significant capital and other resources to remedy any such security breach. Moreover, the amount and scope of insurance we maintain against losses resulting from any such events or security breaches may not be sufficient to cover our losses or otherwise adequately compensate us for any disruptions to our businesses that may result, and the occurrence of any such events or security breaches could have a material adverse effect on our business and results of operations. The risk of these systems-related events and security breaches occurring has intensified, in part because we maintain certain information necessary to conduct our businesses in digital form stored on cloud servers. While we develop and maintain systems seeking to prevent systems-related events and security breaches from occurring, the development and maintenance of these systems is costly and requires ongoing monitoring and updating as technologies change and efforts to overcome security measures become more sophisticated. Despite these efforts, there can be no assurance that these events and security breaches will not occur in the future. Moreover, we may provide certain confidential, proprietary and personal information to third parties in connection with our businesses, and while we obtain assurances that these third parties will protect this information, there is a risk that this information may be compromised.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depend on third 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materially adversely affected, in which case our business, results of operations and financial condition may be adversely affected.</w:t>
      </w:r>
    </w:p>
    <w:p>
      <w:pPr>
        <w:spacing w:after="0" w:line="10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color w:val="auto"/>
        </w:rPr>
        <w:t xml:space="preserve">Labor disputes, whether involving employees or sports organizations, may disrupt our operations and adversely affect our business. </w:t>
      </w:r>
      <w:r>
        <w:rPr>
          <w:rFonts w:ascii="Arial" w:cs="Arial" w:eastAsia="Arial" w:hAnsi="Arial"/>
          <w:sz w:val="16"/>
          <w:szCs w:val="16"/>
          <w:color w:val="auto"/>
        </w:rPr>
        <w:t>Many of our employees, including writers, directors, actors, technical and production personnel and others, as well as some of our on-air and creative talent, are covered by collective bargaining agreements or works councils. If we are unable to reach agreement with a labor union before the expiration of a collective bargaining agreement, our employees who were covered by that agreement may have a right to strike or take other</w:t>
      </w:r>
    </w:p>
    <w:p>
      <w:pPr>
        <w:spacing w:after="0" w:line="29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102" w:name="page103"/>
    <w:bookmarkEnd w:id="102"/>
    <w:p>
      <w:pPr>
        <w:ind w:right="18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that could adversely affect us. Moreover, many of our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There can be no assurance that we will renew our collective bargaining agreements as they expire or that we can renew them on favorable terms or without any work stoppages.</w:t>
      </w:r>
    </w:p>
    <w:p>
      <w:pPr>
        <w:spacing w:after="0" w:line="12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In addition, our cable and broadcast networks have programming rights agreements of varying scope and duration with various sports organizations to broadcast and produce sporting events, including certain NFL, NHL, NBA and MLB games. Labor disputes in these and other sports organizations could have an adverse impact on our businesses, cash flows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w:t>
      </w:r>
    </w:p>
    <w:p>
      <w:pPr>
        <w:spacing w:after="0" w:line="18"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There are risks inherent in doing business internationally, including the current European debt crisis and other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these risks come to pass, our businesses may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Comcast, and GE has certain approval rights.</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connection with the closing of the Joint Venture Transaction, our company converted from a Delaware corporation into a Delaware limited liability company of which NBCUniversal Holdings is the sole member. We are now managed by NBCUniversal Holdings as our sole member. NBCUniversal Holdings is beneficially owned 51% by Comcast and 49% by GE, and Comcast has the right to designate a majority of the board of directors of NBCUniversal Holdings. As a result, Comcast controls NBCUniversal Holdings and effectively controls us. This means that Comcast generally is able to cause or prevent us from taking any actions, subject to the right of GE (so long as GE directly or indirectly owns at least a 20% interest in NBCUniversal Holdings) to approve certain actions. The GE approval right applies to various matters, including certain acquisitions, mergers or similar transactions; liquidation or dissolution (or similar events) or the commencement of bankruptcy or insolvency proceedings; a material expansion in the scope of our business; certain dividends or other distributions and repurchases, redemptions or other acquisitions of equity securities by NBCUniversal Holdings; the incurrence of certain new debt; the making of certain loans; and the issuance by NBCUniversal Holdings of equity or the increase in the authorized amount of equity securities of NBCUniversal Holdings in certain circumstances. Moreover, while Comcast and GE have agreed to restrictions on</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291" w:right="239" w:bottom="1440" w:gutter="0" w:footer="0" w:header="0"/>
        </w:sectPr>
      </w:pPr>
    </w:p>
    <w:bookmarkStart w:id="103" w:name="page104"/>
    <w:bookmarkEnd w:id="103"/>
    <w:p>
      <w:pPr>
        <w:ind w:right="4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rights to dispose of interests in our company, those restrictions will lapse over time, and each of Comcast and GE has rights to waive restrictions on transfer. In addition, GE has certain rights to require NBCUniversal Holdings to purchase its interests, and Comcast has certain rights to require GE to sell its interests, in NBCUniversal Holdings. We cannot assure you that Comcast will continue to control, or that GE will maintain a significant indirect interest in, our business.</w:t>
      </w:r>
    </w:p>
    <w:p>
      <w:pPr>
        <w:spacing w:after="0" w:line="13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NBCUniversal Holdings may be required to purchase all or part of GE’s interests in NBCUniversal Holdings and may cause us to make distributions or loans to it to fund these purchases.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GE is entitled to cause NBCUniversal Holdings to redeem half of its interests in NBCUniversal Holdings during the six-month period beginning January 28, 2014, and its remaining interest in NBCUniversal Holdings during the six-month period beginning January 28, 2018, subject to certain conditions and limitations. If certain limitations on NBCUniversal Holdings’ purchase obligation apply so that NBCUniversal Holdings will not be required to fully purchase the GE interests that it otherwise would be required to purchase, Comcast will be required to purchase the applicable GE interests NBCUniversal Holdings does not purchase, subject to an overall maximum amount. NBCUniversal Holdings is a holding company whose sole asset is the equity interest in our company, and NBCUniversal Holdings currently has no source of cash to fund these repurchases other than distributions or loans from us or proceeds of any debt or equity it may issue in the future. Comcast may, but is not required to, cause us to distribute to NBCUniversal Holdings all or a portion of the funds required to fund any required repurchases from GE (or for any other reason). We cannot assure you that these distributions, if made, would not have a material adverse effect on our financial condition.</w:t>
      </w:r>
    </w:p>
    <w:p>
      <w:pPr>
        <w:spacing w:after="0" w:line="11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Comcast and GE may compete with us in certain cases and have the ability on their own to pursue opportunities that might be attractive to us.</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Although both Comcast and GE are generally subject to non-compete restrictions with respect to our principal businesses, there are important exceptions to these non-compete restrictions, including exceptions for businesses retained by Comcast and GE, after giving effect to the closing of the Joint Venture Transaction, and various other business activities. While Comcast must first offer to us any potential business acquisition that is engaged in activities within any of our principal lines of business, the board members of NBCUniversal Holdings designated by GE will make the decision as to whether to accept the opportunity. Prior to July 28, 2012, if NBCUniversal Holdings does not accept such business acquisition, Comcast may proceed with the acquisition to the extent the purchase price does not exceed $500 million. After July 28, 2012, if NBCUniversal Holdings does not accept such business acquisition, Comcast may proceed with the acquisition to the extent the purchase price does not exceed $500 million or, if the purchase price is in excess of $500 million, to the extent such acquisition would not result in Comcast having made similar business acquisitions in an aggregate amount in excess of approximately $6 billion. Comcast’s obligation to offer opportunities to us terminates if GE’s ownership interest in NBCUniversal Holdings is less than 20%. Comcast and GE do not owe fiduciary duties to each other and, except as set forth above, do not otherwise have any obligation to refrain from engaging in businesses that are the same as or similar to our businesses or pursuing other opportunities that might be attractive for us.</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color w:val="53439A"/>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104" w:name="page105"/>
    <w:bookmarkEnd w:id="104"/>
    <w:p>
      <w:pPr>
        <w:spacing w:after="0"/>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Properties</w:t>
      </w:r>
    </w:p>
    <w:p>
      <w:pPr>
        <w:spacing w:after="0" w:line="1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corporate headquarters are located in New York City at 30 Rockefeller Plaza. We also own or lease offices, studios, production facilities, screening rooms, retail operations, warehouse space, satellite transmission receiving facilities and data centers in numerous locations in the United States and around the world for our businesses, including property for our owned local television stations. In addition, we own theme parks and related facilities in Hollywood and Orlando.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as of December 31, 2011 with respect to our principal properties: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Principal Use</w:t>
            </w:r>
          </w:p>
        </w:tc>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Principal Segments In Which Used</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94"/>
              </w:rPr>
              <w:t>Owned or Leased</w:t>
            </w:r>
          </w:p>
        </w:tc>
      </w:tr>
      <w:tr>
        <w:trPr>
          <w:trHeight w:val="199"/>
        </w:trPr>
        <w:tc>
          <w:tcPr>
            <w:tcW w:w="2680" w:type="dxa"/>
            <w:vAlign w:val="bottom"/>
          </w:tcPr>
          <w:p>
            <w:pPr>
              <w:spacing w:after="0" w:line="200" w:lineRule="exact"/>
              <w:rPr>
                <w:sz w:val="20"/>
                <w:szCs w:val="20"/>
                <w:color w:val="auto"/>
              </w:rPr>
            </w:pPr>
            <w:r>
              <w:rPr>
                <w:rFonts w:ascii="Arial" w:cs="Arial" w:eastAsia="Arial" w:hAnsi="Arial"/>
                <w:sz w:val="18"/>
                <w:szCs w:val="18"/>
                <w:color w:val="auto"/>
              </w:rPr>
              <w:t>30 Rockefeller Plaza</w:t>
            </w:r>
          </w:p>
        </w:tc>
        <w:tc>
          <w:tcPr>
            <w:tcW w:w="4060" w:type="dxa"/>
            <w:vAlign w:val="bottom"/>
          </w:tcPr>
          <w:p>
            <w:pPr>
              <w:ind w:left="880"/>
              <w:spacing w:after="0" w:line="200" w:lineRule="exact"/>
              <w:rPr>
                <w:sz w:val="20"/>
                <w:szCs w:val="20"/>
                <w:color w:val="auto"/>
              </w:rPr>
            </w:pPr>
            <w:r>
              <w:rPr>
                <w:rFonts w:ascii="Arial" w:cs="Arial" w:eastAsia="Arial" w:hAnsi="Arial"/>
                <w:sz w:val="18"/>
                <w:szCs w:val="18"/>
                <w:color w:val="auto"/>
              </w:rPr>
              <w:t>NBCUniversal corporate headquarters,</w:t>
            </w:r>
          </w:p>
        </w:tc>
        <w:tc>
          <w:tcPr>
            <w:tcW w:w="3320" w:type="dxa"/>
            <w:vAlign w:val="bottom"/>
          </w:tcPr>
          <w:p>
            <w:pPr>
              <w:ind w:left="140"/>
              <w:spacing w:after="0" w:line="200" w:lineRule="exact"/>
              <w:rPr>
                <w:sz w:val="20"/>
                <w:szCs w:val="20"/>
                <w:color w:val="auto"/>
              </w:rPr>
            </w:pPr>
            <w:r>
              <w:rPr>
                <w:rFonts w:ascii="Arial" w:cs="Arial" w:eastAsia="Arial" w:hAnsi="Arial"/>
                <w:sz w:val="18"/>
                <w:szCs w:val="18"/>
                <w:color w:val="auto"/>
              </w:rPr>
              <w:t>Headquarters and Other, Cable</w:t>
            </w:r>
          </w:p>
        </w:tc>
        <w:tc>
          <w:tcPr>
            <w:tcW w:w="1360" w:type="dxa"/>
            <w:vAlign w:val="bottom"/>
          </w:tcPr>
          <w:p>
            <w:pPr>
              <w:ind w:left="120"/>
              <w:spacing w:after="0" w:line="200" w:lineRule="exact"/>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New York, NY</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and studios</w:t>
            </w:r>
          </w:p>
        </w:tc>
        <w:tc>
          <w:tcPr>
            <w:tcW w:w="3320" w:type="dxa"/>
            <w:vAlign w:val="bottom"/>
          </w:tcPr>
          <w:p>
            <w:pPr>
              <w:ind w:left="140"/>
              <w:spacing w:after="0"/>
              <w:rPr>
                <w:sz w:val="20"/>
                <w:szCs w:val="20"/>
                <w:color w:val="auto"/>
              </w:rPr>
            </w:pPr>
            <w:r>
              <w:rPr>
                <w:rFonts w:ascii="Arial" w:cs="Arial" w:eastAsia="Arial" w:hAnsi="Arial"/>
                <w:sz w:val="18"/>
                <w:szCs w:val="18"/>
                <w:color w:val="auto"/>
              </w:rPr>
              <w:t>Networks and Broadcast Television</w:t>
            </w: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10 Rockefeller Plaza</w:t>
            </w:r>
          </w:p>
        </w:tc>
        <w:tc>
          <w:tcPr>
            <w:tcW w:w="4060" w:type="dxa"/>
            <w:vAlign w:val="bottom"/>
          </w:tcPr>
          <w:p>
            <w:pPr>
              <w:ind w:left="88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 production</w:t>
            </w:r>
          </w:p>
        </w:tc>
        <w:tc>
          <w:tcPr>
            <w:tcW w:w="3320" w:type="dxa"/>
            <w:vAlign w:val="bottom"/>
          </w:tcPr>
          <w:p>
            <w:pPr>
              <w:ind w:left="140"/>
              <w:spacing w:after="0"/>
              <w:rPr>
                <w:sz w:val="20"/>
                <w:szCs w:val="20"/>
                <w:color w:val="auto"/>
              </w:rPr>
            </w:pPr>
            <w:r>
              <w:rPr>
                <w:rFonts w:ascii="Arial" w:cs="Arial" w:eastAsia="Arial" w:hAnsi="Arial"/>
                <w:sz w:val="18"/>
                <w:szCs w:val="18"/>
                <w:color w:val="auto"/>
              </w:rPr>
              <w:t>Broadcast Television</w:t>
            </w:r>
          </w:p>
        </w:tc>
        <w:tc>
          <w:tcPr>
            <w:tcW w:w="136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New York, NY</w:t>
            </w:r>
          </w:p>
        </w:tc>
        <w:tc>
          <w:tcPr>
            <w:tcW w:w="4060" w:type="dxa"/>
            <w:vAlign w:val="bottom"/>
          </w:tcPr>
          <w:p>
            <w:pPr>
              <w:ind w:left="880"/>
              <w:spacing w:after="0"/>
              <w:rPr>
                <w:sz w:val="20"/>
                <w:szCs w:val="20"/>
                <w:color w:val="auto"/>
              </w:rPr>
            </w:pPr>
            <w:r>
              <w:rPr>
                <w:rFonts w:ascii="Arial" w:cs="Arial" w:eastAsia="Arial" w:hAnsi="Arial"/>
                <w:sz w:val="18"/>
                <w:szCs w:val="18"/>
                <w:color w:val="auto"/>
              </w:rPr>
              <w:t>facilities and offices</w:t>
            </w: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Universal City</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studios, theme park and retail</w:t>
            </w:r>
          </w:p>
        </w:tc>
        <w:tc>
          <w:tcPr>
            <w:tcW w:w="3320" w:type="dxa"/>
            <w:vAlign w:val="bottom"/>
          </w:tcPr>
          <w:p>
            <w:pPr>
              <w:ind w:left="140"/>
              <w:spacing w:after="0"/>
              <w:rPr>
                <w:sz w:val="20"/>
                <w:szCs w:val="20"/>
                <w:color w:val="auto"/>
              </w:rPr>
            </w:pPr>
            <w:r>
              <w:rPr>
                <w:rFonts w:ascii="Arial" w:cs="Arial" w:eastAsia="Arial" w:hAnsi="Arial"/>
                <w:sz w:val="18"/>
                <w:szCs w:val="18"/>
                <w:color w:val="auto"/>
              </w:rPr>
              <w:t>All</w:t>
            </w:r>
          </w:p>
        </w:tc>
        <w:tc>
          <w:tcPr>
            <w:tcW w:w="1360" w:type="dxa"/>
            <w:vAlign w:val="bottom"/>
          </w:tcPr>
          <w:p>
            <w:pPr>
              <w:ind w:left="120"/>
              <w:spacing w:after="0"/>
              <w:rPr>
                <w:sz w:val="20"/>
                <w:szCs w:val="20"/>
                <w:color w:val="auto"/>
              </w:rPr>
            </w:pPr>
            <w:r>
              <w:rPr>
                <w:rFonts w:ascii="Arial" w:cs="Arial" w:eastAsia="Arial" w:hAnsi="Arial"/>
                <w:sz w:val="18"/>
                <w:szCs w:val="18"/>
                <w:color w:val="auto"/>
              </w:rPr>
              <w:t>Owned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Universal City, CA</w:t>
            </w:r>
          </w:p>
        </w:tc>
        <w:tc>
          <w:tcPr>
            <w:tcW w:w="406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1000 Universal Studios</w:t>
            </w:r>
          </w:p>
        </w:tc>
        <w:tc>
          <w:tcPr>
            <w:tcW w:w="4060" w:type="dxa"/>
            <w:vAlign w:val="bottom"/>
          </w:tcPr>
          <w:p>
            <w:pPr>
              <w:ind w:left="880"/>
              <w:spacing w:after="0"/>
              <w:rPr>
                <w:sz w:val="20"/>
                <w:szCs w:val="20"/>
                <w:color w:val="auto"/>
              </w:rPr>
            </w:pPr>
            <w:r>
              <w:rPr>
                <w:rFonts w:ascii="Arial" w:cs="Arial" w:eastAsia="Arial" w:hAnsi="Arial"/>
                <w:sz w:val="18"/>
                <w:szCs w:val="18"/>
                <w:color w:val="auto"/>
              </w:rPr>
              <w:t>Theme parks, lodging, production</w:t>
            </w:r>
          </w:p>
        </w:tc>
        <w:tc>
          <w:tcPr>
            <w:tcW w:w="3320" w:type="dxa"/>
            <w:vAlign w:val="bottom"/>
          </w:tcPr>
          <w:p>
            <w:pPr>
              <w:ind w:left="140"/>
              <w:spacing w:after="0"/>
              <w:rPr>
                <w:sz w:val="20"/>
                <w:szCs w:val="20"/>
                <w:color w:val="auto"/>
              </w:rPr>
            </w:pPr>
            <w:r>
              <w:rPr>
                <w:rFonts w:ascii="Arial" w:cs="Arial" w:eastAsia="Arial" w:hAnsi="Arial"/>
                <w:sz w:val="18"/>
                <w:szCs w:val="18"/>
                <w:color w:val="auto"/>
              </w:rPr>
              <w:t>Theme Parks</w:t>
            </w:r>
          </w:p>
        </w:tc>
        <w:tc>
          <w:tcPr>
            <w:tcW w:w="1360" w:type="dxa"/>
            <w:vAlign w:val="bottom"/>
          </w:tcPr>
          <w:p>
            <w:pPr>
              <w:ind w:left="120"/>
              <w:spacing w:after="0"/>
              <w:rPr>
                <w:sz w:val="20"/>
                <w:szCs w:val="20"/>
                <w:color w:val="auto"/>
              </w:rPr>
            </w:pPr>
            <w:r>
              <w:rPr>
                <w:rFonts w:ascii="Arial" w:cs="Arial" w:eastAsia="Arial" w:hAnsi="Arial"/>
                <w:sz w:val="18"/>
                <w:szCs w:val="18"/>
                <w:color w:val="auto"/>
              </w:rPr>
              <w:t>Owned</w:t>
            </w:r>
          </w:p>
        </w:tc>
      </w:tr>
      <w:tr>
        <w:trPr>
          <w:trHeight w:val="203"/>
        </w:trPr>
        <w:tc>
          <w:tcPr>
            <w:tcW w:w="2680" w:type="dxa"/>
            <w:vAlign w:val="bottom"/>
          </w:tcPr>
          <w:p>
            <w:pPr>
              <w:spacing w:after="0" w:line="202" w:lineRule="exact"/>
              <w:rPr>
                <w:sz w:val="20"/>
                <w:szCs w:val="20"/>
                <w:color w:val="auto"/>
              </w:rPr>
            </w:pPr>
            <w:r>
              <w:rPr>
                <w:rFonts w:ascii="Arial" w:cs="Arial" w:eastAsia="Arial" w:hAnsi="Arial"/>
                <w:sz w:val="18"/>
                <w:szCs w:val="18"/>
                <w:color w:val="auto"/>
              </w:rPr>
              <w:t>Plaza</w:t>
            </w:r>
          </w:p>
        </w:tc>
        <w:tc>
          <w:tcPr>
            <w:tcW w:w="4060" w:type="dxa"/>
            <w:vAlign w:val="bottom"/>
          </w:tcPr>
          <w:p>
            <w:pPr>
              <w:ind w:left="880"/>
              <w:spacing w:after="0" w:line="202" w:lineRule="exact"/>
              <w:rPr>
                <w:sz w:val="20"/>
                <w:szCs w:val="20"/>
                <w:color w:val="auto"/>
              </w:rPr>
            </w:pPr>
            <w:r>
              <w:rPr>
                <w:rFonts w:ascii="Arial" w:cs="Arial" w:eastAsia="Arial" w:hAnsi="Arial"/>
                <w:sz w:val="18"/>
                <w:szCs w:val="18"/>
                <w:color w:val="auto"/>
              </w:rPr>
              <w:t>facilities, parking structures and</w:t>
            </w:r>
          </w:p>
        </w:tc>
        <w:tc>
          <w:tcPr>
            <w:tcW w:w="3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8"/>
                <w:szCs w:val="18"/>
                <w:color w:val="auto"/>
              </w:rPr>
              <w:t>Orlando, FL</w:t>
            </w:r>
          </w:p>
        </w:tc>
        <w:tc>
          <w:tcPr>
            <w:tcW w:w="4060" w:type="dxa"/>
            <w:vAlign w:val="bottom"/>
          </w:tcPr>
          <w:p>
            <w:pPr>
              <w:ind w:left="880"/>
              <w:spacing w:after="0"/>
              <w:rPr>
                <w:sz w:val="20"/>
                <w:szCs w:val="20"/>
                <w:color w:val="auto"/>
              </w:rPr>
            </w:pPr>
            <w:r>
              <w:rPr>
                <w:rFonts w:ascii="Arial" w:cs="Arial" w:eastAsia="Arial" w:hAnsi="Arial"/>
                <w:sz w:val="18"/>
                <w:szCs w:val="18"/>
                <w:color w:val="auto"/>
              </w:rPr>
              <w:t>administrative buildings</w:t>
            </w:r>
          </w:p>
        </w:tc>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2"/>
        </w:trPr>
        <w:tc>
          <w:tcPr>
            <w:tcW w:w="2680" w:type="dxa"/>
            <w:vAlign w:val="bottom"/>
          </w:tcPr>
          <w:p>
            <w:pPr>
              <w:spacing w:after="0"/>
              <w:rPr>
                <w:sz w:val="20"/>
                <w:szCs w:val="20"/>
                <w:color w:val="auto"/>
              </w:rPr>
            </w:pPr>
            <w:r>
              <w:rPr>
                <w:rFonts w:ascii="Arial" w:cs="Arial" w:eastAsia="Arial" w:hAnsi="Arial"/>
                <w:sz w:val="18"/>
                <w:szCs w:val="18"/>
                <w:color w:val="auto"/>
              </w:rPr>
              <w:t>3000 W Alameda Ave.</w:t>
            </w:r>
          </w:p>
        </w:tc>
        <w:tc>
          <w:tcPr>
            <w:tcW w:w="4060" w:type="dxa"/>
            <w:vAlign w:val="bottom"/>
          </w:tcPr>
          <w:p>
            <w:pPr>
              <w:ind w:left="880"/>
              <w:spacing w:after="0"/>
              <w:rPr>
                <w:sz w:val="20"/>
                <w:szCs w:val="20"/>
                <w:color w:val="auto"/>
              </w:rPr>
            </w:pPr>
            <w:r>
              <w:rPr>
                <w:rFonts w:ascii="Arial" w:cs="Arial" w:eastAsia="Arial" w:hAnsi="Arial"/>
                <w:sz w:val="18"/>
                <w:szCs w:val="18"/>
                <w:color w:val="auto"/>
              </w:rPr>
              <w:t>Offices and production facilities</w:t>
            </w:r>
          </w:p>
        </w:tc>
        <w:tc>
          <w:tcPr>
            <w:tcW w:w="3320" w:type="dxa"/>
            <w:vAlign w:val="bottom"/>
          </w:tcPr>
          <w:p>
            <w:pPr>
              <w:ind w:left="140"/>
              <w:spacing w:after="0"/>
              <w:rPr>
                <w:sz w:val="20"/>
                <w:szCs w:val="20"/>
                <w:color w:val="auto"/>
              </w:rPr>
            </w:pPr>
            <w:r>
              <w:rPr>
                <w:rFonts w:ascii="Arial" w:cs="Arial" w:eastAsia="Arial" w:hAnsi="Arial"/>
                <w:sz w:val="18"/>
                <w:szCs w:val="18"/>
                <w:color w:val="auto"/>
              </w:rPr>
              <w:t>Broadcast Television</w:t>
            </w:r>
          </w:p>
        </w:tc>
        <w:tc>
          <w:tcPr>
            <w:tcW w:w="1360" w:type="dxa"/>
            <w:vAlign w:val="bottom"/>
          </w:tcPr>
          <w:p>
            <w:pPr>
              <w:ind w:left="120"/>
              <w:spacing w:after="0"/>
              <w:rPr>
                <w:sz w:val="20"/>
                <w:szCs w:val="20"/>
                <w:color w:val="auto"/>
              </w:rPr>
            </w:pPr>
            <w:r>
              <w:rPr>
                <w:rFonts w:ascii="Arial" w:cs="Arial" w:eastAsia="Arial" w:hAnsi="Arial"/>
                <w:sz w:val="18"/>
                <w:szCs w:val="18"/>
                <w:color w:val="auto"/>
              </w:rPr>
              <w:t>Leased</w:t>
            </w:r>
          </w:p>
        </w:tc>
      </w:t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Burbank, CA</w:t>
            </w:r>
          </w:p>
        </w:tc>
        <w:tc>
          <w:tcPr>
            <w:tcW w:w="4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Ave.</w:t>
            </w:r>
          </w:p>
        </w:tc>
        <w:tc>
          <w:tcPr>
            <w:tcW w:w="4060" w:type="dxa"/>
            <w:vAlign w:val="bottom"/>
          </w:tcPr>
          <w:p>
            <w:pPr>
              <w:ind w:left="880"/>
              <w:spacing w:after="0"/>
              <w:rPr>
                <w:sz w:val="20"/>
                <w:szCs w:val="20"/>
                <w:color w:val="auto"/>
              </w:rPr>
            </w:pPr>
            <w:r>
              <w:rPr>
                <w:rFonts w:ascii="Arial" w:cs="Arial" w:eastAsia="Arial" w:hAnsi="Arial"/>
                <w:sz w:val="18"/>
                <w:szCs w:val="18"/>
                <w:color w:val="auto"/>
              </w:rPr>
              <w:t>Telemundo headquarters and</w:t>
            </w:r>
          </w:p>
        </w:tc>
        <w:tc>
          <w:tcPr>
            <w:tcW w:w="3320" w:type="dxa"/>
            <w:vAlign w:val="bottom"/>
          </w:tcPr>
          <w:p>
            <w:pPr>
              <w:ind w:left="140"/>
              <w:spacing w:after="0"/>
              <w:rPr>
                <w:sz w:val="20"/>
                <w:szCs w:val="20"/>
                <w:color w:val="auto"/>
              </w:rPr>
            </w:pPr>
            <w:r>
              <w:rPr>
                <w:rFonts w:ascii="Arial" w:cs="Arial" w:eastAsia="Arial" w:hAnsi="Arial"/>
                <w:sz w:val="18"/>
                <w:szCs w:val="18"/>
                <w:color w:val="auto"/>
              </w:rPr>
              <w:t>Headquarters and Other and Broadcast</w:t>
            </w:r>
          </w:p>
        </w:tc>
        <w:tc>
          <w:tcPr>
            <w:tcW w:w="1360" w:type="dxa"/>
            <w:vAlign w:val="bottom"/>
          </w:tcPr>
          <w:p>
            <w:pPr>
              <w:spacing w:after="0"/>
              <w:rPr>
                <w:sz w:val="23"/>
                <w:szCs w:val="23"/>
                <w:color w:val="auto"/>
              </w:rPr>
            </w:pPr>
          </w:p>
        </w:tc>
      </w:tr>
      <w:tr>
        <w:trPr>
          <w:trHeight w:val="21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4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production facilities</w:t>
            </w:r>
          </w:p>
        </w:tc>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Television</w:t>
            </w: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Leased</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substantially all of our physical assets were in good operating condition as of December 31, 2011.</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3: Legal Proceedings</w:t>
      </w:r>
    </w:p>
    <w:p>
      <w:pPr>
        <w:spacing w:after="0" w:line="123"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costly and injure our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53439A"/>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500" w:right="239" w:bottom="1440" w:gutter="0" w:footer="0" w:header="0"/>
        </w:sectPr>
      </w:pPr>
    </w:p>
    <w:bookmarkStart w:id="105" w:name="page106"/>
    <w:bookmarkEnd w:id="105"/>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00" w:lineRule="exact"/>
        <w:rPr>
          <w:sz w:val="20"/>
          <w:szCs w:val="20"/>
          <w:color w:val="auto"/>
        </w:rPr>
      </w:pPr>
    </w:p>
    <w:p>
      <w:pPr>
        <w:spacing w:after="0" w:line="310" w:lineRule="exact"/>
        <w:rPr>
          <w:sz w:val="20"/>
          <w:szCs w:val="20"/>
          <w:color w:val="auto"/>
        </w:rPr>
      </w:pPr>
    </w:p>
    <w:p>
      <w:pPr>
        <w:ind w:right="80"/>
        <w:spacing w:after="0" w:line="260" w:lineRule="auto"/>
        <w:rPr>
          <w:sz w:val="20"/>
          <w:szCs w:val="20"/>
          <w:color w:val="auto"/>
        </w:rPr>
      </w:pPr>
      <w:r>
        <w:rPr>
          <w:rFonts w:ascii="Arial" w:cs="Arial" w:eastAsia="Arial" w:hAnsi="Arial"/>
          <w:sz w:val="24"/>
          <w:szCs w:val="24"/>
          <w:color w:val="53439A"/>
        </w:rPr>
        <w:t>Item 5: Market for the Registrant’s Common Equity, Related Stockholder Matters and Issuer Purchases of Equity Securities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are a wholly owned subsidiary of NBCUniversal, LLC and there is no market for our equity securities.</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6: Selected Financial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January 28, 2011, Comcast closed its transaction (the “Joint Venture Transaction”) with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including E!, Golf Channel, G4, Style and VERSUS (now named NBC Sports Network), its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transaction-related costs.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As a result of the change in control of our company, Comcast has applied the acquisition method of accounting with respect to the assets and liabilities of the NBCUniversal businesses it acquired (the “NBCUniversal contributed businesses”), which have been remeasured to fair value as of the date of the Joint Venture Transaction. In valuing acquired assets and liabilities, fair value estimates are based on, but are not limited to, future expected cash flows, market rate assumptions for contractual obligations, actuarial assumptions for benefit plans and appropriate discount rates. The assets and liabilities of the Comcast Content Business contributed by Comcast have been reflected at their historical or carry-over basis, as Comcast has maintained control of the Comcast Content Business. The impact of the Joint Venture Transaction is included in our consolidated results of operations after January 28, 2011. These results are discussed in more detail below under “Consolidated Operating Results.” Periods marked “Predecessor” in our consolidated financial statements do not reflect the Joint Venture Transaction.</w:t>
      </w:r>
    </w:p>
    <w:p>
      <w:pPr>
        <w:spacing w:after="0" w:line="302"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54" w:right="239" w:bottom="1440" w:gutter="0" w:footer="0" w:header="0"/>
        </w:sectPr>
      </w:pPr>
    </w:p>
    <w:bookmarkStart w:id="106" w:name="page107"/>
    <w:bookmarkEnd w:id="106"/>
    <w:p>
      <w:pPr>
        <w:ind w:right="7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closing of the Joint Venture Transaction, we present our operations in four reportable segments: Cable Networks, Broadcast Television, Filmed Entertainment and Theme Parks. A brief discussion of our segments is presented below.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53439A"/>
        </w:rPr>
        <w:t>Cable Networks</w:t>
      </w:r>
    </w:p>
    <w:p>
      <w:pPr>
        <w:ind w:right="240"/>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(formerly Sleuth) and Universal HD); our national cable news and information networks (CNBC, MSNBC and CNBC World); our national cable sports networks (Golf Channel and NBC Sports Network (formerly VERSUS)); our 13 regional sports and news networks; our international cable networks (including CNBC Europe, CNBC Asia and our Universal Networks International portfolio of networks); our cable television production studio; and our related digital media properties, which consist primarily of brand-aligned and other websites, such as DailyCandy, Fandango and iVillage. Our Cable Networks segment generates revenue primarily from the distribution of our cable network programming to multichannel video providers, the sale of advertising and the licensing and sale of our owned programming.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53439A"/>
        </w:rPr>
        <w:t>Broadcast Television</w:t>
      </w:r>
    </w:p>
    <w:p>
      <w:pPr>
        <w:ind w:right="20"/>
        <w:spacing w:after="0" w:line="23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which consist primarily of brand-aligned websites. Our Broadcast Television segment generates revenue primarily from the sale of advertising, the licensing of our owned programming, the sale of our owned programming on standard-definition video discs and Blu-ray discs (together, “DVDs”), through digital media platforms and from the licensing of our brands and characters for consumer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53439A"/>
        </w:rPr>
        <w:t>Filmed Entertainment</w:t>
      </w:r>
    </w:p>
    <w:p>
      <w:pPr>
        <w:ind w:right="80"/>
        <w:spacing w:after="0" w:line="23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the licensing of owned and acquired films to broadcast, cable and premium networks and the licensing and sale of our owned and acquired films on DVD and in various digital formats. We also generate revenue from distributing third parties’ filmed entertainment, producing stage plays, publishing music and licensing consumer products.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53439A"/>
        </w:rPr>
        <w:t>Theme Parks</w:t>
      </w:r>
    </w:p>
    <w:p>
      <w:pPr>
        <w:ind w:right="20"/>
        <w:spacing w:after="0" w:line="23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Ltd. (“Universal Orlando”), which owns Universal Studios Florida and Universal’s Islands of Adventure in Orlando. On July 1, 2011, we completed our acquisition of the remaining 50% equity interest in Universal Orlando that we did not already own for $1 billion. As a result, Universal Orlando is now a wholly owned consolidated subsidiary of ours, and its operating results have been consolidated with our results following the acquisition. Our Theme Parks segment generates revenue primarily from theme park attendance and per capita spending, as well as from management, licensing and other fees. Per capita spending includes ticket price and in-park spending on food, beverage and merchandise.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53439A"/>
        </w:rPr>
        <w:t>Headquarters and Other</w:t>
      </w:r>
    </w:p>
    <w:p>
      <w:pPr>
        <w:ind w:right="380"/>
        <w:spacing w:after="0" w:line="239" w:lineRule="auto"/>
        <w:rPr>
          <w:sz w:val="20"/>
          <w:szCs w:val="20"/>
          <w:color w:val="auto"/>
        </w:rPr>
      </w:pPr>
      <w:r>
        <w:rPr>
          <w:rFonts w:ascii="Arial" w:cs="Arial" w:eastAsia="Arial" w:hAnsi="Arial"/>
          <w:sz w:val="18"/>
          <w:szCs w:val="18"/>
          <w:color w:val="auto"/>
        </w:rPr>
        <w:t>Headquarters and Other operating costs and expenses include corporate overhead, employee benefit expenses, expenses related to the Joint Venture Transaction and corporate initiatives.</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other business interests primarily include equity method investments, such as A&amp;E Television Networks LLC, which owns and operates, among other channels, A&amp;E, The History Channel, The Biography Channel and Lifetime (“A&amp;E Television Networks”), The Weather Channel Holding Corp. (“The Weather Channel”) and MSNBC Interactive News, LLC (“MSNBC.com”). The performance of our equity method investments is discussed below under “Equity in Net Income of Investees, Net.”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29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tables set forth our results of operations as reported in our consolidated financial statements in accordance with generally accepted accounting principles in the United States (“GAAP”). GAAP requires that we separately present our results for the periods from January 1, 2011 to January 28, 2011 (the “Predecessor period”) and from January 29, 2011 to December 31, 2011 (the “Successor period”). Management believes reviewing our operating results for the year ended December 31,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consolidated financial statements in accordance with GAAP, the table below presents the non-GAAP combined results for the year ended December 31, 2011, which we also use to compute the percentage change from the prior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1040" w:type="dxa"/>
            <w:vAlign w:val="bottom"/>
            <w:gridSpan w:val="2"/>
          </w:tcPr>
          <w:p>
            <w:pPr>
              <w:jc w:val="right"/>
              <w:ind w:right="98"/>
              <w:spacing w:after="0"/>
              <w:rPr>
                <w:sz w:val="20"/>
                <w:szCs w:val="20"/>
                <w:color w:val="auto"/>
              </w:rPr>
            </w:pPr>
            <w:r>
              <w:rPr>
                <w:rFonts w:ascii="Arial" w:cs="Arial" w:eastAsia="Arial" w:hAnsi="Arial"/>
                <w:sz w:val="14"/>
                <w:szCs w:val="14"/>
                <w:color w:val="auto"/>
              </w:rPr>
              <w:t>Predecessor</w:t>
            </w:r>
          </w:p>
        </w:tc>
        <w:tc>
          <w:tcPr>
            <w:tcW w:w="160" w:type="dxa"/>
            <w:vAlign w:val="bottom"/>
          </w:tcPr>
          <w:p>
            <w:pPr>
              <w:spacing w:after="0"/>
              <w:rPr>
                <w:sz w:val="14"/>
                <w:szCs w:val="14"/>
                <w:color w:val="auto"/>
              </w:rPr>
            </w:pPr>
          </w:p>
        </w:tc>
        <w:tc>
          <w:tcPr>
            <w:tcW w:w="880" w:type="dxa"/>
            <w:vAlign w:val="bottom"/>
          </w:tcPr>
          <w:p>
            <w:pPr>
              <w:jc w:val="right"/>
              <w:ind w:right="157"/>
              <w:spacing w:after="0"/>
              <w:rPr>
                <w:sz w:val="20"/>
                <w:szCs w:val="20"/>
                <w:color w:val="auto"/>
              </w:rPr>
            </w:pPr>
            <w:r>
              <w:rPr>
                <w:rFonts w:ascii="Arial" w:cs="Arial" w:eastAsia="Arial" w:hAnsi="Arial"/>
                <w:sz w:val="14"/>
                <w:szCs w:val="14"/>
                <w:color w:val="auto"/>
                <w:w w:val="97"/>
              </w:rPr>
              <w:t>Combined</w:t>
            </w:r>
          </w:p>
        </w:tc>
        <w:tc>
          <w:tcPr>
            <w:tcW w:w="180" w:type="dxa"/>
            <w:vAlign w:val="bottom"/>
          </w:tcPr>
          <w:p>
            <w:pPr>
              <w:spacing w:after="0"/>
              <w:rPr>
                <w:sz w:val="14"/>
                <w:szCs w:val="14"/>
                <w:color w:val="auto"/>
              </w:rPr>
            </w:pPr>
          </w:p>
        </w:tc>
        <w:tc>
          <w:tcPr>
            <w:tcW w:w="1880" w:type="dxa"/>
            <w:vAlign w:val="bottom"/>
            <w:gridSpan w:val="3"/>
          </w:tcPr>
          <w:p>
            <w:pPr>
              <w:jc w:val="right"/>
              <w:ind w:right="595"/>
              <w:spacing w:after="0"/>
              <w:rPr>
                <w:sz w:val="20"/>
                <w:szCs w:val="20"/>
                <w:color w:val="auto"/>
              </w:rPr>
            </w:pPr>
            <w:r>
              <w:rPr>
                <w:rFonts w:ascii="Arial" w:cs="Arial" w:eastAsia="Arial" w:hAnsi="Arial"/>
                <w:sz w:val="14"/>
                <w:szCs w:val="14"/>
                <w:color w:val="auto"/>
              </w:rPr>
              <w:t>Predecessor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18"/>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8"/>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rPr>
              <w:t>January 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8"/>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8"/>
              <w:spacing w:after="0" w:line="149"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2"/>
                <w:szCs w:val="12"/>
                <w:color w:val="auto"/>
              </w:rPr>
            </w:pPr>
          </w:p>
        </w:tc>
        <w:tc>
          <w:tcPr>
            <w:tcW w:w="880" w:type="dxa"/>
            <w:vAlign w:val="bottom"/>
          </w:tcPr>
          <w:p>
            <w:pPr>
              <w:jc w:val="right"/>
              <w:ind w:right="57"/>
              <w:spacing w:after="0" w:line="149" w:lineRule="exact"/>
              <w:rPr>
                <w:sz w:val="20"/>
                <w:szCs w:val="20"/>
                <w:color w:val="auto"/>
              </w:rPr>
            </w:pPr>
            <w:r>
              <w:rPr>
                <w:rFonts w:ascii="Arial" w:cs="Arial" w:eastAsia="Arial" w:hAnsi="Arial"/>
                <w:sz w:val="14"/>
                <w:szCs w:val="14"/>
                <w:color w:val="auto"/>
                <w:w w:val="97"/>
              </w:rPr>
              <w:t>Year Ended</w:t>
            </w:r>
          </w:p>
        </w:tc>
        <w:tc>
          <w:tcPr>
            <w:tcW w:w="180" w:type="dxa"/>
            <w:vAlign w:val="bottom"/>
          </w:tcPr>
          <w:p>
            <w:pPr>
              <w:spacing w:after="0"/>
              <w:rPr>
                <w:sz w:val="12"/>
                <w:szCs w:val="12"/>
                <w:color w:val="auto"/>
              </w:rPr>
            </w:pPr>
          </w:p>
        </w:tc>
        <w:tc>
          <w:tcPr>
            <w:tcW w:w="860" w:type="dxa"/>
            <w:vAlign w:val="bottom"/>
          </w:tcPr>
          <w:p>
            <w:pPr>
              <w:jc w:val="right"/>
              <w:ind w:right="57"/>
              <w:spacing w:after="0" w:line="149" w:lineRule="exact"/>
              <w:rPr>
                <w:sz w:val="20"/>
                <w:szCs w:val="20"/>
                <w:color w:val="auto"/>
              </w:rPr>
            </w:pPr>
            <w:r>
              <w:rPr>
                <w:rFonts w:ascii="Arial" w:cs="Arial" w:eastAsia="Arial" w:hAnsi="Arial"/>
                <w:sz w:val="14"/>
                <w:szCs w:val="14"/>
                <w:color w:val="auto"/>
                <w:w w:val="94"/>
              </w:rPr>
              <w:t>Year Ended</w:t>
            </w:r>
          </w:p>
        </w:tc>
        <w:tc>
          <w:tcPr>
            <w:tcW w:w="180" w:type="dxa"/>
            <w:vAlign w:val="bottom"/>
          </w:tcPr>
          <w:p>
            <w:pPr>
              <w:spacing w:after="0"/>
              <w:rPr>
                <w:sz w:val="12"/>
                <w:szCs w:val="12"/>
                <w:color w:val="auto"/>
              </w:rPr>
            </w:pPr>
          </w:p>
        </w:tc>
        <w:tc>
          <w:tcPr>
            <w:tcW w:w="84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4"/>
              </w:rPr>
              <w:t>Year Ended</w:t>
            </w:r>
          </w:p>
        </w:tc>
        <w:tc>
          <w:tcPr>
            <w:tcW w:w="94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 Change</w:t>
            </w:r>
          </w:p>
        </w:tc>
        <w:tc>
          <w:tcPr>
            <w:tcW w:w="92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tcBorders>
              <w:right w:val="single" w:sz="8" w:color="auto"/>
            </w:tcBorders>
            <w:gridSpan w:val="3"/>
          </w:tcPr>
          <w:p>
            <w:pPr>
              <w:jc w:val="right"/>
              <w:ind w:right="280"/>
              <w:spacing w:after="0" w:line="14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8"/>
              <w:spacing w:after="0" w:line="149" w:lineRule="exact"/>
              <w:rPr>
                <w:sz w:val="20"/>
                <w:szCs w:val="20"/>
                <w:color w:val="auto"/>
              </w:rPr>
            </w:pPr>
            <w:r>
              <w:rPr>
                <w:rFonts w:ascii="Arial" w:cs="Arial" w:eastAsia="Arial" w:hAnsi="Arial"/>
                <w:sz w:val="14"/>
                <w:szCs w:val="14"/>
                <w:color w:val="auto"/>
                <w:w w:val="98"/>
              </w:rPr>
              <w:t>January 28,</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4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2010 to</w:t>
            </w:r>
          </w:p>
        </w:tc>
        <w:tc>
          <w:tcPr>
            <w:tcW w:w="92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2009 to</w:t>
            </w:r>
          </w:p>
        </w:tc>
      </w:tr>
      <w:tr>
        <w:trPr>
          <w:trHeight w:val="149"/>
        </w:trPr>
        <w:tc>
          <w:tcPr>
            <w:tcW w:w="40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
              <w:spacing w:after="0" w:line="14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
              <w:spacing w:after="0" w:line="149" w:lineRule="exact"/>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2009</w:t>
            </w:r>
          </w:p>
        </w:tc>
        <w:tc>
          <w:tcPr>
            <w:tcW w:w="94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2010</w:t>
            </w:r>
          </w:p>
        </w:tc>
      </w:tr>
      <w:tr>
        <w:trPr>
          <w:trHeight w:val="199"/>
        </w:trPr>
        <w:tc>
          <w:tcPr>
            <w:tcW w:w="4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19,028</w:t>
            </w:r>
          </w:p>
        </w:tc>
        <w:tc>
          <w:tcPr>
            <w:tcW w:w="18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8"/>
              <w:spacing w:after="0" w:line="200" w:lineRule="exact"/>
              <w:rPr>
                <w:sz w:val="20"/>
                <w:szCs w:val="20"/>
                <w:color w:val="auto"/>
              </w:rPr>
            </w:pPr>
            <w:r>
              <w:rPr>
                <w:rFonts w:ascii="Arial" w:cs="Arial" w:eastAsia="Arial" w:hAnsi="Arial"/>
                <w:sz w:val="18"/>
                <w:szCs w:val="18"/>
                <w:color w:val="auto"/>
              </w:rPr>
              <w:t>1,206</w:t>
            </w:r>
          </w:p>
        </w:tc>
        <w:tc>
          <w:tcPr>
            <w:tcW w:w="160" w:type="dxa"/>
            <w:vAlign w:val="bottom"/>
          </w:tcPr>
          <w:p>
            <w:pPr>
              <w:ind w:left="60"/>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20,234</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16,590</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15,085</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22.0%</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10.0%</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15,632</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1,171</w:t>
            </w:r>
          </w:p>
        </w:tc>
        <w:tc>
          <w:tcPr>
            <w:tcW w:w="160" w:type="dxa"/>
            <w:vAlign w:val="bottom"/>
          </w:tcPr>
          <w:p>
            <w:pPr>
              <w:spacing w:after="0"/>
              <w:rPr>
                <w:sz w:val="17"/>
                <w:szCs w:val="17"/>
                <w:color w:val="auto"/>
              </w:rPr>
            </w:pPr>
          </w:p>
        </w:tc>
        <w:tc>
          <w:tcPr>
            <w:tcW w:w="8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16,803</w:t>
            </w:r>
          </w:p>
        </w:tc>
        <w:tc>
          <w:tcPr>
            <w:tcW w:w="180" w:type="dxa"/>
            <w:vAlign w:val="bottom"/>
          </w:tcPr>
          <w:p>
            <w:pPr>
              <w:spacing w:after="0"/>
              <w:rPr>
                <w:sz w:val="17"/>
                <w:szCs w:val="17"/>
                <w:color w:val="auto"/>
              </w:rPr>
            </w:pPr>
          </w:p>
        </w:tc>
        <w:tc>
          <w:tcPr>
            <w:tcW w:w="8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14,037</w:t>
            </w:r>
          </w:p>
        </w:tc>
        <w:tc>
          <w:tcPr>
            <w:tcW w:w="18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12,870</w:t>
            </w: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19.7</w:t>
            </w:r>
          </w:p>
        </w:tc>
        <w:tc>
          <w:tcPr>
            <w:tcW w:w="9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9.1</w:t>
            </w:r>
          </w:p>
        </w:tc>
      </w:tr>
      <w:tr>
        <w:trPr>
          <w:trHeight w:val="203"/>
        </w:trPr>
        <w:tc>
          <w:tcPr>
            <w:tcW w:w="20" w:type="dxa"/>
            <w:vAlign w:val="bottom"/>
          </w:tcPr>
          <w:p>
            <w:pPr>
              <w:spacing w:after="0"/>
              <w:rPr>
                <w:sz w:val="17"/>
                <w:szCs w:val="17"/>
                <w:color w:val="auto"/>
              </w:rPr>
            </w:pPr>
          </w:p>
        </w:tc>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401</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8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420</w:t>
            </w:r>
          </w:p>
        </w:tc>
        <w:tc>
          <w:tcPr>
            <w:tcW w:w="180" w:type="dxa"/>
            <w:vAlign w:val="bottom"/>
          </w:tcPr>
          <w:p>
            <w:pPr>
              <w:spacing w:after="0"/>
              <w:rPr>
                <w:sz w:val="17"/>
                <w:szCs w:val="17"/>
                <w:color w:val="auto"/>
              </w:rPr>
            </w:pPr>
          </w:p>
        </w:tc>
        <w:tc>
          <w:tcPr>
            <w:tcW w:w="8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252</w:t>
            </w:r>
          </w:p>
        </w:tc>
        <w:tc>
          <w:tcPr>
            <w:tcW w:w="18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242</w:t>
            </w:r>
          </w:p>
        </w:tc>
        <w:tc>
          <w:tcPr>
            <w:tcW w:w="9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66.7</w:t>
            </w:r>
          </w:p>
        </w:tc>
        <w:tc>
          <w:tcPr>
            <w:tcW w:w="92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4.1</w:t>
            </w:r>
          </w:p>
        </w:tc>
      </w:tr>
      <w:tr>
        <w:trPr>
          <w:trHeight w:val="199"/>
        </w:trPr>
        <w:tc>
          <w:tcPr>
            <w:tcW w:w="20" w:type="dxa"/>
            <w:vAlign w:val="bottom"/>
          </w:tcPr>
          <w:p>
            <w:pPr>
              <w:spacing w:after="0"/>
              <w:rPr>
                <w:sz w:val="17"/>
                <w:szCs w:val="17"/>
                <w:color w:val="auto"/>
              </w:rPr>
            </w:pPr>
          </w:p>
        </w:tc>
        <w:tc>
          <w:tcPr>
            <w:tcW w:w="4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712</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720</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105</w:t>
            </w:r>
          </w:p>
        </w:tc>
        <w:tc>
          <w:tcPr>
            <w:tcW w:w="94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NM</w:t>
            </w:r>
          </w:p>
        </w:tc>
        <w:tc>
          <w:tcPr>
            <w:tcW w:w="9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(7.6)</w:t>
            </w:r>
          </w:p>
        </w:tc>
      </w:tr>
      <w:tr>
        <w:trPr>
          <w:trHeight w:val="199"/>
        </w:trPr>
        <w:tc>
          <w:tcPr>
            <w:tcW w:w="20" w:type="dxa"/>
            <w:vAlign w:val="bottom"/>
          </w:tcPr>
          <w:p>
            <w:pPr>
              <w:spacing w:after="0"/>
              <w:rPr>
                <w:sz w:val="17"/>
                <w:szCs w:val="17"/>
                <w:color w:val="auto"/>
              </w:rPr>
            </w:pPr>
          </w:p>
        </w:tc>
        <w:tc>
          <w:tcPr>
            <w:tcW w:w="4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7"/>
                <w:szCs w:val="17"/>
                <w:color w:val="auto"/>
              </w:rPr>
            </w:pPr>
          </w:p>
        </w:tc>
        <w:tc>
          <w:tcPr>
            <w:tcW w:w="8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2,283</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8"/>
              <w:spacing w:after="0" w:line="200"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2,291</w:t>
            </w:r>
          </w:p>
        </w:tc>
        <w:tc>
          <w:tcPr>
            <w:tcW w:w="180" w:type="dxa"/>
            <w:vAlign w:val="bottom"/>
          </w:tcPr>
          <w:p>
            <w:pPr>
              <w:spacing w:after="0"/>
              <w:rPr>
                <w:sz w:val="17"/>
                <w:szCs w:val="17"/>
                <w:color w:val="auto"/>
              </w:rPr>
            </w:pPr>
          </w:p>
        </w:tc>
        <w:tc>
          <w:tcPr>
            <w:tcW w:w="8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2,204</w:t>
            </w:r>
          </w:p>
        </w:tc>
        <w:tc>
          <w:tcPr>
            <w:tcW w:w="180" w:type="dxa"/>
            <w:vAlign w:val="bottom"/>
          </w:tcPr>
          <w:p>
            <w:pPr>
              <w:spacing w:after="0"/>
              <w:rPr>
                <w:sz w:val="17"/>
                <w:szCs w:val="17"/>
                <w:color w:val="auto"/>
              </w:rPr>
            </w:pP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1,868</w:t>
            </w:r>
          </w:p>
        </w:tc>
        <w:tc>
          <w:tcPr>
            <w:tcW w:w="94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3.9</w:t>
            </w:r>
          </w:p>
        </w:tc>
        <w:tc>
          <w:tcPr>
            <w:tcW w:w="92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18.0</w:t>
            </w:r>
          </w:p>
        </w:tc>
      </w:tr>
      <w:tr>
        <w:trPr>
          <w:trHeight w:val="199"/>
        </w:trPr>
        <w:tc>
          <w:tcPr>
            <w:tcW w:w="4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Other income (expense) items, net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(237)</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(274)</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320</w:t>
            </w:r>
          </w:p>
        </w:tc>
        <w:tc>
          <w:tcPr>
            <w:tcW w:w="94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NM</w:t>
            </w:r>
          </w:p>
        </w:tc>
        <w:tc>
          <w:tcPr>
            <w:tcW w:w="9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(82.2)</w:t>
            </w:r>
          </w:p>
        </w:tc>
      </w:tr>
      <w:tr>
        <w:trPr>
          <w:trHeight w:val="199"/>
        </w:trPr>
        <w:tc>
          <w:tcPr>
            <w:tcW w:w="40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7"/>
                <w:szCs w:val="17"/>
                <w:color w:val="auto"/>
              </w:rPr>
            </w:pPr>
          </w:p>
        </w:tc>
        <w:tc>
          <w:tcPr>
            <w:tcW w:w="8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2,046</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2,017</w:t>
            </w:r>
          </w:p>
        </w:tc>
        <w:tc>
          <w:tcPr>
            <w:tcW w:w="180" w:type="dxa"/>
            <w:vAlign w:val="bottom"/>
          </w:tcPr>
          <w:p>
            <w:pPr>
              <w:spacing w:after="0"/>
              <w:rPr>
                <w:sz w:val="17"/>
                <w:szCs w:val="17"/>
                <w:color w:val="auto"/>
              </w:rPr>
            </w:pPr>
          </w:p>
        </w:tc>
        <w:tc>
          <w:tcPr>
            <w:tcW w:w="8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2,261</w:t>
            </w:r>
          </w:p>
        </w:tc>
        <w:tc>
          <w:tcPr>
            <w:tcW w:w="180" w:type="dxa"/>
            <w:vAlign w:val="bottom"/>
          </w:tcPr>
          <w:p>
            <w:pPr>
              <w:spacing w:after="0"/>
              <w:rPr>
                <w:sz w:val="17"/>
                <w:szCs w:val="17"/>
                <w:color w:val="auto"/>
              </w:rPr>
            </w:pP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2,188</w:t>
            </w:r>
          </w:p>
        </w:tc>
        <w:tc>
          <w:tcPr>
            <w:tcW w:w="940" w:type="dxa"/>
            <w:vAlign w:val="bottom"/>
          </w:tcPr>
          <w:p>
            <w:pPr>
              <w:jc w:val="right"/>
              <w:ind w:right="77"/>
              <w:spacing w:after="0" w:line="200" w:lineRule="exact"/>
              <w:rPr>
                <w:sz w:val="20"/>
                <w:szCs w:val="20"/>
                <w:color w:val="auto"/>
              </w:rPr>
            </w:pPr>
            <w:r>
              <w:rPr>
                <w:rFonts w:ascii="Arial" w:cs="Arial" w:eastAsia="Arial" w:hAnsi="Arial"/>
                <w:sz w:val="18"/>
                <w:szCs w:val="18"/>
                <w:color w:val="auto"/>
              </w:rPr>
              <w:t>(10.8)</w:t>
            </w:r>
          </w:p>
        </w:tc>
        <w:tc>
          <w:tcPr>
            <w:tcW w:w="92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3.3</w:t>
            </w:r>
          </w:p>
        </w:tc>
      </w:tr>
      <w:tr>
        <w:trPr>
          <w:trHeight w:val="199"/>
        </w:trPr>
        <w:tc>
          <w:tcPr>
            <w:tcW w:w="4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(185)</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(745)</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(872)</w:t>
            </w:r>
          </w:p>
        </w:tc>
        <w:tc>
          <w:tcPr>
            <w:tcW w:w="94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(75.7)</w:t>
            </w:r>
          </w:p>
        </w:tc>
        <w:tc>
          <w:tcPr>
            <w:tcW w:w="92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(14.6)</w:t>
            </w:r>
          </w:p>
        </w:tc>
      </w:tr>
      <w:tr>
        <w:trPr>
          <w:trHeight w:val="199"/>
        </w:trPr>
        <w:tc>
          <w:tcPr>
            <w:tcW w:w="40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180" w:type="dxa"/>
            <w:vAlign w:val="bottom"/>
          </w:tcPr>
          <w:p>
            <w:pPr>
              <w:spacing w:after="0"/>
              <w:rPr>
                <w:sz w:val="17"/>
                <w:szCs w:val="17"/>
                <w:color w:val="auto"/>
              </w:rPr>
            </w:pPr>
          </w:p>
        </w:tc>
        <w:tc>
          <w:tcPr>
            <w:tcW w:w="860" w:type="dxa"/>
            <w:vAlign w:val="bottom"/>
          </w:tcPr>
          <w:p>
            <w:pPr>
              <w:jc w:val="right"/>
              <w:ind w:right="18"/>
              <w:spacing w:after="0" w:line="200" w:lineRule="exact"/>
              <w:rPr>
                <w:sz w:val="20"/>
                <w:szCs w:val="20"/>
                <w:color w:val="auto"/>
              </w:rPr>
            </w:pPr>
            <w:r>
              <w:rPr>
                <w:rFonts w:ascii="Arial" w:cs="Arial" w:eastAsia="Arial" w:hAnsi="Arial"/>
                <w:sz w:val="18"/>
                <w:szCs w:val="18"/>
                <w:color w:val="auto"/>
              </w:rPr>
              <w:t>1,861</w:t>
            </w: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1,836</w:t>
            </w:r>
          </w:p>
        </w:tc>
        <w:tc>
          <w:tcPr>
            <w:tcW w:w="180" w:type="dxa"/>
            <w:vAlign w:val="bottom"/>
          </w:tcPr>
          <w:p>
            <w:pPr>
              <w:spacing w:after="0"/>
              <w:rPr>
                <w:sz w:val="17"/>
                <w:szCs w:val="17"/>
                <w:color w:val="auto"/>
              </w:rPr>
            </w:pPr>
          </w:p>
        </w:tc>
        <w:tc>
          <w:tcPr>
            <w:tcW w:w="8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1,516</w:t>
            </w:r>
          </w:p>
        </w:tc>
        <w:tc>
          <w:tcPr>
            <w:tcW w:w="180" w:type="dxa"/>
            <w:vAlign w:val="bottom"/>
          </w:tcPr>
          <w:p>
            <w:pPr>
              <w:spacing w:after="0"/>
              <w:rPr>
                <w:sz w:val="17"/>
                <w:szCs w:val="17"/>
                <w:color w:val="auto"/>
              </w:rPr>
            </w:pPr>
          </w:p>
        </w:tc>
        <w:tc>
          <w:tcPr>
            <w:tcW w:w="8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1,316</w:t>
            </w:r>
          </w:p>
        </w:tc>
        <w:tc>
          <w:tcPr>
            <w:tcW w:w="94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21.1</w:t>
            </w:r>
          </w:p>
        </w:tc>
        <w:tc>
          <w:tcPr>
            <w:tcW w:w="92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15.2</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18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(176)</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c>
          <w:tcPr>
            <w:tcW w:w="94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NM</w:t>
            </w:r>
          </w:p>
        </w:tc>
        <w:tc>
          <w:tcPr>
            <w:tcW w:w="920" w:type="dxa"/>
            <w:vAlign w:val="bottom"/>
            <w:tcBorders>
              <w:bottom w:val="single" w:sz="8" w:color="auto"/>
            </w:tcBorders>
          </w:tcPr>
          <w:p>
            <w:pPr>
              <w:jc w:val="right"/>
              <w:ind w:right="137"/>
              <w:spacing w:after="0" w:line="200" w:lineRule="exact"/>
              <w:rPr>
                <w:sz w:val="20"/>
                <w:szCs w:val="20"/>
                <w:color w:val="auto"/>
              </w:rPr>
            </w:pPr>
            <w:r>
              <w:rPr>
                <w:rFonts w:ascii="Arial" w:cs="Arial" w:eastAsia="Arial" w:hAnsi="Arial"/>
                <w:sz w:val="18"/>
                <w:szCs w:val="18"/>
                <w:color w:val="auto"/>
              </w:rPr>
              <w:t>28.9</w:t>
            </w:r>
          </w:p>
        </w:tc>
      </w:tr>
      <w:tr>
        <w:trPr>
          <w:trHeight w:val="203"/>
        </w:trPr>
        <w:tc>
          <w:tcPr>
            <w:tcW w:w="20" w:type="dxa"/>
            <w:vAlign w:val="bottom"/>
            <w:tcBorders>
              <w:bottom w:val="single" w:sz="8" w:color="53439A"/>
            </w:tcBorders>
          </w:tcPr>
          <w:p>
            <w:pPr>
              <w:spacing w:after="0"/>
              <w:rPr>
                <w:sz w:val="17"/>
                <w:szCs w:val="17"/>
                <w:color w:val="auto"/>
              </w:rPr>
            </w:pPr>
          </w:p>
        </w:tc>
        <w:tc>
          <w:tcPr>
            <w:tcW w:w="400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b w:val="1"/>
                <w:bCs w:val="1"/>
                <w:color w:val="auto"/>
                <w:w w:val="99"/>
              </w:rPr>
              <w:t>Net income (loss) attributable to NBCUniversal</w:t>
            </w:r>
          </w:p>
        </w:tc>
        <w:tc>
          <w:tcPr>
            <w:tcW w:w="18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ind w:right="18"/>
              <w:spacing w:after="0" w:line="202" w:lineRule="exact"/>
              <w:rPr>
                <w:sz w:val="20"/>
                <w:szCs w:val="20"/>
                <w:color w:val="auto"/>
              </w:rPr>
            </w:pPr>
            <w:r>
              <w:rPr>
                <w:rFonts w:ascii="Arial" w:cs="Arial" w:eastAsia="Arial" w:hAnsi="Arial"/>
                <w:sz w:val="18"/>
                <w:szCs w:val="18"/>
                <w:color w:val="auto"/>
              </w:rPr>
              <w:t>1,683</w:t>
            </w:r>
          </w:p>
        </w:tc>
        <w:tc>
          <w:tcPr>
            <w:tcW w:w="180" w:type="dxa"/>
            <w:vAlign w:val="bottom"/>
            <w:tcBorders>
              <w:bottom w:val="single" w:sz="8" w:color="53439A"/>
              <w:right w:val="single" w:sz="8" w:color="auto"/>
            </w:tcBorders>
          </w:tcPr>
          <w:p>
            <w:pPr>
              <w:spacing w:after="0"/>
              <w:rPr>
                <w:sz w:val="17"/>
                <w:szCs w:val="17"/>
                <w:color w:val="auto"/>
              </w:rPr>
            </w:pPr>
          </w:p>
        </w:tc>
        <w:tc>
          <w:tcPr>
            <w:tcW w:w="36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53439A"/>
            </w:tcBorders>
          </w:tcPr>
          <w:p>
            <w:pPr>
              <w:jc w:val="right"/>
              <w:ind w:right="57"/>
              <w:spacing w:after="0" w:line="202" w:lineRule="exact"/>
              <w:rPr>
                <w:sz w:val="20"/>
                <w:szCs w:val="20"/>
                <w:color w:val="auto"/>
              </w:rPr>
            </w:pPr>
            <w:r>
              <w:rPr>
                <w:rFonts w:ascii="Arial" w:cs="Arial" w:eastAsia="Arial" w:hAnsi="Arial"/>
                <w:sz w:val="18"/>
                <w:szCs w:val="18"/>
                <w:color w:val="auto"/>
              </w:rPr>
              <w:t>1,660</w:t>
            </w:r>
          </w:p>
        </w:tc>
        <w:tc>
          <w:tcPr>
            <w:tcW w:w="1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53439A"/>
            </w:tcBorders>
          </w:tcPr>
          <w:p>
            <w:pPr>
              <w:jc w:val="right"/>
              <w:ind w:right="57"/>
              <w:spacing w:after="0" w:line="202" w:lineRule="exact"/>
              <w:rPr>
                <w:sz w:val="20"/>
                <w:szCs w:val="20"/>
                <w:color w:val="auto"/>
              </w:rPr>
            </w:pPr>
            <w:r>
              <w:rPr>
                <w:rFonts w:ascii="Arial" w:cs="Arial" w:eastAsia="Arial" w:hAnsi="Arial"/>
                <w:sz w:val="18"/>
                <w:szCs w:val="18"/>
                <w:color w:val="auto"/>
              </w:rPr>
              <w:t>1,467</w:t>
            </w:r>
          </w:p>
        </w:tc>
        <w:tc>
          <w:tcPr>
            <w:tcW w:w="1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rPr>
              <w:t>1,278</w:t>
            </w:r>
          </w:p>
        </w:tc>
        <w:tc>
          <w:tcPr>
            <w:tcW w:w="9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92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14.8%</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The increase in consolidated revenue in 2011 was primarily due to increases in our Cable Networks and Theme Parks segments, offset by a decrease in our Broadcast Television segment due to the absence of the 2010 Vancouver Olympic Games. The revenue increase in our Cable Networks segment includes revenue from the Comcast Content Business in 2011 of $2.8 billion. The revenue increase in our Theme Parks seg-</w:t>
      </w:r>
    </w:p>
    <w:p>
      <w:pPr>
        <w:spacing w:after="0" w:line="29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108" w:name="page109"/>
    <w:bookmarkEnd w:id="108"/>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ment includes $712 million related to the consolidation of Universal Orlando since July 2011. The increase in consolidated revenue in 2010 was driven by increases in all of our segments with the most significant increase being in our Broadcast Television segment due to the 2010 Vancouver Olympic Games. Revenue for our segments is discussed separately under the heading “Segment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increase in consolidated operating costs and expenses in 2011 was primarily due to increases in our Cable Networks and Theme Parks segments. The increase in our Cable Networks segment includes operating costs and expenses from the Comcast Content Business in 2011 of $2 billion. The increase in our Theme Parks segment includes operating costs and expenses from Universal Orlando, since July 2011, of $384 million. Excluding the impact of the consolidation of the Comcast Content Business and Universal Orlando, operating costs and expenses increased in 2011 primarily due to increased programming and production, and marketing expenses in our Cable Networks, Broadcast Television and Filmed Entertainment segments as well as an increase in amortization of film and television costs resulting from the application of acquisition accounting. Operating costs and expenses in 2011 also included $165 million of one-time, nonrecurring expenses related to severance, retention and accelerated share-based compensation expense as a result of the closing of the Joint Venture Transaction. These increases in operating costs and expenses in 2011 exceeded the decrease in programming costs in our Broadcast Television segment due to the absence of the 2010 Vancouver Olympic Games.</w:t>
      </w:r>
    </w:p>
    <w:p>
      <w:pPr>
        <w:spacing w:after="0" w:line="16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increase in consolidated operating costs and expenses in 2010 was driven primarily by higher programming and production costs in our Broadcast Television segment associated with the 2010 Vancouver Olympic Games, offset by lower sports rights costs associated with the absence of the 2009 Super Bowl, higher amortization of production costs in our Filmed Entertainment segment, and higher advertising, marketing and promotion costs in our Cable Networks and Broadcast Television segments. Operating costs and expenses for our segments are discussed separately under the heading “Segment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increase in depreciation expense in 2011 was primarily due to the consolidation of Universal Orlando in July 2011 and the higher level of depreciation incurred due to the application of acquisition accounting to our property and equipment as a result of the Joint Venture and Universal Orlando transactions. The increase in amortization expense in 2011 was primarily driven by $533 million of incremental amortization expense related to the finite-lived intangible assets recorded as a result of the Joint Venture Transaction.</w:t>
      </w:r>
    </w:p>
    <w:p>
      <w:pPr>
        <w:spacing w:after="0" w:line="155"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Depreciation and amortization expenses were relatively unchanged in 2010 due to consistent capital expenditures and a limited number of intangible asset additions compared to the prior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segments: Cable Networks, Broadcast Television, Filmed Entertainment and Theme Parks.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primary measure of operating performance of our segments is operating income (loss) before depreciation and amortization because it aligns our results based on how we and Comcast assess the operating performance of our segments. We use operating income (loss) before depreciation and amortization, excluding impairments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291" w:right="239" w:bottom="1440" w:gutter="0" w:footer="0" w:header="0"/>
        </w:sectPr>
      </w:pPr>
    </w:p>
    <w:bookmarkStart w:id="109" w:name="page110"/>
    <w:bookmarkEnd w:id="109"/>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consolidated financial statements (see Note 21 to our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 In evaluating the profitability of our segments, the components of net income (loss) below operating income (loss) before depreciation and amortization are not separately evaluated by management.</w:t>
      </w:r>
    </w:p>
    <w:p>
      <w:pPr>
        <w:spacing w:after="0" w:line="161"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Following our acquisition of the 50% equity interest in Universal Orlando that we did not already own, we revised our measure of operating performance for our Theme Parks segment. Operating income (loss) before depreciation and amortization for our Theme Parks segment now includes 100% of the results of operations of Universal Orlando. Prior to this transaction, equity in net income (loss) of investees was included in operating income before depreciation and amortization in this segment due to the significance of our equity method investment in Universal Orlando to the Theme Parks segment. We have recast our Theme Parks segment results of operations for all periods presented to reflect our current segment performance measure.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results of operations of our reporting segments may be affected by competition, as all of our businesses operate in intensely competitive industries and compete with a growing number of companies that provide a broad range of entertainment, news and information content to consumers. Technological changes are further intensifying and complicating the competitive landscape, as companies continue to emerge that offer services or devices that enable Internet video streaming and downloading of movies, television shows and other video programming and as wireless services and devices continue to evolve. Moreover, newer services that distribute video programming are also beginning to produce or acquire their own original content. This competition is further complicated by federal and state legislative bodies and various regulatory agencies, such as the FCC, which can adopt laws and policies that provide a favorable operating environment for some of our existing and potential new competitors. See “Business – Competition”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Revenue in our Cable Networks and Broadcast Television segments are subject to cyclical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Broadcast Television revenue and operating costs and expenses are also cyclical as a result of our periodic broadcasts of the Olympic Games and Super Bowl. Our advertising revenue generally increases in the period of these broadcasts from increased demand for advertising time, and our operating costs and expenses also increase as a result of our production costs and amortization of the related rights fees. Accordingly, our results of operations and cash flows may be negatively impacted if the amount of advertising revenue generated does not exceed the associated costs of broadcasting such events.</w:t>
      </w:r>
    </w:p>
    <w:p>
      <w:pPr>
        <w:spacing w:after="0" w:line="33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1" w:right="239" w:bottom="1440" w:gutter="0" w:footer="0" w:header="0"/>
        </w:sectPr>
      </w:pPr>
    </w:p>
    <w:bookmarkStart w:id="110" w:name="page111"/>
    <w:bookmarkEnd w:id="110"/>
    <w:p>
      <w:pPr>
        <w:ind w:right="1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Revenue in our Cable Networks, Broadcast Television and Filmed Entertainment segments also fluctuates due to the timing and performance of theatrical, home entertainment and television releases. Release dates are determined by several factors, including competition and the timing of vacation and holiday periods. As a result, revenue tends to be seasonal, with increases experienced during the summer months, around holidays and in the fourth calendar quarter of each year. Revenue in our Cable Networks, Broadcast Television and Filmed Entertainment segments also fluctuates due to the timing of when our owned content is made available to licensees.</w:t>
      </w:r>
    </w:p>
    <w:p>
      <w:pPr>
        <w:spacing w:after="0" w:line="1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resulting from the seasonal nature of vacation travel, local entertainment offerings and seasonal weather variations. Our theme parks experience peak attendance generally during the summer months when schools are closed and during early winter and spring holiday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provides an analysis of the results of operations for each of our four segments for the periods indicated.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18"/>
              <w:spacing w:after="0"/>
              <w:rPr>
                <w:sz w:val="20"/>
                <w:szCs w:val="20"/>
                <w:color w:val="auto"/>
              </w:rPr>
            </w:pPr>
            <w:r>
              <w:rPr>
                <w:rFonts w:ascii="Arial" w:cs="Arial" w:eastAsia="Arial" w:hAnsi="Arial"/>
                <w:sz w:val="14"/>
                <w:szCs w:val="14"/>
                <w:color w:val="auto"/>
                <w:w w:val="99"/>
              </w:rPr>
              <w:t>Predecessor</w:t>
            </w:r>
          </w:p>
        </w:tc>
        <w:tc>
          <w:tcPr>
            <w:tcW w:w="16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color w:val="auto"/>
                <w:w w:val="93"/>
              </w:rPr>
              <w:t>Combined</w:t>
            </w:r>
          </w:p>
        </w:tc>
        <w:tc>
          <w:tcPr>
            <w:tcW w:w="180" w:type="dxa"/>
            <w:vAlign w:val="bottom"/>
          </w:tcPr>
          <w:p>
            <w:pPr>
              <w:spacing w:after="0"/>
              <w:rPr>
                <w:sz w:val="14"/>
                <w:szCs w:val="14"/>
                <w:color w:val="auto"/>
              </w:rPr>
            </w:pPr>
          </w:p>
        </w:tc>
        <w:tc>
          <w:tcPr>
            <w:tcW w:w="1860" w:type="dxa"/>
            <w:vAlign w:val="bottom"/>
            <w:gridSpan w:val="3"/>
          </w:tcPr>
          <w:p>
            <w:pPr>
              <w:jc w:val="right"/>
              <w:ind w:right="575"/>
              <w:spacing w:after="0"/>
              <w:rPr>
                <w:sz w:val="20"/>
                <w:szCs w:val="20"/>
                <w:color w:val="auto"/>
              </w:rPr>
            </w:pPr>
            <w:r>
              <w:rPr>
                <w:rFonts w:ascii="Arial" w:cs="Arial" w:eastAsia="Arial" w:hAnsi="Arial"/>
                <w:sz w:val="14"/>
                <w:szCs w:val="14"/>
                <w:color w:val="auto"/>
              </w:rPr>
              <w:t>Predecessor</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8"/>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January 1, 2011 to</w:t>
            </w:r>
          </w:p>
        </w:tc>
        <w:tc>
          <w:tcPr>
            <w:tcW w:w="160" w:type="dxa"/>
            <w:vAlign w:val="bottom"/>
          </w:tcPr>
          <w:p>
            <w:pPr>
              <w:spacing w:after="0"/>
              <w:rPr>
                <w:sz w:val="12"/>
                <w:szCs w:val="12"/>
                <w:color w:val="auto"/>
              </w:rPr>
            </w:pPr>
          </w:p>
        </w:tc>
        <w:tc>
          <w:tcPr>
            <w:tcW w:w="860" w:type="dxa"/>
            <w:vAlign w:val="bottom"/>
          </w:tcPr>
          <w:p>
            <w:pPr>
              <w:jc w:val="right"/>
              <w:ind w:right="36"/>
              <w:spacing w:after="0" w:line="149" w:lineRule="exact"/>
              <w:rPr>
                <w:sz w:val="20"/>
                <w:szCs w:val="20"/>
                <w:color w:val="auto"/>
              </w:rPr>
            </w:pPr>
            <w:r>
              <w:rPr>
                <w:rFonts w:ascii="Arial" w:cs="Arial" w:eastAsia="Arial" w:hAnsi="Arial"/>
                <w:sz w:val="14"/>
                <w:szCs w:val="14"/>
                <w:color w:val="auto"/>
                <w:w w:val="97"/>
              </w:rPr>
              <w:t>Year Ended</w:t>
            </w:r>
          </w:p>
        </w:tc>
        <w:tc>
          <w:tcPr>
            <w:tcW w:w="180" w:type="dxa"/>
            <w:vAlign w:val="bottom"/>
          </w:tcPr>
          <w:p>
            <w:pPr>
              <w:spacing w:after="0"/>
              <w:rPr>
                <w:sz w:val="12"/>
                <w:szCs w:val="12"/>
                <w:color w:val="auto"/>
              </w:rPr>
            </w:pPr>
          </w:p>
        </w:tc>
        <w:tc>
          <w:tcPr>
            <w:tcW w:w="840" w:type="dxa"/>
            <w:vAlign w:val="bottom"/>
          </w:tcPr>
          <w:p>
            <w:pPr>
              <w:jc w:val="right"/>
              <w:ind w:right="36"/>
              <w:spacing w:after="0" w:line="149" w:lineRule="exact"/>
              <w:rPr>
                <w:sz w:val="20"/>
                <w:szCs w:val="20"/>
                <w:color w:val="auto"/>
              </w:rPr>
            </w:pPr>
            <w:r>
              <w:rPr>
                <w:rFonts w:ascii="Arial" w:cs="Arial" w:eastAsia="Arial" w:hAnsi="Arial"/>
                <w:sz w:val="14"/>
                <w:szCs w:val="14"/>
                <w:color w:val="auto"/>
                <w:w w:val="94"/>
              </w:rPr>
              <w:t>Year Ended</w:t>
            </w:r>
          </w:p>
        </w:tc>
        <w:tc>
          <w:tcPr>
            <w:tcW w:w="180" w:type="dxa"/>
            <w:vAlign w:val="bottom"/>
          </w:tcPr>
          <w:p>
            <w:pPr>
              <w:spacing w:after="0"/>
              <w:rPr>
                <w:sz w:val="12"/>
                <w:szCs w:val="12"/>
                <w:color w:val="auto"/>
              </w:rPr>
            </w:pPr>
          </w:p>
        </w:tc>
        <w:tc>
          <w:tcPr>
            <w:tcW w:w="84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7"/>
              </w:rPr>
              <w:t>Year Ended</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 Change</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January 28,</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2010 to</w:t>
            </w:r>
          </w:p>
        </w:tc>
        <w:tc>
          <w:tcPr>
            <w:tcW w:w="92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2009 to</w:t>
            </w:r>
          </w:p>
        </w:tc>
      </w:tr>
      <w:tr>
        <w:trPr>
          <w:trHeight w:val="163"/>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2010</w:t>
            </w:r>
          </w:p>
        </w:tc>
      </w:tr>
      <w:tr>
        <w:trPr>
          <w:trHeight w:val="199"/>
        </w:trPr>
        <w:tc>
          <w:tcPr>
            <w:tcW w:w="3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7,876</w:t>
            </w:r>
          </w:p>
        </w:tc>
        <w:tc>
          <w:tcPr>
            <w:tcW w:w="180" w:type="dxa"/>
            <w:vAlign w:val="bottom"/>
            <w:tcBorders>
              <w:right w:val="single" w:sz="8" w:color="auto"/>
            </w:tcBorders>
          </w:tcPr>
          <w:p>
            <w:pPr>
              <w:spacing w:after="0"/>
              <w:rPr>
                <w:sz w:val="17"/>
                <w:szCs w:val="17"/>
                <w:color w:val="auto"/>
              </w:rPr>
            </w:pP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389</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8,265</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4,954</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4,587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5,935</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464</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6,399</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6,888</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6,166</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(7.1)</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11.7</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4,239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4,592</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4,576</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4,220</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0.3</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8.4</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1,874</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1,989</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1,600</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1,200</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24.3</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33.3</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45</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79</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78</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(36.2)</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1.3</w:t>
            </w:r>
          </w:p>
        </w:tc>
      </w:tr>
      <w:tr>
        <w:trPr>
          <w:trHeight w:val="199"/>
        </w:trPr>
        <w:tc>
          <w:tcPr>
            <w:tcW w:w="20" w:type="dxa"/>
            <w:vAlign w:val="bottom"/>
          </w:tcPr>
          <w:p>
            <w:pPr>
              <w:spacing w:after="0"/>
              <w:rPr>
                <w:sz w:val="17"/>
                <w:szCs w:val="17"/>
                <w:color w:val="auto"/>
              </w:rPr>
            </w:pPr>
          </w:p>
        </w:tc>
        <w:tc>
          <w:tcPr>
            <w:tcW w:w="34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(941)</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(1,061)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(1,507)</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(1,166)</w:t>
            </w:r>
          </w:p>
        </w:tc>
        <w:tc>
          <w:tcPr>
            <w:tcW w:w="9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(29.6)</w:t>
            </w: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29.2</w:t>
            </w:r>
          </w:p>
        </w:tc>
      </w:tr>
      <w:tr>
        <w:trPr>
          <w:trHeight w:val="203"/>
        </w:trPr>
        <w:tc>
          <w:tcPr>
            <w:tcW w:w="20" w:type="dxa"/>
            <w:vAlign w:val="bottom"/>
          </w:tcPr>
          <w:p>
            <w:pPr>
              <w:spacing w:after="0"/>
              <w:rPr>
                <w:sz w:val="17"/>
                <w:szCs w:val="17"/>
                <w:color w:val="auto"/>
              </w:rPr>
            </w:pPr>
          </w:p>
        </w:tc>
        <w:tc>
          <w:tcPr>
            <w:tcW w:w="34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7"/>
              <w:spacing w:after="0" w:line="196" w:lineRule="exact"/>
              <w:rPr>
                <w:sz w:val="20"/>
                <w:szCs w:val="20"/>
                <w:color w:val="auto"/>
              </w:rPr>
            </w:pPr>
            <w:r>
              <w:rPr>
                <w:rFonts w:ascii="Arial" w:cs="Arial" w:eastAsia="Arial" w:hAnsi="Arial"/>
                <w:sz w:val="18"/>
                <w:szCs w:val="18"/>
                <w:color w:val="auto"/>
              </w:rPr>
              <w:t>19,028</w:t>
            </w:r>
          </w:p>
        </w:tc>
        <w:tc>
          <w:tcPr>
            <w:tcW w:w="180" w:type="dxa"/>
            <w:vAlign w:val="bottom"/>
            <w:tcBorders>
              <w:bottom w:val="single" w:sz="8" w:color="53439A"/>
              <w:right w:val="single" w:sz="8" w:color="auto"/>
            </w:tcBorders>
          </w:tcPr>
          <w:p>
            <w:pPr>
              <w:spacing w:after="0"/>
              <w:rPr>
                <w:sz w:val="17"/>
                <w:szCs w:val="17"/>
                <w:color w:val="auto"/>
              </w:rPr>
            </w:pPr>
          </w:p>
        </w:tc>
        <w:tc>
          <w:tcPr>
            <w:tcW w:w="380" w:type="dxa"/>
            <w:vAlign w:val="bottom"/>
            <w:tcBorders>
              <w:bottom w:val="single" w:sz="8" w:color="53439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tcPr>
          <w:p>
            <w:pPr>
              <w:jc w:val="right"/>
              <w:ind w:right="38"/>
              <w:spacing w:after="0" w:line="196" w:lineRule="exact"/>
              <w:rPr>
                <w:sz w:val="20"/>
                <w:szCs w:val="20"/>
                <w:color w:val="auto"/>
              </w:rPr>
            </w:pPr>
            <w:r>
              <w:rPr>
                <w:rFonts w:ascii="Arial" w:cs="Arial" w:eastAsia="Arial" w:hAnsi="Arial"/>
                <w:sz w:val="18"/>
                <w:szCs w:val="18"/>
                <w:color w:val="auto"/>
              </w:rPr>
              <w:t>1,206</w:t>
            </w:r>
          </w:p>
        </w:tc>
        <w:tc>
          <w:tcPr>
            <w:tcW w:w="16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53439A"/>
            </w:tcBorders>
          </w:tcPr>
          <w:p>
            <w:pPr>
              <w:jc w:val="right"/>
              <w:ind w:right="36"/>
              <w:spacing w:after="0" w:line="196" w:lineRule="exact"/>
              <w:rPr>
                <w:sz w:val="20"/>
                <w:szCs w:val="20"/>
                <w:color w:val="auto"/>
              </w:rPr>
            </w:pPr>
            <w:r>
              <w:rPr>
                <w:rFonts w:ascii="Arial" w:cs="Arial" w:eastAsia="Arial" w:hAnsi="Arial"/>
                <w:sz w:val="18"/>
                <w:szCs w:val="18"/>
                <w:color w:val="auto"/>
              </w:rPr>
              <w:t>20,234</w:t>
            </w:r>
          </w:p>
        </w:tc>
        <w:tc>
          <w:tcPr>
            <w:tcW w:w="1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36"/>
              <w:spacing w:after="0" w:line="196" w:lineRule="exact"/>
              <w:rPr>
                <w:sz w:val="20"/>
                <w:szCs w:val="20"/>
                <w:color w:val="auto"/>
              </w:rPr>
            </w:pPr>
            <w:r>
              <w:rPr>
                <w:rFonts w:ascii="Arial" w:cs="Arial" w:eastAsia="Arial" w:hAnsi="Arial"/>
                <w:sz w:val="18"/>
                <w:szCs w:val="18"/>
                <w:color w:val="auto"/>
              </w:rPr>
              <w:t>16,590</w:t>
            </w:r>
          </w:p>
        </w:tc>
        <w:tc>
          <w:tcPr>
            <w:tcW w:w="1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15,085</w:t>
            </w:r>
          </w:p>
        </w:tc>
        <w:tc>
          <w:tcPr>
            <w:tcW w:w="9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22.0%</w:t>
            </w:r>
          </w:p>
        </w:tc>
        <w:tc>
          <w:tcPr>
            <w:tcW w:w="9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84"/>
        </w:trPr>
        <w:tc>
          <w:tcPr>
            <w:tcW w:w="20" w:type="dxa"/>
            <w:vAlign w:val="bottom"/>
          </w:tcPr>
          <w:p>
            <w:pPr>
              <w:spacing w:after="0"/>
              <w:rPr>
                <w:sz w:val="15"/>
                <w:szCs w:val="15"/>
                <w:color w:val="auto"/>
              </w:rPr>
            </w:pPr>
          </w:p>
        </w:tc>
        <w:tc>
          <w:tcPr>
            <w:tcW w:w="3460" w:type="dxa"/>
            <w:vAlign w:val="bottom"/>
          </w:tcPr>
          <w:p>
            <w:pPr>
              <w:spacing w:after="0" w:line="184" w:lineRule="exact"/>
              <w:rPr>
                <w:sz w:val="20"/>
                <w:szCs w:val="20"/>
                <w:color w:val="auto"/>
              </w:rPr>
            </w:pPr>
            <w:r>
              <w:rPr>
                <w:rFonts w:ascii="Arial" w:cs="Arial" w:eastAsia="Arial" w:hAnsi="Arial"/>
                <w:sz w:val="18"/>
                <w:szCs w:val="18"/>
                <w:b w:val="1"/>
                <w:bCs w:val="1"/>
                <w:color w:val="auto"/>
              </w:rPr>
              <w:t>Operating Income (Loss) Before</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3,119</w:t>
            </w:r>
          </w:p>
        </w:tc>
        <w:tc>
          <w:tcPr>
            <w:tcW w:w="180" w:type="dxa"/>
            <w:vAlign w:val="bottom"/>
            <w:tcBorders>
              <w:right w:val="single" w:sz="8" w:color="auto"/>
            </w:tcBorders>
          </w:tcPr>
          <w:p>
            <w:pPr>
              <w:spacing w:after="0"/>
              <w:rPr>
                <w:sz w:val="17"/>
                <w:szCs w:val="17"/>
                <w:color w:val="auto"/>
              </w:rPr>
            </w:pP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143</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3,262</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2,347</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2,135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138</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122</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445</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(72.1)</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27</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290</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39</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(90.3)</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7"/>
                <w:szCs w:val="17"/>
                <w:color w:val="auto"/>
              </w:rPr>
            </w:pPr>
          </w:p>
        </w:tc>
        <w:tc>
          <w:tcPr>
            <w:tcW w:w="11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830</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8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867</w:t>
            </w:r>
          </w:p>
        </w:tc>
        <w:tc>
          <w:tcPr>
            <w:tcW w:w="18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591</w:t>
            </w: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424</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46.3</w:t>
            </w:r>
          </w:p>
        </w:tc>
        <w:tc>
          <w:tcPr>
            <w:tcW w:w="9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39.3</w:t>
            </w:r>
          </w:p>
        </w:tc>
      </w:tr>
      <w:tr>
        <w:trPr>
          <w:trHeight w:val="199"/>
        </w:trPr>
        <w:tc>
          <w:tcPr>
            <w:tcW w:w="20" w:type="dxa"/>
            <w:vAlign w:val="bottom"/>
          </w:tcPr>
          <w:p>
            <w:pPr>
              <w:spacing w:after="0"/>
              <w:rPr>
                <w:sz w:val="17"/>
                <w:szCs w:val="17"/>
                <w:color w:val="auto"/>
              </w:rPr>
            </w:pPr>
          </w:p>
        </w:tc>
        <w:tc>
          <w:tcPr>
            <w:tcW w:w="34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Headquarters, other and eliminations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(718)</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(130)</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(848)</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(799)</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(828)</w:t>
            </w:r>
          </w:p>
        </w:tc>
        <w:tc>
          <w:tcPr>
            <w:tcW w:w="9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6.2</w:t>
            </w:r>
          </w:p>
        </w:tc>
        <w:tc>
          <w:tcPr>
            <w:tcW w:w="9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(3.6)</w:t>
            </w:r>
          </w:p>
        </w:tc>
      </w:tr>
      <w:tr>
        <w:trPr>
          <w:trHeight w:val="203"/>
        </w:trPr>
        <w:tc>
          <w:tcPr>
            <w:tcW w:w="20" w:type="dxa"/>
            <w:vAlign w:val="bottom"/>
            <w:tcBorders>
              <w:bottom w:val="single" w:sz="8" w:color="53439A"/>
            </w:tcBorders>
          </w:tcPr>
          <w:p>
            <w:pPr>
              <w:spacing w:after="0"/>
              <w:rPr>
                <w:sz w:val="17"/>
                <w:szCs w:val="17"/>
                <w:color w:val="auto"/>
              </w:rPr>
            </w:pPr>
          </w:p>
        </w:tc>
        <w:tc>
          <w:tcPr>
            <w:tcW w:w="34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7"/>
              <w:spacing w:after="0" w:line="202" w:lineRule="exact"/>
              <w:rPr>
                <w:sz w:val="20"/>
                <w:szCs w:val="20"/>
                <w:color w:val="auto"/>
              </w:rPr>
            </w:pPr>
            <w:r>
              <w:rPr>
                <w:rFonts w:ascii="Arial" w:cs="Arial" w:eastAsia="Arial" w:hAnsi="Arial"/>
                <w:sz w:val="18"/>
                <w:szCs w:val="18"/>
                <w:color w:val="auto"/>
              </w:rPr>
              <w:t>3,396</w:t>
            </w:r>
          </w:p>
        </w:tc>
        <w:tc>
          <w:tcPr>
            <w:tcW w:w="180" w:type="dxa"/>
            <w:vAlign w:val="bottom"/>
            <w:tcBorders>
              <w:bottom w:val="single" w:sz="8" w:color="53439A"/>
              <w:right w:val="single" w:sz="8" w:color="auto"/>
            </w:tcBorders>
          </w:tcPr>
          <w:p>
            <w:pPr>
              <w:spacing w:after="0"/>
              <w:rPr>
                <w:sz w:val="17"/>
                <w:szCs w:val="17"/>
                <w:color w:val="auto"/>
              </w:rPr>
            </w:pPr>
          </w:p>
        </w:tc>
        <w:tc>
          <w:tcPr>
            <w:tcW w:w="380" w:type="dxa"/>
            <w:vAlign w:val="bottom"/>
            <w:tcBorders>
              <w:bottom w:val="single" w:sz="8" w:color="53439A"/>
            </w:tcBorders>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tcPr>
          <w:p>
            <w:pPr>
              <w:jc w:val="right"/>
              <w:ind w:right="38"/>
              <w:spacing w:after="0" w:line="202" w:lineRule="exact"/>
              <w:rPr>
                <w:sz w:val="20"/>
                <w:szCs w:val="20"/>
                <w:color w:val="auto"/>
              </w:rPr>
            </w:pPr>
            <w:r>
              <w:rPr>
                <w:rFonts w:ascii="Arial" w:cs="Arial" w:eastAsia="Arial" w:hAnsi="Arial"/>
                <w:sz w:val="18"/>
                <w:szCs w:val="18"/>
                <w:color w:val="auto"/>
              </w:rPr>
              <w:t>35</w:t>
            </w:r>
          </w:p>
        </w:tc>
        <w:tc>
          <w:tcPr>
            <w:tcW w:w="1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53439A"/>
            </w:tcBorders>
          </w:tcPr>
          <w:p>
            <w:pPr>
              <w:jc w:val="right"/>
              <w:ind w:right="36"/>
              <w:spacing w:after="0" w:line="202" w:lineRule="exact"/>
              <w:rPr>
                <w:sz w:val="20"/>
                <w:szCs w:val="20"/>
                <w:color w:val="auto"/>
              </w:rPr>
            </w:pPr>
            <w:r>
              <w:rPr>
                <w:rFonts w:ascii="Arial" w:cs="Arial" w:eastAsia="Arial" w:hAnsi="Arial"/>
                <w:sz w:val="18"/>
                <w:szCs w:val="18"/>
                <w:color w:val="auto"/>
              </w:rPr>
              <w:t>3,431</w:t>
            </w:r>
          </w:p>
        </w:tc>
        <w:tc>
          <w:tcPr>
            <w:tcW w:w="1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36"/>
              <w:spacing w:after="0" w:line="202" w:lineRule="exact"/>
              <w:rPr>
                <w:sz w:val="20"/>
                <w:szCs w:val="20"/>
                <w:color w:val="auto"/>
              </w:rPr>
            </w:pPr>
            <w:r>
              <w:rPr>
                <w:rFonts w:ascii="Arial" w:cs="Arial" w:eastAsia="Arial" w:hAnsi="Arial"/>
                <w:sz w:val="18"/>
                <w:szCs w:val="18"/>
                <w:color w:val="auto"/>
              </w:rPr>
              <w:t>2,553</w:t>
            </w:r>
          </w:p>
        </w:tc>
        <w:tc>
          <w:tcPr>
            <w:tcW w:w="1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2,215</w:t>
            </w:r>
          </w:p>
        </w:tc>
        <w:tc>
          <w:tcPr>
            <w:tcW w:w="92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34.4%</w:t>
            </w:r>
          </w:p>
        </w:tc>
        <w:tc>
          <w:tcPr>
            <w:tcW w:w="92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513"/>
        </w:trPr>
        <w:tc>
          <w:tcPr>
            <w:tcW w:w="348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598"/>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45"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Cable Networks Segment –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Predecessor</w:t>
            </w:r>
          </w:p>
        </w:tc>
        <w:tc>
          <w:tcPr>
            <w:tcW w:w="200" w:type="dxa"/>
            <w:vAlign w:val="bottom"/>
          </w:tcPr>
          <w:p>
            <w:pPr>
              <w:spacing w:after="0"/>
              <w:rPr>
                <w:sz w:val="14"/>
                <w:szCs w:val="14"/>
                <w:color w:val="auto"/>
              </w:rPr>
            </w:pPr>
          </w:p>
        </w:tc>
        <w:tc>
          <w:tcPr>
            <w:tcW w:w="840" w:type="dxa"/>
            <w:vAlign w:val="bottom"/>
          </w:tcPr>
          <w:p>
            <w:pPr>
              <w:jc w:val="right"/>
              <w:ind w:right="139"/>
              <w:spacing w:after="0"/>
              <w:rPr>
                <w:sz w:val="20"/>
                <w:szCs w:val="20"/>
                <w:color w:val="auto"/>
              </w:rPr>
            </w:pPr>
            <w:r>
              <w:rPr>
                <w:rFonts w:ascii="Arial" w:cs="Arial" w:eastAsia="Arial" w:hAnsi="Arial"/>
                <w:sz w:val="14"/>
                <w:szCs w:val="14"/>
                <w:color w:val="auto"/>
                <w:w w:val="93"/>
              </w:rPr>
              <w:t>Combined</w:t>
            </w:r>
          </w:p>
        </w:tc>
        <w:tc>
          <w:tcPr>
            <w:tcW w:w="200" w:type="dxa"/>
            <w:vAlign w:val="bottom"/>
          </w:tcPr>
          <w:p>
            <w:pPr>
              <w:spacing w:after="0"/>
              <w:rPr>
                <w:sz w:val="14"/>
                <w:szCs w:val="14"/>
                <w:color w:val="auto"/>
              </w:rPr>
            </w:pPr>
          </w:p>
        </w:tc>
        <w:tc>
          <w:tcPr>
            <w:tcW w:w="1860" w:type="dxa"/>
            <w:vAlign w:val="bottom"/>
            <w:gridSpan w:val="3"/>
          </w:tcPr>
          <w:p>
            <w:pPr>
              <w:jc w:val="right"/>
              <w:ind w:right="577"/>
              <w:spacing w:after="0"/>
              <w:rPr>
                <w:sz w:val="20"/>
                <w:szCs w:val="20"/>
                <w:color w:val="auto"/>
              </w:rPr>
            </w:pPr>
            <w:r>
              <w:rPr>
                <w:rFonts w:ascii="Arial" w:cs="Arial" w:eastAsia="Arial" w:hAnsi="Arial"/>
                <w:sz w:val="14"/>
                <w:szCs w:val="14"/>
                <w:color w:val="auto"/>
              </w:rPr>
              <w:t>Predecessor</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2"/>
              <w:spacing w:after="0" w:line="141" w:lineRule="exact"/>
              <w:rPr>
                <w:sz w:val="20"/>
                <w:szCs w:val="20"/>
                <w:color w:val="auto"/>
              </w:rPr>
            </w:pPr>
            <w:r>
              <w:rPr>
                <w:rFonts w:ascii="Arial" w:cs="Arial" w:eastAsia="Arial" w:hAnsi="Arial"/>
                <w:sz w:val="14"/>
                <w:szCs w:val="14"/>
                <w:color w:val="auto"/>
              </w:rPr>
              <w:t>For the</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Period</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For the Period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w w:val="98"/>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January 1,</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2011 to</w:t>
            </w:r>
          </w:p>
        </w:tc>
        <w:tc>
          <w:tcPr>
            <w:tcW w:w="200" w:type="dxa"/>
            <w:vAlign w:val="bottom"/>
          </w:tcPr>
          <w:p>
            <w:pPr>
              <w:spacing w:after="0"/>
              <w:rPr>
                <w:sz w:val="12"/>
                <w:szCs w:val="12"/>
                <w:color w:val="auto"/>
              </w:rPr>
            </w:pPr>
          </w:p>
        </w:tc>
        <w:tc>
          <w:tcPr>
            <w:tcW w:w="840" w:type="dxa"/>
            <w:vAlign w:val="bottom"/>
          </w:tcPr>
          <w:p>
            <w:pPr>
              <w:jc w:val="right"/>
              <w:ind w:right="19"/>
              <w:spacing w:after="0" w:line="149"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2"/>
                <w:szCs w:val="12"/>
                <w:color w:val="auto"/>
              </w:rPr>
            </w:pPr>
          </w:p>
        </w:tc>
        <w:tc>
          <w:tcPr>
            <w:tcW w:w="820" w:type="dxa"/>
            <w:vAlign w:val="bottom"/>
          </w:tcPr>
          <w:p>
            <w:pPr>
              <w:jc w:val="right"/>
              <w:ind w:right="19"/>
              <w:spacing w:after="0" w:line="149"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2"/>
                <w:szCs w:val="12"/>
                <w:color w:val="auto"/>
              </w:rPr>
            </w:pPr>
          </w:p>
        </w:tc>
        <w:tc>
          <w:tcPr>
            <w:tcW w:w="84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7"/>
              </w:rPr>
              <w:t>Year Ended</w:t>
            </w: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color w:val="auto"/>
              </w:rPr>
              <w:t>% Change</w:t>
            </w: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2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8"/>
              </w:rPr>
              <w:t>January 28,</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color w:val="auto"/>
              </w:rPr>
              <w:t>2010 to</w:t>
            </w:r>
          </w:p>
        </w:tc>
        <w:tc>
          <w:tcPr>
            <w:tcW w:w="920" w:type="dxa"/>
            <w:vAlign w:val="bottom"/>
          </w:tcPr>
          <w:p>
            <w:pPr>
              <w:jc w:val="right"/>
              <w:ind w:right="139"/>
              <w:spacing w:after="0" w:line="149" w:lineRule="exact"/>
              <w:rPr>
                <w:sz w:val="20"/>
                <w:szCs w:val="20"/>
                <w:color w:val="auto"/>
              </w:rPr>
            </w:pPr>
            <w:r>
              <w:rPr>
                <w:rFonts w:ascii="Arial" w:cs="Arial" w:eastAsia="Arial" w:hAnsi="Arial"/>
                <w:sz w:val="14"/>
                <w:szCs w:val="14"/>
                <w:color w:val="auto"/>
              </w:rPr>
              <w:t>2009 to</w:t>
            </w:r>
          </w:p>
        </w:tc>
      </w:tr>
      <w:tr>
        <w:trPr>
          <w:trHeight w:val="149"/>
        </w:trPr>
        <w:tc>
          <w:tcPr>
            <w:tcW w:w="40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
              <w:spacing w:after="0" w:line="149" w:lineRule="exact"/>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
              <w:spacing w:after="0" w:line="149" w:lineRule="exact"/>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color w:val="auto"/>
              </w:rPr>
              <w:t>2010</w:t>
            </w:r>
          </w:p>
        </w:tc>
      </w:tr>
      <w:tr>
        <w:trPr>
          <w:trHeight w:val="199"/>
        </w:trPr>
        <w:tc>
          <w:tcPr>
            <w:tcW w:w="40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Distribution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4,063</w:t>
            </w:r>
          </w:p>
        </w:tc>
        <w:tc>
          <w:tcPr>
            <w:tcW w:w="18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4,251</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2,366</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2,220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79.7%</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7"/>
                <w:szCs w:val="17"/>
                <w:color w:val="auto"/>
              </w:rPr>
            </w:pPr>
          </w:p>
        </w:tc>
        <w:tc>
          <w:tcPr>
            <w:tcW w:w="8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3,120</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3,282</w:t>
            </w:r>
          </w:p>
        </w:tc>
        <w:tc>
          <w:tcPr>
            <w:tcW w:w="200" w:type="dxa"/>
            <w:vAlign w:val="bottom"/>
          </w:tcPr>
          <w:p>
            <w:pPr>
              <w:spacing w:after="0"/>
              <w:rPr>
                <w:sz w:val="17"/>
                <w:szCs w:val="17"/>
                <w:color w:val="auto"/>
              </w:rPr>
            </w:pPr>
          </w:p>
        </w:tc>
        <w:tc>
          <w:tcPr>
            <w:tcW w:w="8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2,170</w:t>
            </w:r>
          </w:p>
        </w:tc>
        <w:tc>
          <w:tcPr>
            <w:tcW w:w="200" w:type="dxa"/>
            <w:vAlign w:val="bottom"/>
          </w:tcPr>
          <w:p>
            <w:pPr>
              <w:spacing w:after="0"/>
              <w:rPr>
                <w:sz w:val="17"/>
                <w:szCs w:val="17"/>
                <w:color w:val="auto"/>
              </w:rPr>
            </w:pPr>
          </w:p>
        </w:tc>
        <w:tc>
          <w:tcPr>
            <w:tcW w:w="8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2,006</w:t>
            </w:r>
          </w:p>
        </w:tc>
        <w:tc>
          <w:tcPr>
            <w:tcW w:w="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51.3</w:t>
            </w:r>
          </w:p>
        </w:tc>
        <w:tc>
          <w:tcPr>
            <w:tcW w:w="9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8.2</w:t>
            </w:r>
          </w:p>
        </w:tc>
      </w:tr>
      <w:tr>
        <w:trPr>
          <w:trHeight w:val="199"/>
        </w:trPr>
        <w:tc>
          <w:tcPr>
            <w:tcW w:w="20" w:type="dxa"/>
            <w:vAlign w:val="bottom"/>
          </w:tcPr>
          <w:p>
            <w:pPr>
              <w:spacing w:after="0"/>
              <w:rPr>
                <w:sz w:val="17"/>
                <w:szCs w:val="17"/>
                <w:color w:val="auto"/>
              </w:rPr>
            </w:pPr>
          </w:p>
        </w:tc>
        <w:tc>
          <w:tcPr>
            <w:tcW w:w="40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693</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732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418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361</w:t>
            </w:r>
          </w:p>
        </w:tc>
        <w:tc>
          <w:tcPr>
            <w:tcW w:w="9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74.6</w:t>
            </w:r>
          </w:p>
        </w:tc>
        <w:tc>
          <w:tcPr>
            <w:tcW w:w="9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15.8</w:t>
            </w:r>
          </w:p>
        </w:tc>
      </w:tr>
      <w:tr>
        <w:trPr>
          <w:trHeight w:val="199"/>
        </w:trPr>
        <w:tc>
          <w:tcPr>
            <w:tcW w:w="20" w:type="dxa"/>
            <w:vAlign w:val="bottom"/>
          </w:tcPr>
          <w:p>
            <w:pPr>
              <w:spacing w:after="0"/>
              <w:rPr>
                <w:sz w:val="17"/>
                <w:szCs w:val="17"/>
                <w:color w:val="auto"/>
              </w:rPr>
            </w:pPr>
          </w:p>
        </w:tc>
        <w:tc>
          <w:tcPr>
            <w:tcW w:w="4060" w:type="dxa"/>
            <w:vAlign w:val="bottom"/>
          </w:tcPr>
          <w:p>
            <w:pPr>
              <w:spacing w:after="0" w:line="200"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7"/>
                <w:szCs w:val="17"/>
                <w:color w:val="auto"/>
              </w:rPr>
            </w:pPr>
          </w:p>
        </w:tc>
        <w:tc>
          <w:tcPr>
            <w:tcW w:w="860" w:type="dxa"/>
            <w:vAlign w:val="bottom"/>
          </w:tcPr>
          <w:p>
            <w:pPr>
              <w:jc w:val="right"/>
              <w:ind w:right="42"/>
              <w:spacing w:after="0" w:line="200" w:lineRule="exact"/>
              <w:rPr>
                <w:sz w:val="20"/>
                <w:szCs w:val="20"/>
                <w:color w:val="auto"/>
              </w:rPr>
            </w:pPr>
            <w:r>
              <w:rPr>
                <w:rFonts w:ascii="Arial" w:cs="Arial" w:eastAsia="Arial" w:hAnsi="Arial"/>
                <w:sz w:val="18"/>
                <w:szCs w:val="18"/>
                <w:color w:val="auto"/>
              </w:rPr>
              <w:t>7,876</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7"/>
                <w:szCs w:val="17"/>
                <w:color w:val="auto"/>
              </w:rPr>
            </w:pPr>
          </w:p>
        </w:tc>
        <w:tc>
          <w:tcPr>
            <w:tcW w:w="840" w:type="dxa"/>
            <w:vAlign w:val="bottom"/>
          </w:tcPr>
          <w:p>
            <w:pPr>
              <w:jc w:val="right"/>
              <w:ind w:right="19"/>
              <w:spacing w:after="0" w:line="200" w:lineRule="exact"/>
              <w:rPr>
                <w:sz w:val="20"/>
                <w:szCs w:val="20"/>
                <w:color w:val="auto"/>
              </w:rPr>
            </w:pPr>
            <w:r>
              <w:rPr>
                <w:rFonts w:ascii="Arial" w:cs="Arial" w:eastAsia="Arial" w:hAnsi="Arial"/>
                <w:sz w:val="18"/>
                <w:szCs w:val="18"/>
                <w:color w:val="auto"/>
              </w:rPr>
              <w:t>8,265</w:t>
            </w:r>
          </w:p>
        </w:tc>
        <w:tc>
          <w:tcPr>
            <w:tcW w:w="200" w:type="dxa"/>
            <w:vAlign w:val="bottom"/>
          </w:tcPr>
          <w:p>
            <w:pPr>
              <w:spacing w:after="0"/>
              <w:rPr>
                <w:sz w:val="17"/>
                <w:szCs w:val="17"/>
                <w:color w:val="auto"/>
              </w:rPr>
            </w:pPr>
          </w:p>
        </w:tc>
        <w:tc>
          <w:tcPr>
            <w:tcW w:w="8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4,954</w:t>
            </w:r>
          </w:p>
        </w:tc>
        <w:tc>
          <w:tcPr>
            <w:tcW w:w="200" w:type="dxa"/>
            <w:vAlign w:val="bottom"/>
          </w:tcPr>
          <w:p>
            <w:pPr>
              <w:spacing w:after="0"/>
              <w:rPr>
                <w:sz w:val="17"/>
                <w:szCs w:val="17"/>
                <w:color w:val="auto"/>
              </w:rPr>
            </w:pPr>
          </w:p>
        </w:tc>
        <w:tc>
          <w:tcPr>
            <w:tcW w:w="84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4,587</w:t>
            </w:r>
          </w:p>
        </w:tc>
        <w:tc>
          <w:tcPr>
            <w:tcW w:w="92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66.8</w:t>
            </w:r>
          </w:p>
        </w:tc>
        <w:tc>
          <w:tcPr>
            <w:tcW w:w="92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8.0</w:t>
            </w:r>
          </w:p>
        </w:tc>
      </w:tr>
      <w:tr>
        <w:trPr>
          <w:trHeight w:val="199"/>
        </w:trPr>
        <w:tc>
          <w:tcPr>
            <w:tcW w:w="40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4,757</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5,003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2,607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2,452</w:t>
            </w:r>
          </w:p>
        </w:tc>
        <w:tc>
          <w:tcPr>
            <w:tcW w:w="9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91.9</w:t>
            </w:r>
          </w:p>
        </w:tc>
        <w:tc>
          <w:tcPr>
            <w:tcW w:w="92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6.3</w:t>
            </w:r>
          </w:p>
        </w:tc>
      </w:tr>
      <w:tr>
        <w:trPr>
          <w:trHeight w:val="177"/>
        </w:trPr>
        <w:tc>
          <w:tcPr>
            <w:tcW w:w="40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53439A"/>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ind w:right="42"/>
              <w:spacing w:after="0"/>
              <w:rPr>
                <w:sz w:val="20"/>
                <w:szCs w:val="20"/>
                <w:color w:val="auto"/>
              </w:rPr>
            </w:pPr>
            <w:r>
              <w:rPr>
                <w:rFonts w:ascii="Arial" w:cs="Arial" w:eastAsia="Arial" w:hAnsi="Arial"/>
                <w:sz w:val="18"/>
                <w:szCs w:val="18"/>
                <w:color w:val="auto"/>
              </w:rPr>
              <w:t>3,119</w:t>
            </w:r>
          </w:p>
        </w:tc>
        <w:tc>
          <w:tcPr>
            <w:tcW w:w="18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53439A"/>
            </w:tcBorders>
          </w:tcPr>
          <w:p>
            <w:pPr>
              <w:jc w:val="right"/>
              <w:ind w:right="19"/>
              <w:spacing w:after="0"/>
              <w:rPr>
                <w:sz w:val="20"/>
                <w:szCs w:val="20"/>
                <w:color w:val="auto"/>
              </w:rPr>
            </w:pPr>
            <w:r>
              <w:rPr>
                <w:rFonts w:ascii="Arial" w:cs="Arial" w:eastAsia="Arial" w:hAnsi="Arial"/>
                <w:sz w:val="18"/>
                <w:szCs w:val="18"/>
                <w:color w:val="auto"/>
              </w:rPr>
              <w:t>3,262</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ind w:right="19"/>
              <w:spacing w:after="0"/>
              <w:rPr>
                <w:sz w:val="20"/>
                <w:szCs w:val="20"/>
                <w:color w:val="auto"/>
              </w:rPr>
            </w:pPr>
            <w:r>
              <w:rPr>
                <w:rFonts w:ascii="Arial" w:cs="Arial" w:eastAsia="Arial" w:hAnsi="Arial"/>
                <w:sz w:val="18"/>
                <w:szCs w:val="18"/>
                <w:color w:val="auto"/>
              </w:rPr>
              <w:t>2,347</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17"/>
              <w:spacing w:after="0"/>
              <w:rPr>
                <w:sz w:val="20"/>
                <w:szCs w:val="20"/>
                <w:color w:val="auto"/>
              </w:rPr>
            </w:pPr>
            <w:r>
              <w:rPr>
                <w:rFonts w:ascii="Arial" w:cs="Arial" w:eastAsia="Arial" w:hAnsi="Arial"/>
                <w:sz w:val="18"/>
                <w:szCs w:val="18"/>
                <w:color w:val="auto"/>
              </w:rPr>
              <w:t>2,135</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39.0%</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9.9%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Distribution</w:t>
      </w:r>
    </w:p>
    <w:p>
      <w:pPr>
        <w:ind w:right="420"/>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Distribution revenue in 2011 includes $1.7 billion attributable to the Comcast Content Business. Excluding the impact of the Comcast Content Business, distribution revenue increased in 2011 and 2010 primarily due to rate increases and increases in the number of subscribers to our cable networks. In 2011, 13% of our Cable Networks segment revenue was generated from transactions with Comcast.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Advertising</w:t>
      </w:r>
    </w:p>
    <w:p>
      <w:pPr>
        <w:ind w:right="160"/>
        <w:spacing w:after="0" w:line="237" w:lineRule="auto"/>
        <w:rPr>
          <w:sz w:val="20"/>
          <w:szCs w:val="20"/>
          <w:color w:val="auto"/>
        </w:rPr>
      </w:pPr>
      <w:r>
        <w:rPr>
          <w:rFonts w:ascii="Arial" w:cs="Arial" w:eastAsia="Arial" w:hAnsi="Arial"/>
          <w:sz w:val="18"/>
          <w:szCs w:val="18"/>
          <w:color w:val="auto"/>
        </w:rPr>
        <w:t>Advertising revenue is generated from the sale of advertising time on our cable networks and related digital media properties. Our advertising revenue depends on audience ratings, the value of the demographics of our cable networks’ viewers to advertisers and the number of advertising units we can place in our cable networks’ programming schedules. Advertising revenue is affected by the strength of the advertising market, general economic conditions and the success of our programming.</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Advertising revenue in 2011 includes $907 million attributable to the Comcast Content Business. Excluding the impact of the Comcast Content Business, advertising revenue increased in 2011 primarily due to increases in the price of advertising units sold. Advertising revenue increased in 2010 primarily due to improvements in the overall television advertising market, which exceeded the adverse impact of lower ratings at some of our cable networks.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Other</w:t>
      </w:r>
    </w:p>
    <w:p>
      <w:pPr>
        <w:ind w:right="140"/>
        <w:spacing w:after="0" w:line="238" w:lineRule="auto"/>
        <w:rPr>
          <w:sz w:val="20"/>
          <w:szCs w:val="20"/>
          <w:color w:val="auto"/>
        </w:rPr>
      </w:pPr>
      <w:r>
        <w:rPr>
          <w:rFonts w:ascii="Arial" w:cs="Arial" w:eastAsia="Arial" w:hAnsi="Arial"/>
          <w:sz w:val="18"/>
          <w:szCs w:val="18"/>
          <w:color w:val="auto"/>
        </w:rPr>
        <w:t>We also generate revenue from the licensing and sale of our owned programming. Other revenue in 2011 includes $211 million attributable to the Comcast Content Business. Excluding the impact of the Comcast Content Business, revenue increased in 2011 and 2010 primarily due to increases in the licensing of our owned content from our cable production studio.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Cable Networks segment operating costs and expenses consist primarily of programming and production expenses, advertising and marketing expenses, and other operating costs and expenses. Programming and</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112" w:name="page113"/>
    <w:bookmarkEnd w:id="112"/>
    <w:p>
      <w:pPr>
        <w:ind w:right="1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production expenses include the amortization of owned and acquired programming, direct production costs, residual and participation payments, production overhead, and on-air talent costs. Advertising and marketing expenses primarily consist of the costs incurred in promoting our cable networks, costs associated with digital media, and the costs of licensing our programming to third-party networks and other distribution platforms. Other operating costs and expenses include salaries, employee benefits, rent and other overhead expenses.</w:t>
      </w:r>
    </w:p>
    <w:p>
      <w:pPr>
        <w:spacing w:after="0" w:line="1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operating costs and expenses in 2011 include $2 billion of expenses associated with the Comcast Content Business. In addition, operating costs and expenses increased in 2011 primarily due to higher programming and production expenses associated with an increase in the volume of original programming. Operating costs and expenses increased in 2010 due to higher programming and production expenses and an increase in advertising and marketing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 xml:space="preserve">Broadcast Television Segment </w:t>
      </w:r>
      <w:r>
        <w:rPr>
          <w:rFonts w:ascii="Arial" w:cs="Arial" w:eastAsia="Arial" w:hAnsi="Arial"/>
          <w:sz w:val="18"/>
          <w:szCs w:val="18"/>
          <w:b w:val="1"/>
          <w:bCs w:val="1"/>
          <w:i w:val="1"/>
          <w:iCs w:val="1"/>
          <w:color w:val="53439A"/>
        </w:rPr>
        <w:t>–</w:t>
      </w:r>
      <w:r>
        <w:rPr>
          <w:rFonts w:ascii="Arial" w:cs="Arial" w:eastAsia="Arial" w:hAnsi="Arial"/>
          <w:sz w:val="18"/>
          <w:szCs w:val="18"/>
          <w:b w:val="1"/>
          <w:bCs w:val="1"/>
          <w:color w:val="53439A"/>
        </w:rPr>
        <w:t xml:space="preser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Predecessor</w:t>
            </w:r>
          </w:p>
        </w:tc>
        <w:tc>
          <w:tcPr>
            <w:tcW w:w="18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color w:val="auto"/>
                <w:w w:val="93"/>
              </w:rPr>
              <w:t>Combined</w:t>
            </w:r>
          </w:p>
        </w:tc>
        <w:tc>
          <w:tcPr>
            <w:tcW w:w="220" w:type="dxa"/>
            <w:vAlign w:val="bottom"/>
          </w:tcPr>
          <w:p>
            <w:pPr>
              <w:spacing w:after="0"/>
              <w:rPr>
                <w:sz w:val="14"/>
                <w:szCs w:val="14"/>
                <w:color w:val="auto"/>
              </w:rPr>
            </w:pPr>
          </w:p>
        </w:tc>
        <w:tc>
          <w:tcPr>
            <w:tcW w:w="1860" w:type="dxa"/>
            <w:vAlign w:val="bottom"/>
            <w:gridSpan w:val="3"/>
          </w:tcPr>
          <w:p>
            <w:pPr>
              <w:jc w:val="right"/>
              <w:ind w:right="597"/>
              <w:spacing w:after="0"/>
              <w:rPr>
                <w:sz w:val="20"/>
                <w:szCs w:val="20"/>
                <w:color w:val="auto"/>
              </w:rPr>
            </w:pPr>
            <w:r>
              <w:rPr>
                <w:rFonts w:ascii="Arial" w:cs="Arial" w:eastAsia="Arial" w:hAnsi="Arial"/>
                <w:sz w:val="14"/>
                <w:szCs w:val="14"/>
                <w:color w:val="auto"/>
              </w:rPr>
              <w:t>Predecessor</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0"/>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0"/>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40"/>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40"/>
              <w:spacing w:after="0" w:line="149"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4"/>
              </w:rPr>
              <w:t>Year Ended</w:t>
            </w:r>
          </w:p>
        </w:tc>
        <w:tc>
          <w:tcPr>
            <w:tcW w:w="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4"/>
              </w:rPr>
              <w:t>Year Ended</w:t>
            </w:r>
          </w:p>
        </w:tc>
        <w:tc>
          <w:tcPr>
            <w:tcW w:w="98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 Change</w:t>
            </w:r>
          </w:p>
        </w:tc>
        <w:tc>
          <w:tcPr>
            <w:tcW w:w="96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4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5"/>
              </w:rPr>
              <w:t>January 28,</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98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2010 to</w:t>
            </w:r>
          </w:p>
        </w:tc>
        <w:tc>
          <w:tcPr>
            <w:tcW w:w="96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2009 to</w:t>
            </w:r>
          </w:p>
        </w:tc>
      </w:tr>
      <w:tr>
        <w:trPr>
          <w:trHeight w:val="163"/>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2009</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2010</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3,941</w:t>
            </w:r>
          </w:p>
        </w:tc>
        <w:tc>
          <w:tcPr>
            <w:tcW w:w="20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315</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4,256</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4,813</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4,164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9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15.6%</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 w:type="dxa"/>
            <w:vAlign w:val="bottom"/>
          </w:tcPr>
          <w:p>
            <w:pPr>
              <w:spacing w:after="0"/>
              <w:rPr>
                <w:sz w:val="17"/>
                <w:szCs w:val="17"/>
                <w:color w:val="auto"/>
              </w:rPr>
            </w:pPr>
          </w:p>
        </w:tc>
        <w:tc>
          <w:tcPr>
            <w:tcW w:w="8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1,509</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1,315</w:t>
            </w:r>
          </w:p>
        </w:tc>
        <w:tc>
          <w:tcPr>
            <w:tcW w:w="220" w:type="dxa"/>
            <w:vAlign w:val="bottom"/>
          </w:tcPr>
          <w:p>
            <w:pPr>
              <w:spacing w:after="0"/>
              <w:rPr>
                <w:sz w:val="17"/>
                <w:szCs w:val="17"/>
                <w:color w:val="auto"/>
              </w:rPr>
            </w:pPr>
          </w:p>
        </w:tc>
        <w:tc>
          <w:tcPr>
            <w:tcW w:w="8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1,318</w:t>
            </w:r>
          </w:p>
        </w:tc>
        <w:tc>
          <w:tcPr>
            <w:tcW w:w="98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23.2</w:t>
            </w:r>
          </w:p>
        </w:tc>
        <w:tc>
          <w:tcPr>
            <w:tcW w:w="96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(0.2)</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485</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38</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760</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684</w:t>
            </w:r>
          </w:p>
        </w:tc>
        <w:tc>
          <w:tcPr>
            <w:tcW w:w="98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(31.2)</w:t>
            </w:r>
          </w:p>
        </w:tc>
        <w:tc>
          <w:tcPr>
            <w:tcW w:w="960" w:type="dxa"/>
            <w:vAlign w:val="bottom"/>
            <w:tcBorders>
              <w:bottom w:val="single" w:sz="8" w:color="auto"/>
            </w:tcBorders>
          </w:tcPr>
          <w:p>
            <w:pPr>
              <w:jc w:val="right"/>
              <w:ind w:right="199"/>
              <w:spacing w:after="0" w:line="200" w:lineRule="exact"/>
              <w:rPr>
                <w:sz w:val="20"/>
                <w:szCs w:val="20"/>
                <w:color w:val="auto"/>
              </w:rPr>
            </w:pPr>
            <w:r>
              <w:rPr>
                <w:rFonts w:ascii="Arial" w:cs="Arial" w:eastAsia="Arial" w:hAnsi="Arial"/>
                <w:sz w:val="18"/>
                <w:szCs w:val="18"/>
                <w:color w:val="auto"/>
              </w:rPr>
              <w:t>11.1</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7"/>
                <w:szCs w:val="17"/>
                <w:color w:val="auto"/>
              </w:rPr>
            </w:pPr>
          </w:p>
        </w:tc>
        <w:tc>
          <w:tcPr>
            <w:tcW w:w="860" w:type="dxa"/>
            <w:vAlign w:val="bottom"/>
          </w:tcPr>
          <w:p>
            <w:pPr>
              <w:jc w:val="right"/>
              <w:ind w:right="20"/>
              <w:spacing w:after="0" w:line="200" w:lineRule="exact"/>
              <w:rPr>
                <w:sz w:val="20"/>
                <w:szCs w:val="20"/>
                <w:color w:val="auto"/>
              </w:rPr>
            </w:pPr>
            <w:r>
              <w:rPr>
                <w:rFonts w:ascii="Arial" w:cs="Arial" w:eastAsia="Arial" w:hAnsi="Arial"/>
                <w:sz w:val="18"/>
                <w:szCs w:val="18"/>
                <w:color w:val="auto"/>
              </w:rPr>
              <w:t>5,935</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0"/>
              <w:spacing w:after="0" w:line="200" w:lineRule="exact"/>
              <w:rPr>
                <w:sz w:val="20"/>
                <w:szCs w:val="20"/>
                <w:color w:val="auto"/>
              </w:rPr>
            </w:pPr>
            <w:r>
              <w:rPr>
                <w:rFonts w:ascii="Arial" w:cs="Arial" w:eastAsia="Arial" w:hAnsi="Arial"/>
                <w:sz w:val="18"/>
                <w:szCs w:val="18"/>
                <w:color w:val="auto"/>
              </w:rPr>
              <w:t>464</w:t>
            </w: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6,399</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6,888</w:t>
            </w:r>
          </w:p>
        </w:tc>
        <w:tc>
          <w:tcPr>
            <w:tcW w:w="220" w:type="dxa"/>
            <w:vAlign w:val="bottom"/>
          </w:tcPr>
          <w:p>
            <w:pPr>
              <w:spacing w:after="0"/>
              <w:rPr>
                <w:sz w:val="17"/>
                <w:szCs w:val="17"/>
                <w:color w:val="auto"/>
              </w:rPr>
            </w:pPr>
          </w:p>
        </w:tc>
        <w:tc>
          <w:tcPr>
            <w:tcW w:w="8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6,166</w:t>
            </w:r>
          </w:p>
        </w:tc>
        <w:tc>
          <w:tcPr>
            <w:tcW w:w="980" w:type="dxa"/>
            <w:vAlign w:val="bottom"/>
          </w:tcPr>
          <w:p>
            <w:pPr>
              <w:jc w:val="right"/>
              <w:ind w:right="139"/>
              <w:spacing w:after="0" w:line="200" w:lineRule="exact"/>
              <w:rPr>
                <w:sz w:val="20"/>
                <w:szCs w:val="20"/>
                <w:color w:val="auto"/>
              </w:rPr>
            </w:pPr>
            <w:r>
              <w:rPr>
                <w:rFonts w:ascii="Arial" w:cs="Arial" w:eastAsia="Arial" w:hAnsi="Arial"/>
                <w:sz w:val="18"/>
                <w:szCs w:val="18"/>
                <w:color w:val="auto"/>
              </w:rPr>
              <w:t>(7.1)</w:t>
            </w:r>
          </w:p>
        </w:tc>
        <w:tc>
          <w:tcPr>
            <w:tcW w:w="960" w:type="dxa"/>
            <w:vAlign w:val="bottom"/>
          </w:tcPr>
          <w:p>
            <w:pPr>
              <w:jc w:val="right"/>
              <w:ind w:right="199"/>
              <w:spacing w:after="0" w:line="200" w:lineRule="exact"/>
              <w:rPr>
                <w:sz w:val="20"/>
                <w:szCs w:val="20"/>
                <w:color w:val="auto"/>
              </w:rPr>
            </w:pPr>
            <w:r>
              <w:rPr>
                <w:rFonts w:ascii="Arial" w:cs="Arial" w:eastAsia="Arial" w:hAnsi="Arial"/>
                <w:sz w:val="18"/>
                <w:szCs w:val="18"/>
                <w:color w:val="auto"/>
              </w:rPr>
              <w:t>11.7</w:t>
            </w:r>
          </w:p>
        </w:tc>
      </w:tr>
      <w:tr>
        <w:trPr>
          <w:trHeight w:val="199"/>
        </w:trPr>
        <w:tc>
          <w:tcPr>
            <w:tcW w:w="3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5,797</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480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6,277</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6,764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5,721</w:t>
            </w:r>
          </w:p>
        </w:tc>
        <w:tc>
          <w:tcPr>
            <w:tcW w:w="980" w:type="dxa"/>
            <w:vAlign w:val="bottom"/>
            <w:tcBorders>
              <w:bottom w:val="single" w:sz="8" w:color="auto"/>
            </w:tcBorders>
          </w:tcPr>
          <w:p>
            <w:pPr>
              <w:jc w:val="right"/>
              <w:ind w:right="139"/>
              <w:spacing w:after="0" w:line="200" w:lineRule="exact"/>
              <w:rPr>
                <w:sz w:val="20"/>
                <w:szCs w:val="20"/>
                <w:color w:val="auto"/>
              </w:rPr>
            </w:pPr>
            <w:r>
              <w:rPr>
                <w:rFonts w:ascii="Arial" w:cs="Arial" w:eastAsia="Arial" w:hAnsi="Arial"/>
                <w:sz w:val="18"/>
                <w:szCs w:val="18"/>
                <w:color w:val="auto"/>
              </w:rPr>
              <w:t>(7.2)</w:t>
            </w:r>
          </w:p>
        </w:tc>
        <w:tc>
          <w:tcPr>
            <w:tcW w:w="960" w:type="dxa"/>
            <w:vAlign w:val="bottom"/>
            <w:tcBorders>
              <w:bottom w:val="single" w:sz="8" w:color="auto"/>
            </w:tcBorders>
          </w:tcPr>
          <w:p>
            <w:pPr>
              <w:jc w:val="right"/>
              <w:ind w:right="199"/>
              <w:spacing w:after="0" w:line="200" w:lineRule="exact"/>
              <w:rPr>
                <w:sz w:val="20"/>
                <w:szCs w:val="20"/>
                <w:color w:val="auto"/>
              </w:rPr>
            </w:pPr>
            <w:r>
              <w:rPr>
                <w:rFonts w:ascii="Arial" w:cs="Arial" w:eastAsia="Arial" w:hAnsi="Arial"/>
                <w:sz w:val="18"/>
                <w:szCs w:val="18"/>
                <w:color w:val="auto"/>
              </w:rPr>
              <w:t>18.2</w:t>
            </w:r>
          </w:p>
        </w:tc>
      </w:tr>
      <w:tr>
        <w:trPr>
          <w:trHeight w:val="177"/>
        </w:trPr>
        <w:tc>
          <w:tcPr>
            <w:tcW w:w="396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3940" w:type="dxa"/>
            <w:vAlign w:val="bottom"/>
            <w:tcBorders>
              <w:bottom w:val="single" w:sz="8" w:color="53439A"/>
            </w:tcBorders>
          </w:tcPr>
          <w:p>
            <w:pPr>
              <w:ind w:left="200"/>
              <w:spacing w:after="0"/>
              <w:rPr>
                <w:sz w:val="20"/>
                <w:szCs w:val="20"/>
                <w:color w:val="auto"/>
              </w:rPr>
            </w:pPr>
            <w:r>
              <w:rPr>
                <w:rFonts w:ascii="Arial" w:cs="Arial" w:eastAsia="Arial" w:hAnsi="Arial"/>
                <w:sz w:val="18"/>
                <w:szCs w:val="18"/>
                <w:b w:val="1"/>
                <w:bCs w:val="1"/>
                <w:color w:val="auto"/>
              </w:rPr>
              <w:t>and amortization</w:t>
            </w:r>
          </w:p>
        </w:tc>
        <w:tc>
          <w:tcPr>
            <w:tcW w:w="1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ind w:right="20"/>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53439A"/>
            </w:tcBorders>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37"/>
              <w:spacing w:after="0"/>
              <w:rPr>
                <w:sz w:val="20"/>
                <w:szCs w:val="20"/>
                <w:color w:val="auto"/>
              </w:rPr>
            </w:pPr>
            <w:r>
              <w:rPr>
                <w:rFonts w:ascii="Arial" w:cs="Arial" w:eastAsia="Arial" w:hAnsi="Arial"/>
                <w:sz w:val="18"/>
                <w:szCs w:val="18"/>
                <w:color w:val="auto"/>
              </w:rPr>
              <w:t>445</w:t>
            </w:r>
          </w:p>
        </w:tc>
        <w:tc>
          <w:tcPr>
            <w:tcW w:w="9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(1.2)%</w:t>
            </w:r>
          </w:p>
        </w:tc>
        <w:tc>
          <w:tcPr>
            <w:tcW w:w="96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(72.1)%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Advertising</w:t>
      </w:r>
    </w:p>
    <w:p>
      <w:pPr>
        <w:spacing w:after="0" w:line="275" w:lineRule="auto"/>
        <w:rPr>
          <w:sz w:val="20"/>
          <w:szCs w:val="20"/>
          <w:color w:val="auto"/>
        </w:rPr>
      </w:pPr>
      <w:r>
        <w:rPr>
          <w:rFonts w:ascii="Arial" w:cs="Arial" w:eastAsia="Arial" w:hAnsi="Arial"/>
          <w:sz w:val="16"/>
          <w:szCs w:val="16"/>
          <w:color w:val="auto"/>
        </w:rPr>
        <w:t>Advertising revenue is generated from the sale of advertising time on our broadcast networks, owned local television stations and related digital media properties. Our advertising revenue is generally based on audience ratings, the value of our viewer demographics to advertisers, and the number of advertising units we can place in our broadcast networks’ and owned television stations’ programming schedules. Advertising revenue is affected by the strength of national and local advertising markets, general economic conditions and the success of our programming.</w:t>
      </w:r>
    </w:p>
    <w:p>
      <w:pPr>
        <w:spacing w:after="0" w:line="12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advertising revenue decreased in 2011 primarily due to $601 million of revenue recognized in 2010 related to the 2010 Vancouver Olympics. Excluding the impact of the 2010 Vancouver Olympics, advertising revenue increased $44 million in 2011 primarily due to an increase in the price of advertising units sold, which exceeded the adverse effects of the decline in audience ratings in our primetime schedule. Advertising revenue increased in 2010 due to the impact of the 2010 Vancouver Olympics.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29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Content Licensing</w:t>
      </w:r>
    </w:p>
    <w:p>
      <w:pPr>
        <w:ind w:right="20"/>
        <w:spacing w:after="0" w:line="236"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Content licensing revenue depends on the length and terms of the initial network license for our owned programming, consumer acceptance of our programming and our ability to subsequently license that programming to other networks, both in the United States and internationally, and to individual local U.S. television stations. In recent years, the production and distribution costs related to our owned programming have exceeded the revenue generated from the initial network license by an increasing amount. The licensing of our owned television programming after the initial network licensing is critical to the financial success of a television series.</w:t>
      </w:r>
    </w:p>
    <w:p>
      <w:pPr>
        <w:spacing w:after="0" w:line="15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content licensing revenue increased in 2011 primarily due to the impact of licensing agreements that we entered during 2011, which included the licensing of certain prior season and library content. Our content licensing revenue in 2010 remained consistent with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3439A"/>
        </w:rPr>
        <w:t>Other</w:t>
      </w:r>
    </w:p>
    <w:p>
      <w:pPr>
        <w:ind w:right="40"/>
        <w:spacing w:after="0" w:line="237" w:lineRule="auto"/>
        <w:rPr>
          <w:sz w:val="20"/>
          <w:szCs w:val="20"/>
          <w:color w:val="auto"/>
        </w:rPr>
      </w:pPr>
      <w:r>
        <w:rPr>
          <w:rFonts w:ascii="Arial" w:cs="Arial" w:eastAsia="Arial" w:hAnsi="Arial"/>
          <w:sz w:val="18"/>
          <w:szCs w:val="18"/>
          <w:color w:val="auto"/>
        </w:rPr>
        <w:t>Other revenue includes distribution revenue associated with the broadcast of the Olympic Games on our Cable Networks. We also generate revenue from the sale of our owned programming on DVDs, through electronic sell-through and other formats, and from the licensing of our brands and characters for consumer products. This revenue is driven primarily by the popularity of our broadcast networks and programming series and, therefore, fluctuates based on consumer spending and acceptance.</w:t>
      </w:r>
    </w:p>
    <w:p>
      <w:pPr>
        <w:spacing w:after="0" w:line="155"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Other revenue decreased in 2011 primarily due to the absence of the 2010 Vancouver Olympics and a decline in DVD sales. Other revenue increased in 2010 primarily due to the 2010 Vancouver Olympics.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Broadcast Television segment operating costs and expenses consist primarily of programming and production expenses, advertising and marketing expenses, and other operating costs and expenses. Programming and production expenses relate to content originating on our broadcast networks and owned local television stations and include the amortization of owned and acquired programming costs, direct production costs, residual and participation payments, production overhead, and on-air talent costs. Advertising and marketing expenses consist primarily of the costs incurred in promoting our owned television programming, as well as the replication, distribution and marketing costs of DVDs, costs associated with digital media, and the costs of licensing our programming to third parties and other distribution platforms. Other operating costs and expenses include salaries, employee benefits, rent and other overhead expenses.</w:t>
      </w:r>
    </w:p>
    <w:p>
      <w:pPr>
        <w:spacing w:after="0" w:line="15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operating costs and expenses decreased in 2011 primarily due to $1 billion of programming and production expenses recognized in 2010 associated with the 2010 Vancouver Olympics. Excluding the impact of the 2010 Vancouver Olympics, operating costs and expenses increased in 2011 primarily due to higher programming and production expenses associated with a greater number of original primetime series in 2011, as well as an increase in amortization of television costs resulting from the application of acquisition accounting. Operating costs and expenses in 2010, excluding the impact of the 2010 Vancouver Olympics, remained consistent with 2009.</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Filmed Entertainment Segment –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80"/>
              <w:spacing w:after="0"/>
              <w:rPr>
                <w:sz w:val="20"/>
                <w:szCs w:val="20"/>
                <w:color w:val="auto"/>
              </w:rPr>
            </w:pPr>
            <w:r>
              <w:rPr>
                <w:rFonts w:ascii="Arial" w:cs="Arial" w:eastAsia="Arial" w:hAnsi="Arial"/>
                <w:sz w:val="14"/>
                <w:szCs w:val="14"/>
                <w:color w:val="auto"/>
                <w:w w:val="99"/>
              </w:rPr>
              <w:t>Predecessor</w:t>
            </w:r>
          </w:p>
        </w:tc>
        <w:tc>
          <w:tcPr>
            <w:tcW w:w="200" w:type="dxa"/>
            <w:vAlign w:val="bottom"/>
          </w:tcPr>
          <w:p>
            <w:pPr>
              <w:spacing w:after="0"/>
              <w:rPr>
                <w:sz w:val="14"/>
                <w:szCs w:val="14"/>
                <w:color w:val="auto"/>
              </w:rPr>
            </w:pPr>
          </w:p>
        </w:tc>
        <w:tc>
          <w:tcPr>
            <w:tcW w:w="840" w:type="dxa"/>
            <w:vAlign w:val="bottom"/>
          </w:tcPr>
          <w:p>
            <w:pPr>
              <w:jc w:val="right"/>
              <w:ind w:right="118"/>
              <w:spacing w:after="0"/>
              <w:rPr>
                <w:sz w:val="20"/>
                <w:szCs w:val="20"/>
                <w:color w:val="auto"/>
              </w:rPr>
            </w:pPr>
            <w:r>
              <w:rPr>
                <w:rFonts w:ascii="Arial" w:cs="Arial" w:eastAsia="Arial" w:hAnsi="Arial"/>
                <w:sz w:val="14"/>
                <w:szCs w:val="14"/>
                <w:color w:val="auto"/>
                <w:w w:val="97"/>
              </w:rPr>
              <w:t>Combined</w:t>
            </w:r>
          </w:p>
        </w:tc>
        <w:tc>
          <w:tcPr>
            <w:tcW w:w="200" w:type="dxa"/>
            <w:vAlign w:val="bottom"/>
          </w:tcPr>
          <w:p>
            <w:pPr>
              <w:spacing w:after="0"/>
              <w:rPr>
                <w:sz w:val="14"/>
                <w:szCs w:val="14"/>
                <w:color w:val="auto"/>
              </w:rPr>
            </w:pPr>
          </w:p>
        </w:tc>
        <w:tc>
          <w:tcPr>
            <w:tcW w:w="1860" w:type="dxa"/>
            <w:vAlign w:val="bottom"/>
            <w:gridSpan w:val="3"/>
          </w:tcPr>
          <w:p>
            <w:pPr>
              <w:jc w:val="right"/>
              <w:ind w:right="577"/>
              <w:spacing w:after="0"/>
              <w:rPr>
                <w:sz w:val="20"/>
                <w:szCs w:val="20"/>
                <w:color w:val="auto"/>
              </w:rPr>
            </w:pPr>
            <w:r>
              <w:rPr>
                <w:rFonts w:ascii="Arial" w:cs="Arial" w:eastAsia="Arial" w:hAnsi="Arial"/>
                <w:sz w:val="14"/>
                <w:szCs w:val="14"/>
                <w:color w:val="auto"/>
              </w:rPr>
              <w:t>Predecessor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0"/>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January 1, 2011 to</w:t>
            </w:r>
          </w:p>
        </w:tc>
        <w:tc>
          <w:tcPr>
            <w:tcW w:w="200" w:type="dxa"/>
            <w:vAlign w:val="bottom"/>
          </w:tcPr>
          <w:p>
            <w:pPr>
              <w:spacing w:after="0"/>
              <w:rPr>
                <w:sz w:val="12"/>
                <w:szCs w:val="12"/>
                <w:color w:val="auto"/>
              </w:rPr>
            </w:pPr>
          </w:p>
        </w:tc>
        <w:tc>
          <w:tcPr>
            <w:tcW w:w="840" w:type="dxa"/>
            <w:vAlign w:val="bottom"/>
          </w:tcPr>
          <w:p>
            <w:pPr>
              <w:jc w:val="right"/>
              <w:ind w:right="18"/>
              <w:spacing w:after="0" w:line="149"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220" w:type="dxa"/>
            <w:vAlign w:val="bottom"/>
          </w:tcPr>
          <w:p>
            <w:pPr>
              <w:spacing w:after="0"/>
              <w:rPr>
                <w:sz w:val="12"/>
                <w:szCs w:val="12"/>
                <w:color w:val="auto"/>
              </w:rPr>
            </w:pPr>
          </w:p>
        </w:tc>
        <w:tc>
          <w:tcPr>
            <w:tcW w:w="82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4"/>
              </w:rPr>
              <w:t>Year Ended</w:t>
            </w:r>
          </w:p>
        </w:tc>
        <w:tc>
          <w:tcPr>
            <w:tcW w:w="980" w:type="dxa"/>
            <w:vAlign w:val="bottom"/>
          </w:tcPr>
          <w:p>
            <w:pPr>
              <w:jc w:val="right"/>
              <w:ind w:right="178"/>
              <w:spacing w:after="0" w:line="149" w:lineRule="exact"/>
              <w:rPr>
                <w:sz w:val="20"/>
                <w:szCs w:val="20"/>
                <w:color w:val="auto"/>
              </w:rPr>
            </w:pPr>
            <w:r>
              <w:rPr>
                <w:rFonts w:ascii="Arial" w:cs="Arial" w:eastAsia="Arial" w:hAnsi="Arial"/>
                <w:sz w:val="14"/>
                <w:szCs w:val="14"/>
                <w:color w:val="auto"/>
              </w:rPr>
              <w:t>% Change</w:t>
            </w:r>
          </w:p>
        </w:tc>
        <w:tc>
          <w:tcPr>
            <w:tcW w:w="920" w:type="dxa"/>
            <w:vAlign w:val="bottom"/>
          </w:tcPr>
          <w:p>
            <w:pPr>
              <w:jc w:val="right"/>
              <w:ind w:right="138"/>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January 28,</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980" w:type="dxa"/>
            <w:vAlign w:val="bottom"/>
          </w:tcPr>
          <w:p>
            <w:pPr>
              <w:jc w:val="right"/>
              <w:ind w:right="178"/>
              <w:spacing w:after="0" w:line="149" w:lineRule="exact"/>
              <w:rPr>
                <w:sz w:val="20"/>
                <w:szCs w:val="20"/>
                <w:color w:val="auto"/>
              </w:rPr>
            </w:pPr>
            <w:r>
              <w:rPr>
                <w:rFonts w:ascii="Arial" w:cs="Arial" w:eastAsia="Arial" w:hAnsi="Arial"/>
                <w:sz w:val="14"/>
                <w:szCs w:val="14"/>
                <w:color w:val="auto"/>
              </w:rPr>
              <w:t>2010 to</w:t>
            </w:r>
          </w:p>
        </w:tc>
        <w:tc>
          <w:tcPr>
            <w:tcW w:w="920" w:type="dxa"/>
            <w:vAlign w:val="bottom"/>
          </w:tcPr>
          <w:p>
            <w:pPr>
              <w:jc w:val="right"/>
              <w:ind w:right="138"/>
              <w:spacing w:after="0" w:line="149" w:lineRule="exact"/>
              <w:rPr>
                <w:sz w:val="20"/>
                <w:szCs w:val="20"/>
                <w:color w:val="auto"/>
              </w:rPr>
            </w:pPr>
            <w:r>
              <w:rPr>
                <w:rFonts w:ascii="Arial" w:cs="Arial" w:eastAsia="Arial" w:hAnsi="Arial"/>
                <w:sz w:val="14"/>
                <w:szCs w:val="14"/>
                <w:color w:val="auto"/>
              </w:rPr>
              <w:t>2009 to</w:t>
            </w:r>
          </w:p>
        </w:tc>
      </w:tr>
      <w:tr>
        <w:trPr>
          <w:trHeight w:val="16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2010</w:t>
            </w:r>
          </w:p>
        </w:tc>
      </w:tr>
      <w:tr>
        <w:trPr>
          <w:trHeight w:val="199"/>
        </w:trPr>
        <w:tc>
          <w:tcPr>
            <w:tcW w:w="34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line="202" w:lineRule="exact"/>
              <w:rPr>
                <w:sz w:val="20"/>
                <w:szCs w:val="20"/>
                <w:color w:val="auto"/>
              </w:rPr>
            </w:pPr>
            <w:r>
              <w:rPr>
                <w:rFonts w:ascii="Arial" w:cs="Arial" w:eastAsia="Arial" w:hAnsi="Arial"/>
                <w:sz w:val="18"/>
                <w:szCs w:val="18"/>
                <w:color w:val="auto"/>
              </w:rPr>
              <w:t>Theatrical</w:t>
            </w:r>
          </w:p>
        </w:tc>
        <w:tc>
          <w:tcPr>
            <w:tcW w:w="2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983</w:t>
            </w:r>
          </w:p>
        </w:tc>
        <w:tc>
          <w:tcPr>
            <w:tcW w:w="18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1,041</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835</w:t>
            </w:r>
          </w:p>
        </w:tc>
        <w:tc>
          <w:tcPr>
            <w:tcW w:w="9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15.6%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260" w:type="dxa"/>
            <w:vAlign w:val="bottom"/>
          </w:tcPr>
          <w:p>
            <w:pPr>
              <w:spacing w:after="0"/>
              <w:rPr>
                <w:sz w:val="17"/>
                <w:szCs w:val="17"/>
                <w:color w:val="auto"/>
              </w:rPr>
            </w:pPr>
          </w:p>
        </w:tc>
        <w:tc>
          <w:tcPr>
            <w:tcW w:w="1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1,234</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00" w:type="dxa"/>
            <w:vAlign w:val="bottom"/>
          </w:tcPr>
          <w:p>
            <w:pPr>
              <w:spacing w:after="0"/>
              <w:rPr>
                <w:sz w:val="17"/>
                <w:szCs w:val="17"/>
                <w:color w:val="auto"/>
              </w:rPr>
            </w:pPr>
          </w:p>
        </w:tc>
        <w:tc>
          <w:tcPr>
            <w:tcW w:w="8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1,404</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220" w:type="dxa"/>
            <w:vAlign w:val="bottom"/>
          </w:tcPr>
          <w:p>
            <w:pPr>
              <w:spacing w:after="0"/>
              <w:rPr>
                <w:sz w:val="17"/>
                <w:szCs w:val="17"/>
                <w:color w:val="auto"/>
              </w:rPr>
            </w:pP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1,261</w:t>
            </w:r>
          </w:p>
        </w:tc>
        <w:tc>
          <w:tcPr>
            <w:tcW w:w="98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5.1</w:t>
            </w:r>
          </w:p>
        </w:tc>
        <w:tc>
          <w:tcPr>
            <w:tcW w:w="92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5.9</w:t>
            </w: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260" w:type="dxa"/>
            <w:vAlign w:val="bottom"/>
          </w:tcPr>
          <w:p>
            <w:pPr>
              <w:spacing w:after="0"/>
              <w:rPr>
                <w:sz w:val="17"/>
                <w:szCs w:val="17"/>
                <w:color w:val="auto"/>
              </w:rPr>
            </w:pPr>
          </w:p>
        </w:tc>
        <w:tc>
          <w:tcPr>
            <w:tcW w:w="1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1,559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8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1,656</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220" w:type="dxa"/>
            <w:vAlign w:val="bottom"/>
          </w:tcPr>
          <w:p>
            <w:pPr>
              <w:spacing w:after="0"/>
              <w:rPr>
                <w:sz w:val="17"/>
                <w:szCs w:val="17"/>
                <w:color w:val="auto"/>
              </w:rPr>
            </w:pP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1,831</w:t>
            </w:r>
          </w:p>
        </w:tc>
        <w:tc>
          <w:tcPr>
            <w:tcW w:w="9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(4.4)</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(5.4)</w:t>
            </w:r>
          </w:p>
        </w:tc>
      </w:tr>
      <w:tr>
        <w:trPr>
          <w:trHeight w:val="199"/>
        </w:trPr>
        <w:tc>
          <w:tcPr>
            <w:tcW w:w="20" w:type="dxa"/>
            <w:vAlign w:val="bottom"/>
          </w:tcPr>
          <w:p>
            <w:pPr>
              <w:spacing w:after="0"/>
              <w:rPr>
                <w:sz w:val="17"/>
                <w:szCs w:val="17"/>
                <w:color w:val="auto"/>
              </w:rPr>
            </w:pPr>
          </w:p>
        </w:tc>
        <w:tc>
          <w:tcPr>
            <w:tcW w:w="34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463</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491</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293</w:t>
            </w:r>
          </w:p>
        </w:tc>
        <w:tc>
          <w:tcPr>
            <w:tcW w:w="98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(19.3)</w:t>
            </w:r>
          </w:p>
        </w:tc>
        <w:tc>
          <w:tcPr>
            <w:tcW w:w="920" w:type="dxa"/>
            <w:vAlign w:val="bottom"/>
            <w:tcBorders>
              <w:bottom w:val="single" w:sz="8" w:color="auto"/>
            </w:tcBorders>
          </w:tcPr>
          <w:p>
            <w:pPr>
              <w:jc w:val="right"/>
              <w:ind w:right="138"/>
              <w:spacing w:after="0" w:line="200" w:lineRule="exact"/>
              <w:rPr>
                <w:sz w:val="20"/>
                <w:szCs w:val="20"/>
                <w:color w:val="auto"/>
              </w:rPr>
            </w:pPr>
            <w:r>
              <w:rPr>
                <w:rFonts w:ascii="Arial" w:cs="Arial" w:eastAsia="Arial" w:hAnsi="Arial"/>
                <w:sz w:val="18"/>
                <w:szCs w:val="18"/>
                <w:color w:val="auto"/>
              </w:rPr>
              <w:t>107.5</w:t>
            </w:r>
          </w:p>
        </w:tc>
      </w:tr>
      <w:tr>
        <w:trPr>
          <w:trHeight w:val="199"/>
        </w:trPr>
        <w:tc>
          <w:tcPr>
            <w:tcW w:w="20" w:type="dxa"/>
            <w:vAlign w:val="bottom"/>
          </w:tcPr>
          <w:p>
            <w:pPr>
              <w:spacing w:after="0"/>
              <w:rPr>
                <w:sz w:val="17"/>
                <w:szCs w:val="17"/>
                <w:color w:val="auto"/>
              </w:rPr>
            </w:pPr>
          </w:p>
        </w:tc>
        <w:tc>
          <w:tcPr>
            <w:tcW w:w="3420" w:type="dxa"/>
            <w:vAlign w:val="bottom"/>
          </w:tcPr>
          <w:p>
            <w:pPr>
              <w:spacing w:after="0" w:line="200" w:lineRule="exact"/>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7"/>
                <w:szCs w:val="17"/>
                <w:color w:val="auto"/>
              </w:rPr>
            </w:pPr>
          </w:p>
        </w:tc>
        <w:tc>
          <w:tcPr>
            <w:tcW w:w="1120" w:type="dxa"/>
            <w:vAlign w:val="bottom"/>
          </w:tcPr>
          <w:p>
            <w:pPr>
              <w:jc w:val="right"/>
              <w:ind w:right="40"/>
              <w:spacing w:after="0" w:line="200" w:lineRule="exact"/>
              <w:rPr>
                <w:sz w:val="20"/>
                <w:szCs w:val="20"/>
                <w:color w:val="auto"/>
              </w:rPr>
            </w:pPr>
            <w:r>
              <w:rPr>
                <w:rFonts w:ascii="Arial" w:cs="Arial" w:eastAsia="Arial" w:hAnsi="Arial"/>
                <w:sz w:val="18"/>
                <w:szCs w:val="18"/>
                <w:color w:val="auto"/>
              </w:rPr>
              <w:t>4,239</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353</w:t>
            </w:r>
          </w:p>
        </w:tc>
        <w:tc>
          <w:tcPr>
            <w:tcW w:w="200" w:type="dxa"/>
            <w:vAlign w:val="bottom"/>
          </w:tcPr>
          <w:p>
            <w:pPr>
              <w:spacing w:after="0"/>
              <w:rPr>
                <w:sz w:val="17"/>
                <w:szCs w:val="17"/>
                <w:color w:val="auto"/>
              </w:rPr>
            </w:pPr>
          </w:p>
        </w:tc>
        <w:tc>
          <w:tcPr>
            <w:tcW w:w="840" w:type="dxa"/>
            <w:vAlign w:val="bottom"/>
          </w:tcPr>
          <w:p>
            <w:pPr>
              <w:jc w:val="right"/>
              <w:ind w:right="18"/>
              <w:spacing w:after="0" w:line="200" w:lineRule="exact"/>
              <w:rPr>
                <w:sz w:val="20"/>
                <w:szCs w:val="20"/>
                <w:color w:val="auto"/>
              </w:rPr>
            </w:pPr>
            <w:r>
              <w:rPr>
                <w:rFonts w:ascii="Arial" w:cs="Arial" w:eastAsia="Arial" w:hAnsi="Arial"/>
                <w:sz w:val="18"/>
                <w:szCs w:val="18"/>
                <w:color w:val="auto"/>
              </w:rPr>
              <w:t>4,592</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4,576</w:t>
            </w:r>
          </w:p>
        </w:tc>
        <w:tc>
          <w:tcPr>
            <w:tcW w:w="220" w:type="dxa"/>
            <w:vAlign w:val="bottom"/>
          </w:tcPr>
          <w:p>
            <w:pPr>
              <w:spacing w:after="0"/>
              <w:rPr>
                <w:sz w:val="17"/>
                <w:szCs w:val="17"/>
                <w:color w:val="auto"/>
              </w:rPr>
            </w:pPr>
          </w:p>
        </w:tc>
        <w:tc>
          <w:tcPr>
            <w:tcW w:w="8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4,220</w:t>
            </w:r>
          </w:p>
        </w:tc>
        <w:tc>
          <w:tcPr>
            <w:tcW w:w="980" w:type="dxa"/>
            <w:vAlign w:val="bottom"/>
          </w:tcPr>
          <w:p>
            <w:pPr>
              <w:jc w:val="right"/>
              <w:ind w:right="178"/>
              <w:spacing w:after="0" w:line="200" w:lineRule="exact"/>
              <w:rPr>
                <w:sz w:val="20"/>
                <w:szCs w:val="20"/>
                <w:color w:val="auto"/>
              </w:rPr>
            </w:pPr>
            <w:r>
              <w:rPr>
                <w:rFonts w:ascii="Arial" w:cs="Arial" w:eastAsia="Arial" w:hAnsi="Arial"/>
                <w:sz w:val="18"/>
                <w:szCs w:val="18"/>
                <w:color w:val="auto"/>
              </w:rPr>
              <w:t>0.3</w:t>
            </w:r>
          </w:p>
        </w:tc>
        <w:tc>
          <w:tcPr>
            <w:tcW w:w="920" w:type="dxa"/>
            <w:vAlign w:val="bottom"/>
          </w:tcPr>
          <w:p>
            <w:pPr>
              <w:jc w:val="right"/>
              <w:ind w:right="138"/>
              <w:spacing w:after="0" w:line="200" w:lineRule="exact"/>
              <w:rPr>
                <w:sz w:val="20"/>
                <w:szCs w:val="20"/>
                <w:color w:val="auto"/>
              </w:rPr>
            </w:pPr>
            <w:r>
              <w:rPr>
                <w:rFonts w:ascii="Arial" w:cs="Arial" w:eastAsia="Arial" w:hAnsi="Arial"/>
                <w:sz w:val="18"/>
                <w:szCs w:val="18"/>
                <w:color w:val="auto"/>
              </w:rPr>
              <w:t>8.4</w:t>
            </w:r>
          </w:p>
        </w:tc>
      </w:tr>
      <w:tr>
        <w:trPr>
          <w:trHeight w:val="199"/>
        </w:trPr>
        <w:tc>
          <w:tcPr>
            <w:tcW w:w="34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4,212</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4,564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4,286</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4,181</w:t>
            </w:r>
          </w:p>
        </w:tc>
        <w:tc>
          <w:tcPr>
            <w:tcW w:w="980" w:type="dxa"/>
            <w:vAlign w:val="bottom"/>
            <w:tcBorders>
              <w:bottom w:val="single" w:sz="8" w:color="auto"/>
            </w:tcBorders>
          </w:tcPr>
          <w:p>
            <w:pPr>
              <w:jc w:val="right"/>
              <w:ind w:right="178"/>
              <w:spacing w:after="0" w:line="200" w:lineRule="exact"/>
              <w:rPr>
                <w:sz w:val="20"/>
                <w:szCs w:val="20"/>
                <w:color w:val="auto"/>
              </w:rPr>
            </w:pPr>
            <w:r>
              <w:rPr>
                <w:rFonts w:ascii="Arial" w:cs="Arial" w:eastAsia="Arial" w:hAnsi="Arial"/>
                <w:sz w:val="18"/>
                <w:szCs w:val="18"/>
                <w:color w:val="auto"/>
              </w:rPr>
              <w:t>6.5</w:t>
            </w:r>
          </w:p>
        </w:tc>
        <w:tc>
          <w:tcPr>
            <w:tcW w:w="920" w:type="dxa"/>
            <w:vAlign w:val="bottom"/>
            <w:tcBorders>
              <w:bottom w:val="single" w:sz="8" w:color="auto"/>
            </w:tcBorders>
          </w:tcPr>
          <w:p>
            <w:pPr>
              <w:jc w:val="right"/>
              <w:ind w:right="138"/>
              <w:spacing w:after="0" w:line="200" w:lineRule="exact"/>
              <w:rPr>
                <w:sz w:val="20"/>
                <w:szCs w:val="20"/>
                <w:color w:val="auto"/>
              </w:rPr>
            </w:pPr>
            <w:r>
              <w:rPr>
                <w:rFonts w:ascii="Arial" w:cs="Arial" w:eastAsia="Arial" w:hAnsi="Arial"/>
                <w:sz w:val="18"/>
                <w:szCs w:val="18"/>
                <w:color w:val="auto"/>
              </w:rPr>
              <w:t>2.5</w:t>
            </w:r>
          </w:p>
        </w:tc>
      </w:tr>
      <w:tr>
        <w:trPr>
          <w:trHeight w:val="177"/>
        </w:trPr>
        <w:tc>
          <w:tcPr>
            <w:tcW w:w="34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before depreciation</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3420" w:type="dxa"/>
            <w:vAlign w:val="bottom"/>
            <w:tcBorders>
              <w:bottom w:val="single" w:sz="8" w:color="53439A"/>
            </w:tcBorders>
          </w:tcPr>
          <w:p>
            <w:pPr>
              <w:ind w:left="200"/>
              <w:spacing w:after="0"/>
              <w:rPr>
                <w:sz w:val="20"/>
                <w:szCs w:val="20"/>
                <w:color w:val="auto"/>
              </w:rPr>
            </w:pPr>
            <w:r>
              <w:rPr>
                <w:rFonts w:ascii="Arial" w:cs="Arial" w:eastAsia="Arial" w:hAnsi="Arial"/>
                <w:sz w:val="18"/>
                <w:szCs w:val="18"/>
                <w:b w:val="1"/>
                <w:bCs w:val="1"/>
                <w:color w:val="auto"/>
              </w:rPr>
              <w:t>and amortization</w:t>
            </w:r>
          </w:p>
        </w:tc>
        <w:tc>
          <w:tcPr>
            <w:tcW w:w="260" w:type="dxa"/>
            <w:vAlign w:val="bottom"/>
            <w:tcBorders>
              <w:bottom w:val="single" w:sz="8" w:color="53439A"/>
            </w:tcBorders>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4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53439A"/>
              <w:right w:val="single" w:sz="8" w:color="auto"/>
            </w:tcBorders>
          </w:tcPr>
          <w:p>
            <w:pPr>
              <w:spacing w:after="0"/>
              <w:rPr>
                <w:sz w:val="19"/>
                <w:szCs w:val="19"/>
                <w:color w:val="auto"/>
              </w:rPr>
            </w:pPr>
          </w:p>
        </w:tc>
        <w:tc>
          <w:tcPr>
            <w:tcW w:w="36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53439A"/>
            </w:tcBorders>
          </w:tcPr>
          <w:p>
            <w:pPr>
              <w:jc w:val="right"/>
              <w:ind w:right="18"/>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ind w:right="17"/>
              <w:spacing w:after="0"/>
              <w:rPr>
                <w:sz w:val="20"/>
                <w:szCs w:val="20"/>
                <w:color w:val="auto"/>
              </w:rPr>
            </w:pPr>
            <w:r>
              <w:rPr>
                <w:rFonts w:ascii="Arial" w:cs="Arial" w:eastAsia="Arial" w:hAnsi="Arial"/>
                <w:sz w:val="18"/>
                <w:szCs w:val="18"/>
                <w:color w:val="auto"/>
              </w:rPr>
              <w:t>39</w:t>
            </w:r>
          </w:p>
        </w:tc>
        <w:tc>
          <w:tcPr>
            <w:tcW w:w="9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(90.3)%</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NM%</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53439A"/>
        </w:rPr>
        <w:t>Theatrical</w:t>
      </w:r>
    </w:p>
    <w:p>
      <w:pPr>
        <w:ind w:right="220"/>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and is significantly affected by the timing and number of our theatrical releases, as well as their acceptance by consumers. Theatrical release dates are determined by several factors, including production schedules, vacation and holiday periods, and the timing of competitive releases. Theatrical revenue is also affected by the number of exhibition screens, ticket prices, the percentage of ticket sale retention by theatrical exhibitors and the popularity of competing films at the time our films are released. The theatrical success of a film is a significant factor in determining the revenue a film is likely to generate in succeeding distribution platforms.</w:t>
      </w:r>
    </w:p>
    <w:p>
      <w:pPr>
        <w:spacing w:after="0" w:line="116"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 xml:space="preserve">Our theatrical revenue increased in 2011 primarily due to an increase in the number of theatrical releases in our 2011 slate and the strong performance of the second quarter 2011 releases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 xml:space="preserve">. Our theatrical revenue increased in 2010, primarily due to </w:t>
      </w:r>
      <w:r>
        <w:rPr>
          <w:rFonts w:ascii="Arial" w:cs="Arial" w:eastAsia="Arial" w:hAnsi="Arial"/>
          <w:sz w:val="18"/>
          <w:szCs w:val="18"/>
          <w:i w:val="1"/>
          <w:iCs w:val="1"/>
          <w:color w:val="auto"/>
        </w:rPr>
        <w:t>Despicable Me</w:t>
      </w:r>
      <w:r>
        <w:rPr>
          <w:rFonts w:ascii="Arial" w:cs="Arial" w:eastAsia="Arial" w:hAnsi="Arial"/>
          <w:sz w:val="18"/>
          <w:szCs w:val="18"/>
          <w:color w:val="auto"/>
        </w:rPr>
        <w:t>,</w:t>
      </w:r>
      <w:r>
        <w:rPr>
          <w:rFonts w:ascii="Arial" w:cs="Arial" w:eastAsia="Arial" w:hAnsi="Arial"/>
          <w:sz w:val="18"/>
          <w:szCs w:val="18"/>
          <w:i w:val="1"/>
          <w:iCs w:val="1"/>
          <w:color w:val="auto"/>
        </w:rPr>
        <w:t xml:space="preserve"> Robin Hood</w:t>
      </w:r>
      <w:r>
        <w:rPr>
          <w:rFonts w:ascii="Arial" w:cs="Arial" w:eastAsia="Arial" w:hAnsi="Arial"/>
          <w:sz w:val="18"/>
          <w:szCs w:val="18"/>
          <w:color w:val="auto"/>
        </w:rPr>
        <w:t>,</w:t>
      </w:r>
      <w:r>
        <w:rPr>
          <w:rFonts w:ascii="Arial" w:cs="Arial" w:eastAsia="Arial" w:hAnsi="Arial"/>
          <w:sz w:val="18"/>
          <w:szCs w:val="18"/>
          <w:i w:val="1"/>
          <w:iCs w:val="1"/>
          <w:color w:val="auto"/>
        </w:rPr>
        <w:t xml:space="preserve"> Wolfman </w:t>
      </w:r>
      <w:r>
        <w:rPr>
          <w:rFonts w:ascii="Arial" w:cs="Arial" w:eastAsia="Arial" w:hAnsi="Arial"/>
          <w:sz w:val="18"/>
          <w:szCs w:val="18"/>
          <w:color w:val="auto"/>
        </w:rPr>
        <w:t>and</w:t>
      </w:r>
      <w:r>
        <w:rPr>
          <w:rFonts w:ascii="Arial" w:cs="Arial" w:eastAsia="Arial" w:hAnsi="Arial"/>
          <w:sz w:val="18"/>
          <w:szCs w:val="18"/>
          <w:i w:val="1"/>
          <w:iCs w:val="1"/>
          <w:color w:val="auto"/>
        </w:rPr>
        <w:t xml:space="preserve"> Little Fockers</w:t>
      </w:r>
      <w:r>
        <w:rPr>
          <w:rFonts w:ascii="Arial" w:cs="Arial" w:eastAsia="Arial" w:hAnsi="Arial"/>
          <w:sz w:val="18"/>
          <w:szCs w:val="18"/>
          <w:color w:val="auto"/>
        </w:rPr>
        <w:t>, along with carryover performance of the December 2009 release of</w:t>
      </w:r>
      <w:r>
        <w:rPr>
          <w:rFonts w:ascii="Arial" w:cs="Arial" w:eastAsia="Arial" w:hAnsi="Arial"/>
          <w:sz w:val="18"/>
          <w:szCs w:val="18"/>
          <w:i w:val="1"/>
          <w:iCs w:val="1"/>
          <w:color w:val="auto"/>
        </w:rPr>
        <w:t xml:space="preserve"> It’s Complicated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2009 releases.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53439A"/>
        </w:rPr>
        <w:t>Content Licensing</w:t>
      </w:r>
    </w:p>
    <w:p>
      <w:pPr>
        <w:ind w:right="6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broadcast, cable and premium networks, as well as other distribution platforms.</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content licensing revenue increased in 2011 primarily due to the timing of when our owned and acquired films were made available to licensees. The increase in content licensing revenue in 2010 was primarily due to an increase in licensing to video on demand services and higher revenue received from domestic premium networks as well as to a favorable change in the composition of films licensed to cable and broadcast networks in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53439A"/>
        </w:rPr>
        <w:t>Home Entertainment</w:t>
      </w:r>
    </w:p>
    <w:p>
      <w:pPr>
        <w:ind w:right="380"/>
        <w:spacing w:after="0" w:line="236" w:lineRule="auto"/>
        <w:rPr>
          <w:sz w:val="20"/>
          <w:szCs w:val="20"/>
          <w:color w:val="auto"/>
        </w:rPr>
      </w:pPr>
      <w:r>
        <w:rPr>
          <w:rFonts w:ascii="Arial" w:cs="Arial" w:eastAsia="Arial" w:hAnsi="Arial"/>
          <w:sz w:val="18"/>
          <w:szCs w:val="18"/>
          <w:color w:val="auto"/>
        </w:rPr>
        <w:t>Home entertainment revenue is generated from the license and sale of our owned and acquired films through DVD sales to retail stores, rental kiosks and subscriptions by mail, as well as through digital media platforms, including electronic sell-through. Home entertainment revenue is significantly affected by the timing and number of our home entertainment releases and their acceptance by consumers. Home entertainment release dates are determined by several factors, including the timing of the theatrical exhibition of a film, holiday periods and the timing of competitive releases.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323" w:right="239" w:bottom="1440" w:gutter="0" w:footer="0" w:header="0"/>
        </w:sectPr>
      </w:pPr>
    </w:p>
    <w:bookmarkStart w:id="115" w:name="page116"/>
    <w:bookmarkEnd w:id="115"/>
    <w:p>
      <w:pPr>
        <w:ind w:right="1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Our home entertainment revenue decreased in 2011 primarily due to the overall decline in the DVD market and fewer titles released in 2011. Our home entertainment revenue decreased in 2010 primarily due to a reduction in the direct-to-video titles and a reduction in DVD catalog sales, particularly in international markets, offset by an increase in sales of key titles, including </w:t>
      </w:r>
      <w:r>
        <w:rPr>
          <w:rFonts w:ascii="Arial" w:cs="Arial" w:eastAsia="Arial" w:hAnsi="Arial"/>
          <w:sz w:val="18"/>
          <w:szCs w:val="18"/>
          <w:i w:val="1"/>
          <w:iCs w:val="1"/>
          <w:color w:val="auto"/>
        </w:rPr>
        <w:t>Despicable Me</w:t>
      </w:r>
      <w:r>
        <w:rPr>
          <w:rFonts w:ascii="Arial" w:cs="Arial" w:eastAsia="Arial" w:hAnsi="Arial"/>
          <w:sz w:val="18"/>
          <w:szCs w:val="18"/>
          <w:color w:val="auto"/>
        </w:rPr>
        <w:t>.</w:t>
      </w:r>
    </w:p>
    <w:p>
      <w:pPr>
        <w:spacing w:after="0" w:line="15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Sales of DVDs have continued to decline. Several factors have contributed to the overall decline in the DVD market,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53439A"/>
        </w:rPr>
        <w:t>Other</w:t>
      </w:r>
    </w:p>
    <w:p>
      <w:pPr>
        <w:ind w:right="320"/>
        <w:spacing w:after="0" w:line="239" w:lineRule="auto"/>
        <w:rPr>
          <w:sz w:val="20"/>
          <w:szCs w:val="20"/>
          <w:color w:val="auto"/>
        </w:rPr>
      </w:pPr>
      <w:r>
        <w:rPr>
          <w:rFonts w:ascii="Arial" w:cs="Arial" w:eastAsia="Arial" w:hAnsi="Arial"/>
          <w:sz w:val="18"/>
          <w:szCs w:val="18"/>
          <w:color w:val="auto"/>
        </w:rPr>
        <w:t>We also generate revenue from distributing third parties’ filmed entertainment, producing stage plays, publishing music and licensing consumer products.</w:t>
      </w:r>
    </w:p>
    <w:p>
      <w:pPr>
        <w:spacing w:after="0" w:line="15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other revenue decreased in 2011 primarily due to decreases in revenue generated from our stage plays as a result of fewer shows. Our other revenue increased in 2010 primarily due to the consolidation of our stage plays businesses which were previously recorded as equity method investments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Filmed Entertainment segment operating costs and expenses consist primarily of amortization of capitalized film production and acquisition costs, residual and participation payments, and distribution and marketing expenses. Residual payments represent amounts payable to certain of our employees, including freelance and temporary employees, who are represented by labor unions or guilds, such as the Writers Guild of America, the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expenses consist primarily of the costs associated with theatrical prints and advertising and the replication, distribution and marketing of DVDs. Other operating costs and expenses include salaries, employee benefits, rent and other overhead expenses.</w:t>
      </w:r>
    </w:p>
    <w:p>
      <w:pPr>
        <w:spacing w:after="0" w:line="1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incur significant marketing expenses before and throughout the theatrical release of a film and in connection with the release of a film on other distribution platforms. As a result, we typically incur losses on a film prior to and during the film’s theatrical exhibition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57"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Our Filmed Entertainment segment operating costs and expenses increased in 2011 primarily due to an increase in marketing expenses associated with promoting our 2011 theatrical releases. Operating costs and expenses increased in 2010 primarily due to higher amortization expense, which correlated to the increase in theatrical revenue, as well as increased costs associated with the consolidation of our stage plays businesses. These increases were offset in part by lower advertising and promotion costs based on the timing, quantity and composition of our 2010 releases, as well as lower replication, distribution and marketing costs associated with the decline in DVD sales.</w:t>
      </w:r>
    </w:p>
    <w:p>
      <w:pPr>
        <w:spacing w:after="0" w:line="298"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Theme Parks Segment </w:t>
      </w:r>
      <w:r>
        <w:rPr>
          <w:rFonts w:ascii="Arial" w:cs="Arial" w:eastAsia="Arial" w:hAnsi="Arial"/>
          <w:sz w:val="18"/>
          <w:szCs w:val="18"/>
          <w:b w:val="1"/>
          <w:bCs w:val="1"/>
          <w:i w:val="1"/>
          <w:iCs w:val="1"/>
          <w:color w:val="53439A"/>
        </w:rPr>
        <w:t>–</w:t>
      </w:r>
      <w:r>
        <w:rPr>
          <w:rFonts w:ascii="Arial" w:cs="Arial" w:eastAsia="Arial" w:hAnsi="Arial"/>
          <w:sz w:val="18"/>
          <w:szCs w:val="18"/>
          <w:b w:val="1"/>
          <w:bCs w:val="1"/>
          <w:color w:val="53439A"/>
        </w:rPr>
        <w:t xml:space="preser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table below includes 100% of the results of operations for Universal Orlando for all periods presented in order to reflect our current measure of operating income (loss) before depreciation and amortization for our Theme Parks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4"/>
              <w:spacing w:after="0"/>
              <w:rPr>
                <w:sz w:val="20"/>
                <w:szCs w:val="20"/>
                <w:color w:val="auto"/>
              </w:rPr>
            </w:pPr>
            <w:r>
              <w:rPr>
                <w:rFonts w:ascii="Arial" w:cs="Arial" w:eastAsia="Arial" w:hAnsi="Arial"/>
                <w:sz w:val="14"/>
                <w:szCs w:val="14"/>
                <w:color w:val="auto"/>
                <w:w w:val="99"/>
              </w:rPr>
              <w:t>Predecessor</w:t>
            </w:r>
          </w:p>
        </w:tc>
        <w:tc>
          <w:tcPr>
            <w:tcW w:w="200" w:type="dxa"/>
            <w:vAlign w:val="bottom"/>
          </w:tcPr>
          <w:p>
            <w:pPr>
              <w:spacing w:after="0"/>
              <w:rPr>
                <w:sz w:val="14"/>
                <w:szCs w:val="14"/>
                <w:color w:val="auto"/>
              </w:rPr>
            </w:pPr>
          </w:p>
        </w:tc>
        <w:tc>
          <w:tcPr>
            <w:tcW w:w="840" w:type="dxa"/>
            <w:vAlign w:val="bottom"/>
          </w:tcPr>
          <w:p>
            <w:pPr>
              <w:jc w:val="right"/>
              <w:ind w:right="142"/>
              <w:spacing w:after="0"/>
              <w:rPr>
                <w:sz w:val="20"/>
                <w:szCs w:val="20"/>
                <w:color w:val="auto"/>
              </w:rPr>
            </w:pPr>
            <w:r>
              <w:rPr>
                <w:rFonts w:ascii="Arial" w:cs="Arial" w:eastAsia="Arial" w:hAnsi="Arial"/>
                <w:sz w:val="14"/>
                <w:szCs w:val="14"/>
                <w:color w:val="auto"/>
                <w:w w:val="93"/>
              </w:rPr>
              <w:t>Combined</w:t>
            </w:r>
          </w:p>
        </w:tc>
        <w:tc>
          <w:tcPr>
            <w:tcW w:w="200" w:type="dxa"/>
            <w:vAlign w:val="bottom"/>
          </w:tcPr>
          <w:p>
            <w:pPr>
              <w:spacing w:after="0"/>
              <w:rPr>
                <w:sz w:val="14"/>
                <w:szCs w:val="14"/>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4"/>
                <w:szCs w:val="14"/>
                <w:color w:val="auto"/>
              </w:rPr>
              <w:t>Predecessor</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1"/>
        </w:trPr>
        <w:tc>
          <w:tcPr>
            <w:tcW w:w="34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4"/>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1560" w:type="dxa"/>
            <w:vAlign w:val="bottom"/>
            <w:tcBorders>
              <w:right w:val="single" w:sz="8" w:color="auto"/>
            </w:tcBorders>
            <w:gridSpan w:val="3"/>
          </w:tcPr>
          <w:p>
            <w:pPr>
              <w:jc w:val="right"/>
              <w:ind w:right="30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2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January 1, 2011 to</w:t>
            </w:r>
          </w:p>
        </w:tc>
        <w:tc>
          <w:tcPr>
            <w:tcW w:w="200" w:type="dxa"/>
            <w:vAlign w:val="bottom"/>
          </w:tcPr>
          <w:p>
            <w:pPr>
              <w:spacing w:after="0"/>
              <w:rPr>
                <w:sz w:val="12"/>
                <w:szCs w:val="12"/>
                <w:color w:val="auto"/>
              </w:rPr>
            </w:pPr>
          </w:p>
        </w:tc>
        <w:tc>
          <w:tcPr>
            <w:tcW w:w="84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2"/>
                <w:szCs w:val="12"/>
                <w:color w:val="auto"/>
              </w:rPr>
            </w:pPr>
          </w:p>
        </w:tc>
        <w:tc>
          <w:tcPr>
            <w:tcW w:w="82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2"/>
                <w:szCs w:val="12"/>
                <w:color w:val="auto"/>
              </w:rPr>
            </w:pPr>
          </w:p>
        </w:tc>
        <w:tc>
          <w:tcPr>
            <w:tcW w:w="84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7"/>
              </w:rPr>
              <w:t>Year Ended</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 Change</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 Change</w:t>
            </w:r>
          </w:p>
        </w:tc>
      </w:tr>
      <w:tr>
        <w:trPr>
          <w:trHeight w:val="149"/>
        </w:trPr>
        <w:tc>
          <w:tcPr>
            <w:tcW w:w="3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4"/>
              <w:spacing w:after="0" w:line="149" w:lineRule="exact"/>
              <w:rPr>
                <w:sz w:val="20"/>
                <w:szCs w:val="20"/>
                <w:color w:val="auto"/>
              </w:rPr>
            </w:pPr>
            <w:r>
              <w:rPr>
                <w:rFonts w:ascii="Arial" w:cs="Arial" w:eastAsia="Arial" w:hAnsi="Arial"/>
                <w:sz w:val="14"/>
                <w:szCs w:val="14"/>
                <w:color w:val="auto"/>
              </w:rPr>
              <w:t>January 28,</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2010 to</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2009 to</w:t>
            </w:r>
          </w:p>
        </w:tc>
      </w:tr>
      <w:tr>
        <w:trPr>
          <w:trHeight w:val="163"/>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2010</w:t>
            </w:r>
          </w:p>
        </w:tc>
      </w:tr>
      <w:tr>
        <w:trPr>
          <w:trHeight w:val="199"/>
        </w:trPr>
        <w:tc>
          <w:tcPr>
            <w:tcW w:w="348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4"/>
              <w:spacing w:after="0" w:line="200" w:lineRule="exact"/>
              <w:rPr>
                <w:sz w:val="20"/>
                <w:szCs w:val="20"/>
                <w:color w:val="auto"/>
              </w:rPr>
            </w:pPr>
            <w:r>
              <w:rPr>
                <w:rFonts w:ascii="Arial" w:cs="Arial" w:eastAsia="Arial" w:hAnsi="Arial"/>
                <w:sz w:val="18"/>
                <w:szCs w:val="18"/>
                <w:color w:val="auto"/>
              </w:rPr>
              <w:t>1,874</w:t>
            </w:r>
          </w:p>
        </w:tc>
        <w:tc>
          <w:tcPr>
            <w:tcW w:w="180" w:type="dxa"/>
            <w:vAlign w:val="bottom"/>
            <w:tcBorders>
              <w:right w:val="single" w:sz="8" w:color="auto"/>
            </w:tcBorders>
          </w:tcPr>
          <w:p>
            <w:pPr>
              <w:spacing w:after="0"/>
              <w:rPr>
                <w:sz w:val="17"/>
                <w:szCs w:val="17"/>
                <w:color w:val="auto"/>
              </w:rPr>
            </w:pPr>
          </w:p>
        </w:tc>
        <w:tc>
          <w:tcPr>
            <w:tcW w:w="3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
              <w:spacing w:after="0" w:line="200" w:lineRule="exact"/>
              <w:rPr>
                <w:sz w:val="20"/>
                <w:szCs w:val="20"/>
                <w:color w:val="auto"/>
              </w:rPr>
            </w:pPr>
            <w:r>
              <w:rPr>
                <w:rFonts w:ascii="Arial" w:cs="Arial" w:eastAsia="Arial" w:hAnsi="Arial"/>
                <w:sz w:val="18"/>
                <w:szCs w:val="18"/>
                <w:color w:val="auto"/>
              </w:rPr>
              <w:t>115</w:t>
            </w:r>
          </w:p>
        </w:tc>
        <w:tc>
          <w:tcPr>
            <w:tcW w:w="200" w:type="dxa"/>
            <w:vAlign w:val="bottom"/>
          </w:tcPr>
          <w:p>
            <w:pPr>
              <w:ind w:left="100"/>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22"/>
              <w:spacing w:after="0" w:line="200" w:lineRule="exact"/>
              <w:rPr>
                <w:sz w:val="20"/>
                <w:szCs w:val="20"/>
                <w:color w:val="auto"/>
              </w:rPr>
            </w:pPr>
            <w:r>
              <w:rPr>
                <w:rFonts w:ascii="Arial" w:cs="Arial" w:eastAsia="Arial" w:hAnsi="Arial"/>
                <w:sz w:val="18"/>
                <w:szCs w:val="18"/>
                <w:color w:val="auto"/>
              </w:rPr>
              <w:t>1,989</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22"/>
              <w:spacing w:after="0" w:line="200" w:lineRule="exact"/>
              <w:rPr>
                <w:sz w:val="20"/>
                <w:szCs w:val="20"/>
                <w:color w:val="auto"/>
              </w:rPr>
            </w:pPr>
            <w:r>
              <w:rPr>
                <w:rFonts w:ascii="Arial" w:cs="Arial" w:eastAsia="Arial" w:hAnsi="Arial"/>
                <w:sz w:val="18"/>
                <w:szCs w:val="18"/>
                <w:color w:val="auto"/>
              </w:rPr>
              <w:t>1,600</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20"/>
              <w:spacing w:after="0" w:line="200" w:lineRule="exact"/>
              <w:rPr>
                <w:sz w:val="20"/>
                <w:szCs w:val="20"/>
                <w:color w:val="auto"/>
              </w:rPr>
            </w:pPr>
            <w:r>
              <w:rPr>
                <w:rFonts w:ascii="Arial" w:cs="Arial" w:eastAsia="Arial" w:hAnsi="Arial"/>
                <w:sz w:val="18"/>
                <w:szCs w:val="18"/>
                <w:color w:val="auto"/>
              </w:rPr>
              <w:t>1,200</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24.3%</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33.3%</w:t>
            </w:r>
          </w:p>
        </w:tc>
      </w:tr>
      <w:tr>
        <w:trPr>
          <w:trHeight w:val="199"/>
        </w:trPr>
        <w:tc>
          <w:tcPr>
            <w:tcW w:w="3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line="200" w:lineRule="exact"/>
              <w:rPr>
                <w:sz w:val="20"/>
                <w:szCs w:val="20"/>
                <w:color w:val="auto"/>
              </w:rPr>
            </w:pPr>
            <w:r>
              <w:rPr>
                <w:rFonts w:ascii="Arial" w:cs="Arial" w:eastAsia="Arial" w:hAnsi="Arial"/>
                <w:sz w:val="18"/>
                <w:szCs w:val="18"/>
                <w:color w:val="auto"/>
              </w:rPr>
              <w:t>1,044</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line="200" w:lineRule="exact"/>
              <w:rPr>
                <w:sz w:val="20"/>
                <w:szCs w:val="20"/>
                <w:color w:val="auto"/>
              </w:rPr>
            </w:pPr>
            <w:r>
              <w:rPr>
                <w:rFonts w:ascii="Arial" w:cs="Arial" w:eastAsia="Arial" w:hAnsi="Arial"/>
                <w:sz w:val="18"/>
                <w:szCs w:val="18"/>
                <w:color w:val="auto"/>
              </w:rPr>
              <w:t>78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
              <w:spacing w:after="0" w:line="200" w:lineRule="exact"/>
              <w:rPr>
                <w:sz w:val="20"/>
                <w:szCs w:val="20"/>
                <w:color w:val="auto"/>
              </w:rPr>
            </w:pPr>
            <w:r>
              <w:rPr>
                <w:rFonts w:ascii="Arial" w:cs="Arial" w:eastAsia="Arial" w:hAnsi="Arial"/>
                <w:sz w:val="18"/>
                <w:szCs w:val="18"/>
                <w:color w:val="auto"/>
              </w:rPr>
              <w:t>1,122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
              <w:spacing w:after="0" w:line="200" w:lineRule="exact"/>
              <w:rPr>
                <w:sz w:val="20"/>
                <w:szCs w:val="20"/>
                <w:color w:val="auto"/>
              </w:rPr>
            </w:pPr>
            <w:r>
              <w:rPr>
                <w:rFonts w:ascii="Arial" w:cs="Arial" w:eastAsia="Arial" w:hAnsi="Arial"/>
                <w:sz w:val="18"/>
                <w:szCs w:val="18"/>
                <w:color w:val="auto"/>
              </w:rPr>
              <w:t>1,009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776</w:t>
            </w:r>
          </w:p>
        </w:tc>
        <w:tc>
          <w:tcPr>
            <w:tcW w:w="920" w:type="dxa"/>
            <w:vAlign w:val="bottom"/>
            <w:tcBorders>
              <w:bottom w:val="single" w:sz="8" w:color="auto"/>
            </w:tcBorders>
          </w:tcPr>
          <w:p>
            <w:pPr>
              <w:jc w:val="right"/>
              <w:ind w:right="142"/>
              <w:spacing w:after="0" w:line="200" w:lineRule="exact"/>
              <w:rPr>
                <w:sz w:val="20"/>
                <w:szCs w:val="20"/>
                <w:color w:val="auto"/>
              </w:rPr>
            </w:pPr>
            <w:r>
              <w:rPr>
                <w:rFonts w:ascii="Arial" w:cs="Arial" w:eastAsia="Arial" w:hAnsi="Arial"/>
                <w:sz w:val="18"/>
                <w:szCs w:val="18"/>
                <w:color w:val="auto"/>
              </w:rPr>
              <w:t>11.2</w:t>
            </w:r>
          </w:p>
        </w:tc>
        <w:tc>
          <w:tcPr>
            <w:tcW w:w="920" w:type="dxa"/>
            <w:vAlign w:val="bottom"/>
            <w:tcBorders>
              <w:bottom w:val="single" w:sz="8" w:color="auto"/>
            </w:tcBorders>
          </w:tcPr>
          <w:p>
            <w:pPr>
              <w:jc w:val="right"/>
              <w:ind w:right="142"/>
              <w:spacing w:after="0" w:line="200" w:lineRule="exact"/>
              <w:rPr>
                <w:sz w:val="20"/>
                <w:szCs w:val="20"/>
                <w:color w:val="auto"/>
              </w:rPr>
            </w:pPr>
            <w:r>
              <w:rPr>
                <w:rFonts w:ascii="Arial" w:cs="Arial" w:eastAsia="Arial" w:hAnsi="Arial"/>
                <w:sz w:val="18"/>
                <w:szCs w:val="18"/>
                <w:color w:val="auto"/>
              </w:rPr>
              <w:t>30.0</w:t>
            </w:r>
          </w:p>
        </w:tc>
      </w:tr>
      <w:tr>
        <w:trPr>
          <w:trHeight w:val="177"/>
        </w:trPr>
        <w:tc>
          <w:tcPr>
            <w:tcW w:w="348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before depreciation</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8"/>
        </w:trPr>
        <w:tc>
          <w:tcPr>
            <w:tcW w:w="3480" w:type="dxa"/>
            <w:vAlign w:val="bottom"/>
            <w:tcBorders>
              <w:bottom w:val="single" w:sz="8" w:color="53439A"/>
            </w:tcBorders>
          </w:tcPr>
          <w:p>
            <w:pPr>
              <w:ind w:left="220"/>
              <w:spacing w:after="0"/>
              <w:rPr>
                <w:sz w:val="20"/>
                <w:szCs w:val="20"/>
                <w:color w:val="auto"/>
              </w:rPr>
            </w:pPr>
            <w:r>
              <w:rPr>
                <w:rFonts w:ascii="Arial" w:cs="Arial" w:eastAsia="Arial" w:hAnsi="Arial"/>
                <w:sz w:val="18"/>
                <w:szCs w:val="18"/>
                <w:b w:val="1"/>
                <w:bCs w:val="1"/>
                <w:color w:val="auto"/>
              </w:rPr>
              <w:t>and amortization</w:t>
            </w:r>
          </w:p>
        </w:tc>
        <w:tc>
          <w:tcPr>
            <w:tcW w:w="260" w:type="dxa"/>
            <w:vAlign w:val="bottom"/>
            <w:tcBorders>
              <w:bottom w:val="single" w:sz="8" w:color="53439A"/>
            </w:tcBorders>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44"/>
              <w:spacing w:after="0"/>
              <w:rPr>
                <w:sz w:val="20"/>
                <w:szCs w:val="20"/>
                <w:color w:val="auto"/>
              </w:rPr>
            </w:pPr>
            <w:r>
              <w:rPr>
                <w:rFonts w:ascii="Arial" w:cs="Arial" w:eastAsia="Arial" w:hAnsi="Arial"/>
                <w:sz w:val="18"/>
                <w:szCs w:val="18"/>
                <w:color w:val="auto"/>
              </w:rPr>
              <w:t>830</w:t>
            </w:r>
          </w:p>
        </w:tc>
        <w:tc>
          <w:tcPr>
            <w:tcW w:w="180" w:type="dxa"/>
            <w:vAlign w:val="bottom"/>
            <w:tcBorders>
              <w:bottom w:val="single" w:sz="8" w:color="53439A"/>
              <w:right w:val="single" w:sz="8" w:color="auto"/>
            </w:tcBorders>
          </w:tcPr>
          <w:p>
            <w:pPr>
              <w:spacing w:after="0"/>
              <w:rPr>
                <w:sz w:val="19"/>
                <w:szCs w:val="19"/>
                <w:color w:val="auto"/>
              </w:rPr>
            </w:pPr>
          </w:p>
        </w:tc>
        <w:tc>
          <w:tcPr>
            <w:tcW w:w="380" w:type="dxa"/>
            <w:vAlign w:val="bottom"/>
            <w:tcBorders>
              <w:bottom w:val="single" w:sz="8" w:color="53439A"/>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ind w:right="4"/>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53439A"/>
            </w:tcBorders>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53439A"/>
            </w:tcBorders>
          </w:tcPr>
          <w:p>
            <w:pPr>
              <w:jc w:val="right"/>
              <w:ind w:right="22"/>
              <w:spacing w:after="0"/>
              <w:rPr>
                <w:sz w:val="20"/>
                <w:szCs w:val="20"/>
                <w:color w:val="auto"/>
              </w:rPr>
            </w:pPr>
            <w:r>
              <w:rPr>
                <w:rFonts w:ascii="Arial" w:cs="Arial" w:eastAsia="Arial" w:hAnsi="Arial"/>
                <w:sz w:val="18"/>
                <w:szCs w:val="18"/>
                <w:color w:val="auto"/>
              </w:rPr>
              <w:t>867</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53439A"/>
            </w:tcBorders>
          </w:tcPr>
          <w:p>
            <w:pPr>
              <w:jc w:val="right"/>
              <w:ind w:right="22"/>
              <w:spacing w:after="0"/>
              <w:rPr>
                <w:sz w:val="20"/>
                <w:szCs w:val="20"/>
                <w:color w:val="auto"/>
              </w:rPr>
            </w:pPr>
            <w:r>
              <w:rPr>
                <w:rFonts w:ascii="Arial" w:cs="Arial" w:eastAsia="Arial" w:hAnsi="Arial"/>
                <w:sz w:val="18"/>
                <w:szCs w:val="18"/>
                <w:color w:val="auto"/>
              </w:rPr>
              <w:t>591</w:t>
            </w:r>
          </w:p>
        </w:tc>
        <w:tc>
          <w:tcPr>
            <w:tcW w:w="20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20"/>
              <w:spacing w:after="0"/>
              <w:rPr>
                <w:sz w:val="20"/>
                <w:szCs w:val="20"/>
                <w:color w:val="auto"/>
              </w:rPr>
            </w:pPr>
            <w:r>
              <w:rPr>
                <w:rFonts w:ascii="Arial" w:cs="Arial" w:eastAsia="Arial" w:hAnsi="Arial"/>
                <w:sz w:val="18"/>
                <w:szCs w:val="18"/>
                <w:color w:val="auto"/>
              </w:rPr>
              <w:t>424</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46.3%</w:t>
            </w:r>
          </w:p>
        </w:tc>
        <w:tc>
          <w:tcPr>
            <w:tcW w:w="92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39.3%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Our Theme Parks segment revenue is generated primarily from theme park attendance and per capita spending, as well as from management, licensing and other fees.</w:t>
      </w:r>
    </w:p>
    <w:p>
      <w:pPr>
        <w:spacing w:after="0" w:line="155"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15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Our Theme Parks segment revenue increased in 2011 primarily due to an increase in attendance and per capita spending at our Universal theme parks driven primarily by the continued strong performance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Orlando and the </w:t>
      </w:r>
      <w:r>
        <w:rPr>
          <w:rFonts w:ascii="Arial" w:cs="Arial" w:eastAsia="Arial" w:hAnsi="Arial"/>
          <w:sz w:val="18"/>
          <w:szCs w:val="18"/>
          <w:i w:val="1"/>
          <w:iCs w:val="1"/>
          <w:color w:val="auto"/>
        </w:rPr>
        <w:t>King Kong</w:t>
      </w:r>
      <w:r>
        <w:rPr>
          <w:rFonts w:ascii="Arial" w:cs="Arial" w:eastAsia="Arial" w:hAnsi="Arial"/>
          <w:sz w:val="18"/>
          <w:szCs w:val="18"/>
          <w:color w:val="auto"/>
        </w:rPr>
        <w:t xml:space="preserve"> attraction in Hollywood.</w:t>
      </w:r>
    </w:p>
    <w:p>
      <w:pPr>
        <w:spacing w:after="0" w:line="15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 xml:space="preserve">Our Theme Parks revenue increased in 2010 primarily due to an increase in attendance at our Orlando theme park resulting from the opening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attraction in June 2010. Attendance also increased at our Hollywood theme park due in part to the new</w:t>
      </w:r>
      <w:r>
        <w:rPr>
          <w:rFonts w:ascii="Arial" w:cs="Arial" w:eastAsia="Arial" w:hAnsi="Arial"/>
          <w:sz w:val="18"/>
          <w:szCs w:val="18"/>
          <w:i w:val="1"/>
          <w:iCs w:val="1"/>
          <w:color w:val="auto"/>
        </w:rPr>
        <w:t xml:space="preserve"> King Kong </w:t>
      </w:r>
      <w:r>
        <w:rPr>
          <w:rFonts w:ascii="Arial" w:cs="Arial" w:eastAsia="Arial" w:hAnsi="Arial"/>
          <w:sz w:val="18"/>
          <w:szCs w:val="18"/>
          <w:color w:val="auto"/>
        </w:rPr>
        <w:t>attraction, which opened in the beginning of the third quarter of 2010. In addition, revenue from international licensing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as a result of the opening of Universal Studios Singapore in early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costs of food, beverage and merchandise; labor costs; and sales and marketing costs.</w:t>
      </w:r>
    </w:p>
    <w:p>
      <w:pPr>
        <w:spacing w:after="0" w:line="15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 xml:space="preserve">Our Theme Parks segment combined operating costs and expenses increased in 2011 primarily due to additional variable costs associated with increases in attendance and per capita spending at our Universal theme parks in Orlando and Hollywood. The increase in operating costs and expenses in 2010 was primarily driven by increased costs associated with increased attendance at our Orlando and Hollywood theme parks, as well as additional marketing costs associated with promoting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xml:space="preserve">™ and </w:t>
      </w:r>
      <w:r>
        <w:rPr>
          <w:rFonts w:ascii="Arial" w:cs="Arial" w:eastAsia="Arial" w:hAnsi="Arial"/>
          <w:sz w:val="16"/>
          <w:szCs w:val="16"/>
          <w:i w:val="1"/>
          <w:iCs w:val="1"/>
          <w:color w:val="auto"/>
        </w:rPr>
        <w:t>King Kong</w:t>
      </w:r>
      <w:r>
        <w:rPr>
          <w:rFonts w:ascii="Arial" w:cs="Arial" w:eastAsia="Arial" w:hAnsi="Arial"/>
          <w:sz w:val="16"/>
          <w:szCs w:val="16"/>
          <w:color w:val="auto"/>
        </w:rPr>
        <w:t xml:space="preserve"> attractions.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323"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Headquarters and Other operating costs and expenses include corporate overhead, employee benefit expenses, expenses related to the Joint Venture Transaction and corporate initiatives. Our combined operating costs and expenses increased in 2011 primarily due to transaction-related costs, including severance and other compensation-related costs.</w:t>
      </w:r>
    </w:p>
    <w:p>
      <w:pPr>
        <w:spacing w:after="0" w:line="1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Eliminations include the results of operations for Universal Orlando for the periods prior to July 1, 2011. Our Theme Parks segment includes the results of operations of Universal Orlando for these periods because these amounts reflect our current segment performance measure. These amounts are not included when we measure our consolidated results of operations because we recorded Universal Orlando as an equity method investment for the periods prior to July 1, 2011.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Consolidated Other Income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4"/>
                <w:szCs w:val="14"/>
                <w:color w:val="auto"/>
              </w:rPr>
              <w:t>Predecessor</w:t>
            </w:r>
          </w:p>
        </w:tc>
        <w:tc>
          <w:tcPr>
            <w:tcW w:w="180" w:type="dxa"/>
            <w:vAlign w:val="bottom"/>
          </w:tcPr>
          <w:p>
            <w:pPr>
              <w:spacing w:after="0"/>
              <w:rPr>
                <w:sz w:val="14"/>
                <w:szCs w:val="14"/>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color w:val="auto"/>
                <w:w w:val="93"/>
              </w:rPr>
              <w:t>Combined</w:t>
            </w:r>
          </w:p>
        </w:tc>
        <w:tc>
          <w:tcPr>
            <w:tcW w:w="200" w:type="dxa"/>
            <w:vAlign w:val="bottom"/>
          </w:tcPr>
          <w:p>
            <w:pPr>
              <w:spacing w:after="0"/>
              <w:rPr>
                <w:sz w:val="14"/>
                <w:szCs w:val="14"/>
                <w:color w:val="auto"/>
              </w:rPr>
            </w:pPr>
          </w:p>
        </w:tc>
        <w:tc>
          <w:tcPr>
            <w:tcW w:w="1860" w:type="dxa"/>
            <w:vAlign w:val="bottom"/>
            <w:gridSpan w:val="3"/>
          </w:tcPr>
          <w:p>
            <w:pPr>
              <w:jc w:val="right"/>
              <w:ind w:right="578"/>
              <w:spacing w:after="0"/>
              <w:rPr>
                <w:sz w:val="20"/>
                <w:szCs w:val="20"/>
                <w:color w:val="auto"/>
              </w:rPr>
            </w:pPr>
            <w:r>
              <w:rPr>
                <w:rFonts w:ascii="Arial" w:cs="Arial" w:eastAsia="Arial" w:hAnsi="Arial"/>
                <w:sz w:val="14"/>
                <w:szCs w:val="14"/>
                <w:color w:val="auto"/>
              </w:rPr>
              <w:t>Predecessor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1"/>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1"/>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January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1"/>
              <w:spacing w:after="0" w:line="149" w:lineRule="exact"/>
              <w:rPr>
                <w:sz w:val="20"/>
                <w:szCs w:val="20"/>
                <w:color w:val="auto"/>
              </w:rPr>
            </w:pPr>
            <w:r>
              <w:rPr>
                <w:rFonts w:ascii="Arial" w:cs="Arial" w:eastAsia="Arial" w:hAnsi="Arial"/>
                <w:sz w:val="14"/>
                <w:szCs w:val="14"/>
                <w:color w:val="auto"/>
              </w:rPr>
              <w:t>January 1,</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color w:val="auto"/>
              </w:rPr>
              <w:t>% Change</w:t>
            </w:r>
          </w:p>
        </w:tc>
        <w:tc>
          <w:tcPr>
            <w:tcW w:w="980" w:type="dxa"/>
            <w:vAlign w:val="bottom"/>
            <w:vMerge w:val="restart"/>
          </w:tcPr>
          <w:p>
            <w:pPr>
              <w:jc w:val="right"/>
              <w:ind w:righ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color w:val="auto"/>
              </w:rPr>
              <w:t>2011 to</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41"/>
              <w:spacing w:after="0" w:line="135" w:lineRule="exact"/>
              <w:rPr>
                <w:sz w:val="20"/>
                <w:szCs w:val="20"/>
                <w:color w:val="auto"/>
              </w:rPr>
            </w:pPr>
            <w:r>
              <w:rPr>
                <w:rFonts w:ascii="Arial" w:cs="Arial" w:eastAsia="Arial" w:hAnsi="Arial"/>
                <w:sz w:val="14"/>
                <w:szCs w:val="14"/>
                <w:color w:val="auto"/>
              </w:rPr>
              <w:t>2011 to</w:t>
            </w:r>
          </w:p>
        </w:tc>
        <w:tc>
          <w:tcPr>
            <w:tcW w:w="180" w:type="dxa"/>
            <w:vAlign w:val="bottom"/>
          </w:tcPr>
          <w:p>
            <w:pPr>
              <w:spacing w:after="0"/>
              <w:rPr>
                <w:sz w:val="11"/>
                <w:szCs w:val="11"/>
                <w:color w:val="auto"/>
              </w:rPr>
            </w:pPr>
          </w:p>
        </w:tc>
        <w:tc>
          <w:tcPr>
            <w:tcW w:w="860" w:type="dxa"/>
            <w:vAlign w:val="bottom"/>
          </w:tcPr>
          <w:p>
            <w:pPr>
              <w:jc w:val="right"/>
              <w:ind w:right="40"/>
              <w:spacing w:after="0" w:line="135"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1"/>
                <w:szCs w:val="11"/>
                <w:color w:val="auto"/>
              </w:rPr>
            </w:pPr>
          </w:p>
        </w:tc>
        <w:tc>
          <w:tcPr>
            <w:tcW w:w="840" w:type="dxa"/>
            <w:vAlign w:val="bottom"/>
          </w:tcPr>
          <w:p>
            <w:pPr>
              <w:jc w:val="right"/>
              <w:ind w:right="40"/>
              <w:spacing w:after="0" w:line="135"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1"/>
                <w:szCs w:val="11"/>
                <w:color w:val="auto"/>
              </w:rPr>
            </w:pPr>
          </w:p>
        </w:tc>
        <w:tc>
          <w:tcPr>
            <w:tcW w:w="820" w:type="dxa"/>
            <w:vAlign w:val="bottom"/>
          </w:tcPr>
          <w:p>
            <w:pPr>
              <w:jc w:val="right"/>
              <w:ind w:right="18"/>
              <w:spacing w:after="0" w:line="135" w:lineRule="exact"/>
              <w:rPr>
                <w:sz w:val="20"/>
                <w:szCs w:val="20"/>
                <w:color w:val="auto"/>
              </w:rPr>
            </w:pPr>
            <w:r>
              <w:rPr>
                <w:rFonts w:ascii="Arial" w:cs="Arial" w:eastAsia="Arial" w:hAnsi="Arial"/>
                <w:sz w:val="14"/>
                <w:szCs w:val="14"/>
                <w:color w:val="auto"/>
                <w:w w:val="94"/>
              </w:rPr>
              <w:t>Year Ended</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6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1"/>
              <w:spacing w:after="0" w:line="149" w:lineRule="exact"/>
              <w:rPr>
                <w:sz w:val="20"/>
                <w:szCs w:val="20"/>
                <w:color w:val="auto"/>
              </w:rPr>
            </w:pPr>
            <w:r>
              <w:rPr>
                <w:rFonts w:ascii="Arial" w:cs="Arial" w:eastAsia="Arial" w:hAnsi="Arial"/>
                <w:sz w:val="14"/>
                <w:szCs w:val="14"/>
                <w:color w:val="auto"/>
                <w:w w:val="98"/>
              </w:rPr>
              <w:t>January 28,</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0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2010 to</w:t>
            </w:r>
          </w:p>
        </w:tc>
        <w:tc>
          <w:tcPr>
            <w:tcW w:w="98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2009 to</w:t>
            </w:r>
          </w:p>
        </w:tc>
        <w:tc>
          <w:tcPr>
            <w:tcW w:w="0" w:type="dxa"/>
            <w:vAlign w:val="bottom"/>
          </w:tcPr>
          <w:p>
            <w:pPr>
              <w:spacing w:after="0"/>
              <w:rPr>
                <w:sz w:val="1"/>
                <w:szCs w:val="1"/>
                <w:color w:val="auto"/>
              </w:rPr>
            </w:pPr>
          </w:p>
        </w:tc>
      </w:tr>
      <w:tr>
        <w:trPr>
          <w:trHeight w:val="163"/>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2011</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3860" w:type="dxa"/>
            <w:vAlign w:val="bottom"/>
          </w:tcPr>
          <w:p>
            <w:pPr>
              <w:spacing w:after="0" w:line="200" w:lineRule="exact"/>
              <w:rPr>
                <w:sz w:val="20"/>
                <w:szCs w:val="20"/>
                <w:color w:val="auto"/>
              </w:rPr>
            </w:pPr>
            <w:r>
              <w:rPr>
                <w:rFonts w:ascii="Arial" w:cs="Arial" w:eastAsia="Arial" w:hAnsi="Arial"/>
                <w:sz w:val="18"/>
                <w:szCs w:val="18"/>
                <w:color w:val="auto"/>
              </w:rPr>
              <w:t>Equity in net income of investees, net</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41"/>
              <w:spacing w:after="0" w:line="200" w:lineRule="exact"/>
              <w:rPr>
                <w:sz w:val="20"/>
                <w:szCs w:val="20"/>
                <w:color w:val="auto"/>
              </w:rPr>
            </w:pPr>
            <w:r>
              <w:rPr>
                <w:rFonts w:ascii="Arial" w:cs="Arial" w:eastAsia="Arial" w:hAnsi="Arial"/>
                <w:sz w:val="18"/>
                <w:szCs w:val="18"/>
                <w:color w:val="auto"/>
              </w:rPr>
              <w:t>262</w:t>
            </w:r>
          </w:p>
        </w:tc>
        <w:tc>
          <w:tcPr>
            <w:tcW w:w="20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1"/>
              <w:spacing w:after="0" w:line="200" w:lineRule="exact"/>
              <w:rPr>
                <w:sz w:val="20"/>
                <w:szCs w:val="20"/>
                <w:color w:val="auto"/>
              </w:rPr>
            </w:pPr>
            <w:r>
              <w:rPr>
                <w:rFonts w:ascii="Arial" w:cs="Arial" w:eastAsia="Arial" w:hAnsi="Arial"/>
                <w:sz w:val="18"/>
                <w:szCs w:val="18"/>
                <w:color w:val="auto"/>
              </w:rPr>
              <w:t>25</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40"/>
              <w:spacing w:after="0" w:line="200" w:lineRule="exact"/>
              <w:rPr>
                <w:sz w:val="20"/>
                <w:szCs w:val="20"/>
                <w:color w:val="auto"/>
              </w:rPr>
            </w:pPr>
            <w:r>
              <w:rPr>
                <w:rFonts w:ascii="Arial" w:cs="Arial" w:eastAsia="Arial" w:hAnsi="Arial"/>
                <w:sz w:val="18"/>
                <w:szCs w:val="18"/>
                <w:color w:val="auto"/>
              </w:rPr>
              <w:t>287</w:t>
            </w: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line="200" w:lineRule="exact"/>
              <w:rPr>
                <w:sz w:val="20"/>
                <w:szCs w:val="20"/>
                <w:color w:val="auto"/>
              </w:rPr>
            </w:pPr>
            <w:r>
              <w:rPr>
                <w:rFonts w:ascii="Arial" w:cs="Arial" w:eastAsia="Arial" w:hAnsi="Arial"/>
                <w:sz w:val="18"/>
                <w:szCs w:val="18"/>
                <w:color w:val="auto"/>
              </w:rPr>
              <w:t>308</w:t>
            </w: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8"/>
              <w:spacing w:after="0" w:line="200" w:lineRule="exact"/>
              <w:rPr>
                <w:sz w:val="20"/>
                <w:szCs w:val="20"/>
                <w:color w:val="auto"/>
              </w:rPr>
            </w:pPr>
            <w:r>
              <w:rPr>
                <w:rFonts w:ascii="Arial" w:cs="Arial" w:eastAsia="Arial" w:hAnsi="Arial"/>
                <w:sz w:val="18"/>
                <w:szCs w:val="18"/>
                <w:color w:val="auto"/>
              </w:rPr>
              <w:t>103</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(6.8)%</w:t>
            </w:r>
          </w:p>
        </w:tc>
        <w:tc>
          <w:tcPr>
            <w:tcW w:w="980" w:type="dxa"/>
            <w:vAlign w:val="bottom"/>
          </w:tcPr>
          <w:p>
            <w:pPr>
              <w:jc w:val="right"/>
              <w:ind w:right="40"/>
              <w:spacing w:after="0" w:line="200" w:lineRule="exact"/>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53.8</w:t>
            </w:r>
          </w:p>
        </w:tc>
        <w:tc>
          <w:tcPr>
            <w:tcW w:w="98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880" w:type="dxa"/>
            <w:vAlign w:val="bottom"/>
          </w:tcPr>
          <w:p>
            <w:pPr>
              <w:jc w:val="right"/>
              <w:ind w:right="41"/>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8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840" w:type="dxa"/>
            <w:vAlign w:val="bottom"/>
          </w:tcPr>
          <w:p>
            <w:pPr>
              <w:jc w:val="right"/>
              <w:ind w:right="40"/>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8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55</w:t>
            </w:r>
          </w:p>
        </w:tc>
        <w:tc>
          <w:tcPr>
            <w:tcW w:w="100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(58.2)</w:t>
            </w:r>
          </w:p>
        </w:tc>
        <w:tc>
          <w:tcPr>
            <w:tcW w:w="98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(129)</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211</w:t>
            </w:r>
          </w:p>
        </w:tc>
        <w:tc>
          <w:tcPr>
            <w:tcW w:w="1000" w:type="dxa"/>
            <w:vAlign w:val="bottom"/>
            <w:tcBorders>
              <w:bottom w:val="single" w:sz="8" w:color="auto"/>
            </w:tcBorders>
          </w:tcPr>
          <w:p>
            <w:pPr>
              <w:jc w:val="right"/>
              <w:ind w:right="200"/>
              <w:spacing w:after="0" w:line="200" w:lineRule="exact"/>
              <w:rPr>
                <w:sz w:val="20"/>
                <w:szCs w:val="20"/>
                <w:color w:val="auto"/>
              </w:rPr>
            </w:pPr>
            <w:r>
              <w:rPr>
                <w:rFonts w:ascii="Arial" w:cs="Arial" w:eastAsia="Arial" w:hAnsi="Arial"/>
                <w:sz w:val="18"/>
                <w:szCs w:val="18"/>
                <w:color w:val="auto"/>
              </w:rPr>
              <w:t>NM</w:t>
            </w:r>
          </w:p>
        </w:tc>
        <w:tc>
          <w:tcPr>
            <w:tcW w:w="980" w:type="dxa"/>
            <w:vAlign w:val="bottom"/>
            <w:tcBorders>
              <w:bottom w:val="single" w:sz="8" w:color="auto"/>
            </w:tcBorders>
          </w:tcPr>
          <w:p>
            <w:pPr>
              <w:jc w:val="right"/>
              <w:ind w:right="140"/>
              <w:spacing w:after="0" w:line="200" w:lineRule="exact"/>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(237)</w:t>
            </w:r>
          </w:p>
        </w:tc>
        <w:tc>
          <w:tcPr>
            <w:tcW w:w="200" w:type="dxa"/>
            <w:vAlign w:val="bottom"/>
            <w:tcBorders>
              <w:bottom w:val="single" w:sz="8" w:color="53439A"/>
              <w:right w:val="single" w:sz="8" w:color="auto"/>
            </w:tcBorders>
          </w:tcPr>
          <w:p>
            <w:pPr>
              <w:spacing w:after="0"/>
              <w:rPr>
                <w:sz w:val="17"/>
                <w:szCs w:val="17"/>
                <w:color w:val="auto"/>
              </w:rPr>
            </w:pPr>
          </w:p>
        </w:tc>
        <w:tc>
          <w:tcPr>
            <w:tcW w:w="36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(274)</w:t>
            </w:r>
          </w:p>
        </w:tc>
        <w:tc>
          <w:tcPr>
            <w:tcW w:w="20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53439A"/>
            </w:tcBorders>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3439A"/>
            </w:tcBorders>
          </w:tcPr>
          <w:p>
            <w:pPr>
              <w:jc w:val="right"/>
              <w:ind w:right="18"/>
              <w:spacing w:after="0" w:line="202" w:lineRule="exact"/>
              <w:rPr>
                <w:sz w:val="20"/>
                <w:szCs w:val="20"/>
                <w:color w:val="auto"/>
              </w:rPr>
            </w:pPr>
            <w:r>
              <w:rPr>
                <w:rFonts w:ascii="Arial" w:cs="Arial" w:eastAsia="Arial" w:hAnsi="Arial"/>
                <w:sz w:val="18"/>
                <w:szCs w:val="18"/>
                <w:color w:val="auto"/>
              </w:rPr>
              <w:t>320</w:t>
            </w:r>
          </w:p>
        </w:tc>
        <w:tc>
          <w:tcPr>
            <w:tcW w:w="1000" w:type="dxa"/>
            <w:vAlign w:val="bottom"/>
            <w:tcBorders>
              <w:bottom w:val="single" w:sz="8" w:color="53439A"/>
            </w:tcBorders>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98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decrease in 2011 primarily relates to our acquisition of the remaining 50% equity interest in Universal Orlando in July 2011. As a result, we no longer record Universal Orlando as an equity method investment following the acquisition date. See “Segment Operating Results – Theme Parks Segment Results of Operations” above for further information. Equity in net income of investees, net includes $52 million in 2011 of incremental amortization of the basis differences resulting from the increased fair value of our investments that was recorded as a result of the Joint Venture Transaction.</w:t>
      </w:r>
    </w:p>
    <w:p>
      <w:pPr>
        <w:spacing w:after="0" w:line="11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The increase in 2010 was primarily attributable to increases from Universal Orlando driven by the opening in June 2010 of </w:t>
      </w:r>
      <w:r>
        <w:rPr>
          <w:rFonts w:ascii="Arial" w:cs="Arial" w:eastAsia="Arial" w:hAnsi="Arial"/>
          <w:sz w:val="18"/>
          <w:szCs w:val="18"/>
          <w:i w:val="1"/>
          <w:iCs w:val="1"/>
          <w:color w:val="auto"/>
        </w:rPr>
        <w:t>The Wizarding World of</w:t>
      </w:r>
      <w:r>
        <w:rPr>
          <w:rFonts w:ascii="Arial" w:cs="Arial" w:eastAsia="Arial" w:hAnsi="Arial"/>
          <w:sz w:val="18"/>
          <w:szCs w:val="18"/>
          <w:color w:val="auto"/>
        </w:rPr>
        <w:t xml:space="preserve"> </w:t>
      </w:r>
      <w:r>
        <w:rPr>
          <w:rFonts w:ascii="Arial" w:cs="Arial" w:eastAsia="Arial" w:hAnsi="Arial"/>
          <w:sz w:val="18"/>
          <w:szCs w:val="18"/>
          <w:i w:val="1"/>
          <w:iCs w:val="1"/>
          <w:color w:val="auto"/>
        </w:rPr>
        <w:t>Harry Potter</w:t>
      </w:r>
      <w:r>
        <w:rPr>
          <w:rFonts w:ascii="Arial" w:cs="Arial" w:eastAsia="Arial" w:hAnsi="Arial"/>
          <w:sz w:val="18"/>
          <w:szCs w:val="18"/>
          <w:color w:val="auto"/>
        </w:rPr>
        <w:t>™. Additional increases resulted primarily from improved performance of our investment in A&amp;E Television Networks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in 2010 of Station Venture Holdings, LLC (“Station Venture”), a variable interest entity, which had been accounted for as an equity method investment in 2009, and which had been incurring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Interest expense increased in 2011 and 2010 primarily due to the incremental interest expense associated with the $9.1 billion of senior notes issued in 2010.</w:t>
      </w:r>
    </w:p>
    <w:p>
      <w:pPr>
        <w:spacing w:after="0" w:line="12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Additionally, in 2010 as a result of the consolidation of Station Venture, we recorded $67 million of interest expense associated with an $816 million Station Venture note, our share of which was reflected within equity in net income of investees, net in 2009 as this was accounted for as an equity method investment in 2009.</w:t>
      </w:r>
    </w:p>
    <w:p>
      <w:pPr>
        <w:spacing w:after="0" w:line="32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96"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Income (Expense), Net</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income (expense) in 2011 includes $57 million of expenses related to contractual obligations involving perpetual financial interests held by third parties in certain of our businesses. The obligations were recorded at fair value in connection with the Joint Venture and Universal Orlando transactions, with subsequent changes in fair value recorded in other income (expense). In addition, in 2011, we recorded a $27 million loss related to the sale of an independent Spanish-language local television station that we owned and operated. Other income (expense) decreased in 2010, primarily due to the absence of significant noncash gains and other-than-temporary impairments recorded in 2009. The noncash gains related to changes in our proportionate share of two of our equity method investees, and the other-than-temporary impairments, related to our investments in ION Media Networks and The Weather Channel.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the closing of the Joint Venture Transaction, we converted into a limited liability company, and our company is disregarded for U.S. federal income tax purposes as an entity separate from NBCUniversal Holdings, a tax partnership. NBCUniversal and our subsidiaries do not incur any significant current or deferred domestic income taxes. Our income tax expense is comprised of foreign withholding taxes, foreign income taxes and domestic income taxes that are primarily related to state income taxes. The decrease in our income tax expense in 2011 is reflective of these changes in our tax status.</w:t>
      </w:r>
    </w:p>
    <w:p>
      <w:pPr>
        <w:spacing w:after="0" w:line="15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decrease in our income tax expense in 2010 was primarily the result of several contributing factors, including favorable legislation that increased the tax benefit for domestic production activities, a decrease in the state rate of approximately 1%, and the favorable settlement of state tax reserves. As a result of the foregoing factors, the effective tax rate for the year ended December 31, 2010 decreased to 33% from 40% for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(Income) Loss Attributable to Noncontrolling Interests</w:t>
      </w:r>
    </w:p>
    <w:p>
      <w:pPr>
        <w:spacing w:after="0" w:line="18"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Net (income) loss attributable to noncontrolling interests increased in 2011 primarily due to income associated with the noncontrolling interests in the regional sports networks contributed by Comcast as part of the Joint Venture Transaction and the impact of the deconsolidation, effective January 28, 2011, of Station Venture. See Note 7 to our consolidated financial statements for additional information on Station Venture.</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income attributable to noncontrolling interests increased slightly in 2010 as a result of an increase in net income associated with stage plays in our Filmed Entertainment segment partially offset by the consolidation of Station Venture, which was accounted for as a noncontrolling interest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maintain significant availability under our lines of credit and our commercial paper program to meet our short-term liquidity requirements. As of December 31, 2011, amounts available under our credit facility totaled approximately $934 million.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380"/>
          </w:cols>
          <w:pgMar w:left="240" w:top="323" w:right="279" w:bottom="1440" w:gutter="0" w:footer="0" w:header="0"/>
        </w:sectPr>
      </w:pPr>
    </w:p>
    <w:bookmarkStart w:id="119" w:name="page120"/>
    <w:bookmarkEnd w:id="119"/>
    <w:p>
      <w:pPr>
        <w:ind w:right="1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the covenants and restrictions set forth in the indentures governing our public debt securities and in the credit agreement governing our credit facility. We are in compliance with the covenants, and we believe that neither the covenants nor the restrictions in our indentures or loan documents will limit our ability to operate our businesses or raise additional capital. We test our compliance with our credit facility’s covenants on an ongoing basis. The only financial covenant in our credit facility pertains to leverage (ratio of debt to earnings). As of December 31, 2011, we met this financial covenant by a significant margin and do not expect to have to further reduce debt or improve operating results in order to continue to comply with this financial covenant.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1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Following the closing of the Joint Venture Transaction and our conversion to a limited liability company, NBCUniversal Holdings, our sole member, caused us to, and will continue to cause us to, make distributions or loans to NBCUniversal Holdings to meet its cash requirements. These requirements include an obligation to make distributions of cash on a quarterly basis to enable its indirect owners (Comcast and GE) to meet their obligations to pay taxes on taxable income generated by our businesses.</w:t>
      </w:r>
    </w:p>
    <w:p>
      <w:pPr>
        <w:spacing w:after="0" w:line="155"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In addition, Comcast and GE have rights that may require NBCUniversal Holdings to redeem GE’s interests in NBCUniversal Holdings at various times. NBCUniversal Holdings, however, has no independent source of cash, other than distributions or loans from our company. Our ability to make distributions or loans may be limited by contractual arrangements. Comcast does not guarantee our debt obligations, and any future redemptions of GE’s interest in NBCUniversal Holdings are expected to be funded primarily through our cash flows from operating activities and borrowing capacity. If any borrowings to fund either of GE’s two potential redemptions would result in our exceeding a certain leverage ratio or losing investment grade status or if NBCUniversal Holdings cannot otherwise fund such redemptions, Comcast is committed to fund up to $2.875 billion in cash or its common stock for each of the two potential redemptions (for an aggregate of up to $5.75 billion) to the extent NBCUniversal Holdings cannot fund the redemptions, with amounts not used in the first redemption available for the second redemption.</w:t>
      </w:r>
    </w:p>
    <w:p>
      <w:pPr>
        <w:spacing w:after="0" w:line="1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Prior to the closing of the Joint Venture Transaction, we distributed approximately $7.4 billion to GE. Substantially all of our cash and cash equivalents were distributed to GE, except for approximately $200 million and minimal cash balances at our international subsidiaries, which we retained to facilitate the funding of our short-term working capital requirements immediately following the closing of the Joint Venture Transaction. The Comcast Content Business was contributed with cash or cash equivalents of approximately $38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Orlando Transaction</w:t>
      </w:r>
    </w:p>
    <w:p>
      <w:pPr>
        <w:spacing w:after="0" w:line="1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On July 1, 2011, we acquired the remaining 50% equity interest in Universal Orlando that we did not already own for $1 billion. Universal Orlando is now a wholly owned consolidated subsidiary and its results are included in our consolidated results of operations following the acquisition. We funded this transaction with cash on hand, borrowings under our revolving credit facility and a $250 million one-year note due to Comcast which was repaid in December 2011. As a result of the acquisition, we assumed various debt obligations with a fair value as of the acquisition date of $1.5 billion. Borrowings under our revolving credit facility, along with cash on hand at Universal Orlando, were used to terminate Universal Orlando’s existing $801 million term loan immediately following the acquisition.</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August 1, 2011, Universal Orlando redeemed $140 million aggregate principal amount of its 8.875% senior notes due 2015 and $79 million aggregate principal amount of its 10.875% senior subordinated notes due 2016. In October 2011, we fully and unconditionally guaranteed Universal Orlando’s 8.875% senior notes due 2015 and its 10.875% senior subordinate notes due 2016 in exchange for amendments that conform the notes’ covenants and events of default to those contained in our $9.1 billion of outstanding public debt securities. The guarantee includes the payment of principal, premium, if any, and interest. See Note 10 to our consolidated financial statements for additional information on the remaining Universal Orlando notes outstanding as of December 31, 2011.</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Receivables Monetization</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monetize certain of our accounts receivable under programs with a syndicate of banks. The effects of these monetization transactions are a component of net cash provided by operating activities in our consolidated statement of cash flows. See Note 19 to our consolidated financial statements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Financing</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response to the high cost of producing films, we have entered into film cofinancing arrangements with third parties to jointly finance or distribute certain of our film productions. These arrangements can take various forms. In most cases, the form of the arrangement involves the grant of an economic interest in a film to a third-party investor. Investors generally assume the full risks and rewards of ownership proportionate to their ownership in the film. We account for our proceeds as a reduction to our capitalized film cost, and the related cash flows are a component of net cash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53439A"/>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18"/>
              <w:spacing w:after="0"/>
              <w:rPr>
                <w:sz w:val="20"/>
                <w:szCs w:val="20"/>
                <w:color w:val="auto"/>
              </w:rPr>
            </w:pPr>
            <w:r>
              <w:rPr>
                <w:rFonts w:ascii="Arial" w:cs="Arial" w:eastAsia="Arial" w:hAnsi="Arial"/>
                <w:sz w:val="14"/>
                <w:szCs w:val="14"/>
                <w:color w:val="auto"/>
                <w:w w:val="99"/>
              </w:rPr>
              <w:t>Predecessor</w:t>
            </w:r>
          </w:p>
        </w:tc>
        <w:tc>
          <w:tcPr>
            <w:tcW w:w="180" w:type="dxa"/>
            <w:vAlign w:val="bottom"/>
          </w:tcPr>
          <w:p>
            <w:pPr>
              <w:spacing w:after="0"/>
              <w:rPr>
                <w:sz w:val="14"/>
                <w:szCs w:val="14"/>
                <w:color w:val="auto"/>
              </w:rPr>
            </w:pPr>
          </w:p>
        </w:tc>
        <w:tc>
          <w:tcPr>
            <w:tcW w:w="880" w:type="dxa"/>
            <w:vAlign w:val="bottom"/>
          </w:tcPr>
          <w:p>
            <w:pPr>
              <w:jc w:val="right"/>
              <w:ind w:right="177"/>
              <w:spacing w:after="0"/>
              <w:rPr>
                <w:sz w:val="20"/>
                <w:szCs w:val="20"/>
                <w:color w:val="auto"/>
              </w:rPr>
            </w:pPr>
            <w:r>
              <w:rPr>
                <w:rFonts w:ascii="Arial" w:cs="Arial" w:eastAsia="Arial" w:hAnsi="Arial"/>
                <w:sz w:val="14"/>
                <w:szCs w:val="14"/>
                <w:color w:val="auto"/>
                <w:w w:val="93"/>
              </w:rPr>
              <w:t>Combined</w:t>
            </w:r>
          </w:p>
        </w:tc>
        <w:tc>
          <w:tcPr>
            <w:tcW w:w="200" w:type="dxa"/>
            <w:vAlign w:val="bottom"/>
          </w:tcPr>
          <w:p>
            <w:pPr>
              <w:spacing w:after="0"/>
              <w:rPr>
                <w:sz w:val="14"/>
                <w:szCs w:val="14"/>
                <w:color w:val="auto"/>
              </w:rPr>
            </w:pPr>
          </w:p>
        </w:tc>
        <w:tc>
          <w:tcPr>
            <w:tcW w:w="1880" w:type="dxa"/>
            <w:vAlign w:val="bottom"/>
            <w:gridSpan w:val="3"/>
          </w:tcPr>
          <w:p>
            <w:pPr>
              <w:jc w:val="right"/>
              <w:ind w:right="596"/>
              <w:spacing w:after="0"/>
              <w:rPr>
                <w:sz w:val="20"/>
                <w:szCs w:val="20"/>
                <w:color w:val="auto"/>
              </w:rPr>
            </w:pPr>
            <w:r>
              <w:rPr>
                <w:rFonts w:ascii="Arial" w:cs="Arial" w:eastAsia="Arial" w:hAnsi="Arial"/>
                <w:sz w:val="14"/>
                <w:szCs w:val="14"/>
                <w:color w:val="auto"/>
              </w:rPr>
              <w:t>Predecessor</w:t>
            </w:r>
          </w:p>
        </w:tc>
      </w:tr>
      <w:tr>
        <w:trPr>
          <w:trHeight w:val="141"/>
        </w:trPr>
        <w:tc>
          <w:tcPr>
            <w:tcW w:w="5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8"/>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8"/>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149"/>
        </w:trPr>
        <w:tc>
          <w:tcPr>
            <w:tcW w:w="5180" w:type="dxa"/>
            <w:vAlign w:val="bottom"/>
          </w:tcPr>
          <w:p>
            <w:pPr>
              <w:spacing w:after="0"/>
              <w:rPr>
                <w:sz w:val="12"/>
                <w:szCs w:val="12"/>
                <w:color w:val="auto"/>
              </w:rPr>
            </w:pPr>
          </w:p>
        </w:tc>
        <w:tc>
          <w:tcPr>
            <w:tcW w:w="160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4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January 1, 2011 to</w:t>
            </w:r>
          </w:p>
        </w:tc>
        <w:tc>
          <w:tcPr>
            <w:tcW w:w="180" w:type="dxa"/>
            <w:vAlign w:val="bottom"/>
          </w:tcPr>
          <w:p>
            <w:pPr>
              <w:spacing w:after="0"/>
              <w:rPr>
                <w:sz w:val="12"/>
                <w:szCs w:val="12"/>
                <w:color w:val="auto"/>
              </w:rPr>
            </w:pPr>
          </w:p>
        </w:tc>
        <w:tc>
          <w:tcPr>
            <w:tcW w:w="880" w:type="dxa"/>
            <w:vAlign w:val="bottom"/>
          </w:tcPr>
          <w:p>
            <w:pPr>
              <w:jc w:val="right"/>
              <w:ind w:right="57"/>
              <w:spacing w:after="0" w:line="149" w:lineRule="exact"/>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2"/>
                <w:szCs w:val="12"/>
                <w:color w:val="auto"/>
              </w:rPr>
            </w:pPr>
          </w:p>
        </w:tc>
        <w:tc>
          <w:tcPr>
            <w:tcW w:w="840" w:type="dxa"/>
            <w:vAlign w:val="bottom"/>
          </w:tcPr>
          <w:p>
            <w:pPr>
              <w:jc w:val="right"/>
              <w:ind w:right="16"/>
              <w:spacing w:after="0" w:line="149" w:lineRule="exact"/>
              <w:rPr>
                <w:sz w:val="20"/>
                <w:szCs w:val="20"/>
                <w:color w:val="auto"/>
              </w:rPr>
            </w:pPr>
            <w:r>
              <w:rPr>
                <w:rFonts w:ascii="Arial" w:cs="Arial" w:eastAsia="Arial" w:hAnsi="Arial"/>
                <w:sz w:val="14"/>
                <w:szCs w:val="14"/>
                <w:color w:val="auto"/>
                <w:w w:val="97"/>
              </w:rPr>
              <w:t>Year Ended</w:t>
            </w:r>
          </w:p>
        </w:tc>
      </w:tr>
      <w:tr>
        <w:trPr>
          <w:trHeight w:val="149"/>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January 28,</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r>
      <w:tr>
        <w:trPr>
          <w:trHeight w:val="163"/>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r>
      <w:tr>
        <w:trPr>
          <w:trHeight w:val="199"/>
        </w:trPr>
        <w:tc>
          <w:tcPr>
            <w:tcW w:w="5180" w:type="dxa"/>
            <w:vAlign w:val="bottom"/>
          </w:tcPr>
          <w:p>
            <w:pPr>
              <w:spacing w:after="0" w:line="200" w:lineRule="exact"/>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19"/>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line="200" w:lineRule="exact"/>
              <w:rPr>
                <w:sz w:val="20"/>
                <w:szCs w:val="20"/>
                <w:color w:val="auto"/>
              </w:rPr>
            </w:pPr>
            <w:r>
              <w:rPr>
                <w:rFonts w:ascii="Arial" w:cs="Arial" w:eastAsia="Arial" w:hAnsi="Arial"/>
                <w:sz w:val="18"/>
                <w:szCs w:val="18"/>
                <w:color w:val="auto"/>
              </w:rPr>
              <w:t>2,283</w:t>
            </w:r>
          </w:p>
        </w:tc>
        <w:tc>
          <w:tcPr>
            <w:tcW w:w="200" w:type="dxa"/>
            <w:vAlign w:val="bottom"/>
            <w:tcBorders>
              <w:right w:val="single" w:sz="8" w:color="auto"/>
            </w:tcBorders>
          </w:tcPr>
          <w:p>
            <w:pPr>
              <w:spacing w:after="0"/>
              <w:rPr>
                <w:sz w:val="17"/>
                <w:szCs w:val="17"/>
                <w:color w:val="auto"/>
              </w:rPr>
            </w:pPr>
          </w:p>
        </w:tc>
        <w:tc>
          <w:tcPr>
            <w:tcW w:w="4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8</w:t>
            </w:r>
          </w:p>
        </w:tc>
        <w:tc>
          <w:tcPr>
            <w:tcW w:w="180" w:type="dxa"/>
            <w:vAlign w:val="bottom"/>
          </w:tcPr>
          <w:p>
            <w:pPr>
              <w:ind w:left="80"/>
              <w:spacing w:after="0" w:line="200"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2,291</w:t>
            </w: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2,204</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1,868</w:t>
            </w:r>
          </w:p>
        </w:tc>
      </w:tr>
      <w:tr>
        <w:trPr>
          <w:trHeight w:val="199"/>
        </w:trPr>
        <w:tc>
          <w:tcPr>
            <w:tcW w:w="5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1,113</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1,140</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349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347</w:t>
            </w:r>
          </w:p>
        </w:tc>
      </w:tr>
      <w:tr>
        <w:trPr>
          <w:trHeight w:val="199"/>
        </w:trPr>
        <w:tc>
          <w:tcPr>
            <w:tcW w:w="5180" w:type="dxa"/>
            <w:vAlign w:val="bottom"/>
          </w:tcPr>
          <w:p>
            <w:pPr>
              <w:ind w:left="220"/>
              <w:spacing w:after="0" w:line="200" w:lineRule="exact"/>
              <w:rPr>
                <w:sz w:val="20"/>
                <w:szCs w:val="20"/>
                <w:color w:val="auto"/>
              </w:rPr>
            </w:pPr>
            <w:r>
              <w:rPr>
                <w:rFonts w:ascii="Arial" w:cs="Arial" w:eastAsia="Arial" w:hAnsi="Arial"/>
                <w:sz w:val="18"/>
                <w:szCs w:val="18"/>
                <w:color w:val="auto"/>
              </w:rPr>
              <w:t>Operating income before depreciation and amortization</w:t>
            </w:r>
          </w:p>
        </w:tc>
        <w:tc>
          <w:tcPr>
            <w:tcW w:w="280" w:type="dxa"/>
            <w:vAlign w:val="bottom"/>
          </w:tcPr>
          <w:p>
            <w:pPr>
              <w:spacing w:after="0"/>
              <w:rPr>
                <w:sz w:val="17"/>
                <w:szCs w:val="17"/>
                <w:color w:val="auto"/>
              </w:rPr>
            </w:pPr>
          </w:p>
        </w:tc>
        <w:tc>
          <w:tcPr>
            <w:tcW w:w="1120" w:type="dxa"/>
            <w:vAlign w:val="bottom"/>
          </w:tcPr>
          <w:p>
            <w:pPr>
              <w:jc w:val="right"/>
              <w:ind w:right="38"/>
              <w:spacing w:after="0" w:line="200" w:lineRule="exact"/>
              <w:rPr>
                <w:sz w:val="20"/>
                <w:szCs w:val="20"/>
                <w:color w:val="auto"/>
              </w:rPr>
            </w:pPr>
            <w:r>
              <w:rPr>
                <w:rFonts w:ascii="Arial" w:cs="Arial" w:eastAsia="Arial" w:hAnsi="Arial"/>
                <w:sz w:val="18"/>
                <w:szCs w:val="18"/>
                <w:color w:val="auto"/>
              </w:rPr>
              <w:t>3,396</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3,431</w:t>
            </w:r>
          </w:p>
        </w:tc>
        <w:tc>
          <w:tcPr>
            <w:tcW w:w="200" w:type="dxa"/>
            <w:vAlign w:val="bottom"/>
          </w:tcPr>
          <w:p>
            <w:pPr>
              <w:spacing w:after="0"/>
              <w:rPr>
                <w:sz w:val="17"/>
                <w:szCs w:val="17"/>
                <w:color w:val="auto"/>
              </w:rPr>
            </w:pPr>
          </w:p>
        </w:tc>
        <w:tc>
          <w:tcPr>
            <w:tcW w:w="8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2,553</w:t>
            </w:r>
          </w:p>
        </w:tc>
        <w:tc>
          <w:tcPr>
            <w:tcW w:w="200" w:type="dxa"/>
            <w:vAlign w:val="bottom"/>
          </w:tcPr>
          <w:p>
            <w:pPr>
              <w:spacing w:after="0"/>
              <w:rPr>
                <w:sz w:val="17"/>
                <w:szCs w:val="17"/>
                <w:color w:val="auto"/>
              </w:rPr>
            </w:pPr>
          </w:p>
        </w:tc>
        <w:tc>
          <w:tcPr>
            <w:tcW w:w="8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2,215</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17"/>
                <w:szCs w:val="17"/>
                <w:color w:val="auto"/>
              </w:rPr>
            </w:pPr>
          </w:p>
        </w:tc>
        <w:tc>
          <w:tcPr>
            <w:tcW w:w="11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8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8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199"/>
        </w:trPr>
        <w:tc>
          <w:tcPr>
            <w:tcW w:w="5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(168)</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(220)</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699</w:t>
            </w:r>
          </w:p>
        </w:tc>
      </w:tr>
      <w:tr>
        <w:trPr>
          <w:trHeight w:val="199"/>
        </w:trPr>
        <w:tc>
          <w:tcPr>
            <w:tcW w:w="5180" w:type="dxa"/>
            <w:vAlign w:val="bottom"/>
          </w:tcPr>
          <w:p>
            <w:pPr>
              <w:ind w:left="220"/>
              <w:spacing w:after="0" w:line="200" w:lineRule="exact"/>
              <w:rPr>
                <w:sz w:val="20"/>
                <w:szCs w:val="20"/>
                <w:color w:val="auto"/>
              </w:rPr>
            </w:pPr>
            <w:r>
              <w:rPr>
                <w:rFonts w:ascii="Arial" w:cs="Arial" w:eastAsia="Arial" w:hAnsi="Arial"/>
                <w:sz w:val="18"/>
                <w:szCs w:val="18"/>
                <w:color w:val="auto"/>
              </w:rPr>
              <w:t>Cash basis operating income</w:t>
            </w:r>
          </w:p>
        </w:tc>
        <w:tc>
          <w:tcPr>
            <w:tcW w:w="280" w:type="dxa"/>
            <w:vAlign w:val="bottom"/>
          </w:tcPr>
          <w:p>
            <w:pPr>
              <w:spacing w:after="0"/>
              <w:rPr>
                <w:sz w:val="17"/>
                <w:szCs w:val="17"/>
                <w:color w:val="auto"/>
              </w:rPr>
            </w:pPr>
          </w:p>
        </w:tc>
        <w:tc>
          <w:tcPr>
            <w:tcW w:w="1120" w:type="dxa"/>
            <w:vAlign w:val="bottom"/>
          </w:tcPr>
          <w:p>
            <w:pPr>
              <w:jc w:val="right"/>
              <w:ind w:right="38"/>
              <w:spacing w:after="0" w:line="200" w:lineRule="exact"/>
              <w:rPr>
                <w:sz w:val="20"/>
                <w:szCs w:val="20"/>
                <w:color w:val="auto"/>
              </w:rPr>
            </w:pPr>
            <w:r>
              <w:rPr>
                <w:rFonts w:ascii="Arial" w:cs="Arial" w:eastAsia="Arial" w:hAnsi="Arial"/>
                <w:sz w:val="18"/>
                <w:szCs w:val="18"/>
                <w:color w:val="auto"/>
              </w:rPr>
              <w:t>3,245</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(137)</w:t>
            </w:r>
          </w:p>
        </w:tc>
        <w:tc>
          <w:tcPr>
            <w:tcW w:w="180" w:type="dxa"/>
            <w:vAlign w:val="bottom"/>
          </w:tcPr>
          <w:p>
            <w:pPr>
              <w:spacing w:after="0"/>
              <w:rPr>
                <w:sz w:val="17"/>
                <w:szCs w:val="17"/>
                <w:color w:val="auto"/>
              </w:rPr>
            </w:pPr>
          </w:p>
        </w:tc>
        <w:tc>
          <w:tcPr>
            <w:tcW w:w="8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3,108</w:t>
            </w:r>
          </w:p>
        </w:tc>
        <w:tc>
          <w:tcPr>
            <w:tcW w:w="200" w:type="dxa"/>
            <w:vAlign w:val="bottom"/>
          </w:tcPr>
          <w:p>
            <w:pPr>
              <w:spacing w:after="0"/>
              <w:rPr>
                <w:sz w:val="17"/>
                <w:szCs w:val="17"/>
                <w:color w:val="auto"/>
              </w:rPr>
            </w:pPr>
          </w:p>
        </w:tc>
        <w:tc>
          <w:tcPr>
            <w:tcW w:w="8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2,345</w:t>
            </w:r>
          </w:p>
        </w:tc>
        <w:tc>
          <w:tcPr>
            <w:tcW w:w="200" w:type="dxa"/>
            <w:vAlign w:val="bottom"/>
          </w:tcPr>
          <w:p>
            <w:pPr>
              <w:spacing w:after="0"/>
              <w:rPr>
                <w:sz w:val="17"/>
                <w:szCs w:val="17"/>
                <w:color w:val="auto"/>
              </w:rPr>
            </w:pPr>
          </w:p>
        </w:tc>
        <w:tc>
          <w:tcPr>
            <w:tcW w:w="8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2,914</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r>
      <w:tr>
        <w:trPr>
          <w:trHeight w:val="199"/>
        </w:trPr>
        <w:tc>
          <w:tcPr>
            <w:tcW w:w="5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Proceeds from interest, dividends and other nonoperating items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229</w:t>
            </w:r>
          </w:p>
        </w:tc>
        <w:tc>
          <w:tcPr>
            <w:tcW w:w="20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231</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269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274</w:t>
            </w:r>
          </w:p>
        </w:tc>
      </w:tr>
      <w:tr>
        <w:trPr>
          <w:trHeight w:val="203"/>
        </w:trPr>
        <w:tc>
          <w:tcPr>
            <w:tcW w:w="518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53439A"/>
            </w:tcBorders>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8"/>
              <w:spacing w:after="0" w:line="202" w:lineRule="exact"/>
              <w:rPr>
                <w:sz w:val="20"/>
                <w:szCs w:val="20"/>
                <w:color w:val="auto"/>
              </w:rPr>
            </w:pPr>
            <w:r>
              <w:rPr>
                <w:rFonts w:ascii="Arial" w:cs="Arial" w:eastAsia="Arial" w:hAnsi="Arial"/>
                <w:sz w:val="18"/>
                <w:szCs w:val="18"/>
                <w:color w:val="auto"/>
              </w:rPr>
              <w:t>2,869</w:t>
            </w:r>
          </w:p>
        </w:tc>
        <w:tc>
          <w:tcPr>
            <w:tcW w:w="200" w:type="dxa"/>
            <w:vAlign w:val="bottom"/>
            <w:tcBorders>
              <w:bottom w:val="single" w:sz="8" w:color="53439A"/>
              <w:right w:val="single" w:sz="8" w:color="auto"/>
            </w:tcBorders>
          </w:tcPr>
          <w:p>
            <w:pPr>
              <w:spacing w:after="0"/>
              <w:rPr>
                <w:sz w:val="17"/>
                <w:szCs w:val="17"/>
                <w:color w:val="auto"/>
              </w:rPr>
            </w:pPr>
          </w:p>
        </w:tc>
        <w:tc>
          <w:tcPr>
            <w:tcW w:w="40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(629)</w:t>
            </w:r>
          </w:p>
        </w:tc>
        <w:tc>
          <w:tcPr>
            <w:tcW w:w="18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53439A"/>
            </w:tcBorders>
          </w:tcPr>
          <w:p>
            <w:pPr>
              <w:jc w:val="right"/>
              <w:ind w:right="57"/>
              <w:spacing w:after="0" w:line="202" w:lineRule="exact"/>
              <w:rPr>
                <w:sz w:val="20"/>
                <w:szCs w:val="20"/>
                <w:color w:val="auto"/>
              </w:rPr>
            </w:pPr>
            <w:r>
              <w:rPr>
                <w:rFonts w:ascii="Arial" w:cs="Arial" w:eastAsia="Arial" w:hAnsi="Arial"/>
                <w:sz w:val="18"/>
                <w:szCs w:val="18"/>
                <w:color w:val="auto"/>
              </w:rPr>
              <w:t>2,240</w:t>
            </w:r>
          </w:p>
        </w:tc>
        <w:tc>
          <w:tcPr>
            <w:tcW w:w="20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53439A"/>
            </w:tcBorders>
          </w:tcPr>
          <w:p>
            <w:pPr>
              <w:jc w:val="right"/>
              <w:ind w:right="37"/>
              <w:spacing w:after="0" w:line="202" w:lineRule="exact"/>
              <w:rPr>
                <w:sz w:val="20"/>
                <w:szCs w:val="20"/>
                <w:color w:val="auto"/>
              </w:rPr>
            </w:pPr>
            <w:r>
              <w:rPr>
                <w:rFonts w:ascii="Arial" w:cs="Arial" w:eastAsia="Arial" w:hAnsi="Arial"/>
                <w:sz w:val="18"/>
                <w:szCs w:val="18"/>
                <w:color w:val="auto"/>
              </w:rPr>
              <w:t>2,011</w:t>
            </w:r>
          </w:p>
        </w:tc>
        <w:tc>
          <w:tcPr>
            <w:tcW w:w="20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3439A"/>
            </w:tcBorders>
          </w:tcPr>
          <w:p>
            <w:pPr>
              <w:jc w:val="right"/>
              <w:ind w:right="16"/>
              <w:spacing w:after="0" w:line="202" w:lineRule="exact"/>
              <w:rPr>
                <w:sz w:val="20"/>
                <w:szCs w:val="20"/>
                <w:color w:val="auto"/>
              </w:rPr>
            </w:pPr>
            <w:r>
              <w:rPr>
                <w:rFonts w:ascii="Arial" w:cs="Arial" w:eastAsia="Arial" w:hAnsi="Arial"/>
                <w:sz w:val="18"/>
                <w:szCs w:val="18"/>
                <w:color w:val="auto"/>
              </w:rPr>
              <w:t>2,622</w:t>
            </w:r>
          </w:p>
        </w:tc>
      </w:tr>
    </w:tbl>
    <w:p>
      <w:pPr>
        <w:spacing w:after="0" w:line="16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changes in operating assets and liabilities in 2011 and 2010 primarily relate to net cash outflows on our receivables monetization programs and an increase in film and television costs and net cash inflows related to the timing of payments made for accounts payables and other accrued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payments in 2011 and 2010 was primarily due to the issuance during 2010 of our $9.1 billion of senior debt securities.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323" w:right="239" w:bottom="1440" w:gutter="0" w:footer="0" w:header="0"/>
        </w:sectPr>
      </w:pPr>
    </w:p>
    <w:bookmarkStart w:id="121" w:name="page122"/>
    <w:bookmarkEnd w:id="121"/>
    <w:p>
      <w:pPr>
        <w:ind w:right="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increase in income tax payments in 2011 was primarily due to federal tax payments related to the repatriation of foreign earnings, as well as tax payments to GE in 2011 related to the settlement of certain tax positions in preparation for the closing of the Joint Venture Transaction and our conversion to a limited liability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cash used in investing activities in 2011 consisted primarily of cash paid, net of cash acquired, for the Universal Orlando acquisition and cash paid for capital expenditures and intangible assets. Cash paid for intangible assets included payments associated with the acquisition of intellectual property rights for use in our theme parks. Net cash used in investing activities in 2010 consisted primarily of capital expenditures. We have invested and continue to invest in existing and new attractions at our theme parks.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Net cash used in financing activities in 2011 consisted primarily of the various financing transactions related to the Universal Orlando transaction (see Note 4 to our consolidated financial statements for additional information), the $332 million repurchase of a preferred stock interest from an affiliate of GE in the Predecessor period ended January 28, 2011, and an increase in distributions to noncontrolling interests due to the consolidation of the Comcast Content Business in the Successor period ended December 31, 2011. In addition, in January 2011, we paid a dividend to GE that was substantially offset by GE’s repayment of loans due to us which we had previously made to GE following the issuance of our senior debt securities in 2010.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2010, we issued $9.1 billion of senior debt securities in connection with the Joint Venture Transaction.</w:t>
      </w:r>
    </w:p>
    <w:p>
      <w:pPr>
        <w:spacing w:after="0" w:line="15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See Note 10 to our consolidated financial statements for further discussion of our financing activities, including details of our debt repayments and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future contractual obligations as of December 31, 2011 by period in which the payments are due.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color w:val="auto"/>
              </w:rPr>
              <w:t>Payment Due by Period</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Year 1</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9"/>
              </w:rPr>
              <w:t>Year 2-3</w:t>
            </w:r>
          </w:p>
        </w:tc>
        <w:tc>
          <w:tcPr>
            <w:tcW w:w="8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rPr>
              <w:t>Year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710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9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$ 10,150</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550</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904</w:t>
            </w:r>
          </w:p>
        </w:tc>
        <w:tc>
          <w:tcPr>
            <w:tcW w:w="8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$ 2,488</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1,839</w:t>
            </w:r>
          </w:p>
        </w:tc>
        <w:tc>
          <w:tcPr>
            <w:tcW w:w="24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282</w:t>
            </w:r>
          </w:p>
        </w:tc>
        <w:tc>
          <w:tcPr>
            <w:tcW w:w="22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421</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338</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3"/>
        </w:trPr>
        <w:tc>
          <w:tcPr>
            <w:tcW w:w="710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33,270</w:t>
            </w:r>
          </w:p>
        </w:tc>
        <w:tc>
          <w:tcPr>
            <w:tcW w:w="240" w:type="dxa"/>
            <w:vAlign w:val="bottom"/>
          </w:tcPr>
          <w:p>
            <w:pPr>
              <w:spacing w:after="0"/>
              <w:rPr>
                <w:sz w:val="17"/>
                <w:szCs w:val="17"/>
                <w:color w:val="auto"/>
              </w:rPr>
            </w:pP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5,406</w:t>
            </w:r>
          </w:p>
        </w:tc>
        <w:tc>
          <w:tcPr>
            <w:tcW w:w="22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5,448</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5,114</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17,302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2,105</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262</w:t>
            </w:r>
          </w:p>
        </w:tc>
        <w:tc>
          <w:tcPr>
            <w:tcW w:w="8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309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auto"/>
            </w:tcBorders>
          </w:tcPr>
          <w:p>
            <w:pPr>
              <w:spacing w:after="0" w:line="197" w:lineRule="exact"/>
              <w:rPr>
                <w:sz w:val="20"/>
                <w:szCs w:val="20"/>
                <w:color w:val="auto"/>
              </w:rPr>
            </w:pPr>
            <w:r>
              <w:rPr>
                <w:rFonts w:ascii="Arial" w:cs="Arial" w:eastAsia="Arial" w:hAnsi="Arial"/>
                <w:sz w:val="18"/>
                <w:szCs w:val="18"/>
                <w:color w:val="auto"/>
              </w:rPr>
              <w:t>Total</w:t>
            </w:r>
            <w:r>
              <w:rPr>
                <w:rFonts w:ascii="Arial" w:cs="Arial" w:eastAsia="Arial" w:hAnsi="Arial"/>
                <w:sz w:val="22"/>
                <w:szCs w:val="22"/>
                <w:color w:val="auto"/>
                <w:vertAlign w:val="superscript"/>
              </w:rPr>
              <w:t>(d)</w:t>
            </w:r>
          </w:p>
        </w:tc>
        <w:tc>
          <w:tcPr>
            <w:tcW w:w="9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$ 47,382</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6,344</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7,040</w:t>
            </w:r>
          </w:p>
        </w:tc>
        <w:tc>
          <w:tcPr>
            <w:tcW w:w="8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$ 8,254</w:t>
            </w:r>
          </w:p>
        </w:tc>
        <w:tc>
          <w:tcPr>
            <w:tcW w:w="2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(long-term debt) and Note 20 (commitments and contingencies) to our consolidated financial statements.</w:t>
      </w:r>
    </w:p>
    <w:p>
      <w:pPr>
        <w:spacing w:after="0" w:line="55"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ind w:left="300" w:right="120" w:hanging="292"/>
        <w:spacing w:after="0" w:line="224" w:lineRule="auto"/>
        <w:tabs>
          <w:tab w:leader="none" w:pos="3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consist primarily of the commitments to acquire sports programming, including U.S. television rights to future Olympic Games through 2020, NBC’s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through the 2022-23 season and the Super Bowls in 2012, 2015, 2018 and 2021; NHL games through the 2020-21 season; Spanish-language U.S. television rights to FIFA World Cup games through 2022; and certain PGA TOUR golf events through 2021; and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57" w:lineRule="exact"/>
        <w:rPr>
          <w:rFonts w:ascii="Arial" w:cs="Arial" w:eastAsia="Arial" w:hAnsi="Arial"/>
          <w:sz w:val="14"/>
          <w:szCs w:val="14"/>
          <w:color w:val="auto"/>
        </w:rPr>
      </w:pPr>
    </w:p>
    <w:p>
      <w:pPr>
        <w:jc w:val="both"/>
        <w:ind w:left="280" w:right="220" w:hanging="272"/>
        <w:spacing w:after="0" w:line="279" w:lineRule="auto"/>
        <w:tabs>
          <w:tab w:leader="none" w:pos="2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Other long-term obligations consist primarily of certain contractual obligations acquired in connection with the Joint Venture and Universal Orlando transactions, as well as pension and postretirement benefit obligations. The contractual obligations involve perpetual financial interests held by third parties in certain of our businesses and are based upon a percentage of future revenue of the specified businesses. One of these contractual obligations provides the third party with the option, beginning in 2017, to require us to purchase the</w:t>
      </w:r>
    </w:p>
    <w:p>
      <w:pPr>
        <w:spacing w:after="0" w:line="30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22" w:name="page123"/>
    <w:bookmarkEnd w:id="122"/>
    <w:p>
      <w:pPr>
        <w:ind w:left="220" w:right="20"/>
        <w:spacing w:after="0" w:line="22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for cash in an amount equal to the fair value of the estimated future payments. Payments of $1.7 billion of participations and residuals and a $482 million liability that represents the fair value, as of the date of the Joint Venture Transaction, of consolidated assets that serve as collateral for the $816 million Station Venture note are not included in the table above because we cannot make a reliable estimate of the period in which these obligations will become payable. Reserves for uncertain tax positions of approximately $52 million are not included in the table above because we cannot make a reliable estimate of the period in which the unrecognizable tax benefits will be recognized.</w:t>
      </w:r>
    </w:p>
    <w:p>
      <w:pPr>
        <w:spacing w:after="0" w:line="55"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Total contractual obligations are made up of the following components.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1"/>
        </w:trPr>
        <w:tc>
          <w:tcPr>
            <w:tcW w:w="68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Liabilities recorded on the balance sheet</w:t>
            </w:r>
          </w:p>
        </w:tc>
        <w:tc>
          <w:tcPr>
            <w:tcW w:w="456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$ 13,181</w:t>
            </w:r>
          </w:p>
        </w:tc>
      </w:tr>
      <w:tr>
        <w:trPr>
          <w:trHeight w:val="149"/>
        </w:trPr>
        <w:tc>
          <w:tcPr>
            <w:tcW w:w="6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45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34,201</w:t>
            </w:r>
          </w:p>
        </w:tc>
      </w:tr>
      <w:tr>
        <w:trPr>
          <w:trHeight w:val="142"/>
        </w:trPr>
        <w:tc>
          <w:tcPr>
            <w:tcW w:w="6860" w:type="dxa"/>
            <w:vAlign w:val="bottom"/>
            <w:tcBorders>
              <w:bottom w:val="single" w:sz="8" w:color="53439A"/>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4560" w:type="dxa"/>
            <w:vAlign w:val="bottom"/>
            <w:tcBorders>
              <w:bottom w:val="single" w:sz="8" w:color="53439A"/>
            </w:tcBorders>
          </w:tcPr>
          <w:p>
            <w:pPr>
              <w:jc w:val="right"/>
              <w:ind w:right="12"/>
              <w:spacing w:after="0" w:line="142" w:lineRule="exact"/>
              <w:rPr>
                <w:sz w:val="20"/>
                <w:szCs w:val="20"/>
                <w:color w:val="auto"/>
              </w:rPr>
            </w:pPr>
            <w:r>
              <w:rPr>
                <w:rFonts w:ascii="Arial" w:cs="Arial" w:eastAsia="Arial" w:hAnsi="Arial"/>
                <w:sz w:val="14"/>
                <w:szCs w:val="14"/>
                <w:color w:val="auto"/>
              </w:rPr>
              <w:t>$ 47,382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 Redemption Rights</w:t>
      </w:r>
    </w:p>
    <w:p>
      <w:pPr>
        <w:spacing w:after="0" w:line="1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July 28, 2014, GE has the right to cause NBCUniversal Holdings to redeem, in cash, half of GE’s interest in NBCUniversal Holdings, and during the six month period beginning January 28, 2018, GE has the right to cause NBCUniversal Holdings to redeem GE’s remaining interest, if any. NBCUniversal Holdings has no independent source of cash, other than distributions or loans from our company, and any potential redemption of GE’s remaining equity interests is expected to be funded primarily through our cash flows from operating activities and our borrowing capacity. No amounts related to this potential obligation are included in the table above. See Note 4 to our consolidated financial statements for additional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of December 31, 2011, we did not have any significant off-balance sheet arrangements, other than GE’s redemption rights discussed above, that are reasonably likely to have a current or future effect on our financial condition, results of operations, liquidity, capital expenditures or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our judgments and related estimates associated with revenue recognition, film and television costs and the valuation of acquired assets and liabilities associated with the Joint Venture and Universal Orlando transactions are critical in the preparation of our financial statements. See Note 2 to our consolidated financial statements for a discussion of our accounting policies with respect to these and other items and Note 4 to our consolidated financial statements for additional information on our Joint Venture and Universal Orlando transactions.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53439A"/>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We have significant operations in a number of countries outside the United States, and certain of our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287" w:right="239" w:bottom="1440" w:gutter="0" w:footer="0" w:header="0"/>
        </w:sectPr>
      </w:pPr>
    </w:p>
    <w:bookmarkStart w:id="123" w:name="page124"/>
    <w:bookmarkEnd w:id="123"/>
    <w:p>
      <w:pPr>
        <w:ind w:right="4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part of our overall strategy to manage the level of exposure to the risk of foreign exchange rate fluctuations, we enter into derivative financial instruments related to a significant portion of our foreign currency exposures. We enter into foreign currency forward and option contracts that change in value as foreign exchange rates change to protect the U.S. dollar equivalent value of our foreign currency assets, liabilities, commitments, and forecasted foreign currency revenue and expenses. In accordance with our policy, we hedge forecasted foreign currency transactions for periods generally not to exceed 18 months. As of December 31, 2011, we had foreign exchange contracts on a total notional value of $767 million. As of December 31, 2011, these foreign exchange contracts had an aggregate estimated fair value loss of $2 million.</w:t>
      </w:r>
    </w:p>
    <w:p>
      <w:pPr>
        <w:spacing w:after="0" w:line="13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We have analyzed our foreign currency exposures as of December 31, 2011, including our hedging contracts, to identify assets and liabilities denominated in a currency other than their relevant functional currency. For these assets and liabilities, we then evaluated the effects of a 10% shift in currency exchange rates between those currencies and the U.S. dollar. The analysis of such shift in exchange rates indicated that there would be an immaterial effect on our 2011 income.</w:t>
      </w:r>
    </w:p>
    <w:p>
      <w:pPr>
        <w:spacing w:after="0" w:line="15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See Note 2 to our consolidated financial statements for additional information on our accounting policies for derivative financial instruments and Note 11 to our consolidated financial statements for additional information on our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interest rate derivative financial instruments, which primarily include fixed to variable interest rate swaps entered into in 2011, represent an integral part of our interest rate risk management program. Our interest rate derivative financial instruments reduced the portion of our total debt at fixed rates to 87% from 95% as of December 31, 2011. Interest rate derivative financial instruments may have a significant effect on our interest expense in the future.</w:t>
      </w:r>
    </w:p>
    <w:p>
      <w:pPr>
        <w:spacing w:after="0" w:line="155"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4"/>
                <w:szCs w:val="14"/>
                <w:color w:val="auto"/>
                <w:w w:val="93"/>
              </w:rPr>
              <w:t>Fair Value</w:t>
            </w:r>
          </w:p>
        </w:tc>
      </w:tr>
      <w:tr>
        <w:trPr>
          <w:trHeight w:val="149"/>
        </w:trPr>
        <w:tc>
          <w:tcPr>
            <w:tcW w:w="3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w w:val="96"/>
              </w:rPr>
              <w:t>2012</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9" w:lineRule="exact"/>
              <w:rPr>
                <w:sz w:val="20"/>
                <w:szCs w:val="20"/>
                <w:color w:val="auto"/>
              </w:rPr>
            </w:pPr>
            <w:r>
              <w:rPr>
                <w:rFonts w:ascii="Arial" w:cs="Arial" w:eastAsia="Arial" w:hAnsi="Arial"/>
                <w:sz w:val="14"/>
                <w:szCs w:val="14"/>
                <w:color w:val="auto"/>
                <w:w w:val="96"/>
              </w:rPr>
              <w:t>2014</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gridSpan w:val="2"/>
          </w:tcPr>
          <w:p>
            <w:pPr>
              <w:jc w:val="right"/>
              <w:ind w:right="17"/>
              <w:spacing w:after="0" w:line="149" w:lineRule="exact"/>
              <w:rPr>
                <w:sz w:val="20"/>
                <w:szCs w:val="20"/>
                <w:color w:val="auto"/>
              </w:rPr>
            </w:pPr>
            <w:r>
              <w:rPr>
                <w:rFonts w:ascii="Arial" w:cs="Arial" w:eastAsia="Arial" w:hAnsi="Arial"/>
                <w:sz w:val="14"/>
                <w:szCs w:val="14"/>
                <w:color w:val="auto"/>
              </w:rPr>
              <w:t>12/31/2011</w:t>
            </w:r>
          </w:p>
        </w:tc>
      </w:tr>
      <w:tr>
        <w:trPr>
          <w:trHeight w:val="199"/>
        </w:trPr>
        <w:tc>
          <w:tcPr>
            <w:tcW w:w="340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w w:val="99"/>
              </w:rPr>
              <w:t>907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1,320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1,173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6,211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9,618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10,492</w:t>
            </w: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w w:val="99"/>
              </w:rPr>
              <w:t>550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550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550</w:t>
            </w:r>
          </w:p>
        </w:tc>
      </w:tr>
      <w:tr>
        <w:trPr>
          <w:trHeight w:val="181"/>
        </w:trPr>
        <w:tc>
          <w:tcPr>
            <w:tcW w:w="340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48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5"/>
        </w:trPr>
        <w:tc>
          <w:tcPr>
            <w:tcW w:w="340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5"/>
              <w:spacing w:after="0" w:line="202" w:lineRule="exact"/>
              <w:rPr>
                <w:sz w:val="20"/>
                <w:szCs w:val="20"/>
                <w:color w:val="auto"/>
              </w:rPr>
            </w:pPr>
            <w:r>
              <w:rPr>
                <w:rFonts w:ascii="Arial" w:cs="Arial" w:eastAsia="Arial" w:hAnsi="Arial"/>
                <w:sz w:val="18"/>
                <w:szCs w:val="18"/>
                <w:color w:val="auto"/>
                <w:w w:val="99"/>
              </w:rPr>
              <w:t>300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300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750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3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506"/>
        </w:trPr>
        <w:tc>
          <w:tcPr>
            <w:tcW w:w="3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217"/>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7"/>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345" w:right="239" w:bottom="1440" w:gutter="0" w:footer="0" w:header="0"/>
        </w:sectPr>
      </w:pPr>
    </w:p>
    <w:bookmarkStart w:id="124" w:name="page125"/>
    <w:bookmarkEnd w:id="124"/>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use the notional amount of each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debt and swaps using the average implied forward London Interbank Offered Rate (“LIBOR”) through the year of maturity based on the yield curve in effect on December 31, 2011, plus the applicable borrowing margin on December 31, 2011.</w:t>
      </w:r>
    </w:p>
    <w:p>
      <w:pPr>
        <w:spacing w:after="0" w:line="15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Refer to Note 10 to our consolidated financial statements for a discussion on our debt outstanding and to Note 11 to our consolidated financial statements for a discussion on our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we believe have reputable credit and, therefore, bear minimal risk.</w:t>
      </w:r>
    </w:p>
    <w:p>
      <w:pPr>
        <w:spacing w:after="0" w:line="155"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00"/>
          </w:cols>
          <w:pgMar w:left="240" w:top="345" w:right="259" w:bottom="1440" w:gutter="0" w:footer="0" w:header="0"/>
        </w:sectPr>
      </w:pPr>
    </w:p>
    <w:bookmarkStart w:id="125" w:name="page126"/>
    <w:bookmarkEnd w:id="125"/>
    <w:p>
      <w:pPr>
        <w:spacing w:after="0"/>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8: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Index</w:t>
            </w:r>
          </w:p>
        </w:tc>
        <w:tc>
          <w:tcPr>
            <w:tcW w:w="42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Page</w:t>
            </w:r>
          </w:p>
        </w:tc>
      </w:tr>
      <w:tr>
        <w:trPr>
          <w:trHeight w:val="208"/>
        </w:trPr>
        <w:tc>
          <w:tcPr>
            <w:tcW w:w="716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44</w:t>
            </w: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Consolidated Balance Sheet</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46</w:t>
            </w: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Consolidated Statement of Income</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47</w:t>
            </w: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Consolidated Statement of Comprehensive Income</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48</w:t>
            </w: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Consolidated Statement of Cash Flows</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49</w:t>
            </w: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Consolidated Statement of Changes in Equity</w:t>
            </w:r>
          </w:p>
        </w:tc>
        <w:tc>
          <w:tcPr>
            <w:tcW w:w="4260" w:type="dxa"/>
            <w:vAlign w:val="bottom"/>
          </w:tcPr>
          <w:p>
            <w:pPr>
              <w:jc w:val="right"/>
              <w:ind w:right="17"/>
              <w:spacing w:after="0"/>
              <w:rPr>
                <w:sz w:val="20"/>
                <w:szCs w:val="20"/>
                <w:color w:val="auto"/>
              </w:rPr>
            </w:pPr>
            <w:r>
              <w:rPr>
                <w:rFonts w:ascii="Arial" w:cs="Arial" w:eastAsia="Arial" w:hAnsi="Arial"/>
                <w:sz w:val="18"/>
                <w:szCs w:val="18"/>
                <w:color w:val="auto"/>
              </w:rPr>
              <w:t>50</w:t>
            </w:r>
          </w:p>
        </w:tc>
      </w:tr>
      <w:tr>
        <w:trPr>
          <w:trHeight w:val="299"/>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Notes to Consolidated Financial Statements</w:t>
            </w:r>
          </w:p>
        </w:tc>
        <w:tc>
          <w:tcPr>
            <w:tcW w:w="4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51</w:t>
            </w:r>
          </w:p>
        </w:tc>
      </w:tr>
      <w:tr>
        <w:trPr>
          <w:trHeight w:val="506"/>
        </w:trPr>
        <w:tc>
          <w:tcPr>
            <w:tcW w:w="7160" w:type="dxa"/>
            <w:vAlign w:val="bottom"/>
          </w:tcPr>
          <w:p>
            <w:pPr>
              <w:ind w:left="5680"/>
              <w:spacing w:after="0"/>
              <w:rPr>
                <w:sz w:val="20"/>
                <w:szCs w:val="20"/>
                <w:color w:val="auto"/>
              </w:rPr>
            </w:pPr>
            <w:r>
              <w:rPr>
                <w:rFonts w:ascii="Arial" w:cs="Arial" w:eastAsia="Arial" w:hAnsi="Arial"/>
                <w:sz w:val="14"/>
                <w:szCs w:val="14"/>
                <w:b w:val="1"/>
                <w:bCs w:val="1"/>
                <w:color w:val="auto"/>
              </w:rPr>
              <w:t>43</w:t>
            </w:r>
          </w:p>
        </w:tc>
        <w:tc>
          <w:tcPr>
            <w:tcW w:w="4260" w:type="dxa"/>
            <w:vAlign w:val="bottom"/>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284" w:right="239" w:bottom="1440" w:gutter="0" w:footer="0" w:header="0"/>
        </w:sectPr>
      </w:pPr>
    </w:p>
    <w:bookmarkStart w:id="126" w:name="page127"/>
    <w:bookmarkEnd w:id="126"/>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 of NBCUniversal Media, LLC and subsidiaries (the “Company”), as of</w:t>
      </w:r>
    </w:p>
    <w:p>
      <w:pPr>
        <w:spacing w:after="0" w:line="236" w:lineRule="auto"/>
        <w:rPr>
          <w:sz w:val="20"/>
          <w:szCs w:val="20"/>
          <w:color w:val="auto"/>
        </w:rPr>
      </w:pPr>
      <w:r>
        <w:rPr>
          <w:rFonts w:ascii="Arial" w:cs="Arial" w:eastAsia="Arial" w:hAnsi="Arial"/>
          <w:sz w:val="18"/>
          <w:szCs w:val="18"/>
          <w:color w:val="auto"/>
        </w:rPr>
        <w:t>December 31, 2011 (successor), the related consolidated statements of income, comprehensive income, cash flows and changes in equity for the period from January 29, 2011 to December 31, 2011 (successor), and the consolidated statements of income, comprehensive income, cash flows and changes in equity of NBC Universal, Inc. and subsidiaries (the “Predecessor Company”) for the period from January 1, 2011 to January 28, 2011 (predecessor). These consolidated financial statements are the responsibility of the Company’s management. Our responsibility is to express an opinion on these consolidated financial statements based on our audits.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and the Predecessor Company are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or the Predecessor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2011 (successor), the results of its operations and its cash flows for the period from January 29, 2011 to December 31, 2011 (successor), and the results of the Predecessor Company’s operations and cash flows for the period from January 1, 2011 to January 28, 2011 (predecessor), in conformity with accounting principles generally accepted in the United States of America.</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As discussed in Note 1 to the consolidated financial statements, on January 28, 2011, Comcast Corporation closed its transaction with General Electric Company and as part of the transaction, NBC Universal, Inc. (predecessor) was converted into a limited liability company named NBCUniversal Media, LLC (successor).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380"/>
          </w:cols>
          <w:pgMar w:left="240" w:top="284" w:right="279" w:bottom="1440" w:gutter="0" w:footer="0" w:header="0"/>
        </w:sectPr>
      </w:pPr>
    </w:p>
    <w:bookmarkStart w:id="127" w:name="page128"/>
    <w:bookmarkEnd w:id="127"/>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have audited the accompanying consolidated balance sheet of NBC Universal, Inc. and consolidated subsidiaries (“NBC Universal”) as of December 31, 2010 (predecessor), and the related consolidated statements of income, comprehensive income, cash flows and changes in equity for each of the years in the two-year period ended December 31, 2010 (predecessor). In connection with our audits of the consolidated financial statements, we have also audited the consolidated financial statement schedule II. These consolidated financial statements and the consolidated financial statement schedule are the responsibility of NBC Universal’s management. Our responsibility is to express an opinion on these consolidated financial statements based on our audits.</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NBC Universal as of December 31, 2010 (predecessor), and the results of their operations and their cash flows for each of the years in the two-year period ended December 31, 2010 (predecessor)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February 28, 2011 except for Notes 1, 9 &amp; 18 and the consolidated financial statement schedule as to which the date is May 13, 2011, and except for the Consolidated Statement of Comprehensive Income and Notes 21 &amp; 22 as to which the date is February 22, 2012.</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84" w:right="239" w:bottom="1440" w:gutter="0" w:footer="0" w:header="0"/>
        </w:sectPr>
      </w:pPr>
    </w:p>
    <w:bookmarkStart w:id="128" w:name="page129"/>
    <w:bookmarkEnd w:id="128"/>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Balance Sheet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(in millions, except share data)</w:t>
            </w:r>
          </w:p>
        </w:tc>
        <w:tc>
          <w:tcPr>
            <w:tcW w:w="35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5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808</w:t>
            </w:r>
          </w:p>
        </w:tc>
        <w:tc>
          <w:tcPr>
            <w:tcW w:w="220" w:type="dxa"/>
            <w:vAlign w:val="bottom"/>
            <w:tcBorders>
              <w:right w:val="single" w:sz="8" w:color="auto"/>
            </w:tcBorders>
          </w:tcPr>
          <w:p>
            <w:pPr>
              <w:spacing w:after="0"/>
              <w:rPr>
                <w:sz w:val="17"/>
                <w:szCs w:val="17"/>
                <w:color w:val="auto"/>
              </w:rPr>
            </w:pP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1,084</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Short-term loans to GE, net</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8,072</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Receivables, net</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3,557</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2,163</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Programming rights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987</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533</w:t>
            </w:r>
          </w:p>
        </w:tc>
      </w:tr>
      <w:tr>
        <w:trPr>
          <w:trHeight w:val="199"/>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current assets</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329</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411</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Total current assets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5,681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12,263</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Film and television costs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5,227</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3,890</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Investments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3,430</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1,723</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Noncurrent receivables, net</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1,008</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782</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4,964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1,835</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w w:val="98"/>
              </w:rPr>
              <w:t>14,657</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19,243</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w w:val="98"/>
              </w:rPr>
              <w:t>15,695</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2,552</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Other noncurrent assets</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122</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136</w:t>
            </w:r>
          </w:p>
        </w:tc>
      </w:tr>
      <w:tr>
        <w:trPr>
          <w:trHeight w:val="203"/>
        </w:trPr>
        <w:tc>
          <w:tcPr>
            <w:tcW w:w="55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w w:val="98"/>
              </w:rPr>
              <w:t>50,784</w:t>
            </w:r>
          </w:p>
        </w:tc>
        <w:tc>
          <w:tcPr>
            <w:tcW w:w="220" w:type="dxa"/>
            <w:vAlign w:val="bottom"/>
            <w:tcBorders>
              <w:right w:val="single" w:sz="8" w:color="auto"/>
            </w:tcBorders>
          </w:tcPr>
          <w:p>
            <w:pPr>
              <w:spacing w:after="0"/>
              <w:rPr>
                <w:sz w:val="17"/>
                <w:szCs w:val="17"/>
                <w:color w:val="auto"/>
              </w:rPr>
            </w:pPr>
          </w:p>
        </w:tc>
        <w:tc>
          <w:tcPr>
            <w:tcW w:w="46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42,424</w:t>
            </w:r>
          </w:p>
        </w:tc>
      </w:tr>
      <w:tr>
        <w:trPr>
          <w:trHeight w:val="206"/>
        </w:trPr>
        <w:tc>
          <w:tcPr>
            <w:tcW w:w="20" w:type="dxa"/>
            <w:vAlign w:val="bottom"/>
          </w:tcPr>
          <w:p>
            <w:pPr>
              <w:spacing w:after="0"/>
              <w:rPr>
                <w:sz w:val="17"/>
                <w:szCs w:val="17"/>
                <w:color w:val="auto"/>
              </w:rPr>
            </w:pPr>
          </w:p>
        </w:tc>
        <w:tc>
          <w:tcPr>
            <w:tcW w:w="5520" w:type="dxa"/>
            <w:vAlign w:val="bottom"/>
            <w:tcBorders>
              <w:top w:val="single" w:sz="8" w:color="53439A"/>
            </w:tcBorders>
          </w:tcPr>
          <w:p>
            <w:pPr>
              <w:spacing w:after="0" w:line="206" w:lineRule="exact"/>
              <w:rPr>
                <w:sz w:val="20"/>
                <w:szCs w:val="20"/>
                <w:color w:val="auto"/>
              </w:rPr>
            </w:pPr>
            <w:r>
              <w:rPr>
                <w:rFonts w:ascii="Arial" w:cs="Arial" w:eastAsia="Arial" w:hAnsi="Arial"/>
                <w:sz w:val="18"/>
                <w:szCs w:val="18"/>
                <w:b w:val="1"/>
                <w:bCs w:val="1"/>
                <w:color w:val="auto"/>
              </w:rPr>
              <w:t>Liabilities and Equity</w:t>
            </w:r>
          </w:p>
        </w:tc>
        <w:tc>
          <w:tcPr>
            <w:tcW w:w="3560" w:type="dxa"/>
            <w:vAlign w:val="bottom"/>
            <w:tcBorders>
              <w:top w:val="single" w:sz="8" w:color="53439A"/>
            </w:tcBorders>
          </w:tcPr>
          <w:p>
            <w:pPr>
              <w:spacing w:after="0"/>
              <w:rPr>
                <w:sz w:val="17"/>
                <w:szCs w:val="17"/>
                <w:color w:val="auto"/>
              </w:rPr>
            </w:pPr>
          </w:p>
        </w:tc>
        <w:tc>
          <w:tcPr>
            <w:tcW w:w="240" w:type="dxa"/>
            <w:vAlign w:val="bottom"/>
            <w:tcBorders>
              <w:top w:val="single" w:sz="8" w:color="53439A"/>
            </w:tcBorders>
          </w:tcPr>
          <w:p>
            <w:pPr>
              <w:spacing w:after="0"/>
              <w:rPr>
                <w:sz w:val="17"/>
                <w:szCs w:val="17"/>
                <w:color w:val="auto"/>
              </w:rPr>
            </w:pPr>
          </w:p>
        </w:tc>
        <w:tc>
          <w:tcPr>
            <w:tcW w:w="680" w:type="dxa"/>
            <w:vAlign w:val="bottom"/>
            <w:tcBorders>
              <w:top w:val="single" w:sz="8" w:color="53439A"/>
            </w:tcBorders>
          </w:tcPr>
          <w:p>
            <w:pPr>
              <w:spacing w:after="0"/>
              <w:rPr>
                <w:sz w:val="17"/>
                <w:szCs w:val="17"/>
                <w:color w:val="auto"/>
              </w:rPr>
            </w:pPr>
          </w:p>
        </w:tc>
        <w:tc>
          <w:tcPr>
            <w:tcW w:w="220" w:type="dxa"/>
            <w:vAlign w:val="bottom"/>
            <w:tcBorders>
              <w:top w:val="single" w:sz="8" w:color="53439A"/>
              <w:right w:val="single" w:sz="8" w:color="auto"/>
            </w:tcBorders>
          </w:tcPr>
          <w:p>
            <w:pPr>
              <w:spacing w:after="0"/>
              <w:rPr>
                <w:sz w:val="17"/>
                <w:szCs w:val="17"/>
                <w:color w:val="auto"/>
              </w:rPr>
            </w:pPr>
          </w:p>
        </w:tc>
        <w:tc>
          <w:tcPr>
            <w:tcW w:w="200" w:type="dxa"/>
            <w:vAlign w:val="bottom"/>
            <w:tcBorders>
              <w:top w:val="single" w:sz="8" w:color="53439A"/>
            </w:tcBorders>
          </w:tcPr>
          <w:p>
            <w:pPr>
              <w:spacing w:after="0"/>
              <w:rPr>
                <w:sz w:val="17"/>
                <w:szCs w:val="17"/>
                <w:color w:val="auto"/>
              </w:rPr>
            </w:pPr>
          </w:p>
        </w:tc>
        <w:tc>
          <w:tcPr>
            <w:tcW w:w="260" w:type="dxa"/>
            <w:vAlign w:val="bottom"/>
            <w:tcBorders>
              <w:top w:val="single" w:sz="8" w:color="53439A"/>
            </w:tcBorders>
          </w:tcPr>
          <w:p>
            <w:pPr>
              <w:spacing w:after="0"/>
              <w:rPr>
                <w:sz w:val="17"/>
                <w:szCs w:val="17"/>
                <w:color w:val="auto"/>
              </w:rPr>
            </w:pPr>
          </w:p>
        </w:tc>
        <w:tc>
          <w:tcPr>
            <w:tcW w:w="720" w:type="dxa"/>
            <w:vAlign w:val="bottom"/>
            <w:tcBorders>
              <w:top w:val="single" w:sz="8" w:color="53439A"/>
            </w:tcBorders>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35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2,119</w:t>
            </w:r>
          </w:p>
        </w:tc>
        <w:tc>
          <w:tcPr>
            <w:tcW w:w="220" w:type="dxa"/>
            <w:vAlign w:val="bottom"/>
            <w:tcBorders>
              <w:right w:val="single" w:sz="8" w:color="auto"/>
            </w:tcBorders>
          </w:tcPr>
          <w:p>
            <w:pPr>
              <w:spacing w:after="0"/>
              <w:rPr>
                <w:sz w:val="17"/>
                <w:szCs w:val="17"/>
                <w:color w:val="auto"/>
              </w:rPr>
            </w:pP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1,564</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Accrued participations and residuals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1,255</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1,291</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Program obligations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508</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422</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728</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500</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1,447</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972</w:t>
            </w:r>
          </w:p>
        </w:tc>
      </w:tr>
      <w:tr>
        <w:trPr>
          <w:trHeight w:val="199"/>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Current portion of long-term debt</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554</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Total current liabilities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6,611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4,749</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9,614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9,090</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Related party borrowings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816</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873</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639</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110</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2,303</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2,930</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(Note 20)</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NBCUniversal member’s and stockholders’ equity:</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Common stock, $0.01 par value per share – authorized, 2,000 shares; issued, 1,000</w:t>
            </w: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23,592</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Member’s capital</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w w:val="98"/>
              </w:rPr>
              <w:t>29,798</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320</w:t>
            </w:r>
          </w:p>
        </w:tc>
      </w:tr>
      <w:tr>
        <w:trPr>
          <w:trHeight w:val="199"/>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Accumulated other comprehensive income (loss)</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Total NBCUniversal member’s and stockholders’ equity</w:t>
            </w: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33"/>
              <w:spacing w:after="0" w:line="200" w:lineRule="exact"/>
              <w:rPr>
                <w:sz w:val="20"/>
                <w:szCs w:val="20"/>
                <w:color w:val="auto"/>
              </w:rPr>
            </w:pPr>
            <w:r>
              <w:rPr>
                <w:rFonts w:ascii="Arial" w:cs="Arial" w:eastAsia="Arial" w:hAnsi="Arial"/>
                <w:sz w:val="18"/>
                <w:szCs w:val="18"/>
                <w:color w:val="auto"/>
                <w:w w:val="98"/>
              </w:rPr>
              <w:t>29,720</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23,899</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Noncontrolling interests</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361</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w:t>
            </w:r>
          </w:p>
        </w:tc>
      </w:tr>
      <w:tr>
        <w:trPr>
          <w:trHeight w:val="196"/>
        </w:trPr>
        <w:tc>
          <w:tcPr>
            <w:tcW w:w="5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equity</w:t>
            </w:r>
          </w:p>
        </w:tc>
        <w:tc>
          <w:tcPr>
            <w:tcW w:w="3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w w:val="98"/>
              </w:rPr>
              <w:t>30,081</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23,817</w:t>
            </w:r>
          </w:p>
        </w:tc>
      </w:tr>
      <w:tr>
        <w:trPr>
          <w:trHeight w:val="203"/>
        </w:trPr>
        <w:tc>
          <w:tcPr>
            <w:tcW w:w="5540" w:type="dxa"/>
            <w:vAlign w:val="bottom"/>
            <w:tcBorders>
              <w:bottom w:val="single" w:sz="8" w:color="53439A"/>
            </w:tcBorders>
            <w:gridSpan w:val="2"/>
          </w:tcPr>
          <w:p>
            <w:pPr>
              <w:spacing w:after="0" w:line="202" w:lineRule="exact"/>
              <w:rPr>
                <w:sz w:val="20"/>
                <w:szCs w:val="20"/>
                <w:color w:val="auto"/>
              </w:rPr>
            </w:pPr>
            <w:r>
              <w:rPr>
                <w:rFonts w:ascii="Arial" w:cs="Arial" w:eastAsia="Arial" w:hAnsi="Arial"/>
                <w:sz w:val="18"/>
                <w:szCs w:val="18"/>
                <w:b w:val="1"/>
                <w:bCs w:val="1"/>
                <w:color w:val="auto"/>
              </w:rPr>
              <w:t>Total liabilities and equity</w:t>
            </w:r>
          </w:p>
        </w:tc>
        <w:tc>
          <w:tcPr>
            <w:tcW w:w="3560" w:type="dxa"/>
            <w:vAlign w:val="bottom"/>
            <w:tcBorders>
              <w:bottom w:val="single" w:sz="8" w:color="53439A"/>
            </w:tcBorders>
          </w:tcPr>
          <w:p>
            <w:pPr>
              <w:spacing w:after="0"/>
              <w:rPr>
                <w:sz w:val="17"/>
                <w:szCs w:val="17"/>
                <w:color w:val="auto"/>
              </w:rPr>
            </w:pPr>
          </w:p>
        </w:tc>
        <w:tc>
          <w:tcPr>
            <w:tcW w:w="2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33"/>
              <w:spacing w:after="0" w:line="202" w:lineRule="exact"/>
              <w:rPr>
                <w:sz w:val="20"/>
                <w:szCs w:val="20"/>
                <w:color w:val="auto"/>
              </w:rPr>
            </w:pPr>
            <w:r>
              <w:rPr>
                <w:rFonts w:ascii="Arial" w:cs="Arial" w:eastAsia="Arial" w:hAnsi="Arial"/>
                <w:sz w:val="18"/>
                <w:szCs w:val="18"/>
                <w:b w:val="1"/>
                <w:bCs w:val="1"/>
                <w:color w:val="auto"/>
                <w:w w:val="98"/>
              </w:rPr>
              <w:t>50,784</w:t>
            </w:r>
          </w:p>
        </w:tc>
        <w:tc>
          <w:tcPr>
            <w:tcW w:w="220" w:type="dxa"/>
            <w:vAlign w:val="bottom"/>
            <w:tcBorders>
              <w:bottom w:val="single" w:sz="8" w:color="53439A"/>
              <w:right w:val="single" w:sz="8" w:color="auto"/>
            </w:tcBorders>
          </w:tcPr>
          <w:p>
            <w:pPr>
              <w:spacing w:after="0"/>
              <w:rPr>
                <w:sz w:val="17"/>
                <w:szCs w:val="17"/>
                <w:color w:val="auto"/>
              </w:rPr>
            </w:pPr>
          </w:p>
        </w:tc>
        <w:tc>
          <w:tcPr>
            <w:tcW w:w="460" w:type="dxa"/>
            <w:vAlign w:val="bottom"/>
            <w:tcBorders>
              <w:bottom w:val="single" w:sz="8" w:color="53439A"/>
            </w:tcBorders>
            <w:gridSpan w:val="2"/>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42,424</w:t>
            </w:r>
          </w:p>
        </w:tc>
      </w:tr>
      <w:tr>
        <w:trPr>
          <w:trHeight w:val="216"/>
        </w:trPr>
        <w:tc>
          <w:tcPr>
            <w:tcW w:w="55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00"/>
        </w:trPr>
        <w:tc>
          <w:tcPr>
            <w:tcW w:w="554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3560" w:type="dxa"/>
            <w:vAlign w:val="bottom"/>
          </w:tcPr>
          <w:p>
            <w:pPr>
              <w:jc w:val="right"/>
              <w:ind w:right="3192"/>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284" w:right="239" w:bottom="1440" w:gutter="0" w:footer="0" w:header="0"/>
        </w:sectPr>
      </w:pPr>
    </w:p>
    <w:bookmarkStart w:id="129" w:name="page130"/>
    <w:bookmarkEnd w:id="129"/>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4"/>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4"/>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4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54"/>
              <w:spacing w:after="0" w:line="149" w:lineRule="exact"/>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19,028</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1,206</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16,590</w:t>
            </w:r>
          </w:p>
        </w:tc>
        <w:tc>
          <w:tcPr>
            <w:tcW w:w="3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15,085</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15,632</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1,171</w:t>
            </w:r>
          </w:p>
        </w:tc>
        <w:tc>
          <w:tcPr>
            <w:tcW w:w="240" w:type="dxa"/>
            <w:vAlign w:val="bottom"/>
          </w:tcPr>
          <w:p>
            <w:pPr>
              <w:spacing w:after="0"/>
              <w:rPr>
                <w:sz w:val="17"/>
                <w:szCs w:val="17"/>
                <w:color w:val="auto"/>
              </w:rPr>
            </w:pPr>
          </w:p>
        </w:tc>
        <w:tc>
          <w:tcPr>
            <w:tcW w:w="11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14,037</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12,870</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401</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1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252</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242</w:t>
            </w:r>
          </w:p>
        </w:tc>
      </w:tr>
      <w:tr>
        <w:trPr>
          <w:trHeight w:val="199"/>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712</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105</w:t>
            </w:r>
          </w:p>
        </w:tc>
      </w:tr>
      <w:tr>
        <w:trPr>
          <w:trHeight w:val="196"/>
        </w:trPr>
        <w:tc>
          <w:tcPr>
            <w:tcW w:w="20" w:type="dxa"/>
            <w:vAlign w:val="bottom"/>
          </w:tcPr>
          <w:p>
            <w:pPr>
              <w:spacing w:after="0"/>
              <w:rPr>
                <w:sz w:val="17"/>
                <w:szCs w:val="17"/>
                <w:color w:val="auto"/>
              </w:rPr>
            </w:pPr>
          </w:p>
        </w:tc>
        <w:tc>
          <w:tcPr>
            <w:tcW w:w="5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16,745</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1,198</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14,386</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13,217</w:t>
            </w:r>
          </w:p>
        </w:tc>
      </w:tr>
      <w:tr>
        <w:trPr>
          <w:trHeight w:val="199"/>
        </w:trPr>
        <w:tc>
          <w:tcPr>
            <w:tcW w:w="20" w:type="dxa"/>
            <w:vAlign w:val="bottom"/>
          </w:tcPr>
          <w:p>
            <w:pPr>
              <w:spacing w:after="0"/>
              <w:rPr>
                <w:sz w:val="17"/>
                <w:szCs w:val="17"/>
                <w:color w:val="auto"/>
              </w:rPr>
            </w:pPr>
          </w:p>
        </w:tc>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7"/>
                <w:szCs w:val="17"/>
                <w:color w:val="auto"/>
              </w:rPr>
            </w:pPr>
          </w:p>
        </w:tc>
        <w:tc>
          <w:tcPr>
            <w:tcW w:w="10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2,283</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11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2,204</w:t>
            </w:r>
          </w:p>
        </w:tc>
        <w:tc>
          <w:tcPr>
            <w:tcW w:w="360" w:type="dxa"/>
            <w:vAlign w:val="bottom"/>
          </w:tcPr>
          <w:p>
            <w:pPr>
              <w:spacing w:after="0"/>
              <w:rPr>
                <w:sz w:val="17"/>
                <w:szCs w:val="17"/>
                <w:color w:val="auto"/>
              </w:rPr>
            </w:pPr>
          </w:p>
        </w:tc>
        <w:tc>
          <w:tcPr>
            <w:tcW w:w="10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1,868</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32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262</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1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308</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1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55</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w:t>
            </w:r>
          </w:p>
        </w:tc>
      </w:tr>
      <w:tr>
        <w:trPr>
          <w:trHeight w:val="199"/>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(129)</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211</w:t>
            </w:r>
          </w:p>
        </w:tc>
      </w:tr>
      <w:tr>
        <w:trPr>
          <w:trHeight w:val="196"/>
        </w:trPr>
        <w:tc>
          <w:tcPr>
            <w:tcW w:w="20" w:type="dxa"/>
            <w:vAlign w:val="bottom"/>
          </w:tcPr>
          <w:p>
            <w:pPr>
              <w:spacing w:after="0"/>
              <w:rPr>
                <w:sz w:val="17"/>
                <w:szCs w:val="17"/>
                <w:color w:val="auto"/>
              </w:rPr>
            </w:pPr>
          </w:p>
        </w:tc>
        <w:tc>
          <w:tcPr>
            <w:tcW w:w="5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320</w:t>
            </w: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10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2,046</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11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2,261</w:t>
            </w:r>
          </w:p>
        </w:tc>
        <w:tc>
          <w:tcPr>
            <w:tcW w:w="360" w:type="dxa"/>
            <w:vAlign w:val="bottom"/>
          </w:tcPr>
          <w:p>
            <w:pPr>
              <w:spacing w:after="0"/>
              <w:rPr>
                <w:sz w:val="17"/>
                <w:szCs w:val="17"/>
                <w:color w:val="auto"/>
              </w:rPr>
            </w:pPr>
          </w:p>
        </w:tc>
        <w:tc>
          <w:tcPr>
            <w:tcW w:w="10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2,188</w:t>
            </w:r>
          </w:p>
        </w:tc>
      </w:tr>
      <w:tr>
        <w:trPr>
          <w:trHeight w:val="199"/>
        </w:trPr>
        <w:tc>
          <w:tcPr>
            <w:tcW w:w="55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(185)</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(745)</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(872)</w:t>
            </w: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320" w:type="dxa"/>
            <w:vAlign w:val="bottom"/>
          </w:tcPr>
          <w:p>
            <w:pPr>
              <w:spacing w:after="0"/>
              <w:rPr>
                <w:sz w:val="17"/>
                <w:szCs w:val="17"/>
                <w:color w:val="auto"/>
              </w:rPr>
            </w:pPr>
          </w:p>
        </w:tc>
        <w:tc>
          <w:tcPr>
            <w:tcW w:w="10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1,861</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1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1,516</w:t>
            </w:r>
          </w:p>
        </w:tc>
        <w:tc>
          <w:tcPr>
            <w:tcW w:w="360" w:type="dxa"/>
            <w:vAlign w:val="bottom"/>
          </w:tcPr>
          <w:p>
            <w:pPr>
              <w:spacing w:after="0"/>
              <w:rPr>
                <w:sz w:val="17"/>
                <w:szCs w:val="17"/>
                <w:color w:val="auto"/>
              </w:rPr>
            </w:pPr>
          </w:p>
        </w:tc>
        <w:tc>
          <w:tcPr>
            <w:tcW w:w="10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1,316</w:t>
            </w:r>
          </w:p>
        </w:tc>
      </w:tr>
      <w:tr>
        <w:trPr>
          <w:trHeight w:val="199"/>
        </w:trPr>
        <w:tc>
          <w:tcPr>
            <w:tcW w:w="55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r>
      <w:tr>
        <w:trPr>
          <w:trHeight w:val="203"/>
        </w:trPr>
        <w:tc>
          <w:tcPr>
            <w:tcW w:w="5560" w:type="dxa"/>
            <w:vAlign w:val="bottom"/>
            <w:tcBorders>
              <w:bottom w:val="single" w:sz="8" w:color="53439A"/>
            </w:tcBorders>
            <w:gridSpan w:val="2"/>
          </w:tcPr>
          <w:p>
            <w:pPr>
              <w:spacing w:after="0" w:line="202" w:lineRule="exact"/>
              <w:rPr>
                <w:sz w:val="20"/>
                <w:szCs w:val="20"/>
                <w:color w:val="auto"/>
              </w:rPr>
            </w:pPr>
            <w:r>
              <w:rPr>
                <w:rFonts w:ascii="Arial" w:cs="Arial" w:eastAsia="Arial" w:hAnsi="Arial"/>
                <w:sz w:val="18"/>
                <w:szCs w:val="18"/>
                <w:b w:val="1"/>
                <w:bCs w:val="1"/>
                <w:color w:val="auto"/>
              </w:rPr>
              <w:t>Net income (loss) attributable to NBCUniversal</w:t>
            </w:r>
          </w:p>
        </w:tc>
        <w:tc>
          <w:tcPr>
            <w:tcW w:w="32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1,683</w:t>
            </w:r>
          </w:p>
        </w:tc>
        <w:tc>
          <w:tcPr>
            <w:tcW w:w="220" w:type="dxa"/>
            <w:vAlign w:val="bottom"/>
            <w:tcBorders>
              <w:bottom w:val="single" w:sz="8" w:color="53439A"/>
              <w:right w:val="single" w:sz="8" w:color="auto"/>
            </w:tcBorders>
          </w:tcPr>
          <w:p>
            <w:pPr>
              <w:spacing w:after="0"/>
              <w:rPr>
                <w:sz w:val="17"/>
                <w:szCs w:val="17"/>
                <w:color w:val="auto"/>
              </w:rPr>
            </w:pPr>
          </w:p>
        </w:tc>
        <w:tc>
          <w:tcPr>
            <w:tcW w:w="440" w:type="dxa"/>
            <w:vAlign w:val="bottom"/>
            <w:tcBorders>
              <w:bottom w:val="single" w:sz="8" w:color="53439A"/>
            </w:tcBorders>
            <w:gridSpan w:val="2"/>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24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53439A"/>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1,467</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53439A"/>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1,278</w:t>
            </w:r>
          </w:p>
        </w:tc>
      </w:tr>
      <w:tr>
        <w:trPr>
          <w:trHeight w:val="216"/>
        </w:trPr>
        <w:tc>
          <w:tcPr>
            <w:tcW w:w="556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500"/>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4"/>
                <w:szCs w:val="14"/>
                <w:b w:val="1"/>
                <w:bCs w:val="1"/>
                <w:color w:val="auto"/>
              </w:rPr>
              <w:t>47</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284" w:right="239" w:bottom="1440" w:gutter="0" w:footer="0" w:header="0"/>
        </w:sectPr>
      </w:pPr>
    </w:p>
    <w:bookmarkStart w:id="130" w:name="page131"/>
    <w:bookmarkEnd w:id="130"/>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Statement of Comprehensive Income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37"/>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5"/>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620" w:type="dxa"/>
            <w:vAlign w:val="bottom"/>
          </w:tcPr>
          <w:p>
            <w:pPr>
              <w:spacing w:after="0"/>
              <w:rPr>
                <w:sz w:val="12"/>
                <w:szCs w:val="12"/>
                <w:color w:val="auto"/>
              </w:rPr>
            </w:pPr>
          </w:p>
        </w:tc>
        <w:tc>
          <w:tcPr>
            <w:tcW w:w="156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jc w:val="right"/>
              <w:ind w:right="55"/>
              <w:spacing w:after="0" w:line="149" w:lineRule="exact"/>
              <w:rPr>
                <w:sz w:val="20"/>
                <w:szCs w:val="20"/>
                <w:color w:val="auto"/>
              </w:rPr>
            </w:pPr>
            <w:r>
              <w:rPr>
                <w:rFonts w:ascii="Arial" w:cs="Arial" w:eastAsia="Arial" w:hAnsi="Arial"/>
                <w:sz w:val="14"/>
                <w:szCs w:val="14"/>
                <w:color w:val="auto"/>
                <w:w w:val="99"/>
              </w:rPr>
              <w:t>January 1, 2011 to</w:t>
            </w:r>
          </w:p>
        </w:tc>
        <w:tc>
          <w:tcPr>
            <w:tcW w:w="240" w:type="dxa"/>
            <w:vAlign w:val="bottom"/>
          </w:tcPr>
          <w:p>
            <w:pPr>
              <w:spacing w:after="0"/>
              <w:rPr>
                <w:sz w:val="12"/>
                <w:szCs w:val="12"/>
                <w:color w:val="auto"/>
              </w:rPr>
            </w:pPr>
          </w:p>
        </w:tc>
        <w:tc>
          <w:tcPr>
            <w:tcW w:w="1160" w:type="dxa"/>
            <w:vAlign w:val="bottom"/>
          </w:tcPr>
          <w:p>
            <w:pPr>
              <w:jc w:val="right"/>
              <w:ind w:right="57"/>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5"/>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6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55"/>
              <w:spacing w:after="0" w:line="149" w:lineRule="exact"/>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620" w:type="dxa"/>
            <w:vAlign w:val="bottom"/>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line="200" w:lineRule="exact"/>
              <w:rPr>
                <w:sz w:val="20"/>
                <w:szCs w:val="20"/>
                <w:color w:val="auto"/>
              </w:rPr>
            </w:pPr>
            <w:r>
              <w:rPr>
                <w:rFonts w:ascii="Arial" w:cs="Arial" w:eastAsia="Arial" w:hAnsi="Arial"/>
                <w:sz w:val="18"/>
                <w:szCs w:val="18"/>
                <w:color w:val="auto"/>
              </w:rPr>
              <w:t>1,861</w:t>
            </w:r>
          </w:p>
        </w:tc>
        <w:tc>
          <w:tcPr>
            <w:tcW w:w="180" w:type="dxa"/>
            <w:vAlign w:val="bottom"/>
            <w:tcBorders>
              <w:right w:val="single" w:sz="8" w:color="auto"/>
            </w:tcBorders>
          </w:tcPr>
          <w:p>
            <w:pPr>
              <w:spacing w:after="0"/>
              <w:rPr>
                <w:sz w:val="17"/>
                <w:szCs w:val="17"/>
                <w:color w:val="auto"/>
              </w:rPr>
            </w:pPr>
          </w:p>
        </w:tc>
        <w:tc>
          <w:tcPr>
            <w:tcW w:w="3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1,516</w:t>
            </w:r>
          </w:p>
        </w:tc>
        <w:tc>
          <w:tcPr>
            <w:tcW w:w="3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1,316</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Currency translation adjustments, net</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75</w:t>
            </w:r>
          </w:p>
        </w:tc>
      </w:tr>
      <w:tr>
        <w:trPr>
          <w:trHeight w:val="199"/>
        </w:trPr>
        <w:tc>
          <w:tcPr>
            <w:tcW w:w="56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w:t>
            </w:r>
          </w:p>
        </w:tc>
      </w:tr>
      <w:tr>
        <w:trPr>
          <w:trHeight w:val="199"/>
        </w:trPr>
        <w:tc>
          <w:tcPr>
            <w:tcW w:w="5620" w:type="dxa"/>
            <w:vAlign w:val="bottom"/>
          </w:tcPr>
          <w:p>
            <w:pPr>
              <w:spacing w:after="0" w:line="200" w:lineRule="exact"/>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7"/>
                <w:szCs w:val="17"/>
                <w:color w:val="auto"/>
              </w:rPr>
            </w:pPr>
          </w:p>
        </w:tc>
        <w:tc>
          <w:tcPr>
            <w:tcW w:w="1100" w:type="dxa"/>
            <w:vAlign w:val="bottom"/>
          </w:tcPr>
          <w:p>
            <w:pPr>
              <w:jc w:val="right"/>
              <w:ind w:right="37"/>
              <w:spacing w:after="0" w:line="200" w:lineRule="exact"/>
              <w:rPr>
                <w:sz w:val="20"/>
                <w:szCs w:val="20"/>
                <w:color w:val="auto"/>
              </w:rPr>
            </w:pPr>
            <w:r>
              <w:rPr>
                <w:rFonts w:ascii="Arial" w:cs="Arial" w:eastAsia="Arial" w:hAnsi="Arial"/>
                <w:sz w:val="18"/>
                <w:szCs w:val="18"/>
                <w:color w:val="auto"/>
              </w:rPr>
              <w:t>1,783</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16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1,509</w:t>
            </w:r>
          </w:p>
        </w:tc>
        <w:tc>
          <w:tcPr>
            <w:tcW w:w="360" w:type="dxa"/>
            <w:vAlign w:val="bottom"/>
          </w:tcPr>
          <w:p>
            <w:pPr>
              <w:spacing w:after="0"/>
              <w:rPr>
                <w:sz w:val="17"/>
                <w:szCs w:val="17"/>
                <w:color w:val="auto"/>
              </w:rPr>
            </w:pPr>
          </w:p>
        </w:tc>
        <w:tc>
          <w:tcPr>
            <w:tcW w:w="10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1,385</w:t>
            </w:r>
          </w:p>
        </w:tc>
      </w:tr>
      <w:tr>
        <w:trPr>
          <w:trHeight w:val="199"/>
        </w:trPr>
        <w:tc>
          <w:tcPr>
            <w:tcW w:w="56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1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r>
      <w:tr>
        <w:trPr>
          <w:trHeight w:val="203"/>
        </w:trPr>
        <w:tc>
          <w:tcPr>
            <w:tcW w:w="562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b w:val="1"/>
                <w:bCs w:val="1"/>
                <w:color w:val="auto"/>
              </w:rPr>
              <w:t>Comprehensive income attributable to NBCUniversal</w:t>
            </w:r>
          </w:p>
        </w:tc>
        <w:tc>
          <w:tcPr>
            <w:tcW w:w="28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tcPr>
          <w:p>
            <w:pPr>
              <w:jc w:val="right"/>
              <w:ind w:right="37"/>
              <w:spacing w:after="0" w:line="202" w:lineRule="exact"/>
              <w:rPr>
                <w:sz w:val="20"/>
                <w:szCs w:val="20"/>
                <w:color w:val="auto"/>
              </w:rPr>
            </w:pPr>
            <w:r>
              <w:rPr>
                <w:rFonts w:ascii="Arial" w:cs="Arial" w:eastAsia="Arial" w:hAnsi="Arial"/>
                <w:sz w:val="18"/>
                <w:szCs w:val="18"/>
                <w:color w:val="auto"/>
              </w:rPr>
              <w:t>1,605</w:t>
            </w:r>
          </w:p>
        </w:tc>
        <w:tc>
          <w:tcPr>
            <w:tcW w:w="180" w:type="dxa"/>
            <w:vAlign w:val="bottom"/>
            <w:tcBorders>
              <w:bottom w:val="single" w:sz="8" w:color="53439A"/>
              <w:right w:val="single" w:sz="8" w:color="auto"/>
            </w:tcBorders>
          </w:tcPr>
          <w:p>
            <w:pPr>
              <w:spacing w:after="0"/>
              <w:rPr>
                <w:sz w:val="17"/>
                <w:szCs w:val="17"/>
                <w:color w:val="auto"/>
              </w:rPr>
            </w:pPr>
          </w:p>
        </w:tc>
        <w:tc>
          <w:tcPr>
            <w:tcW w:w="38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53439A"/>
            </w:tcBorders>
          </w:tcPr>
          <w:p>
            <w:pPr>
              <w:jc w:val="right"/>
              <w:ind w:right="57"/>
              <w:spacing w:after="0" w:line="202" w:lineRule="exact"/>
              <w:rPr>
                <w:sz w:val="20"/>
                <w:szCs w:val="20"/>
                <w:color w:val="auto"/>
              </w:rPr>
            </w:pPr>
            <w:r>
              <w:rPr>
                <w:rFonts w:ascii="Arial" w:cs="Arial" w:eastAsia="Arial" w:hAnsi="Arial"/>
                <w:sz w:val="18"/>
                <w:szCs w:val="18"/>
                <w:color w:val="auto"/>
              </w:rPr>
              <w:t>1,460</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1,347</w:t>
            </w:r>
          </w:p>
        </w:tc>
      </w:tr>
      <w:tr>
        <w:trPr>
          <w:trHeight w:val="216"/>
        </w:trPr>
        <w:tc>
          <w:tcPr>
            <w:tcW w:w="562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500"/>
        </w:trPr>
        <w:tc>
          <w:tcPr>
            <w:tcW w:w="56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280" w:type="dxa"/>
            <w:vAlign w:val="bottom"/>
          </w:tcPr>
          <w:p>
            <w:pPr>
              <w:ind w:left="80"/>
              <w:spacing w:after="0"/>
              <w:rPr>
                <w:sz w:val="20"/>
                <w:szCs w:val="20"/>
                <w:color w:val="auto"/>
              </w:rPr>
            </w:pPr>
            <w:r>
              <w:rPr>
                <w:rFonts w:ascii="Arial" w:cs="Arial" w:eastAsia="Arial" w:hAnsi="Arial"/>
                <w:sz w:val="14"/>
                <w:szCs w:val="14"/>
                <w:b w:val="1"/>
                <w:bCs w:val="1"/>
                <w:color w:val="auto"/>
              </w:rPr>
              <w:t>48</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284" w:right="239" w:bottom="1440" w:gutter="0" w:footer="0" w:header="0"/>
        </w:sectPr>
      </w:pPr>
    </w:p>
    <w:bookmarkStart w:id="131" w:name="page132"/>
    <w:bookmarkEnd w:id="13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Statement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3"/>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3"/>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33"/>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from consolidated operations</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1,861</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1,516</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1,316</w:t>
            </w: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(loss) from consolidated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operations to net cash provided by (used in) operating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1,113</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349</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347</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6,766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549</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7,233</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5,770</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215</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182</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254</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186</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w w:val="97"/>
              </w:rPr>
              <w:t>Changes in operating assets and liabilities, net of effects of acquisitions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and divestitures: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Change in receivables, net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491</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Change in film and television costs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(7,018)</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(7,287)</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(5,620)</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w w:val="99"/>
              </w:rPr>
              <w:t>Change in accounts payable and accrued expenses related to trade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creditors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399</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93</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75</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w w:val="98"/>
              </w:rPr>
              <w:t>Change in accrued participations and residuals, program obligations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and deferred revenue</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199"/>
        </w:trPr>
        <w:tc>
          <w:tcPr>
            <w:tcW w:w="20" w:type="dxa"/>
            <w:vAlign w:val="bottom"/>
          </w:tcPr>
          <w:p>
            <w:pPr>
              <w:spacing w:after="0"/>
              <w:rPr>
                <w:sz w:val="17"/>
                <w:szCs w:val="17"/>
                <w:color w:val="auto"/>
              </w:rPr>
            </w:pPr>
          </w:p>
        </w:tc>
        <w:tc>
          <w:tcPr>
            <w:tcW w:w="55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Change in other operating assets and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166</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118</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221</w:t>
            </w:r>
          </w:p>
        </w:tc>
      </w:tr>
      <w:tr>
        <w:trPr>
          <w:trHeight w:val="203"/>
        </w:trPr>
        <w:tc>
          <w:tcPr>
            <w:tcW w:w="20" w:type="dxa"/>
            <w:vAlign w:val="bottom"/>
          </w:tcPr>
          <w:p>
            <w:pPr>
              <w:spacing w:after="0"/>
              <w:rPr>
                <w:sz w:val="17"/>
                <w:szCs w:val="17"/>
                <w:color w:val="auto"/>
              </w:rPr>
            </w:pPr>
          </w:p>
        </w:tc>
        <w:tc>
          <w:tcPr>
            <w:tcW w:w="55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Borders>
              <w:bottom w:val="single" w:sz="8" w:color="53439A"/>
            </w:tcBorders>
          </w:tcPr>
          <w:p>
            <w:pPr>
              <w:spacing w:after="0"/>
              <w:rPr>
                <w:sz w:val="17"/>
                <w:szCs w:val="17"/>
                <w:color w:val="auto"/>
              </w:rPr>
            </w:pPr>
          </w:p>
        </w:tc>
        <w:tc>
          <w:tcPr>
            <w:tcW w:w="1080" w:type="dxa"/>
            <w:vAlign w:val="bottom"/>
            <w:tcBorders>
              <w:bottom w:val="single" w:sz="8" w:color="53439A"/>
            </w:tcBorders>
          </w:tcPr>
          <w:p>
            <w:pPr>
              <w:jc w:val="right"/>
              <w:ind w:right="33"/>
              <w:spacing w:after="0" w:line="196" w:lineRule="exact"/>
              <w:rPr>
                <w:sz w:val="20"/>
                <w:szCs w:val="20"/>
                <w:color w:val="auto"/>
              </w:rPr>
            </w:pPr>
            <w:r>
              <w:rPr>
                <w:rFonts w:ascii="Arial" w:cs="Arial" w:eastAsia="Arial" w:hAnsi="Arial"/>
                <w:sz w:val="18"/>
                <w:szCs w:val="18"/>
                <w:color w:val="auto"/>
              </w:rPr>
              <w:t>2,869</w:t>
            </w:r>
          </w:p>
        </w:tc>
        <w:tc>
          <w:tcPr>
            <w:tcW w:w="200" w:type="dxa"/>
            <w:vAlign w:val="bottom"/>
            <w:tcBorders>
              <w:bottom w:val="single" w:sz="8" w:color="53439A"/>
              <w:right w:val="single" w:sz="8" w:color="auto"/>
            </w:tcBorders>
          </w:tcPr>
          <w:p>
            <w:pPr>
              <w:spacing w:after="0"/>
              <w:rPr>
                <w:sz w:val="17"/>
                <w:szCs w:val="17"/>
                <w:color w:val="auto"/>
              </w:rPr>
            </w:pPr>
          </w:p>
        </w:tc>
        <w:tc>
          <w:tcPr>
            <w:tcW w:w="180" w:type="dxa"/>
            <w:vAlign w:val="bottom"/>
            <w:tcBorders>
              <w:bottom w:val="single" w:sz="8" w:color="53439A"/>
            </w:tcBorders>
          </w:tcPr>
          <w:p>
            <w:pPr>
              <w:spacing w:after="0"/>
              <w:rPr>
                <w:sz w:val="17"/>
                <w:szCs w:val="17"/>
                <w:color w:val="auto"/>
              </w:rPr>
            </w:pPr>
          </w:p>
        </w:tc>
        <w:tc>
          <w:tcPr>
            <w:tcW w:w="260" w:type="dxa"/>
            <w:vAlign w:val="bottom"/>
            <w:tcBorders>
              <w:bottom w:val="single" w:sz="8" w:color="53439A"/>
            </w:tcBorders>
          </w:tcPr>
          <w:p>
            <w:pPr>
              <w:spacing w:after="0"/>
              <w:rPr>
                <w:sz w:val="17"/>
                <w:szCs w:val="17"/>
                <w:color w:val="auto"/>
              </w:rPr>
            </w:pPr>
          </w:p>
        </w:tc>
        <w:tc>
          <w:tcPr>
            <w:tcW w:w="10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(629)</w:t>
            </w:r>
          </w:p>
        </w:tc>
        <w:tc>
          <w:tcPr>
            <w:tcW w:w="240" w:type="dxa"/>
            <w:vAlign w:val="bottom"/>
            <w:tcBorders>
              <w:bottom w:val="single" w:sz="8" w:color="53439A"/>
            </w:tcBorders>
          </w:tcPr>
          <w:p>
            <w:pPr>
              <w:spacing w:after="0"/>
              <w:rPr>
                <w:sz w:val="17"/>
                <w:szCs w:val="17"/>
                <w:color w:val="auto"/>
              </w:rPr>
            </w:pPr>
          </w:p>
        </w:tc>
        <w:tc>
          <w:tcPr>
            <w:tcW w:w="1140" w:type="dxa"/>
            <w:vAlign w:val="bottom"/>
            <w:tcBorders>
              <w:bottom w:val="single" w:sz="8" w:color="53439A"/>
            </w:tcBorders>
          </w:tcPr>
          <w:p>
            <w:pPr>
              <w:jc w:val="right"/>
              <w:ind w:right="33"/>
              <w:spacing w:after="0" w:line="196" w:lineRule="exact"/>
              <w:rPr>
                <w:sz w:val="20"/>
                <w:szCs w:val="20"/>
                <w:color w:val="auto"/>
              </w:rPr>
            </w:pPr>
            <w:r>
              <w:rPr>
                <w:rFonts w:ascii="Arial" w:cs="Arial" w:eastAsia="Arial" w:hAnsi="Arial"/>
                <w:sz w:val="18"/>
                <w:szCs w:val="18"/>
                <w:color w:val="auto"/>
              </w:rPr>
              <w:t>2,011</w:t>
            </w:r>
          </w:p>
        </w:tc>
        <w:tc>
          <w:tcPr>
            <w:tcW w:w="360" w:type="dxa"/>
            <w:vAlign w:val="bottom"/>
            <w:tcBorders>
              <w:bottom w:val="single" w:sz="8" w:color="53439A"/>
            </w:tcBorders>
          </w:tcPr>
          <w:p>
            <w:pPr>
              <w:spacing w:after="0"/>
              <w:rPr>
                <w:sz w:val="17"/>
                <w:szCs w:val="17"/>
                <w:color w:val="auto"/>
              </w:rPr>
            </w:pPr>
          </w:p>
        </w:tc>
        <w:tc>
          <w:tcPr>
            <w:tcW w:w="100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color w:val="auto"/>
              </w:rPr>
              <w:t>2,622</w:t>
            </w:r>
          </w:p>
        </w:tc>
      </w:tr>
      <w:tr>
        <w:trPr>
          <w:trHeight w:val="206"/>
        </w:trPr>
        <w:tc>
          <w:tcPr>
            <w:tcW w:w="20" w:type="dxa"/>
            <w:vAlign w:val="bottom"/>
          </w:tcPr>
          <w:p>
            <w:pPr>
              <w:spacing w:after="0"/>
              <w:rPr>
                <w:sz w:val="17"/>
                <w:szCs w:val="17"/>
                <w:color w:val="auto"/>
              </w:rPr>
            </w:pPr>
          </w:p>
        </w:tc>
        <w:tc>
          <w:tcPr>
            <w:tcW w:w="5560" w:type="dxa"/>
            <w:vAlign w:val="bottom"/>
          </w:tcPr>
          <w:p>
            <w:pPr>
              <w:spacing w:after="0" w:line="206" w:lineRule="exact"/>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businesses and investments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331</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w:t>
            </w:r>
          </w:p>
        </w:tc>
      </w:tr>
      <w:tr>
        <w:trPr>
          <w:trHeight w:val="199"/>
        </w:trPr>
        <w:tc>
          <w:tcPr>
            <w:tcW w:w="20" w:type="dxa"/>
            <w:vAlign w:val="bottom"/>
          </w:tcPr>
          <w:p>
            <w:pPr>
              <w:spacing w:after="0"/>
              <w:rPr>
                <w:sz w:val="17"/>
                <w:szCs w:val="17"/>
                <w:color w:val="auto"/>
              </w:rPr>
            </w:pPr>
          </w:p>
        </w:tc>
        <w:tc>
          <w:tcPr>
            <w:tcW w:w="55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Purchases of investments and other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(64)</w:t>
            </w:r>
          </w:p>
        </w:tc>
      </w:tr>
      <w:tr>
        <w:trPr>
          <w:trHeight w:val="196"/>
        </w:trPr>
        <w:tc>
          <w:tcPr>
            <w:tcW w:w="2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315</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r>
      <w:tr>
        <w:trPr>
          <w:trHeight w:val="199"/>
        </w:trPr>
        <w:tc>
          <w:tcPr>
            <w:tcW w:w="55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 party borrowings</w:t>
            </w:r>
          </w:p>
        </w:tc>
        <w:tc>
          <w:tcPr>
            <w:tcW w:w="32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9,090</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1,671</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third party borrowings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(1,692)</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 from Comcast</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Repayments of borrowings from Comcast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(Increase) decrease in short-term loans to GE, net</w:t>
            </w:r>
          </w:p>
        </w:tc>
        <w:tc>
          <w:tcPr>
            <w:tcW w:w="32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8,072</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(6,529)</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(8,041)</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(1,589)</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(1,950)</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Repurchase of preferred stock interest</w:t>
            </w:r>
          </w:p>
        </w:tc>
        <w:tc>
          <w:tcPr>
            <w:tcW w:w="32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Contributions from noncontrolling interests</w:t>
            </w:r>
          </w:p>
        </w:tc>
        <w:tc>
          <w:tcPr>
            <w:tcW w:w="32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9"/>
        </w:trPr>
        <w:tc>
          <w:tcPr>
            <w:tcW w:w="20" w:type="dxa"/>
            <w:vAlign w:val="bottom"/>
          </w:tcPr>
          <w:p>
            <w:pPr>
              <w:spacing w:after="0"/>
              <w:rPr>
                <w:sz w:val="17"/>
                <w:szCs w:val="17"/>
                <w:color w:val="auto"/>
              </w:rPr>
            </w:pPr>
          </w:p>
        </w:tc>
        <w:tc>
          <w:tcPr>
            <w:tcW w:w="55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Distributions to noncontrolling interests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(187)</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r>
      <w:tr>
        <w:trPr>
          <w:trHeight w:val="196"/>
        </w:trPr>
        <w:tc>
          <w:tcPr>
            <w:tcW w:w="2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(2,394)</w:t>
            </w:r>
          </w:p>
        </w:tc>
      </w:tr>
      <w:tr>
        <w:trPr>
          <w:trHeight w:val="199"/>
        </w:trPr>
        <w:tc>
          <w:tcPr>
            <w:tcW w:w="558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17"/>
                <w:szCs w:val="17"/>
                <w:color w:val="auto"/>
              </w:rPr>
            </w:pPr>
          </w:p>
        </w:tc>
        <w:tc>
          <w:tcPr>
            <w:tcW w:w="1080" w:type="dxa"/>
            <w:vAlign w:val="bottom"/>
          </w:tcPr>
          <w:p>
            <w:pPr>
              <w:jc w:val="right"/>
              <w:ind w:right="33"/>
              <w:spacing w:after="0" w:line="200" w:lineRule="exact"/>
              <w:rPr>
                <w:sz w:val="20"/>
                <w:szCs w:val="20"/>
                <w:color w:val="auto"/>
              </w:rPr>
            </w:pPr>
            <w:r>
              <w:rPr>
                <w:rFonts w:ascii="Arial" w:cs="Arial" w:eastAsia="Arial" w:hAnsi="Arial"/>
                <w:sz w:val="18"/>
                <w:szCs w:val="18"/>
                <w:color w:val="auto"/>
              </w:rPr>
              <w:t>300</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rPr>
              <w:t>(614)</w:t>
            </w:r>
          </w:p>
        </w:tc>
        <w:tc>
          <w:tcPr>
            <w:tcW w:w="240" w:type="dxa"/>
            <w:vAlign w:val="bottom"/>
          </w:tcPr>
          <w:p>
            <w:pPr>
              <w:spacing w:after="0"/>
              <w:rPr>
                <w:sz w:val="17"/>
                <w:szCs w:val="17"/>
                <w:color w:val="auto"/>
              </w:rPr>
            </w:pPr>
          </w:p>
        </w:tc>
        <w:tc>
          <w:tcPr>
            <w:tcW w:w="11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887</w:t>
            </w:r>
          </w:p>
        </w:tc>
        <w:tc>
          <w:tcPr>
            <w:tcW w:w="36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(122)</w:t>
            </w:r>
          </w:p>
        </w:tc>
      </w:tr>
      <w:tr>
        <w:trPr>
          <w:trHeight w:val="199"/>
        </w:trPr>
        <w:tc>
          <w:tcPr>
            <w:tcW w:w="55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508</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1,084</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197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319</w:t>
            </w:r>
          </w:p>
        </w:tc>
      </w:tr>
      <w:tr>
        <w:trPr>
          <w:trHeight w:val="203"/>
        </w:trPr>
        <w:tc>
          <w:tcPr>
            <w:tcW w:w="5580" w:type="dxa"/>
            <w:vAlign w:val="bottom"/>
            <w:tcBorders>
              <w:bottom w:val="single" w:sz="8" w:color="53439A"/>
            </w:tcBorders>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ind w:right="33"/>
              <w:spacing w:after="0" w:line="202" w:lineRule="exact"/>
              <w:rPr>
                <w:sz w:val="20"/>
                <w:szCs w:val="20"/>
                <w:color w:val="auto"/>
              </w:rPr>
            </w:pPr>
            <w:r>
              <w:rPr>
                <w:rFonts w:ascii="Arial" w:cs="Arial" w:eastAsia="Arial" w:hAnsi="Arial"/>
                <w:sz w:val="18"/>
                <w:szCs w:val="18"/>
                <w:color w:val="auto"/>
              </w:rPr>
              <w:t>808</w:t>
            </w:r>
          </w:p>
        </w:tc>
        <w:tc>
          <w:tcPr>
            <w:tcW w:w="200" w:type="dxa"/>
            <w:vAlign w:val="bottom"/>
            <w:tcBorders>
              <w:bottom w:val="single" w:sz="8" w:color="53439A"/>
              <w:right w:val="single" w:sz="8" w:color="auto"/>
            </w:tcBorders>
          </w:tcPr>
          <w:p>
            <w:pPr>
              <w:spacing w:after="0"/>
              <w:rPr>
                <w:sz w:val="17"/>
                <w:szCs w:val="17"/>
                <w:color w:val="auto"/>
              </w:rPr>
            </w:pPr>
          </w:p>
        </w:tc>
        <w:tc>
          <w:tcPr>
            <w:tcW w:w="440" w:type="dxa"/>
            <w:vAlign w:val="bottom"/>
            <w:tcBorders>
              <w:bottom w:val="single" w:sz="8" w:color="53439A"/>
            </w:tcBorders>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ind w:right="33"/>
              <w:spacing w:after="0" w:line="202" w:lineRule="exact"/>
              <w:rPr>
                <w:sz w:val="20"/>
                <w:szCs w:val="20"/>
                <w:color w:val="auto"/>
              </w:rPr>
            </w:pPr>
            <w:r>
              <w:rPr>
                <w:rFonts w:ascii="Arial" w:cs="Arial" w:eastAsia="Arial" w:hAnsi="Arial"/>
                <w:sz w:val="18"/>
                <w:szCs w:val="18"/>
                <w:color w:val="auto"/>
              </w:rPr>
              <w:t>470</w:t>
            </w:r>
          </w:p>
        </w:tc>
        <w:tc>
          <w:tcPr>
            <w:tcW w:w="24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ind w:right="33"/>
              <w:spacing w:after="0" w:line="202" w:lineRule="exact"/>
              <w:rPr>
                <w:sz w:val="20"/>
                <w:szCs w:val="20"/>
                <w:color w:val="auto"/>
              </w:rPr>
            </w:pPr>
            <w:r>
              <w:rPr>
                <w:rFonts w:ascii="Arial" w:cs="Arial" w:eastAsia="Arial" w:hAnsi="Arial"/>
                <w:sz w:val="18"/>
                <w:szCs w:val="18"/>
                <w:color w:val="auto"/>
              </w:rPr>
              <w:t>1,084</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3"/>
              <w:spacing w:after="0" w:line="202" w:lineRule="exact"/>
              <w:rPr>
                <w:sz w:val="20"/>
                <w:szCs w:val="20"/>
                <w:color w:val="auto"/>
              </w:rPr>
            </w:pPr>
            <w:r>
              <w:rPr>
                <w:rFonts w:ascii="Arial" w:cs="Arial" w:eastAsia="Arial" w:hAnsi="Arial"/>
                <w:sz w:val="18"/>
                <w:szCs w:val="18"/>
                <w:color w:val="auto"/>
              </w:rPr>
              <w:t>197</w:t>
            </w:r>
          </w:p>
        </w:tc>
      </w:tr>
      <w:tr>
        <w:trPr>
          <w:trHeight w:val="216"/>
        </w:trPr>
        <w:tc>
          <w:tcPr>
            <w:tcW w:w="55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500"/>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4"/>
                <w:szCs w:val="14"/>
                <w:b w:val="1"/>
                <w:bCs w:val="1"/>
                <w:color w:val="auto"/>
              </w:rPr>
              <w:t>49</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284" w:right="239" w:bottom="1440" w:gutter="0" w:footer="0" w:header="0"/>
        </w:sectPr>
      </w:pPr>
    </w:p>
    <w:bookmarkStart w:id="132" w:name="page133"/>
    <w:bookmarkEnd w:id="132"/>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Statement of Changes in Equity</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Common</w:t>
            </w:r>
          </w:p>
        </w:tc>
        <w:tc>
          <w:tcPr>
            <w:tcW w:w="980" w:type="dxa"/>
            <w:vAlign w:val="bottom"/>
          </w:tcPr>
          <w:p>
            <w:pPr>
              <w:jc w:val="right"/>
              <w:ind w:right="97"/>
              <w:spacing w:after="0" w:line="149" w:lineRule="exact"/>
              <w:rPr>
                <w:sz w:val="20"/>
                <w:szCs w:val="20"/>
                <w:color w:val="auto"/>
              </w:rPr>
            </w:pPr>
            <w:r>
              <w:rPr>
                <w:rFonts w:ascii="Arial" w:cs="Arial" w:eastAsia="Arial" w:hAnsi="Arial"/>
                <w:sz w:val="14"/>
                <w:szCs w:val="14"/>
                <w:color w:val="auto"/>
              </w:rPr>
              <w:t>Paid-</w:t>
            </w:r>
          </w:p>
        </w:tc>
        <w:tc>
          <w:tcPr>
            <w:tcW w:w="220" w:type="dxa"/>
            <w:vAlign w:val="bottom"/>
          </w:tcPr>
          <w:p>
            <w:pPr>
              <w:spacing w:after="0"/>
              <w:rPr>
                <w:sz w:val="12"/>
                <w:szCs w:val="12"/>
                <w:color w:val="auto"/>
              </w:rPr>
            </w:pPr>
          </w:p>
        </w:tc>
        <w:tc>
          <w:tcPr>
            <w:tcW w:w="720" w:type="dxa"/>
            <w:vAlign w:val="bottom"/>
          </w:tcPr>
          <w:p>
            <w:pPr>
              <w:jc w:val="right"/>
              <w:ind w:right="35"/>
              <w:spacing w:after="0" w:line="149" w:lineRule="exact"/>
              <w:rPr>
                <w:sz w:val="20"/>
                <w:szCs w:val="20"/>
                <w:color w:val="auto"/>
              </w:rPr>
            </w:pPr>
            <w:r>
              <w:rPr>
                <w:rFonts w:ascii="Arial" w:cs="Arial" w:eastAsia="Arial" w:hAnsi="Arial"/>
                <w:sz w:val="14"/>
                <w:szCs w:val="14"/>
                <w:color w:val="auto"/>
              </w:rPr>
              <w:t>Retained</w:t>
            </w:r>
          </w:p>
        </w:tc>
        <w:tc>
          <w:tcPr>
            <w:tcW w:w="220" w:type="dxa"/>
            <w:vAlign w:val="bottom"/>
          </w:tcPr>
          <w:p>
            <w:pPr>
              <w:spacing w:after="0"/>
              <w:rPr>
                <w:sz w:val="12"/>
                <w:szCs w:val="12"/>
                <w:color w:val="auto"/>
              </w:rPr>
            </w:pPr>
          </w:p>
        </w:tc>
        <w:tc>
          <w:tcPr>
            <w:tcW w:w="1140" w:type="dxa"/>
            <w:vAlign w:val="bottom"/>
          </w:tcPr>
          <w:p>
            <w:pPr>
              <w:jc w:val="right"/>
              <w:ind w:right="57"/>
              <w:spacing w:after="0" w:line="149" w:lineRule="exact"/>
              <w:rPr>
                <w:sz w:val="20"/>
                <w:szCs w:val="20"/>
                <w:color w:val="auto"/>
              </w:rPr>
            </w:pPr>
            <w:r>
              <w:rPr>
                <w:rFonts w:ascii="Arial" w:cs="Arial" w:eastAsia="Arial" w:hAnsi="Arial"/>
                <w:sz w:val="14"/>
                <w:szCs w:val="14"/>
                <w:color w:val="auto"/>
                <w:w w:val="99"/>
              </w:rPr>
              <w:t>Comprehensive</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Noncontrolling</w:t>
            </w:r>
          </w:p>
        </w:tc>
        <w:tc>
          <w:tcPr>
            <w:tcW w:w="8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49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Stock</w:t>
            </w:r>
          </w:p>
        </w:tc>
        <w:tc>
          <w:tcPr>
            <w:tcW w:w="980" w:type="dxa"/>
            <w:vAlign w:val="bottom"/>
            <w:tcBorders>
              <w:bottom w:val="single" w:sz="8" w:color="auto"/>
            </w:tcBorders>
          </w:tcPr>
          <w:p>
            <w:pPr>
              <w:jc w:val="right"/>
              <w:ind w:right="97"/>
              <w:spacing w:after="0" w:line="149" w:lineRule="exact"/>
              <w:rPr>
                <w:sz w:val="20"/>
                <w:szCs w:val="20"/>
                <w:color w:val="auto"/>
              </w:rPr>
            </w:pPr>
            <w:r>
              <w:rPr>
                <w:rFonts w:ascii="Arial" w:cs="Arial" w:eastAsia="Arial" w:hAnsi="Arial"/>
                <w:sz w:val="14"/>
                <w:szCs w:val="14"/>
                <w:color w:val="auto"/>
              </w:rPr>
              <w:t>in Capital</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Earnings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(Loss) Income</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Balance, January 1, 2009</w:t>
            </w:r>
          </w:p>
        </w:tc>
        <w:tc>
          <w:tcPr>
            <w:tcW w:w="700" w:type="dxa"/>
            <w:vAlign w:val="bottom"/>
          </w:tcPr>
          <w:p>
            <w:pPr>
              <w:ind w:left="600"/>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$ 23,592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1,181</w:t>
            </w:r>
          </w:p>
        </w:tc>
        <w:tc>
          <w:tcPr>
            <w:tcW w:w="22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(75)</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16</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$ 24,714</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(1,950)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interests, net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1,278</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38</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2009</w:t>
            </w:r>
          </w:p>
        </w:tc>
        <w:tc>
          <w:tcPr>
            <w:tcW w:w="700" w:type="dxa"/>
            <w:vAlign w:val="bottom"/>
            <w:tcBorders>
              <w:bottom w:val="single" w:sz="8" w:color="53439A"/>
            </w:tcBorders>
          </w:tcPr>
          <w:p>
            <w:pPr>
              <w:ind w:left="60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53439A"/>
            </w:tcBorders>
          </w:tcPr>
          <w:p>
            <w:pPr>
              <w:jc w:val="right"/>
              <w:ind w:right="97"/>
              <w:spacing w:after="0" w:line="196" w:lineRule="exact"/>
              <w:rPr>
                <w:sz w:val="20"/>
                <w:szCs w:val="20"/>
                <w:color w:val="auto"/>
              </w:rPr>
            </w:pPr>
            <w:r>
              <w:rPr>
                <w:rFonts w:ascii="Arial" w:cs="Arial" w:eastAsia="Arial" w:hAnsi="Arial"/>
                <w:sz w:val="18"/>
                <w:szCs w:val="18"/>
                <w:color w:val="auto"/>
              </w:rPr>
              <w:t>$ 23,592</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509</w:t>
            </w:r>
          </w:p>
        </w:tc>
        <w:tc>
          <w:tcPr>
            <w:tcW w:w="22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rPr>
              <w:t>10</w:t>
            </w:r>
          </w:p>
        </w:tc>
        <w:tc>
          <w:tcPr>
            <w:tcW w:w="88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$ 24,105</w:t>
            </w:r>
          </w:p>
        </w:tc>
        <w:tc>
          <w:tcPr>
            <w:tcW w:w="0" w:type="dxa"/>
            <w:vAlign w:val="bottom"/>
          </w:tcPr>
          <w:p>
            <w:pPr>
              <w:spacing w:after="0"/>
              <w:rPr>
                <w:sz w:val="1"/>
                <w:szCs w:val="1"/>
                <w:color w:val="auto"/>
              </w:rPr>
            </w:pP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Balance, January 1, 2010</w:t>
            </w:r>
          </w:p>
        </w:tc>
        <w:tc>
          <w:tcPr>
            <w:tcW w:w="700" w:type="dxa"/>
            <w:vAlign w:val="bottom"/>
          </w:tcPr>
          <w:p>
            <w:pPr>
              <w:ind w:left="600"/>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$ 23,592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509</w:t>
            </w:r>
          </w:p>
        </w:tc>
        <w:tc>
          <w:tcPr>
            <w:tcW w:w="22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10</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$ 24,105</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interests, net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1,467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49</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2010</w:t>
            </w:r>
          </w:p>
        </w:tc>
        <w:tc>
          <w:tcPr>
            <w:tcW w:w="700" w:type="dxa"/>
            <w:vAlign w:val="bottom"/>
            <w:tcBorders>
              <w:bottom w:val="single" w:sz="8" w:color="53439A"/>
            </w:tcBorders>
          </w:tcPr>
          <w:p>
            <w:pPr>
              <w:ind w:left="60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53439A"/>
            </w:tcBorders>
          </w:tcPr>
          <w:p>
            <w:pPr>
              <w:jc w:val="right"/>
              <w:ind w:right="97"/>
              <w:spacing w:after="0" w:line="196" w:lineRule="exact"/>
              <w:rPr>
                <w:sz w:val="20"/>
                <w:szCs w:val="20"/>
                <w:color w:val="auto"/>
              </w:rPr>
            </w:pPr>
            <w:r>
              <w:rPr>
                <w:rFonts w:ascii="Arial" w:cs="Arial" w:eastAsia="Arial" w:hAnsi="Arial"/>
                <w:sz w:val="18"/>
                <w:szCs w:val="18"/>
                <w:color w:val="auto"/>
              </w:rPr>
              <w:t>$ 23,592</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320</w:t>
            </w:r>
          </w:p>
        </w:tc>
        <w:tc>
          <w:tcPr>
            <w:tcW w:w="22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(82)</w:t>
            </w:r>
          </w:p>
        </w:tc>
        <w:tc>
          <w:tcPr>
            <w:tcW w:w="88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$ 23,817</w:t>
            </w:r>
          </w:p>
        </w:tc>
        <w:tc>
          <w:tcPr>
            <w:tcW w:w="0" w:type="dxa"/>
            <w:vAlign w:val="bottom"/>
          </w:tcPr>
          <w:p>
            <w:pPr>
              <w:spacing w:after="0"/>
              <w:rPr>
                <w:sz w:val="1"/>
                <w:szCs w:val="1"/>
                <w:color w:val="auto"/>
              </w:rPr>
            </w:pP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Balance, January 1, 2011</w:t>
            </w:r>
          </w:p>
        </w:tc>
        <w:tc>
          <w:tcPr>
            <w:tcW w:w="700" w:type="dxa"/>
            <w:vAlign w:val="bottom"/>
          </w:tcPr>
          <w:p>
            <w:pPr>
              <w:ind w:left="600"/>
              <w:spacing w:after="0" w:line="200"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$ 23,592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320</w:t>
            </w:r>
          </w:p>
        </w:tc>
        <w:tc>
          <w:tcPr>
            <w:tcW w:w="22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(82)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$ 23,817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Noncash compensation</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(7,846)</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January 28, 2011</w:t>
            </w:r>
          </w:p>
        </w:tc>
        <w:tc>
          <w:tcPr>
            <w:tcW w:w="700" w:type="dxa"/>
            <w:vAlign w:val="bottom"/>
            <w:tcBorders>
              <w:bottom w:val="single" w:sz="8" w:color="53439A"/>
            </w:tcBorders>
          </w:tcPr>
          <w:p>
            <w:pPr>
              <w:ind w:left="60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53439A"/>
            </w:tcBorders>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53439A"/>
            </w:tcBorders>
          </w:tcPr>
          <w:p>
            <w:pPr>
              <w:jc w:val="right"/>
              <w:ind w:right="97"/>
              <w:spacing w:after="0" w:line="196" w:lineRule="exact"/>
              <w:rPr>
                <w:sz w:val="20"/>
                <w:szCs w:val="20"/>
                <w:color w:val="auto"/>
              </w:rPr>
            </w:pPr>
            <w:r>
              <w:rPr>
                <w:rFonts w:ascii="Arial" w:cs="Arial" w:eastAsia="Arial" w:hAnsi="Arial"/>
                <w:sz w:val="18"/>
                <w:szCs w:val="18"/>
                <w:color w:val="auto"/>
              </w:rPr>
              <w:t>$ 15,463</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(82)</w:t>
            </w:r>
          </w:p>
        </w:tc>
        <w:tc>
          <w:tcPr>
            <w:tcW w:w="88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$ 15,371</w:t>
            </w:r>
          </w:p>
        </w:tc>
        <w:tc>
          <w:tcPr>
            <w:tcW w:w="0" w:type="dxa"/>
            <w:vAlign w:val="bottom"/>
          </w:tcPr>
          <w:p>
            <w:pPr>
              <w:spacing w:after="0"/>
              <w:rPr>
                <w:sz w:val="1"/>
                <w:szCs w:val="1"/>
                <w:color w:val="auto"/>
              </w:rPr>
            </w:pPr>
          </w:p>
        </w:tc>
      </w:tr>
      <w:tr>
        <w:trPr>
          <w:trHeight w:val="344"/>
        </w:trPr>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4"/>
              </w:rPr>
              <w:t>Member’s</w:t>
            </w:r>
          </w:p>
        </w:tc>
        <w:tc>
          <w:tcPr>
            <w:tcW w:w="220" w:type="dxa"/>
            <w:vAlign w:val="bottom"/>
          </w:tcPr>
          <w:p>
            <w:pPr>
              <w:spacing w:after="0"/>
              <w:rPr>
                <w:sz w:val="12"/>
                <w:szCs w:val="12"/>
                <w:color w:val="auto"/>
              </w:rPr>
            </w:pPr>
          </w:p>
        </w:tc>
        <w:tc>
          <w:tcPr>
            <w:tcW w:w="1140" w:type="dxa"/>
            <w:vAlign w:val="bottom"/>
          </w:tcPr>
          <w:p>
            <w:pPr>
              <w:jc w:val="right"/>
              <w:ind w:right="57"/>
              <w:spacing w:after="0" w:line="149" w:lineRule="exact"/>
              <w:rPr>
                <w:sz w:val="20"/>
                <w:szCs w:val="20"/>
                <w:color w:val="auto"/>
              </w:rPr>
            </w:pPr>
            <w:r>
              <w:rPr>
                <w:rFonts w:ascii="Arial" w:cs="Arial" w:eastAsia="Arial" w:hAnsi="Arial"/>
                <w:sz w:val="14"/>
                <w:szCs w:val="14"/>
                <w:color w:val="auto"/>
                <w:w w:val="99"/>
              </w:rPr>
              <w:t>Comprehensive</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Noncontrolling</w:t>
            </w:r>
          </w:p>
        </w:tc>
        <w:tc>
          <w:tcPr>
            <w:tcW w:w="8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49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Capital</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
              <w:spacing w:after="0" w:line="149" w:lineRule="exact"/>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Member’s equity, remeasured at January 28, 2011</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24,089</w:t>
            </w:r>
          </w:p>
        </w:tc>
        <w:tc>
          <w:tcPr>
            <w:tcW w:w="22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262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$ 24,351</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Contribution of Comcast Content Business</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4,344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57</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199"/>
        </w:trPr>
        <w:tc>
          <w:tcPr>
            <w:tcW w:w="4980" w:type="dxa"/>
            <w:vAlign w:val="bottom"/>
          </w:tcPr>
          <w:p>
            <w:pPr>
              <w:spacing w:after="0" w:line="200" w:lineRule="exact"/>
              <w:rPr>
                <w:sz w:val="20"/>
                <w:szCs w:val="20"/>
                <w:color w:val="auto"/>
              </w:rPr>
            </w:pPr>
            <w:r>
              <w:rPr>
                <w:rFonts w:ascii="Arial" w:cs="Arial" w:eastAsia="Arial" w:hAnsi="Arial"/>
                <w:sz w:val="18"/>
                <w:szCs w:val="18"/>
                <w:color w:val="auto"/>
              </w:rPr>
              <w:t>Total member’s equity at January 28, 2011</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28,433</w:t>
            </w:r>
          </w:p>
        </w:tc>
        <w:tc>
          <w:tcPr>
            <w:tcW w:w="220" w:type="dxa"/>
            <w:vAlign w:val="bottom"/>
          </w:tcPr>
          <w:p>
            <w:pPr>
              <w:spacing w:after="0"/>
              <w:rPr>
                <w:sz w:val="17"/>
                <w:szCs w:val="17"/>
                <w:color w:val="auto"/>
              </w:rPr>
            </w:pPr>
          </w:p>
        </w:tc>
        <w:tc>
          <w:tcPr>
            <w:tcW w:w="11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319</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Noncash compensation</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 noncontrolling interests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9"/>
        </w:trPr>
        <w:tc>
          <w:tcPr>
            <w:tcW w:w="4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1,683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Balance, December 31, 2011</w:t>
            </w:r>
          </w:p>
        </w:tc>
        <w:tc>
          <w:tcPr>
            <w:tcW w:w="700" w:type="dxa"/>
            <w:vAlign w:val="bottom"/>
            <w:tcBorders>
              <w:bottom w:val="single" w:sz="8" w:color="53439A"/>
            </w:tcBorders>
          </w:tcPr>
          <w:p>
            <w:pPr>
              <w:spacing w:after="0"/>
              <w:rPr>
                <w:sz w:val="17"/>
                <w:szCs w:val="17"/>
                <w:color w:val="auto"/>
              </w:rPr>
            </w:pPr>
          </w:p>
        </w:tc>
        <w:tc>
          <w:tcPr>
            <w:tcW w:w="540" w:type="dxa"/>
            <w:vAlign w:val="bottom"/>
            <w:tcBorders>
              <w:bottom w:val="single" w:sz="8" w:color="53439A"/>
            </w:tcBorders>
          </w:tcPr>
          <w:p>
            <w:pPr>
              <w:spacing w:after="0"/>
              <w:rPr>
                <w:sz w:val="17"/>
                <w:szCs w:val="17"/>
                <w:color w:val="auto"/>
              </w:rPr>
            </w:pPr>
          </w:p>
        </w:tc>
        <w:tc>
          <w:tcPr>
            <w:tcW w:w="980" w:type="dxa"/>
            <w:vAlign w:val="bottom"/>
            <w:tcBorders>
              <w:bottom w:val="single" w:sz="8" w:color="53439A"/>
            </w:tcBorders>
          </w:tcPr>
          <w:p>
            <w:pPr>
              <w:spacing w:after="0"/>
              <w:rPr>
                <w:sz w:val="17"/>
                <w:szCs w:val="17"/>
                <w:color w:val="auto"/>
              </w:rPr>
            </w:pP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29,798</w:t>
            </w:r>
          </w:p>
        </w:tc>
        <w:tc>
          <w:tcPr>
            <w:tcW w:w="22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(78)</w:t>
            </w:r>
          </w:p>
        </w:tc>
        <w:tc>
          <w:tcPr>
            <w:tcW w:w="2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rPr>
              <w:t>361</w:t>
            </w:r>
          </w:p>
        </w:tc>
        <w:tc>
          <w:tcPr>
            <w:tcW w:w="88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$ 30,081</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700" w:type="dxa"/>
            <w:vAlign w:val="bottom"/>
          </w:tcPr>
          <w:p>
            <w:pPr>
              <w:spacing w:after="0"/>
              <w:rPr>
                <w:sz w:val="24"/>
                <w:szCs w:val="24"/>
                <w:color w:val="auto"/>
              </w:rPr>
            </w:pPr>
          </w:p>
        </w:tc>
        <w:tc>
          <w:tcPr>
            <w:tcW w:w="540" w:type="dxa"/>
            <w:vAlign w:val="bottom"/>
          </w:tcPr>
          <w:p>
            <w:pPr>
              <w:jc w:val="right"/>
              <w:ind w:right="297"/>
              <w:spacing w:after="0"/>
              <w:rPr>
                <w:sz w:val="20"/>
                <w:szCs w:val="20"/>
                <w:color w:val="auto"/>
              </w:rPr>
            </w:pPr>
            <w:r>
              <w:rPr>
                <w:rFonts w:ascii="Arial" w:cs="Arial" w:eastAsia="Arial" w:hAnsi="Arial"/>
                <w:sz w:val="14"/>
                <w:szCs w:val="14"/>
                <w:b w:val="1"/>
                <w:bCs w:val="1"/>
                <w:color w:val="auto"/>
                <w:w w:val="89"/>
              </w:rPr>
              <w:t>50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4" w:right="239" w:bottom="1440" w:gutter="0" w:footer="0" w:header="0"/>
        </w:sectPr>
      </w:pPr>
    </w:p>
    <w:bookmarkStart w:id="133" w:name="page134"/>
    <w:bookmarkEnd w:id="133"/>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January 28, 2011, Comcast Corporation (“Comcast”) closed its transaction (the “Joint Venture Transaction”) with General Electric Company (“GE”) to form a new company named NBCUniversal, LLC (“NBCUniversal Holdings”). Comcast now controls and owns 51% of NBCUniversal Holdings and GE owns the remaining 49%. As part of the Joint Venture Transaction, NBC Universal, Inc. (our “Predecessor”) was converted into a limited liability company named NBCUniversal Media, LLC (“NBCUniversal”), which is a wholly owned subsidiary of NBCUniversal Holdings. Comcast contributed to NBCUniversal its national cable networks, including E!, Golf Channel, G4, Style and VERSUS (now named NBC Sports Network), its regional sports and news networks, consisting of ten regional sports networks and three regional news channels, certain of its Internet businesses, including DailyCandy and Fandango and other related assets (the “Comcast Content Business”). In addition to contributing the Comcast Content Business, Comcast also made a cash payment to GE of $6.2 billion, which included transaction-related costs. See Note 4 for additional information on the Joint Venture Transaction.</w:t>
      </w:r>
    </w:p>
    <w:p>
      <w:pPr>
        <w:spacing w:after="0" w:line="161"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Following the closing of the Joint Venture Transaction, we present our operations in the following four reportable segments: Cable Networks, Broadcast Television, Filmed Entertainment and Theme Parks. See Note 21 for additional information on our reportable segments.</w:t>
      </w:r>
    </w:p>
    <w:p>
      <w:pPr>
        <w:spacing w:after="0" w:line="109"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Our Cable Networks segment consists primarily of our national cable entertainment networks (USA Network, Syfy, E!, Bravo, Oxygen, Style, G4, Chiller, Cloo (formerly Sleuth) and Universal HD); our national cable news and information networks (CNBC, MSNBC and CNBC World); our national cable sports networks (Golf Channel and NBC Sports Network (formerly VERSUS)); our 13 regional sports and news networks; our international cable networks (including CNBC Europe, CNBC Asia and our Universal Networks International portfolio of networks); our cable television production studio; and our related digital media properties, which consist primarily of brand-aligned and other websites, such as DailyCandy, Fandango and iVillage.</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Broadcast Television segment consists primarily of our NBC and Telemundo broadcast networks, our NBC and Telemundo owned local television stations, our broadcast television production operations, and our related digital media properties, which consist primarily of brand-aligned websites.</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w:t>
      </w:r>
    </w:p>
    <w:p>
      <w:pPr>
        <w:spacing w:after="0" w:line="154"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from intellectual property licenses and other services from third parties that own and operate Universal Studios Japan and Universal Studios Singapore.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intercompany accounts and transactions among consolidated entities. Transactions between NBCUniversal and Comcast, GE, their affiliates and other associated companies are reflected in these consolidated financial statements and disclosed as related party transactions when material.</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84" w:right="239" w:bottom="1440" w:gutter="0" w:footer="0" w:header="0"/>
        </w:sectPr>
      </w:pPr>
    </w:p>
    <w:bookmarkStart w:id="134" w:name="page135"/>
    <w:bookmarkEnd w:id="134"/>
    <w:p>
      <w:pPr>
        <w:ind w:right="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the change in control of our company, Comcast has applied the acquisition method of accounting with respect to the assets and liabilities of the NBCUniversal businesses it acquired (“NBCUniversal contributed businesses”), which have been remeasured to fair value as of the date of the Joint Venture Transaction. Such fair values have been reflected in our financial statements following the “push down method of accounting.” Our consolidated financial statements for periods following the close of the Joint Venture Transaction are labeled “Successor” and reflect both the push down of Comcast’s basis of accounting in the new fair values of the assets and liabilities of NBCUniversal contributed businesses, and consolidation of the Comcast Content Business at historical cost. All periods prior to the closing of the Joint Venture Transaction reflect the historical accounting basis in our assets and liabilities and are labeled “Predecessor.” Our consolidated financial statements and footnotes include a black line division, which appears between the columns titled Predecessor and Successor, which signifies that the amounts shown for the periods prior to and following the Joint Venture Transaction are not comparable. See Note 4 for additional information on the Joint Venture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prepare our consolidated financial statements in accordance with GAAP, which requires us to make estimates and assumptions that affect the reported amounts and disclosures. Actual results could differ from those estimates. Estimates are used when accounting for various items, including the fair value of acquisition-related assets and liabilities, allowances for doubtful accounts, amortization of owned and acquired programming, impairment of capitalized film and television costs, participation and residual accruals, investments, derivative financial instruments, asset impairments, nonmonetary transactions, pensions and other postretirement benefits, revenue recognition, estimates of DVD and Blu-ray disc (together, “DVDs”) returns and customer incentives, depreciation and amortization, income taxes, legal contingencies, and other contingent liabilities. See Note 12 for our discussion on fair value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operating costs and expenses. We record the amortization and the accrued costs using the ratio of the current period’s actual revenue to the estimated total remaining gross revenue from all sources, which is referred to as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exhibition,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Upon the occurrence of an event or change in circumstance that may indicate that the fair value of a film is less than its unamortized costs, we determine the fair value of the film and record an impairment charge for the amount by which the unamortized capitalized costs exceed the film’s fair value.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420"/>
          </w:cols>
          <w:pgMar w:left="240" w:top="345" w:right="239" w:bottom="1440" w:gutter="0" w:footer="0" w:header="0"/>
        </w:sectPr>
      </w:pPr>
    </w:p>
    <w:bookmarkStart w:id="135" w:name="page136"/>
    <w:bookmarkEnd w:id="135"/>
    <w:p>
      <w:pPr>
        <w:ind w:right="1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enter into arrangements with third parties to jointly finance and distribute certain of our film productions. These arrangements, which are referred to as cofinancing arrangements, can take various forms. In most cases, the form of the arrangement involves the grant of an economic interest in a film to a third-party investor. The number of investors and the terms of these arrangements can also vary, although in most cases an investor assumes full risk for the portion of the film acquired in these arrangements. We account for our proceeds under these arrangements as a reduction to our capitalized film costs. In these arrangements, the investor owns an undivided copyright interest in the film and, therefore, in each period we record either a charge or benefit to operating costs and expenses to reflect the estimate of the third-party investor’s interest in the profit or loss of the film. The estimate of the third-party investor’s interest in profit or loss of a film is determined by reference to the ratio of actual revenue earned to date in relation to the ultimate revenue expected to be recognized over a film’s useful life.</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acquired programming or when the license period begins and the content is available for use. We amortize capitalized programming costs as the associated programs are broadcast. We amortize multiyear, live-event sports programming rights using the ratio of the current period’s actual direct revenue to the estimated total remaining direct revenue or over the contract term.</w:t>
      </w:r>
    </w:p>
    <w:p>
      <w:pPr>
        <w:spacing w:after="0" w:line="15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state the costs of acquired programming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tested on a channel basis for impairment, whereas acquired programming used in our Broadcast Television segment is tested on a daypart basis. If we determine that the estimates of future cash flows are insufficient or if there is no plan to broadcast certain programming, we will recognize an impairment charge to operating costs and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information on our film and television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 (iv) impairments resulting from other-than-temporary declines in fair value. Gains or losses on the sale of equity method investments are recorded to other income (expense), net.</w:t>
      </w:r>
    </w:p>
    <w:p>
      <w:pPr>
        <w:spacing w:after="0" w:line="1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We record any impairments of our investments to other income (expense), net.</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36" w:name="page137"/>
    <w:bookmarkEnd w:id="136"/>
    <w:p>
      <w:pPr>
        <w:ind w:right="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equity method investee were to issue additional securities that change our proportionate share of the entity, we would recognize the change, if any, as a gain or loss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For assets that are sold or retired, we remove the applicable cost and accumulated depreciation and, unless the gain or loss on disposition is presented separately, we recognize it as a component of depreciation expense. We record depreciation using the straight-line method over the asset’s estimated useful life. See Note 8 for our significant components of property and equipment.</w:t>
      </w:r>
    </w:p>
    <w:p>
      <w:pPr>
        <w:spacing w:after="0" w:line="155"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exceeds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Indefinite-Lived Intangible Assets</w:t>
      </w:r>
    </w:p>
    <w:p>
      <w:pPr>
        <w:spacing w:after="0"/>
        <w:rPr>
          <w:sz w:val="20"/>
          <w:szCs w:val="20"/>
          <w:color w:val="auto"/>
        </w:rPr>
      </w:pPr>
      <w:r>
        <w:rPr>
          <w:rFonts w:ascii="Arial" w:cs="Arial" w:eastAsia="Arial" w:hAnsi="Arial"/>
          <w:sz w:val="18"/>
          <w:szCs w:val="18"/>
          <w:color w:val="auto"/>
        </w:rPr>
        <w:t>Our indefinite-lived intangible assets include trade names and Federal Communications Commission (“FCC”) licenses.</w:t>
      </w:r>
    </w:p>
    <w:p>
      <w:pPr>
        <w:spacing w:after="0" w:line="15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evaluate the recoverability of our indefinite-lived intangible assets annually, or more frequently whenever events or substantive changes in circumstances indicate that the assets might be impaired. We estimate the fair value of our indefinite-lived intangible assets primarily based on a discounted cash flow analysis. Trade names are valued using the relief-from-royalty method, which includes judgments about the value a market participant would be willing to pay in order to achieve the benefits associated with the trade name. FCC licenses are valued using the Greenfield method, which captures the future income potential assuming the license is used by a hypothetical start-up operation. If the estimated fair value of our indefinite-lived intangible assets were less than the carrying amount, we would recognize an impairment charge for the difference between the estimated fair value and the carrying value of the assets. We also evaluate the unit of account used to test for impairment of our indefinite-lived intangible assets periodically or whenever events or substantive changes in circumstances occur to ensure impairment testing is performed at an appropriate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Goodwill</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asset might be impaired. Where components one level below the segment level are not separate reporting units, we aggregate the components into one reporting unit. As a result, our reporting units are the same as our reportable segments. The assessment of recoverability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3439A"/>
        </w:rPr>
        <w:t>Finite-Lived Intangible Assets</w:t>
      </w:r>
    </w:p>
    <w:p>
      <w:pPr>
        <w:jc w:val="both"/>
        <w:ind w:right="440"/>
        <w:spacing w:after="0" w:line="238" w:lineRule="auto"/>
        <w:rPr>
          <w:sz w:val="20"/>
          <w:szCs w:val="20"/>
          <w:color w:val="auto"/>
        </w:rPr>
      </w:pPr>
      <w:r>
        <w:rPr>
          <w:rFonts w:ascii="Arial" w:cs="Arial" w:eastAsia="Arial" w:hAnsi="Arial"/>
          <w:sz w:val="18"/>
          <w:szCs w:val="18"/>
          <w:color w:val="auto"/>
        </w:rPr>
        <w:t>Finite-lived intangible assets subject to amortization consist primarily of customer relationships acquired in business combinations, intellectual property rights and software. These assets are amortized primarily on a straight-line basis over their estimated useful lives or the terms of the related agreement. See Note 9 for the ranges of useful lives of our intangible assets.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345" w:right="239" w:bottom="1440" w:gutter="0" w:footer="0" w:header="0"/>
        </w:sectPr>
      </w:pPr>
    </w:p>
    <w:bookmarkStart w:id="137" w:name="page138"/>
    <w:bookmarkEnd w:id="137"/>
    <w:p>
      <w:pPr>
        <w:ind w:right="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within finite-lived intangible assets and amortize them on a straight-line basis over a period not to exceed five years, beginning when the asset is substantially ready for use. We expense maintenance and training costs, as well as costs incurred during the preliminary stage of a project, as they are incurred.</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is less than the carrying amount of the asset group, we would recognize an impairment charge to the extent the carrying amount of the asset group exceeds its estimated fair value. Unless presented separately, the impairment charge is included as a component of amortization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Cable Networks and Broadcast Television Segments</w:t>
      </w:r>
    </w:p>
    <w:p>
      <w:pPr>
        <w:ind w:right="20"/>
        <w:spacing w:after="0" w:line="236" w:lineRule="auto"/>
        <w:rPr>
          <w:sz w:val="20"/>
          <w:szCs w:val="20"/>
          <w:color w:val="auto"/>
        </w:rPr>
      </w:pPr>
      <w:r>
        <w:rPr>
          <w:rFonts w:ascii="Arial" w:cs="Arial" w:eastAsia="Arial" w:hAnsi="Arial"/>
          <w:sz w:val="18"/>
          <w:szCs w:val="18"/>
          <w:color w:val="auto"/>
        </w:rPr>
        <w:t>Our Cable Networks segment primarily generates revenue from the distribution of our cable network programming, the sale of advertising and the licensing and sale of our owned programming. Our Broadcast Television segment primarily generates revenue from the sale of advertising and the licensing and sale of our owned programming.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Advertising revenue for our Cable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such shortfall is settled, primarily by providing additional advertising time. We record revenue from the licensing of television productions when the content is available for use by the licensee, and when certain other conditions are met. When license fees include advertising time, we recognize the advertising time component of revenue when the advertising units are aired.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Filmed Entertainment Segment</w:t>
      </w:r>
    </w:p>
    <w:p>
      <w:pPr>
        <w:ind w:right="20"/>
        <w:spacing w:after="0" w:line="270" w:lineRule="auto"/>
        <w:rPr>
          <w:sz w:val="20"/>
          <w:szCs w:val="20"/>
          <w:color w:val="auto"/>
        </w:rPr>
      </w:pPr>
      <w:r>
        <w:rPr>
          <w:rFonts w:ascii="Arial" w:cs="Arial" w:eastAsia="Arial" w:hAnsi="Arial"/>
          <w:sz w:val="16"/>
          <w:szCs w:val="16"/>
          <w:color w:val="auto"/>
        </w:rPr>
        <w:t>Our Filmed Entertainment segment generates revenue from the worldwide theatrical release of our owned and acquired films, the licensing of owned and acquired films to cable and broadcast networks and the licensing or sale of our owned and acquired films on DVD and through various digital media platforms. We also generate revenue from distributing third parties’ filmed entertainment, producing stage plays, publishing music and licensing consumer products. We recognize revenue from the theatrical distribution of films when films are exhibited. We record revenue from the licensing of a film when the content is available for use by the licensee, and when certain other conditions are met. When license fees include advertising time, we recognize the advertising time component of revenue when the advertisements are aired. We recognize revenue from DVD sales, net of estimated returns and customer incentives, on the date that DVDs are delivered to and made available for sale by retailers.</w:t>
      </w:r>
    </w:p>
    <w:p>
      <w:pPr>
        <w:spacing w:after="0" w:line="300"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Theme Parks Segment</w:t>
      </w:r>
    </w:p>
    <w:p>
      <w:pPr>
        <w:ind w:right="160"/>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as well as from management, licensing and other fees. We recognize revenue from advance theme park ticket sales when the tickets are used. For multiday or annual passes, we recognize revenue over the period of benefit based on estimated usage patterns that are derived from historical experience.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See Note 18 for additional information on advertising costs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share-based compensation consists of awards of stock options and restricted share units (“RSUs”) and the discounted sale of Comcast stock to employees through employee stock purchase plans. For stock options and RSUs, associated costs are based on an award’s estimated fair value at the date of grant and are recognized over the period in which any related services are provided. See Note 15 for additional information on our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Following the close of the Joint Venture Transaction on January 28, 2011, we established new defined benefit plans for the majority of our employees (the “qualified plan”) and executives (the “nonqualified plan”) and other postretirement plans, such as medical and life insurance plans. Our new defined benefit pension plans are currently unfunded noncontributory plans. The qualified plan is not open to new participants.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Pension and postretirement benefits are based on formulas that reflect the employees’ years of service, compensation during their employment period and participation in the plans. The expense we recognize related to our benefit plans is determined using certain assumptions, including the expected long-term rate of return on plan assets and discount rate, among others. We recognize the funded or unfunded status of our defined benefit and other postretirement plans, other than multiemployer plans, as an asset or liability in our consolidated balance sheet and recognize changes in the funded status in the year in which the changes occur through accumulated other comprehensive income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additional information on our pension and postretirement benefits.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 result of the closing of the Joint Venture Transaction, we converted into a limited liability company, and our company is disregarded for U.S. federal income tax purposes as an entity separate from NBCUniversal Holdings, a tax partnership. NBCUniversal and our subsidiaries are not expected to incur any significant current or deferred U.S. domestic income taxes. Our tax liability is comprised primarily of withholding and income taxes on foreign earnings.</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on current period income, changes in our deferred income tax assets and liabilities, income tax rates, changes in estimates of our uncertain tax positions, and tax planning opportunities.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360"/>
          </w:cols>
          <w:pgMar w:left="240" w:top="341" w:right="299" w:bottom="1440" w:gutter="0" w:footer="0" w:header="0"/>
        </w:sectPr>
      </w:pPr>
    </w:p>
    <w:bookmarkStart w:id="139" w:name="page140"/>
    <w:bookmarkEnd w:id="139"/>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 consequences that arise in connection with business combinations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accounting guidance related to accounting for uncertainty in income taxes.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155"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We classify interest and penalties, if any, associated with our uncertain tax positions as a component of income tax expense. </w:t>
      </w:r>
      <w:r>
        <w:rPr>
          <w:rFonts w:ascii="Arial" w:cs="Arial" w:eastAsia="Arial" w:hAnsi="Arial"/>
          <w:sz w:val="18"/>
          <w:szCs w:val="18"/>
          <w:b w:val="1"/>
          <w:bCs w:val="1"/>
          <w:color w:val="auto"/>
        </w:rPr>
        <w:t>Derivative Financial Instruments</w:t>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 Derivative financial instruments are recorded in our consolidated balance sheet at fair value. We formally document, at the inception of the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we evaluate them for effectiveness at the time they are designated, as well as throughout the hedging period.</w:t>
      </w:r>
    </w:p>
    <w:p>
      <w:pPr>
        <w:spacing w:after="0" w:line="155"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For derivative financial instruments designated as fair value hedges, changes in the fair value of the derivative financial instrument substantially offset changes in the fair value of the hedged item, each of which is recorded to the same line in our consolidated statement of income. When fair value hedges are terminated, sold, exercised or have expired, any gain or loss resulting from changes in the fair value of the hedged item is deferred and recognized in earnings over the remaining life of the hedged item. When the hedged item is settled or sold, the unamortized adjustment is recognized in earnings. For derivative financial instruments designated as cash flow hedges, the effective portion of the change in fair value of the derivative financial instrument is reported in accumulated other comprehensive income (loss) and recognized as an adjustment to earnings over the period in which the hedged item is recognized in our consolidated statement of income. When the hedged item is settled or becomes probable of not occurring, any remaining unrealized gain or loss from the hedge is recognized in earnings. Cash flows from hedging activities are classified under the same category as the cash flows from the hedged items in our consolidated statement of cash flows. The ineffective portion of changes in fair value for designated hedges is recognized on a current basis in earnings.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For those derivative financial instruments that are not designated as hedges, changes in fair value are recognized on a current basis in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any speculative or leveraged derivative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additional information on our derivative financial instruments.</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Currency Translation</w:t>
      </w:r>
    </w:p>
    <w:p>
      <w:pPr>
        <w:spacing w:after="0" w:line="18"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Functional currencies are determined based on entity-specific economic and management indicators. We translate assets and liabilities of our foreign subsidiaries where the functional currency is the local currency, primarily the euro and the British pound, into U.S. dollars at the exchange rate in effect at the balance sheet date. The related translation adjustments are recorded as a component of accumulated other comprehensive income (loss). We translate revenue and expenses using average monthly exchange rates. Foreign currency transaction gains and losses are included in operating costs and expenses or other income (expense), depending on the nature of the underlying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Comprehensive Income</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June 2011, the Financial Accounting Standards Board (“FASB”) updated the accounting guidance related to the presentation of comprehensive income. The updated guidance eliminates the option to present components of other comprehensive income as part of the statement of changes in equity. The updated guidance is effective beginning in the first quarter of 2012. We have early adopted the provisions of this guidance beginning in the second quarter of 2011 and have applied the presentation changes retrospectively to all periods presented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4: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1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On January 28, 2011, Comcast and GE closed the Joint Venture Transaction, which among other things, converted our company into a limited liability company that became a wholly owned subsidiary of NBCUniversal Holdings. NBCUniversal comprises the NBCUniversal contributed businesses and the Comcast Content Business, and is indirectly owned 51% by Comcast and 49% by GE. In addition to contributing the Comcast Content Business to NBCUniversal, Comcast made a cash payment to GE of $6.2 billion, which included transaction-related costs. Comcast also agreed to share with GE certain tax benefits, as they are realized, related to the form and structure of the Joint Venture Transaction. These payments to GE are contingent on Comcast realizing tax benefits in the future and are accounted for as contingent consideration by Comcast.</w:t>
      </w:r>
    </w:p>
    <w:p>
      <w:pPr>
        <w:spacing w:after="0" w:line="13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connection with the Joint Venture Transaction, during 2010 we issued $9.1 billion of senior debt securities with maturities ranging from 2014 to 2041 (the “2010 Senior Notes”) and used $1.7 billion of the proceeds to repay existing indebtedness. Prior to the closing, we also distributed approximately $7.4 billion to 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Redemption Provisions</w:t>
      </w:r>
    </w:p>
    <w:p>
      <w:pPr>
        <w:ind w:right="40"/>
        <w:spacing w:after="0" w:line="235" w:lineRule="auto"/>
        <w:rPr>
          <w:sz w:val="20"/>
          <w:szCs w:val="20"/>
          <w:color w:val="auto"/>
        </w:rPr>
      </w:pPr>
      <w:r>
        <w:rPr>
          <w:rFonts w:ascii="Arial" w:cs="Arial" w:eastAsia="Arial" w:hAnsi="Arial"/>
          <w:sz w:val="18"/>
          <w:szCs w:val="18"/>
          <w:color w:val="auto"/>
        </w:rPr>
        <w:t>Comcast and GE have entered into an operating agreement, which provides for Comcast’s management and control of NBCUniversal through its control of NBCUniversal Holdings. Under the terms of the operating agreement, during the six month period beginning July 28, 2014, GE has the right to cause NBCUniversal Holdings to redeem, in cash, half of GE’s interest in NBCUniversal Holdings, and Comcast would have the immediate right to purchase the remainder of GE’s interest. If, however, Comcast elects not to exercise this right, during the six month period beginning January 28, 2018, GE has the right to cause NBCUniversal Holdings to redeem GE’s remaining interest, if any. If GE does not exercise its first redemption right, during the six month period beginning on January 28, 2016, Comcast has the right to purchase half of GE’s interest in NBCUniversal Holdings, and during the six-month period beginning January 28, 2019, Comcast has the right to purchase GE’s remaining interest, if any, in NBCUniversal Holdings. The purchase price to be paid in connection with any purchase or redemption described in this paragraph will be equal to the ownership per-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00"/>
          </w:cols>
          <w:pgMar w:left="240" w:top="323" w:right="259" w:bottom="1440" w:gutter="0" w:footer="0" w:header="0"/>
        </w:sectPr>
      </w:pPr>
    </w:p>
    <w:bookmarkStart w:id="141" w:name="page142"/>
    <w:bookmarkEnd w:id="141"/>
    <w:p>
      <w:pPr>
        <w:ind w:right="2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Comcast is committed to fund up to $2.875 billion in cash or Comcast common stock for each of the two redemptions (up to an aggregate of $5.75 billion) to the extent that NBCUniversal Holdings cannot fund the redemptions, with amounts not used in the first redemption to be available for the second redemption.</w:t>
      </w:r>
    </w:p>
    <w:p>
      <w:pPr>
        <w:spacing w:after="0" w:line="15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interests to a third party, subject to Comcast’s right of first offer. The right of first offer would permit Comcast to purchase all, but not less than all, of the interests proposed to be transferred. If GE makes a registration request in accordance with certain registration rights that are granted to it under the operating agreement, Comcast will have the right to purchase, for cash at the market value (determined pursuant to an appraisal process if NBCUniversal Holdings is not then publicly traded), all of GE’s interest in NBCUniversal Holdings that GE is seeking to register.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Allocation of Purchase Price</w:t>
      </w:r>
    </w:p>
    <w:p>
      <w:pPr>
        <w:ind w:right="60"/>
        <w:spacing w:after="0" w:line="238" w:lineRule="auto"/>
        <w:rPr>
          <w:sz w:val="20"/>
          <w:szCs w:val="20"/>
          <w:color w:val="auto"/>
        </w:rPr>
      </w:pPr>
      <w:r>
        <w:rPr>
          <w:rFonts w:ascii="Arial" w:cs="Arial" w:eastAsia="Arial" w:hAnsi="Arial"/>
          <w:sz w:val="18"/>
          <w:szCs w:val="18"/>
          <w:color w:val="auto"/>
        </w:rPr>
        <w:t>Due to the change in control of our company, Comcast has applied the acquisition method of accounting with respect to the assets and liabilities of the NBCUniversal contributed businesses, which have been remeasured to fair value as of the date of the Joint Venture Transaction. Such fair values have been reflected in our financial statements following the “push down method of accounting.”</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remeasured the assets and liabilities of the NBCUniversal contributed businesses to their estimated fair value as of January 28, 2011, primarily using Level 3 inputs (see Note 12 for an explanation of Level 3 inputs). The judgments used to determine the estimated fair value assigned to each class of assets and liabilities, as well as asset lives, have a material impact on our consolidated financial statements. To assist in this process, third-party valuation specialists were engaged to assist in the valuation of these assets and liabilities.</w:t>
      </w:r>
    </w:p>
    <w:p>
      <w:pPr>
        <w:spacing w:after="0" w:line="15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assets and liabilities of the Comcast Content Business have been recorded at their historical or carry-over basis, and as a result, are not included in the acquired assets and liabilities presented in the allocation of purchase price below.</w:t>
      </w:r>
    </w:p>
    <w:p>
      <w:pPr>
        <w:spacing w:after="0" w:line="1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tables below present the fair value of the consideration transferred and the allocation of purchase price to the assets and liabilities acquired as a result of the Joint Venture Transaction. We have revised our estimates during the year, which resulted in a decrease in goodwill of $1.1 billion from our initial allocation of purchase price. The changes related primarily to revisions in the estimated fair value of investments, property and equipment, and intangible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Consideration Transferred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1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29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$ 6,120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Fair value of 49% interest in the Comcast Content Business</w:t>
            </w:r>
          </w:p>
        </w:tc>
        <w:tc>
          <w:tcPr>
            <w:tcW w:w="2940" w:type="dxa"/>
            <w:vAlign w:val="bottom"/>
          </w:tcPr>
          <w:p>
            <w:pPr>
              <w:spacing w:after="0"/>
              <w:rPr>
                <w:sz w:val="17"/>
                <w:szCs w:val="17"/>
                <w:color w:val="auto"/>
              </w:rPr>
            </w:pP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4,308</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Fair value of contingent consideration</w:t>
            </w:r>
          </w:p>
        </w:tc>
        <w:tc>
          <w:tcPr>
            <w:tcW w:w="2940" w:type="dxa"/>
            <w:vAlign w:val="bottom"/>
          </w:tcPr>
          <w:p>
            <w:pPr>
              <w:spacing w:after="0"/>
              <w:rPr>
                <w:sz w:val="17"/>
                <w:szCs w:val="17"/>
                <w:color w:val="auto"/>
              </w:rPr>
            </w:pPr>
          </w:p>
        </w:tc>
        <w:tc>
          <w:tcPr>
            <w:tcW w:w="1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590</w:t>
            </w:r>
          </w:p>
        </w:tc>
      </w:tr>
      <w:tr>
        <w:trPr>
          <w:trHeight w:val="199"/>
        </w:trPr>
        <w:tc>
          <w:tcPr>
            <w:tcW w:w="101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Fair value of redeemable noncontrolling interest associated with the net assets of the NBCUniversal contributed businesses</w:t>
            </w:r>
          </w:p>
        </w:tc>
        <w:tc>
          <w:tcPr>
            <w:tcW w:w="1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13,071</w:t>
            </w:r>
          </w:p>
        </w:tc>
      </w:tr>
      <w:tr>
        <w:trPr>
          <w:trHeight w:val="196"/>
        </w:trPr>
        <w:tc>
          <w:tcPr>
            <w:tcW w:w="7160" w:type="dxa"/>
            <w:vAlign w:val="bottom"/>
            <w:tcBorders>
              <w:bottom w:val="single" w:sz="8" w:color="53439A"/>
            </w:tcBorders>
          </w:tcPr>
          <w:p>
            <w:pPr>
              <w:spacing w:after="0"/>
              <w:rPr>
                <w:sz w:val="17"/>
                <w:szCs w:val="17"/>
                <w:color w:val="auto"/>
              </w:rPr>
            </w:pPr>
          </w:p>
        </w:tc>
        <w:tc>
          <w:tcPr>
            <w:tcW w:w="2940" w:type="dxa"/>
            <w:vAlign w:val="bottom"/>
            <w:tcBorders>
              <w:bottom w:val="single" w:sz="8" w:color="53439A"/>
            </w:tcBorders>
          </w:tcPr>
          <w:p>
            <w:pPr>
              <w:spacing w:after="0"/>
              <w:rPr>
                <w:sz w:val="17"/>
                <w:szCs w:val="17"/>
                <w:color w:val="auto"/>
              </w:rPr>
            </w:pPr>
          </w:p>
        </w:tc>
        <w:tc>
          <w:tcPr>
            <w:tcW w:w="132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$ 24,089</w:t>
            </w:r>
          </w:p>
        </w:tc>
      </w:tr>
      <w:tr>
        <w:trPr>
          <w:trHeight w:val="506"/>
        </w:trPr>
        <w:tc>
          <w:tcPr>
            <w:tcW w:w="7160" w:type="dxa"/>
            <w:vAlign w:val="bottom"/>
          </w:tcPr>
          <w:p>
            <w:pPr>
              <w:ind w:left="5680"/>
              <w:spacing w:after="0"/>
              <w:rPr>
                <w:sz w:val="20"/>
                <w:szCs w:val="20"/>
                <w:color w:val="auto"/>
              </w:rPr>
            </w:pPr>
            <w:r>
              <w:rPr>
                <w:rFonts w:ascii="Arial" w:cs="Arial" w:eastAsia="Arial" w:hAnsi="Arial"/>
                <w:sz w:val="14"/>
                <w:szCs w:val="14"/>
                <w:b w:val="1"/>
                <w:bCs w:val="1"/>
                <w:color w:val="auto"/>
              </w:rPr>
              <w:t>59</w:t>
            </w:r>
          </w:p>
        </w:tc>
        <w:tc>
          <w:tcPr>
            <w:tcW w:w="4260" w:type="dxa"/>
            <w:vAlign w:val="bottom"/>
            <w:gridSpan w:val="2"/>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29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Allocation of Purchase Price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0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Film and television costs</w:t>
            </w:r>
            <w:r>
              <w:rPr>
                <w:rFonts w:ascii="Arial" w:cs="Arial" w:eastAsia="Arial" w:hAnsi="Arial"/>
                <w:sz w:val="11"/>
                <w:szCs w:val="11"/>
                <w:color w:val="auto"/>
              </w:rPr>
              <w:t>(a)</w:t>
            </w:r>
          </w:p>
        </w:tc>
        <w:tc>
          <w:tcPr>
            <w:tcW w:w="43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$ 5,049</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4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4,339</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2,322</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14,585</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(b)</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(9,115)</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(919)</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r>
              <w:rPr>
                <w:rFonts w:ascii="Arial" w:cs="Arial" w:eastAsia="Arial" w:hAnsi="Arial"/>
                <w:sz w:val="11"/>
                <w:szCs w:val="11"/>
                <w:color w:val="auto"/>
              </w:rPr>
              <w:t>(c)</w:t>
            </w:r>
          </w:p>
        </w:tc>
        <w:tc>
          <w:tcPr>
            <w:tcW w:w="438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r>
      <w:tr>
        <w:trPr>
          <w:trHeight w:val="199"/>
        </w:trPr>
        <w:tc>
          <w:tcPr>
            <w:tcW w:w="70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4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(262)</w:t>
            </w:r>
          </w:p>
        </w:tc>
      </w:tr>
      <w:tr>
        <w:trPr>
          <w:trHeight w:val="199"/>
        </w:trPr>
        <w:tc>
          <w:tcPr>
            <w:tcW w:w="704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43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13,144</w:t>
            </w:r>
          </w:p>
        </w:tc>
      </w:tr>
      <w:tr>
        <w:trPr>
          <w:trHeight w:val="199"/>
        </w:trPr>
        <w:tc>
          <w:tcPr>
            <w:tcW w:w="70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43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10,945</w:t>
            </w:r>
          </w:p>
        </w:tc>
      </w:tr>
      <w:tr>
        <w:trPr>
          <w:trHeight w:val="196"/>
        </w:trPr>
        <w:tc>
          <w:tcPr>
            <w:tcW w:w="7040" w:type="dxa"/>
            <w:vAlign w:val="bottom"/>
            <w:tcBorders>
              <w:bottom w:val="single" w:sz="8" w:color="53439A"/>
            </w:tcBorders>
          </w:tcPr>
          <w:p>
            <w:pPr>
              <w:spacing w:after="0"/>
              <w:rPr>
                <w:sz w:val="17"/>
                <w:szCs w:val="17"/>
                <w:color w:val="auto"/>
              </w:rPr>
            </w:pPr>
          </w:p>
        </w:tc>
        <w:tc>
          <w:tcPr>
            <w:tcW w:w="438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$ 24,089</w:t>
            </w:r>
          </w:p>
        </w:tc>
      </w:tr>
    </w:tbl>
    <w:p>
      <w:pPr>
        <w:spacing w:after="0" w:line="67"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film and television costs and acquired programming rights.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cash and cash equivalents, receivables, net, other current assets, accounts payable and accrued liabilities and accrued participations, residuals and program obligations.</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accrued participations, residuals and program obligations, employee benefit obligations and 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fair value adjustments included in the allocation of purchase price are discussed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Film and Television Costs and Acquired Programming Rights</w:t>
      </w:r>
    </w:p>
    <w:p>
      <w:pPr>
        <w:spacing w:after="0" w:line="1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Film and television costs consist of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Television series, theatrical films in-production and in-development, and acquired programming rights were valued using a replacement cost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Investments</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estimates of fair value for significant investments in non-public investees were determined using the income approach. The difference, if any, between the fair value and our proportionate share of the investees’ historical basis is amortized to equity in net income of investees, net in our consolidated statement of income over a period not to exceed 20 years for intangible assets and 30 years for fixed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Property and Equipment</w:t>
      </w:r>
    </w:p>
    <w:p>
      <w:pPr>
        <w:spacing w:after="0" w:line="1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of comparable properties. The replacement cost approach used for depreciable property and equipment measures the value of an asset by estimating the cost to acquire or construct comparable assets and adjusts for age and condition of the asset.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Intangible Assets</w:t>
      </w:r>
    </w:p>
    <w:p>
      <w:pPr>
        <w:spacing w:after="0" w:line="1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Intangible assets primarily consist of our estimates of fair value for finite-lived customer relationships with advertisers and multichannel video providers, each with an estimated useful life not to exceed 20 years, and indefinite-lived trade names and FCC licenses.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345" w:right="239" w:bottom="1440" w:gutter="0" w:footer="0" w:header="0"/>
        </w:sectPr>
      </w:pPr>
    </w:p>
    <w:bookmarkStart w:id="143" w:name="page144"/>
    <w:bookmarkEnd w:id="143"/>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 Because the allocation of purchase price reflects Comcast’s push down basis in our assets and liabilities, we have not attributed any fair value to our multichannel video provider relationships with Comcast. See Note 5 for additional information on our related party transactions with Comcast.</w:t>
      </w:r>
    </w:p>
    <w:p>
      <w:pPr>
        <w:spacing w:after="0" w:line="157"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09"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Deferred Income Taxes</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deferred income tax liabilities in the above table represent state and foreign deferred tax assets and liabilities associated with the fair values of our assets and liabilities and certain state and international deferred tax liabilities that we retained. See Note 17 for additional information on our conversion to a limited liability company and the impact on our domestic tax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Guarantees and Other Obligations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Contractual obligations were adjusted to market rates using a combination of discounted cash flows or market assumptions, when available. Other noncurrent assets and liabilities in the table above include a liability of $482 million related to certain consolidated assets that serve as collateral for a debt obligation of an equity method investment. See Note 7 for discussion of our variable interest in Station Venture Holdings, LLC (“Station Venture”).</w:t>
      </w:r>
    </w:p>
    <w:p>
      <w:pPr>
        <w:spacing w:after="0" w:line="15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Other noncurrent assets and liabilities also includes a liability of $383 million related to a contractual obligation that involves a perpetual financial interest held by a third party in one of our businesses. The interest is based upon a percentage of future revenue of the specified business. See Note 20 for additional information on this contractual obligation.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Employee Benefit Related Obligations</w:t>
      </w:r>
    </w:p>
    <w:p>
      <w:pPr>
        <w:spacing w:after="0" w:line="14"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We have recorded estimated liabilities associated with our employee benefit obligations based upon actuarial estimates and assumptions. We have agreed to reimburse GE for amounts associated with employee benefit and insurance programs, for which GE has agreed to continue to provide benefits after the closing of the Joint Venture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439A"/>
        </w:rPr>
        <w:t>Goodwill</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Goodwill is calculated as the excess of the consideration transferred over the identifiable net assets acquired and represents the future economic benefits expected to arise from other intangible assets acquired that do not qualify for separate recognition, including assembled workforce, noncontractual relationships, and agreements between us and Comcast.</w:t>
      </w:r>
    </w:p>
    <w:p>
      <w:pPr>
        <w:spacing w:after="0" w:line="323"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 of Comcast Content Business</w:t>
      </w:r>
    </w:p>
    <w:p>
      <w:pPr>
        <w:spacing w:after="0" w:line="239" w:lineRule="auto"/>
        <w:rPr>
          <w:sz w:val="20"/>
          <w:szCs w:val="20"/>
          <w:color w:val="auto"/>
        </w:rPr>
      </w:pPr>
      <w:r>
        <w:rPr>
          <w:rFonts w:ascii="Arial" w:cs="Arial" w:eastAsia="Arial" w:hAnsi="Arial"/>
          <w:sz w:val="18"/>
          <w:szCs w:val="18"/>
          <w:color w:val="auto"/>
        </w:rPr>
        <w:t>The following assets and liabilities of the contributed Comcast Content Business were consolidated by us at their historical or carry-over basis as of January 28, 2011.</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Assets</w:t>
      </w: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4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769</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Programming costs and rights</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493</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274</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167</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2,564</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843</w:t>
            </w:r>
          </w:p>
        </w:tc>
      </w:tr>
      <w:tr>
        <w:trPr>
          <w:trHeight w:val="199"/>
        </w:trPr>
        <w:tc>
          <w:tcPr>
            <w:tcW w:w="67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w:t>
            </w:r>
          </w:p>
        </w:tc>
        <w:tc>
          <w:tcPr>
            <w:tcW w:w="4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11</w:t>
            </w:r>
          </w:p>
        </w:tc>
      </w:tr>
      <w:tr>
        <w:trPr>
          <w:trHeight w:val="196"/>
        </w:trPr>
        <w:tc>
          <w:tcPr>
            <w:tcW w:w="67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assets</w:t>
            </w:r>
          </w:p>
        </w:tc>
        <w:tc>
          <w:tcPr>
            <w:tcW w:w="40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5,121</w:t>
            </w:r>
          </w:p>
        </w:tc>
      </w:tr>
      <w:tr>
        <w:trPr>
          <w:trHeight w:val="199"/>
        </w:trPr>
        <w:tc>
          <w:tcPr>
            <w:tcW w:w="67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Total current liabilities</w:t>
            </w:r>
          </w:p>
        </w:tc>
        <w:tc>
          <w:tcPr>
            <w:tcW w:w="4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353</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Capital leases, less current portion</w:t>
            </w:r>
          </w:p>
        </w:tc>
        <w:tc>
          <w:tcPr>
            <w:tcW w:w="406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w:t>
            </w:r>
          </w:p>
        </w:tc>
      </w:tr>
      <w:tr>
        <w:trPr>
          <w:trHeight w:val="199"/>
        </w:trPr>
        <w:tc>
          <w:tcPr>
            <w:tcW w:w="67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liabilities</w:t>
            </w:r>
          </w:p>
        </w:tc>
        <w:tc>
          <w:tcPr>
            <w:tcW w:w="4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216</w:t>
            </w:r>
          </w:p>
        </w:tc>
      </w:tr>
      <w:tr>
        <w:trPr>
          <w:trHeight w:val="196"/>
        </w:trPr>
        <w:tc>
          <w:tcPr>
            <w:tcW w:w="67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40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584</w:t>
            </w:r>
          </w:p>
        </w:tc>
      </w:tr>
      <w:tr>
        <w:trPr>
          <w:trHeight w:val="199"/>
        </w:trPr>
        <w:tc>
          <w:tcPr>
            <w:tcW w:w="6780" w:type="dxa"/>
            <w:vAlign w:val="bottom"/>
          </w:tcPr>
          <w:p>
            <w:pPr>
              <w:spacing w:after="0" w:line="200" w:lineRule="exact"/>
              <w:rPr>
                <w:sz w:val="20"/>
                <w:szCs w:val="20"/>
                <w:color w:val="auto"/>
              </w:rPr>
            </w:pPr>
            <w:r>
              <w:rPr>
                <w:rFonts w:ascii="Arial" w:cs="Arial" w:eastAsia="Arial" w:hAnsi="Arial"/>
                <w:sz w:val="18"/>
                <w:szCs w:val="18"/>
                <w:color w:val="auto"/>
              </w:rPr>
              <w:t>Redeemable noncontrolling interests</w:t>
            </w:r>
          </w:p>
        </w:tc>
        <w:tc>
          <w:tcPr>
            <w:tcW w:w="40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136</w:t>
            </w:r>
          </w:p>
        </w:tc>
      </w:tr>
      <w:tr>
        <w:trPr>
          <w:trHeight w:val="199"/>
        </w:trPr>
        <w:tc>
          <w:tcPr>
            <w:tcW w:w="67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4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Transaction-Related Expenses</w:t>
      </w:r>
    </w:p>
    <w:p>
      <w:pPr>
        <w:ind w:right="140"/>
        <w:spacing w:after="0" w:line="237" w:lineRule="auto"/>
        <w:rPr>
          <w:sz w:val="20"/>
          <w:szCs w:val="20"/>
          <w:color w:val="auto"/>
        </w:rPr>
      </w:pPr>
      <w:r>
        <w:rPr>
          <w:rFonts w:ascii="Arial" w:cs="Arial" w:eastAsia="Arial" w:hAnsi="Arial"/>
          <w:sz w:val="18"/>
          <w:szCs w:val="18"/>
          <w:color w:val="auto"/>
        </w:rPr>
        <w:t>In connection with the Joint Venture Transaction, we have incurred incremental transition and integration expenses. Additionally, included in our consolidated statement of income are severance, retention and accelerated share-based compensation expenses incurred as a result of the Joint Venture Transaction of $116 million for the period from January 29, 2011 through December 31, 2011 and $49 million for the period from January 1, 2011 through January 28,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Orlando Transaction</w:t>
      </w:r>
    </w:p>
    <w:p>
      <w:pPr>
        <w:spacing w:after="0" w:line="1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July 1, 2011, we acquired the remaining 50% equity interest in Universal City Development Partners, Ltd. (“Universal Orlando”) that we did not already own for $1 billion. Universal Orlando is now a wholly owned consolidated subsidiary whose operations are reported in our Theme Parks segment. We funded this acquisition with cash on hand, borrowings under our revolving credit facility and the issuance to Comcast of a $250 million one-year note which was repaid in December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Preliminary Allocation of Purchase Price</w:t>
      </w:r>
    </w:p>
    <w:p>
      <w:pPr>
        <w:ind w:right="180"/>
        <w:spacing w:after="0" w:line="239" w:lineRule="auto"/>
        <w:rPr>
          <w:sz w:val="20"/>
          <w:szCs w:val="20"/>
          <w:color w:val="auto"/>
        </w:rPr>
      </w:pPr>
      <w:r>
        <w:rPr>
          <w:rFonts w:ascii="Arial" w:cs="Arial" w:eastAsia="Arial" w:hAnsi="Arial"/>
          <w:sz w:val="18"/>
          <w:szCs w:val="18"/>
          <w:color w:val="auto"/>
        </w:rPr>
        <w:t>Because we now control Universal Orlando, we have applied acquisition accounting and its results of operations are included in our consolidated results of operations following the acquisition date.</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carrying value of our investment in Universal Orlando on July 1, 2011 was $1 billion, which approximated its fair value and, therefore, no gain or loss was recognized as a result of the acquisition. The estimated fair values of the assets and liabilities acquired are not yet final and are subject to change. We will finalize the amounts recognized as we obtain the information necessary to complete the analysis, but no later than one year from the acquisition date.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341" w:right="239" w:bottom="1440" w:gutter="0" w:footer="0" w:header="0"/>
        </w:sectPr>
      </w:pPr>
    </w:p>
    <w:bookmarkStart w:id="145" w:name="page146"/>
    <w:bookmarkEnd w:id="145"/>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presents the fair value of the consideration transferred and the preliminary allocation of purchase price to the assets and liabilities of Universal Orlando.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7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w:t>
            </w:r>
          </w:p>
        </w:tc>
        <w:tc>
          <w:tcPr>
            <w:tcW w:w="35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$ 1,019</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Fair value of 50% equity method investment in Universal Orlando</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1,039</w:t>
            </w:r>
          </w:p>
        </w:tc>
      </w:tr>
      <w:tr>
        <w:trPr>
          <w:trHeight w:val="196"/>
        </w:trPr>
        <w:tc>
          <w:tcPr>
            <w:tcW w:w="7880" w:type="dxa"/>
            <w:vAlign w:val="bottom"/>
            <w:tcBorders>
              <w:bottom w:val="single" w:sz="8" w:color="53439A"/>
            </w:tcBorders>
          </w:tcPr>
          <w:p>
            <w:pPr>
              <w:spacing w:after="0"/>
              <w:rPr>
                <w:sz w:val="17"/>
                <w:szCs w:val="17"/>
                <w:color w:val="auto"/>
              </w:rPr>
            </w:pPr>
          </w:p>
        </w:tc>
        <w:tc>
          <w:tcPr>
            <w:tcW w:w="35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$ 2,058</w:t>
            </w:r>
          </w:p>
        </w:tc>
      </w:tr>
      <w:tr>
        <w:trPr>
          <w:trHeight w:val="370"/>
        </w:trPr>
        <w:tc>
          <w:tcPr>
            <w:tcW w:w="7880" w:type="dxa"/>
            <w:vAlign w:val="bottom"/>
          </w:tcPr>
          <w:p>
            <w:pPr>
              <w:spacing w:after="0"/>
              <w:rPr>
                <w:sz w:val="20"/>
                <w:szCs w:val="20"/>
                <w:color w:val="auto"/>
              </w:rPr>
            </w:pPr>
            <w:r>
              <w:rPr>
                <w:rFonts w:ascii="Arial" w:cs="Arial" w:eastAsia="Arial" w:hAnsi="Arial"/>
                <w:sz w:val="18"/>
                <w:szCs w:val="18"/>
                <w:color w:val="53439A"/>
              </w:rPr>
              <w:t>Preliminary Allocation of Purchase Price</w:t>
            </w:r>
          </w:p>
        </w:tc>
        <w:tc>
          <w:tcPr>
            <w:tcW w:w="3540" w:type="dxa"/>
            <w:vAlign w:val="bottom"/>
          </w:tcPr>
          <w:p>
            <w:pPr>
              <w:spacing w:after="0"/>
              <w:rPr>
                <w:sz w:val="24"/>
                <w:szCs w:val="24"/>
                <w:color w:val="auto"/>
              </w:rPr>
            </w:pPr>
          </w:p>
        </w:tc>
      </w:tr>
      <w:tr>
        <w:trPr>
          <w:trHeight w:val="313"/>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540" w:type="dxa"/>
            <w:vAlign w:val="bottom"/>
            <w:tcBorders>
              <w:bottom w:val="single" w:sz="8" w:color="auto"/>
            </w:tcBorders>
          </w:tcPr>
          <w:p>
            <w:pPr>
              <w:spacing w:after="0"/>
              <w:rPr>
                <w:sz w:val="24"/>
                <w:szCs w:val="24"/>
                <w:color w:val="auto"/>
              </w:rPr>
            </w:pP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Property and equipment</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$ 2,409</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3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(1,505)</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Other noncurrent assets and liabilities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(626)</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 acquired</w:t>
            </w:r>
          </w:p>
        </w:tc>
        <w:tc>
          <w:tcPr>
            <w:tcW w:w="3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r>
      <w:tr>
        <w:trPr>
          <w:trHeight w:val="199"/>
        </w:trPr>
        <w:tc>
          <w:tcPr>
            <w:tcW w:w="7880" w:type="dxa"/>
            <w:vAlign w:val="bottom"/>
          </w:tcPr>
          <w:p>
            <w:pPr>
              <w:spacing w:after="0" w:line="200" w:lineRule="exact"/>
              <w:rPr>
                <w:sz w:val="20"/>
                <w:szCs w:val="20"/>
                <w:color w:val="auto"/>
              </w:rPr>
            </w:pPr>
            <w:r>
              <w:rPr>
                <w:rFonts w:ascii="Arial" w:cs="Arial" w:eastAsia="Arial" w:hAnsi="Arial"/>
                <w:sz w:val="18"/>
                <w:szCs w:val="18"/>
                <w:color w:val="auto"/>
              </w:rPr>
              <w:t>Fair value of identifiable net assets acquired</w:t>
            </w:r>
          </w:p>
        </w:tc>
        <w:tc>
          <w:tcPr>
            <w:tcW w:w="35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918</w:t>
            </w:r>
          </w:p>
        </w:tc>
      </w:tr>
      <w:tr>
        <w:trPr>
          <w:trHeight w:val="199"/>
        </w:trPr>
        <w:tc>
          <w:tcPr>
            <w:tcW w:w="7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Goodwill</w:t>
            </w:r>
          </w:p>
        </w:tc>
        <w:tc>
          <w:tcPr>
            <w:tcW w:w="35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1,140</w:t>
            </w:r>
          </w:p>
        </w:tc>
      </w:tr>
      <w:tr>
        <w:trPr>
          <w:trHeight w:val="196"/>
        </w:trPr>
        <w:tc>
          <w:tcPr>
            <w:tcW w:w="7880" w:type="dxa"/>
            <w:vAlign w:val="bottom"/>
            <w:tcBorders>
              <w:bottom w:val="single" w:sz="8" w:color="53439A"/>
            </w:tcBorders>
          </w:tcPr>
          <w:p>
            <w:pPr>
              <w:spacing w:after="0"/>
              <w:rPr>
                <w:sz w:val="17"/>
                <w:szCs w:val="17"/>
                <w:color w:val="auto"/>
              </w:rPr>
            </w:pPr>
          </w:p>
        </w:tc>
        <w:tc>
          <w:tcPr>
            <w:tcW w:w="35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$ 2,058</w:t>
            </w:r>
          </w:p>
        </w:tc>
      </w:tr>
    </w:tbl>
    <w:p>
      <w:pPr>
        <w:spacing w:after="0" w:line="16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Included in other noncurrent assets and liabilities in the table above is a liability of $621 million associated with a contractual obligation that involves a perpetual financial interest held by a third party in one of our businesses. This interest is based upon a percentage of future revenue of the specified business. This contractual obligation provides the third party with the option, beginning in 2017, to require us to purchase the interest for cash in an amount equal to the fair value of the estimated future payments. See Note 20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1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consolidated revenue for the year ended December 31, 2011 included $712 million from Universal Orlando. Our consolidated net income (loss) attributable to NBCUniversal for the year ended December 31, 2011 included incremental net income of $82 million from the acquisition of the remaining 50% equity interest in Universal Orlando on July 1, 2011.</w:t>
      </w:r>
    </w:p>
    <w:p>
      <w:pPr>
        <w:spacing w:after="0" w:line="15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following unaudited pro forma information has been presented as if both the Joint Venture Transaction and our Universal Orlando transaction occurred on January 1, 2010. This information is based on historical results of operations, adjusted for the allocation of purchase price and other transaction-related adjustments, and is not necessarily indicative of what our results would have been had we operated the businesses since January 1, 2010. No pro forma adjustments have been made for our incremental transition and integration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2010</w:t>
            </w:r>
          </w:p>
        </w:tc>
      </w:tr>
      <w:tr>
        <w:trPr>
          <w:trHeight w:val="199"/>
        </w:trPr>
        <w:tc>
          <w:tcPr>
            <w:tcW w:w="716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5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200" w:lineRule="exact"/>
              <w:rPr>
                <w:sz w:val="20"/>
                <w:szCs w:val="20"/>
                <w:color w:val="auto"/>
              </w:rPr>
            </w:pPr>
            <w:r>
              <w:rPr>
                <w:rFonts w:ascii="Arial" w:cs="Arial" w:eastAsia="Arial" w:hAnsi="Arial"/>
                <w:sz w:val="18"/>
                <w:szCs w:val="18"/>
                <w:color w:val="auto"/>
              </w:rPr>
              <w:t>21,124</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20,374</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Net income (loss) before noncontrolling interests</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1,917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1,388</w:t>
            </w:r>
          </w:p>
        </w:tc>
      </w:tr>
      <w:tr>
        <w:trPr>
          <w:trHeight w:val="199"/>
        </w:trPr>
        <w:tc>
          <w:tcPr>
            <w:tcW w:w="7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 attributable to NBCUniversal</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1,730</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1,222</w:t>
            </w:r>
          </w:p>
        </w:tc>
      </w:tr>
      <w:tr>
        <w:trPr>
          <w:trHeight w:val="506"/>
        </w:trPr>
        <w:tc>
          <w:tcPr>
            <w:tcW w:w="7160" w:type="dxa"/>
            <w:vAlign w:val="bottom"/>
          </w:tcPr>
          <w:p>
            <w:pPr>
              <w:ind w:left="5680"/>
              <w:spacing w:after="0"/>
              <w:rPr>
                <w:sz w:val="20"/>
                <w:szCs w:val="20"/>
                <w:color w:val="auto"/>
              </w:rPr>
            </w:pPr>
            <w:r>
              <w:rPr>
                <w:rFonts w:ascii="Arial" w:cs="Arial" w:eastAsia="Arial" w:hAnsi="Arial"/>
                <w:sz w:val="14"/>
                <w:szCs w:val="14"/>
                <w:b w:val="1"/>
                <w:bCs w:val="1"/>
                <w:color w:val="auto"/>
              </w:rPr>
              <w:t>63</w:t>
            </w:r>
          </w:p>
        </w:tc>
        <w:tc>
          <w:tcPr>
            <w:tcW w:w="4260" w:type="dxa"/>
            <w:vAlign w:val="bottom"/>
            <w:gridSpan w:val="4"/>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345"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January 24, 2011, we signed an agreement to sell an independent Spanish-language television station that we owned and operated. In connection with this agreement, we recorded a loss of approximately $27 million, which is included in other income (loss) in our consolidated statement of income for the period ended January 28, 2011. The station was placed in a divestiture trust on January 28, 2011 and was sold in July 2011.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Comcast and Affiliates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Following the Joint Venture Transaction, we now report transactions with Comcast, our new parent, and its affiliates as related party transactions.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amounts due to and due from Comcast and its affiliates, as of December 31,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2011 (in millions)</w:t>
            </w:r>
          </w:p>
        </w:tc>
        <w:tc>
          <w:tcPr>
            <w:tcW w:w="3500" w:type="dxa"/>
            <w:vAlign w:val="bottom"/>
            <w:tcBorders>
              <w:bottom w:val="single" w:sz="8" w:color="auto"/>
            </w:tcBorders>
            <w:gridSpan w:val="2"/>
          </w:tcPr>
          <w:p>
            <w:pPr>
              <w:ind w:left="2760"/>
              <w:spacing w:after="0"/>
              <w:rPr>
                <w:sz w:val="20"/>
                <w:szCs w:val="20"/>
                <w:color w:val="auto"/>
              </w:rPr>
            </w:pPr>
            <w:r>
              <w:rPr>
                <w:rFonts w:ascii="Arial" w:cs="Arial" w:eastAsia="Arial" w:hAnsi="Arial"/>
                <w:sz w:val="14"/>
                <w:szCs w:val="14"/>
                <w:color w:val="auto"/>
              </w:rPr>
              <w:t>Successor</w:t>
            </w:r>
          </w:p>
        </w:tc>
      </w:tr>
      <w:tr>
        <w:trPr>
          <w:trHeight w:val="199"/>
        </w:trPr>
        <w:tc>
          <w:tcPr>
            <w:tcW w:w="7920" w:type="dxa"/>
            <w:vAlign w:val="bottom"/>
          </w:tcPr>
          <w:p>
            <w:pPr>
              <w:spacing w:after="0" w:line="200" w:lineRule="exact"/>
              <w:rPr>
                <w:sz w:val="20"/>
                <w:szCs w:val="20"/>
                <w:color w:val="auto"/>
              </w:rPr>
            </w:pPr>
            <w:r>
              <w:rPr>
                <w:rFonts w:ascii="Arial" w:cs="Arial" w:eastAsia="Arial" w:hAnsi="Arial"/>
                <w:sz w:val="18"/>
                <w:szCs w:val="18"/>
                <w:b w:val="1"/>
                <w:bCs w:val="1"/>
                <w:color w:val="auto"/>
              </w:rPr>
              <w:t>Amounts due from Comcast and affiliates</w:t>
            </w: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1"/>
        </w:trPr>
        <w:tc>
          <w:tcPr>
            <w:tcW w:w="7920" w:type="dxa"/>
            <w:vAlign w:val="bottom"/>
          </w:tcPr>
          <w:p>
            <w:pPr>
              <w:spacing w:after="0"/>
              <w:rPr>
                <w:sz w:val="20"/>
                <w:szCs w:val="20"/>
                <w:color w:val="auto"/>
              </w:rPr>
            </w:pPr>
            <w:r>
              <w:rPr>
                <w:rFonts w:ascii="Arial" w:cs="Arial" w:eastAsia="Arial" w:hAnsi="Arial"/>
                <w:sz w:val="18"/>
                <w:szCs w:val="18"/>
                <w:color w:val="auto"/>
              </w:rPr>
              <w:t>Receivables, net</w:t>
            </w:r>
          </w:p>
        </w:tc>
        <w:tc>
          <w:tcPr>
            <w:tcW w:w="2980" w:type="dxa"/>
            <w:vAlign w:val="bottom"/>
          </w:tcPr>
          <w:p>
            <w:pPr>
              <w:ind w:left="2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201</w:t>
            </w:r>
          </w:p>
        </w:tc>
      </w:tr>
      <w:tr>
        <w:trPr>
          <w:trHeight w:val="302"/>
        </w:trPr>
        <w:tc>
          <w:tcPr>
            <w:tcW w:w="7920" w:type="dxa"/>
            <w:vAlign w:val="bottom"/>
          </w:tcPr>
          <w:p>
            <w:pPr>
              <w:spacing w:after="0"/>
              <w:rPr>
                <w:sz w:val="20"/>
                <w:szCs w:val="20"/>
                <w:color w:val="auto"/>
              </w:rPr>
            </w:pPr>
            <w:r>
              <w:rPr>
                <w:rFonts w:ascii="Arial" w:cs="Arial" w:eastAsia="Arial" w:hAnsi="Arial"/>
                <w:sz w:val="18"/>
                <w:szCs w:val="18"/>
                <w:b w:val="1"/>
                <w:bCs w:val="1"/>
                <w:color w:val="auto"/>
              </w:rPr>
              <w:t>Amounts due to Comcast and affiliates</w:t>
            </w:r>
          </w:p>
        </w:tc>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2980" w:type="dxa"/>
            <w:vAlign w:val="bottom"/>
          </w:tcPr>
          <w:p>
            <w:pPr>
              <w:ind w:left="27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w:t>
            </w:r>
          </w:p>
        </w:tc>
      </w:tr>
      <w:tr>
        <w:trPr>
          <w:trHeight w:val="199"/>
        </w:trPr>
        <w:tc>
          <w:tcPr>
            <w:tcW w:w="7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Accrued expenses and other current liabilities</w:t>
            </w:r>
          </w:p>
        </w:tc>
        <w:tc>
          <w:tcPr>
            <w:tcW w:w="2980" w:type="dxa"/>
            <w:vAlign w:val="bottom"/>
            <w:tcBorders>
              <w:bottom w:val="single" w:sz="8" w:color="auto"/>
            </w:tcBorders>
          </w:tcPr>
          <w:p>
            <w:pPr>
              <w:ind w:left="2760"/>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w:t>
            </w:r>
          </w:p>
        </w:tc>
      </w:tr>
    </w:tbl>
    <w:p>
      <w:pPr>
        <w:spacing w:after="0" w:line="165"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Receivables, net primarily consists of subscriber fees owed by Comcast to us. Amounts due to Comcast and affiliates primarily consists of amounts owed related to advertising and support services provided by Comcast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and to Comcast</w:t>
      </w:r>
    </w:p>
    <w:p>
      <w:pPr>
        <w:spacing w:after="0" w:line="1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table below presents revenue earned and operating costs and expenses incurred with Comcast and its affiliates following the closing of the Joint Venture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Successor</w:t>
            </w:r>
          </w:p>
        </w:tc>
      </w:tr>
      <w:tr>
        <w:trPr>
          <w:trHeight w:val="141"/>
        </w:trPr>
        <w:tc>
          <w:tcPr>
            <w:tcW w:w="9040" w:type="dxa"/>
            <w:vAlign w:val="bottom"/>
          </w:tcPr>
          <w:p>
            <w:pPr>
              <w:spacing w:after="0"/>
              <w:rPr>
                <w:sz w:val="12"/>
                <w:szCs w:val="12"/>
                <w:color w:val="auto"/>
              </w:rPr>
            </w:pPr>
          </w:p>
        </w:tc>
        <w:tc>
          <w:tcPr>
            <w:tcW w:w="2380" w:type="dxa"/>
            <w:vAlign w:val="bottom"/>
            <w:gridSpan w:val="2"/>
          </w:tcPr>
          <w:p>
            <w:pPr>
              <w:ind w:left="680"/>
              <w:spacing w:after="0" w:line="141" w:lineRule="exact"/>
              <w:rPr>
                <w:sz w:val="20"/>
                <w:szCs w:val="20"/>
                <w:color w:val="auto"/>
              </w:rPr>
            </w:pPr>
            <w:r>
              <w:rPr>
                <w:rFonts w:ascii="Arial" w:cs="Arial" w:eastAsia="Arial" w:hAnsi="Arial"/>
                <w:sz w:val="14"/>
                <w:szCs w:val="14"/>
                <w:color w:val="auto"/>
              </w:rPr>
              <w:t>For the Period January 29,</w:t>
            </w:r>
          </w:p>
        </w:tc>
      </w:tr>
      <w:tr>
        <w:trPr>
          <w:trHeight w:val="149"/>
        </w:trPr>
        <w:tc>
          <w:tcPr>
            <w:tcW w:w="9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380" w:type="dxa"/>
            <w:vAlign w:val="bottom"/>
            <w:tcBorders>
              <w:bottom w:val="single" w:sz="8" w:color="auto"/>
            </w:tcBorders>
            <w:gridSpan w:val="2"/>
          </w:tcPr>
          <w:p>
            <w:pPr>
              <w:ind w:left="600"/>
              <w:spacing w:after="0" w:line="149" w:lineRule="exact"/>
              <w:rPr>
                <w:sz w:val="20"/>
                <w:szCs w:val="20"/>
                <w:color w:val="auto"/>
              </w:rPr>
            </w:pPr>
            <w:r>
              <w:rPr>
                <w:rFonts w:ascii="Arial" w:cs="Arial" w:eastAsia="Arial" w:hAnsi="Arial"/>
                <w:sz w:val="14"/>
                <w:szCs w:val="14"/>
                <w:color w:val="auto"/>
              </w:rPr>
              <w:t>2011 to December 31, 2011</w:t>
            </w:r>
          </w:p>
        </w:tc>
      </w:tr>
      <w:tr>
        <w:trPr>
          <w:trHeight w:val="199"/>
        </w:trPr>
        <w:tc>
          <w:tcPr>
            <w:tcW w:w="904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900" w:type="dxa"/>
            <w:vAlign w:val="bottom"/>
          </w:tcPr>
          <w:p>
            <w:pPr>
              <w:ind w:left="600"/>
              <w:spacing w:after="0" w:line="200"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1,070</w:t>
            </w:r>
          </w:p>
        </w:tc>
      </w:tr>
      <w:tr>
        <w:trPr>
          <w:trHeight w:val="199"/>
        </w:trPr>
        <w:tc>
          <w:tcPr>
            <w:tcW w:w="90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Operating costs and expenses</w:t>
            </w:r>
          </w:p>
        </w:tc>
        <w:tc>
          <w:tcPr>
            <w:tcW w:w="900" w:type="dxa"/>
            <w:vAlign w:val="bottom"/>
            <w:tcBorders>
              <w:bottom w:val="single" w:sz="8" w:color="auto"/>
            </w:tcBorders>
          </w:tcPr>
          <w:p>
            <w:pPr>
              <w:ind w:left="600"/>
              <w:spacing w:after="0" w:line="200"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(80)</w:t>
            </w:r>
          </w:p>
        </w:tc>
      </w:tr>
    </w:tbl>
    <w:p>
      <w:pPr>
        <w:spacing w:after="0" w:line="16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Revenue with Comcast includes revenue generated from the distribution of our content by Comcast and its affiliates. Operating costs and expenses primarily relate to support services provided by Comcast to us. In connection with the closing of the Joint Venture Transaction, Comcast and NBCUniversal Holdings entered into a services agreement to provide each other and any subsidiaries with certain administrative, human resource, information technology and other support services. Charges for these services are intended for the provider to fully recover the service costs incurred.</w:t>
      </w:r>
    </w:p>
    <w:p>
      <w:pPr>
        <w:spacing w:after="0" w:line="157"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addition to the transactions disclosed above, following the close of the Joint Venture Transaction some of our employees participate in certain Comcast benefit plans and some employees also receive awards of Comcast stock options and RSUs. See Note 14 for additional information on Comcast employee benefit plans and see Note 15 for additional information on share-based compensation.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323"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GE and Affiliates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amounts due to and due from GE and its affiliates, which are included in our consolidated balance sheet.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9"/>
        </w:trPr>
        <w:tc>
          <w:tcPr>
            <w:tcW w:w="9160" w:type="dxa"/>
            <w:vAlign w:val="bottom"/>
          </w:tcPr>
          <w:p>
            <w:pPr>
              <w:spacing w:after="0" w:line="200" w:lineRule="exact"/>
              <w:rPr>
                <w:sz w:val="20"/>
                <w:szCs w:val="20"/>
                <w:color w:val="auto"/>
              </w:rPr>
            </w:pPr>
            <w:r>
              <w:rPr>
                <w:rFonts w:ascii="Arial" w:cs="Arial" w:eastAsia="Arial" w:hAnsi="Arial"/>
                <w:sz w:val="18"/>
                <w:szCs w:val="18"/>
                <w:b w:val="1"/>
                <w:bCs w:val="1"/>
                <w:color w:val="auto"/>
              </w:rPr>
              <w:t>Amounts due from GE and affiliates</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Receivables, net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19</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76</w:t>
            </w:r>
          </w:p>
        </w:tc>
      </w:tr>
      <w:tr>
        <w:trPr>
          <w:trHeight w:val="211"/>
        </w:trPr>
        <w:tc>
          <w:tcPr>
            <w:tcW w:w="9160" w:type="dxa"/>
            <w:vAlign w:val="bottom"/>
          </w:tcPr>
          <w:p>
            <w:pPr>
              <w:spacing w:after="0"/>
              <w:rPr>
                <w:sz w:val="20"/>
                <w:szCs w:val="20"/>
                <w:color w:val="auto"/>
              </w:rPr>
            </w:pPr>
            <w:r>
              <w:rPr>
                <w:rFonts w:ascii="Arial" w:cs="Arial" w:eastAsia="Arial" w:hAnsi="Arial"/>
                <w:sz w:val="18"/>
                <w:szCs w:val="18"/>
                <w:color w:val="auto"/>
              </w:rPr>
              <w:t>Short-term loans to GE, net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8,072</w:t>
            </w:r>
          </w:p>
        </w:tc>
      </w:tr>
      <w:tr>
        <w:trPr>
          <w:trHeight w:val="437"/>
        </w:trPr>
        <w:tc>
          <w:tcPr>
            <w:tcW w:w="9160" w:type="dxa"/>
            <w:vAlign w:val="bottom"/>
          </w:tcPr>
          <w:p>
            <w:pPr>
              <w:spacing w:after="0"/>
              <w:rPr>
                <w:sz w:val="20"/>
                <w:szCs w:val="20"/>
                <w:color w:val="auto"/>
              </w:rPr>
            </w:pPr>
            <w:r>
              <w:rPr>
                <w:rFonts w:ascii="Arial" w:cs="Arial" w:eastAsia="Arial" w:hAnsi="Arial"/>
                <w:sz w:val="18"/>
                <w:szCs w:val="18"/>
                <w:b w:val="1"/>
                <w:bCs w:val="1"/>
                <w:color w:val="auto"/>
              </w:rPr>
              <w:t>Amounts due to GE and affiliates</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70</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504</w:t>
            </w: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11</w:t>
            </w:r>
          </w:p>
        </w:tc>
        <w:tc>
          <w:tcPr>
            <w:tcW w:w="22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57</w:t>
            </w:r>
          </w:p>
        </w:tc>
      </w:tr>
    </w:tbl>
    <w:p>
      <w:pPr>
        <w:spacing w:after="0" w:line="1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Receivables, net primarily relates to our deferred consideration from receivables sold to our remaining monetization programs that we still held with GE and GE affiliates as of December 31, 2011. See Note 19 for further information. Short-term loans to GE, net, in 2010 primarily represents our cash on deposit with GE, including the proceeds from our 2010 Senior Notes in excess of those used to repay our existing debt obligations. All intercompany loans with GE were settled upon closing of the Joint Venture Transaction.</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Amounts due to GE and affiliates primarily relates to cash receipts that were not yet remitted to our remaining monetization programs that we held with GE and GE affiliates as of December 31,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and to GE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related party revenue earned and costs and expenses incurred with GE and its affiliates.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40"/>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0"/>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7"/>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60" w:type="dxa"/>
            <w:vAlign w:val="bottom"/>
          </w:tcPr>
          <w:p>
            <w:pPr>
              <w:jc w:val="right"/>
              <w:ind w:right="60"/>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57"/>
              <w:spacing w:after="0" w:line="149" w:lineRule="exact"/>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0"/>
              <w:spacing w:after="0" w:line="200" w:lineRule="exact"/>
              <w:rPr>
                <w:sz w:val="20"/>
                <w:szCs w:val="20"/>
                <w:color w:val="auto"/>
              </w:rPr>
            </w:pPr>
            <w:r>
              <w:rPr>
                <w:rFonts w:ascii="Arial" w:cs="Arial" w:eastAsia="Arial" w:hAnsi="Arial"/>
                <w:sz w:val="18"/>
                <w:szCs w:val="18"/>
                <w:color w:val="auto"/>
              </w:rPr>
              <w:t>73</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line="200" w:lineRule="exact"/>
              <w:rPr>
                <w:sz w:val="20"/>
                <w:szCs w:val="20"/>
                <w:color w:val="auto"/>
              </w:rPr>
            </w:pPr>
            <w:r>
              <w:rPr>
                <w:rFonts w:ascii="Arial" w:cs="Arial" w:eastAsia="Arial" w:hAnsi="Arial"/>
                <w:sz w:val="18"/>
                <w:szCs w:val="18"/>
                <w:color w:val="auto"/>
              </w:rPr>
              <w:t>4</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60"/>
              <w:spacing w:after="0" w:line="200" w:lineRule="exact"/>
              <w:rPr>
                <w:sz w:val="20"/>
                <w:szCs w:val="20"/>
                <w:color w:val="auto"/>
              </w:rPr>
            </w:pPr>
            <w:r>
              <w:rPr>
                <w:rFonts w:ascii="Arial" w:cs="Arial" w:eastAsia="Arial" w:hAnsi="Arial"/>
                <w:sz w:val="18"/>
                <w:szCs w:val="18"/>
                <w:color w:val="auto"/>
              </w:rPr>
              <w:t>87</w:t>
            </w:r>
          </w:p>
        </w:tc>
        <w:tc>
          <w:tcPr>
            <w:tcW w:w="3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67</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w:t>
            </w:r>
          </w:p>
        </w:tc>
      </w:tr>
    </w:tbl>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Revenue primarily relates to media advertising sales to GE and its affiliates. Operating costs and expenses in the Predecessor periods primarily relate to the allocation of corporate overhead from GE for services that GE provided to us, but which were not specifically billed to us, such as public relations, investor relations, treasury and internal audit services. Also included within operating costs and expenses for all periods are share-based compensation expenses related to certain of our employees (and, in limited circumstances, selected consultants, advisors and independent contractors) who participated, or continue to participate, in GE’s share-based compensation plans. See Note 15 for additional information. We also incur rent expense for the use of studio and office space in 30 Rockefeller Plaza and studio and office space leased by CNBC, as well as lease expense for a variety of equipment under operating leases with affiliates of GE. Other income (expense) in the Predecessor periods primarily represents interest expense related to Station Venture and its $816 million note due to General Electric Capital Corporation, a subsidiary of GE. See Note 7 for additional information on Station Venture. For all periods presented, we also recorded gains (losses) on the sale of our receivables under monetization programs with GE and its affiliates in other income (expense). See Note 19 for additional information.</w:t>
      </w:r>
    </w:p>
    <w:p>
      <w:pPr>
        <w:spacing w:after="0" w:line="339"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In addition to the transactions above, the majority of our employees have participated, and some employees continue to participate, in GE sponsored employee benefit plans. See Note 14 for additional information.</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Transactions with GE</w:t>
      </w:r>
    </w:p>
    <w:p>
      <w:pPr>
        <w:ind w:right="500"/>
        <w:spacing w:after="0" w:line="239" w:lineRule="auto"/>
        <w:rPr>
          <w:sz w:val="20"/>
          <w:szCs w:val="20"/>
          <w:color w:val="auto"/>
        </w:rPr>
      </w:pPr>
      <w:r>
        <w:rPr>
          <w:rFonts w:ascii="Arial" w:cs="Arial" w:eastAsia="Arial" w:hAnsi="Arial"/>
          <w:sz w:val="18"/>
          <w:szCs w:val="18"/>
          <w:color w:val="auto"/>
        </w:rPr>
        <w:t>In addition to the transactions described above, we also incur expense related to the participation of our employees in a number of employee benefit plans sponsored or managed by GE. See Note 14 for additional information.</w:t>
      </w:r>
    </w:p>
    <w:p>
      <w:pPr>
        <w:spacing w:after="0" w:line="15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GE also reimburses us for fees paid on its behalf to the NFL for the rights to market and produce goods and services to the NFL and its member teams in connection with our contract to produce and broadcast various regular season, playoff, Pro Bowl and Super Bowl games, which is recorded as an offset to programming costs.</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period ended January 28, 2011, we disposed of a cost method investment in an affiliate of GE and also redeemed our preferred stock in one of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amounts due to and due from other related parties, which are included in our consolidated balance sheet.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color w:val="auto"/>
              </w:rPr>
              <w:t>Predecessor</w:t>
            </w:r>
          </w:p>
        </w:tc>
      </w:tr>
      <w:tr>
        <w:trPr>
          <w:trHeight w:val="223"/>
        </w:trPr>
        <w:tc>
          <w:tcPr>
            <w:tcW w:w="9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99"/>
        </w:trPr>
        <w:tc>
          <w:tcPr>
            <w:tcW w:w="9020" w:type="dxa"/>
            <w:vAlign w:val="bottom"/>
          </w:tcPr>
          <w:p>
            <w:pPr>
              <w:spacing w:after="0" w:line="200" w:lineRule="exact"/>
              <w:rPr>
                <w:sz w:val="20"/>
                <w:szCs w:val="20"/>
                <w:color w:val="auto"/>
              </w:rPr>
            </w:pPr>
            <w:r>
              <w:rPr>
                <w:rFonts w:ascii="Arial" w:cs="Arial" w:eastAsia="Arial" w:hAnsi="Arial"/>
                <w:sz w:val="18"/>
                <w:szCs w:val="18"/>
                <w:color w:val="auto"/>
              </w:rPr>
              <w:t>Amounts due from other related parties</w:t>
            </w:r>
          </w:p>
        </w:tc>
        <w:tc>
          <w:tcPr>
            <w:tcW w:w="36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line="200" w:lineRule="exact"/>
              <w:rPr>
                <w:sz w:val="20"/>
                <w:szCs w:val="20"/>
                <w:color w:val="auto"/>
              </w:rPr>
            </w:pPr>
            <w:r>
              <w:rPr>
                <w:rFonts w:ascii="Arial" w:cs="Arial" w:eastAsia="Arial" w:hAnsi="Arial"/>
                <w:sz w:val="18"/>
                <w:szCs w:val="18"/>
                <w:color w:val="auto"/>
              </w:rPr>
              <w:t>54</w:t>
            </w:r>
          </w:p>
        </w:tc>
        <w:tc>
          <w:tcPr>
            <w:tcW w:w="240" w:type="dxa"/>
            <w:vAlign w:val="bottom"/>
            <w:tcBorders>
              <w:right w:val="single" w:sz="8" w:color="auto"/>
            </w:tcBorders>
          </w:tcPr>
          <w:p>
            <w:pPr>
              <w:spacing w:after="0"/>
              <w:rPr>
                <w:sz w:val="17"/>
                <w:szCs w:val="17"/>
                <w:color w:val="auto"/>
              </w:rPr>
            </w:pPr>
          </w:p>
        </w:tc>
        <w:tc>
          <w:tcPr>
            <w:tcW w:w="62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75</w:t>
            </w:r>
          </w:p>
        </w:tc>
      </w:tr>
      <w:tr>
        <w:trPr>
          <w:trHeight w:val="199"/>
        </w:trPr>
        <w:tc>
          <w:tcPr>
            <w:tcW w:w="9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Amounts due to other related parties</w:t>
            </w:r>
          </w:p>
        </w:tc>
        <w:tc>
          <w:tcPr>
            <w:tcW w:w="36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32</w:t>
            </w:r>
          </w:p>
        </w:tc>
      </w:tr>
    </w:tbl>
    <w:p>
      <w:pPr>
        <w:spacing w:after="0" w:line="16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Amounts due from other related parties primarily relates to amounts owed resulting from the revenue activities described below. Amounts due to other related parties primarily represent cash collected by us on behalf of related parties. Operating costs and expenses associated with other related parties were not material for all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Arial" w:cs="Arial" w:eastAsia="Arial" w:hAnsi="Arial"/>
                <w:sz w:val="14"/>
                <w:szCs w:val="14"/>
                <w:color w:val="auto"/>
              </w:rPr>
              <w:t>Predecessor</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6"/>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2"/>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20" w:type="dxa"/>
            <w:vAlign w:val="bottom"/>
          </w:tcPr>
          <w:p>
            <w:pPr>
              <w:jc w:val="right"/>
              <w:ind w:right="26"/>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42"/>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jc w:val="right"/>
              <w:ind w:right="26"/>
              <w:spacing w:after="0" w:line="149" w:lineRule="exact"/>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jc w:val="right"/>
              <w:ind w:right="22"/>
              <w:spacing w:after="0" w:line="149" w:lineRule="exact"/>
              <w:rPr>
                <w:sz w:val="20"/>
                <w:szCs w:val="20"/>
                <w:color w:val="auto"/>
              </w:rPr>
            </w:pPr>
            <w:r>
              <w:rPr>
                <w:rFonts w:ascii="Arial" w:cs="Arial" w:eastAsia="Arial" w:hAnsi="Arial"/>
                <w:sz w:val="14"/>
                <w:szCs w:val="14"/>
                <w:color w:val="auto"/>
              </w:rPr>
              <w:t>December 31, 2009</w:t>
            </w:r>
          </w:p>
        </w:tc>
      </w:tr>
      <w:tr>
        <w:trPr>
          <w:trHeight w:val="196"/>
        </w:trPr>
        <w:tc>
          <w:tcPr>
            <w:tcW w:w="5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178</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305</w:t>
            </w:r>
          </w:p>
        </w:tc>
        <w:tc>
          <w:tcPr>
            <w:tcW w:w="400" w:type="dxa"/>
            <w:vAlign w:val="bottom"/>
            <w:tcBorders>
              <w:bottom w:val="single" w:sz="8" w:color="auto"/>
            </w:tcBorders>
          </w:tcPr>
          <w:p>
            <w:pPr>
              <w:jc w:val="right"/>
              <w:ind w:right="122"/>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255</w:t>
            </w:r>
          </w:p>
        </w:tc>
      </w:tr>
    </w:tbl>
    <w:p>
      <w:pPr>
        <w:spacing w:after="0" w:line="16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provide management services for certain of our equity method investees in exchange for a fee. Additionally, we receive license and other fees from certain premium television networks, digital media investments and certain of our equity method investees in exchange for content or the right to use certain of our intellectual property.</w:t>
      </w:r>
    </w:p>
    <w:p>
      <w:pPr>
        <w:spacing w:after="0" w:line="15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Revenue in our Predecessor company primarily relates to activities with affiliates of Vivendi, including management, co-production, rent, licensing and distribution, which are conducted and settled in the normal course of business. In connection with the Joint Venture Transaction, GE purchased Vivendi’s remaining interest in our company and, as a result, we do not consider Vivendi a related party as of January 28, 2011.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341"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223"/>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916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tcPr>
          <w:p>
            <w:pPr>
              <w:ind w:left="220"/>
              <w:spacing w:after="0" w:line="202" w:lineRule="exact"/>
              <w:rPr>
                <w:sz w:val="20"/>
                <w:szCs w:val="20"/>
                <w:color w:val="auto"/>
              </w:rPr>
            </w:pPr>
            <w:r>
              <w:rPr>
                <w:rFonts w:ascii="Arial" w:cs="Arial" w:eastAsia="Arial" w:hAnsi="Arial"/>
                <w:sz w:val="18"/>
                <w:szCs w:val="18"/>
                <w:color w:val="auto"/>
              </w:rPr>
              <w:t>Released, less amortization</w:t>
            </w:r>
          </w:p>
        </w:tc>
        <w:tc>
          <w:tcPr>
            <w:tcW w:w="2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1,428</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916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26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148</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99"/>
        </w:trPr>
        <w:tc>
          <w:tcPr>
            <w:tcW w:w="91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In-production and in-development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1,374</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8"/>
        </w:trPr>
        <w:tc>
          <w:tcPr>
            <w:tcW w:w="916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26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2,950</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194"/>
        </w:trPr>
        <w:tc>
          <w:tcPr>
            <w:tcW w:w="9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60" w:type="dxa"/>
            <w:vAlign w:val="bottom"/>
          </w:tcPr>
          <w:p>
            <w:pPr>
              <w:ind w:left="220"/>
              <w:spacing w:after="0" w:line="202" w:lineRule="exact"/>
              <w:rPr>
                <w:sz w:val="20"/>
                <w:szCs w:val="20"/>
                <w:color w:val="auto"/>
              </w:rPr>
            </w:pPr>
            <w:r>
              <w:rPr>
                <w:rFonts w:ascii="Arial" w:cs="Arial" w:eastAsia="Arial" w:hAnsi="Arial"/>
                <w:sz w:val="18"/>
                <w:szCs w:val="18"/>
                <w:color w:val="auto"/>
              </w:rPr>
              <w:t>Released, less amortization</w:t>
            </w:r>
          </w:p>
        </w:tc>
        <w:tc>
          <w:tcPr>
            <w:tcW w:w="26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1,002</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3"/>
        </w:trPr>
        <w:tc>
          <w:tcPr>
            <w:tcW w:w="916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26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91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In-production and in-development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201</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9"/>
        </w:trPr>
        <w:tc>
          <w:tcPr>
            <w:tcW w:w="9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1,203</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Programming rights, less amortization</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2,061</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99"/>
        </w:trPr>
        <w:tc>
          <w:tcPr>
            <w:tcW w:w="9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6,214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Current portion of programming rights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987</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3"/>
        </w:trPr>
        <w:tc>
          <w:tcPr>
            <w:tcW w:w="91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Film and television costs</w:t>
            </w:r>
          </w:p>
        </w:tc>
        <w:tc>
          <w:tcPr>
            <w:tcW w:w="260" w:type="dxa"/>
            <w:vAlign w:val="bottom"/>
            <w:tcBorders>
              <w:bottom w:val="single" w:sz="8" w:color="53439A"/>
            </w:tcBorders>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ind w:right="34"/>
              <w:spacing w:after="0" w:line="202" w:lineRule="exact"/>
              <w:rPr>
                <w:sz w:val="20"/>
                <w:szCs w:val="20"/>
                <w:color w:val="auto"/>
              </w:rPr>
            </w:pPr>
            <w:r>
              <w:rPr>
                <w:rFonts w:ascii="Arial" w:cs="Arial" w:eastAsia="Arial" w:hAnsi="Arial"/>
                <w:sz w:val="18"/>
                <w:szCs w:val="18"/>
                <w:color w:val="auto"/>
              </w:rPr>
              <w:t>5,227</w:t>
            </w:r>
          </w:p>
        </w:tc>
        <w:tc>
          <w:tcPr>
            <w:tcW w:w="220" w:type="dxa"/>
            <w:vAlign w:val="bottom"/>
            <w:tcBorders>
              <w:bottom w:val="single" w:sz="8" w:color="53439A"/>
              <w:right w:val="single" w:sz="8" w:color="auto"/>
            </w:tcBorders>
          </w:tcPr>
          <w:p>
            <w:pPr>
              <w:spacing w:after="0"/>
              <w:rPr>
                <w:sz w:val="17"/>
                <w:szCs w:val="17"/>
                <w:color w:val="auto"/>
              </w:rPr>
            </w:pPr>
          </w:p>
        </w:tc>
        <w:tc>
          <w:tcPr>
            <w:tcW w:w="520" w:type="dxa"/>
            <w:vAlign w:val="bottom"/>
            <w:tcBorders>
              <w:bottom w:val="single" w:sz="8" w:color="53439A"/>
            </w:tcBorders>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Based on management’s estimates of ultimate revenue as of December 31, 2011, approximately $896 million of film and television costs associated with our original film and television productions that are released or completed and not yet released are expected to be amortized during 2012. Approximately 89% of unamortized film and television costs for our released productions, excluding amounts allocated to acquired libraries, are expected to be amortized through 2014.</w:t>
      </w:r>
    </w:p>
    <w:p>
      <w:pPr>
        <w:spacing w:after="0" w:line="155"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As of December 31, 2011, acquired film and television libraries, which are included within Released, less amortization in the table above, had remaining unamortized costs of approximately $1.0 billion. These costs are generally amortized over a period not to exceed 20 years, and approximately 43% of these costs will be amortized through 2014.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0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r>
      <w:tr>
        <w:trPr>
          <w:trHeight w:val="199"/>
        </w:trPr>
        <w:tc>
          <w:tcPr>
            <w:tcW w:w="7160" w:type="dxa"/>
            <w:vAlign w:val="bottom"/>
          </w:tcPr>
          <w:p>
            <w:pPr>
              <w:spacing w:after="0" w:line="200" w:lineRule="exact"/>
              <w:rPr>
                <w:sz w:val="20"/>
                <w:szCs w:val="20"/>
                <w:color w:val="auto"/>
              </w:rPr>
            </w:pPr>
            <w:r>
              <w:rPr>
                <w:rFonts w:ascii="Arial" w:cs="Arial" w:eastAsia="Arial" w:hAnsi="Arial"/>
                <w:sz w:val="18"/>
                <w:szCs w:val="18"/>
                <w:color w:val="auto"/>
              </w:rPr>
              <w:t>Available-for-sale securities</w:t>
            </w:r>
          </w:p>
        </w:tc>
        <w:tc>
          <w:tcPr>
            <w:tcW w:w="2260" w:type="dxa"/>
            <w:vAlign w:val="bottom"/>
            <w:gridSpan w:val="2"/>
          </w:tcPr>
          <w:p>
            <w:pPr>
              <w:ind w:left="212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21</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27</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A&amp;E Television Networks</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2,021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683</w:t>
            </w: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The Weather Channel</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463</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308</w:t>
            </w: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115</w:t>
            </w:r>
          </w:p>
        </w:tc>
      </w:tr>
      <w:tr>
        <w:trPr>
          <w:trHeight w:val="203"/>
        </w:trPr>
        <w:tc>
          <w:tcPr>
            <w:tcW w:w="7160" w:type="dxa"/>
            <w:vAlign w:val="bottom"/>
          </w:tcPr>
          <w:p>
            <w:pPr>
              <w:ind w:left="220"/>
              <w:spacing w:after="0" w:line="202" w:lineRule="exact"/>
              <w:rPr>
                <w:sz w:val="20"/>
                <w:szCs w:val="20"/>
                <w:color w:val="auto"/>
              </w:rPr>
            </w:pPr>
            <w:r>
              <w:rPr>
                <w:rFonts w:ascii="Arial" w:cs="Arial" w:eastAsia="Arial" w:hAnsi="Arial"/>
                <w:sz w:val="18"/>
                <w:szCs w:val="18"/>
                <w:color w:val="auto"/>
              </w:rPr>
              <w:t>Universal Orlando</w:t>
            </w: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140</w:t>
            </w:r>
          </w:p>
        </w:tc>
      </w:tr>
      <w:tr>
        <w:trPr>
          <w:trHeight w:val="199"/>
        </w:trPr>
        <w:tc>
          <w:tcPr>
            <w:tcW w:w="71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583</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102</w:t>
            </w:r>
          </w:p>
        </w:tc>
      </w:tr>
      <w:tr>
        <w:trPr>
          <w:trHeight w:val="199"/>
        </w:trPr>
        <w:tc>
          <w:tcPr>
            <w:tcW w:w="7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3,241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1,348</w:t>
            </w:r>
          </w:p>
        </w:tc>
      </w:tr>
      <w:tr>
        <w:trPr>
          <w:trHeight w:val="199"/>
        </w:trPr>
        <w:tc>
          <w:tcPr>
            <w:tcW w:w="7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Cost method</w:t>
            </w:r>
          </w:p>
        </w:tc>
        <w:tc>
          <w:tcPr>
            <w:tcW w:w="2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168</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348</w:t>
            </w:r>
          </w:p>
        </w:tc>
      </w:tr>
      <w:tr>
        <w:trPr>
          <w:trHeight w:val="203"/>
        </w:trPr>
        <w:tc>
          <w:tcPr>
            <w:tcW w:w="71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Total investments</w:t>
            </w:r>
          </w:p>
        </w:tc>
        <w:tc>
          <w:tcPr>
            <w:tcW w:w="2260" w:type="dxa"/>
            <w:vAlign w:val="bottom"/>
            <w:tcBorders>
              <w:bottom w:val="single" w:sz="8" w:color="53439A"/>
            </w:tcBorders>
            <w:gridSpan w:val="2"/>
          </w:tcPr>
          <w:p>
            <w:pPr>
              <w:ind w:left="212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ind w:right="34"/>
              <w:spacing w:after="0" w:line="202" w:lineRule="exact"/>
              <w:rPr>
                <w:sz w:val="20"/>
                <w:szCs w:val="20"/>
                <w:color w:val="auto"/>
              </w:rPr>
            </w:pPr>
            <w:r>
              <w:rPr>
                <w:rFonts w:ascii="Arial" w:cs="Arial" w:eastAsia="Arial" w:hAnsi="Arial"/>
                <w:sz w:val="18"/>
                <w:szCs w:val="18"/>
                <w:color w:val="auto"/>
              </w:rPr>
              <w:t>3,430</w:t>
            </w:r>
          </w:p>
        </w:tc>
        <w:tc>
          <w:tcPr>
            <w:tcW w:w="220" w:type="dxa"/>
            <w:vAlign w:val="bottom"/>
            <w:tcBorders>
              <w:bottom w:val="single" w:sz="8" w:color="53439A"/>
              <w:right w:val="single" w:sz="8" w:color="auto"/>
            </w:tcBorders>
          </w:tcPr>
          <w:p>
            <w:pPr>
              <w:spacing w:after="0"/>
              <w:rPr>
                <w:sz w:val="17"/>
                <w:szCs w:val="17"/>
                <w:color w:val="auto"/>
              </w:rPr>
            </w:pPr>
          </w:p>
        </w:tc>
        <w:tc>
          <w:tcPr>
            <w:tcW w:w="520" w:type="dxa"/>
            <w:vAlign w:val="bottom"/>
            <w:tcBorders>
              <w:bottom w:val="single" w:sz="8" w:color="53439A"/>
            </w:tcBorders>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1,723</w:t>
            </w:r>
          </w:p>
        </w:tc>
      </w:tr>
      <w:tr>
        <w:trPr>
          <w:trHeight w:val="513"/>
        </w:trPr>
        <w:tc>
          <w:tcPr>
            <w:tcW w:w="7160" w:type="dxa"/>
            <w:vAlign w:val="bottom"/>
          </w:tcPr>
          <w:p>
            <w:pPr>
              <w:ind w:left="5680"/>
              <w:spacing w:after="0"/>
              <w:rPr>
                <w:sz w:val="20"/>
                <w:szCs w:val="20"/>
                <w:color w:val="auto"/>
              </w:rPr>
            </w:pPr>
            <w:r>
              <w:rPr>
                <w:rFonts w:ascii="Arial" w:cs="Arial" w:eastAsia="Arial" w:hAnsi="Arial"/>
                <w:sz w:val="14"/>
                <w:szCs w:val="14"/>
                <w:b w:val="1"/>
                <w:bCs w:val="1"/>
                <w:color w:val="auto"/>
              </w:rPr>
              <w:t>67</w:t>
            </w:r>
          </w:p>
        </w:tc>
        <w:tc>
          <w:tcPr>
            <w:tcW w:w="4260" w:type="dxa"/>
            <w:vAlign w:val="bottom"/>
            <w:gridSpan w:val="7"/>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48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Method</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Equity method investments held as of December 31, 2011 consist primarily of our investments in A&amp;E Television Networks LLC (“A&amp;E Television Networks”) (16%), The Weather Channel Holding Corp. (“The Weather Channel”) (25%) and MSNBC Interactive News, LLC (“MSNBC.com”) (50%). See Note 4 for additional information on our acquisition of Universal Orlando. Our recorded investments as of December 31, 2011 exceed our proportionate interests in book value of the investees’ net assets by $1.9 billion. The differences in value are primarily related to our investments in A&amp;E Television Networks and MSNBC.com. This difference is amortized in equity in net income (losses) of investees, net over a period of less than 20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3439A"/>
        </w:rPr>
        <w:t>A&amp;E Television Networks</w:t>
      </w:r>
    </w:p>
    <w:p>
      <w:pPr>
        <w:ind w:right="60"/>
        <w:spacing w:after="0" w:line="236" w:lineRule="auto"/>
        <w:rPr>
          <w:sz w:val="20"/>
          <w:szCs w:val="20"/>
          <w:color w:val="auto"/>
        </w:rPr>
      </w:pPr>
      <w:r>
        <w:rPr>
          <w:rFonts w:ascii="Arial" w:cs="Arial" w:eastAsia="Arial" w:hAnsi="Arial"/>
          <w:sz w:val="18"/>
          <w:szCs w:val="18"/>
          <w:color w:val="auto"/>
        </w:rPr>
        <w:t>A&amp;E Television Networks owns and operates, among other channels, A&amp;E, The History Channel, The Biography Channel and Lifetime. The dividends received in the period January 29, 2011 through December 31, 2011 from A&amp;E Television Networks were approximately 65% of the total cash received from investees during the same period. In the first quarter of 2012 and in other specified future periods, we have the right to require A&amp;E Television Networks to redeem a portion of our equity interest. A&amp;E Television Networks has certain rights to purchase all or a portion of our interest beginning in the third quarter of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combined financial information for our equity method investments.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3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2009</w:t>
            </w: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Results of Operations:</w:t>
            </w:r>
          </w:p>
        </w:tc>
        <w:tc>
          <w:tcPr>
            <w:tcW w:w="3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Revenue</w:t>
            </w:r>
          </w:p>
        </w:tc>
        <w:tc>
          <w:tcPr>
            <w:tcW w:w="3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5,202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4,931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3,443</w:t>
            </w: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Operating income</w:t>
            </w:r>
          </w:p>
        </w:tc>
        <w:tc>
          <w:tcPr>
            <w:tcW w:w="3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2,089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1,477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897</w:t>
            </w:r>
          </w:p>
        </w:tc>
      </w:tr>
      <w:tr>
        <w:trPr>
          <w:trHeight w:val="199"/>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Net income</w:t>
            </w:r>
          </w:p>
        </w:tc>
        <w:tc>
          <w:tcPr>
            <w:tcW w:w="3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1,581</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1,153</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602</w:t>
            </w:r>
          </w:p>
        </w:tc>
      </w:tr>
      <w:tr>
        <w:trPr>
          <w:trHeight w:val="199"/>
        </w:trPr>
        <w:tc>
          <w:tcPr>
            <w:tcW w:w="20" w:type="dxa"/>
            <w:vAlign w:val="bottom"/>
          </w:tcPr>
          <w:p>
            <w:pPr>
              <w:spacing w:after="0"/>
              <w:rPr>
                <w:sz w:val="17"/>
                <w:szCs w:val="17"/>
                <w:color w:val="auto"/>
              </w:rPr>
            </w:pPr>
          </w:p>
        </w:tc>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w:t>
            </w:r>
          </w:p>
        </w:tc>
        <w:tc>
          <w:tcPr>
            <w:tcW w:w="3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3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2,188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2,195</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Noncurrent assets</w:t>
            </w:r>
          </w:p>
        </w:tc>
        <w:tc>
          <w:tcPr>
            <w:tcW w:w="3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8,252</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w w:val="98"/>
              </w:rPr>
              <w:t>10,034</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53439A"/>
            </w:tcBorders>
          </w:tcPr>
          <w:p>
            <w:pPr>
              <w:ind w:left="200"/>
              <w:spacing w:after="0" w:line="196" w:lineRule="exact"/>
              <w:rPr>
                <w:sz w:val="20"/>
                <w:szCs w:val="20"/>
                <w:color w:val="auto"/>
              </w:rPr>
            </w:pPr>
            <w:r>
              <w:rPr>
                <w:rFonts w:ascii="Arial" w:cs="Arial" w:eastAsia="Arial" w:hAnsi="Arial"/>
                <w:sz w:val="18"/>
                <w:szCs w:val="18"/>
                <w:color w:val="auto"/>
              </w:rPr>
              <w:t>Total assets</w:t>
            </w:r>
          </w:p>
        </w:tc>
        <w:tc>
          <w:tcPr>
            <w:tcW w:w="34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w w:val="98"/>
              </w:rPr>
              <w:t>10,440</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w w:val="98"/>
              </w:rPr>
              <w:t>12,229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tcPr>
          <w:p>
            <w:pPr>
              <w:ind w:left="200"/>
              <w:spacing w:after="0" w:line="200" w:lineRule="exact"/>
              <w:rPr>
                <w:sz w:val="20"/>
                <w:szCs w:val="20"/>
                <w:color w:val="auto"/>
              </w:rPr>
            </w:pPr>
            <w:r>
              <w:rPr>
                <w:rFonts w:ascii="Arial" w:cs="Arial" w:eastAsia="Arial" w:hAnsi="Arial"/>
                <w:sz w:val="18"/>
                <w:szCs w:val="18"/>
                <w:color w:val="auto"/>
              </w:rPr>
              <w:t>Current liabilities</w:t>
            </w:r>
          </w:p>
        </w:tc>
        <w:tc>
          <w:tcPr>
            <w:tcW w:w="34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647</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882</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Noncurrent liabilities</w:t>
            </w:r>
          </w:p>
        </w:tc>
        <w:tc>
          <w:tcPr>
            <w:tcW w:w="344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2,991</w:t>
            </w:r>
          </w:p>
        </w:tc>
        <w:tc>
          <w:tcPr>
            <w:tcW w:w="24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4,108</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Shareholders’ equity</w:t>
            </w:r>
          </w:p>
        </w:tc>
        <w:tc>
          <w:tcPr>
            <w:tcW w:w="3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6,802</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7,239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53439A"/>
            </w:tcBorders>
          </w:tcPr>
          <w:p>
            <w:pPr>
              <w:ind w:left="200"/>
              <w:spacing w:after="0" w:line="196" w:lineRule="exact"/>
              <w:rPr>
                <w:sz w:val="20"/>
                <w:szCs w:val="20"/>
                <w:color w:val="auto"/>
              </w:rPr>
            </w:pPr>
            <w:r>
              <w:rPr>
                <w:rFonts w:ascii="Arial" w:cs="Arial" w:eastAsia="Arial" w:hAnsi="Arial"/>
                <w:sz w:val="18"/>
                <w:szCs w:val="18"/>
                <w:color w:val="auto"/>
              </w:rPr>
              <w:t>Total liabilities and equity</w:t>
            </w:r>
          </w:p>
        </w:tc>
        <w:tc>
          <w:tcPr>
            <w:tcW w:w="34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w w:val="98"/>
              </w:rPr>
              <w:t>10,440</w:t>
            </w:r>
          </w:p>
        </w:tc>
        <w:tc>
          <w:tcPr>
            <w:tcW w:w="2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color w:val="auto"/>
                <w:w w:val="98"/>
              </w:rPr>
              <w:t>12,229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Cost method investments held as of December 31, 2011 primarily include our investment in Hulu. In January 2011, we relinquished all voting rights and our board seat in Hulu to comply with conditions imposed by the FCC upon approval of the Joint Venture Transaction. Our investment in Hulu was previously recorded as an equity method investment. Cost method investments held as of December 31, 2010 primarily included our investment in an affiliate of GE. During the period ended January 28, 2011, we sold our investment in the GE affiliate. See Note 5 for additional information on this related party transaction.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420"/>
          </w:cols>
          <w:pgMar w:left="240" w:top="323"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Station Venture</w:t>
      </w:r>
    </w:p>
    <w:p>
      <w:pPr>
        <w:ind w:right="120"/>
        <w:spacing w:after="0" w:line="236" w:lineRule="auto"/>
        <w:rPr>
          <w:sz w:val="20"/>
          <w:szCs w:val="20"/>
          <w:color w:val="auto"/>
        </w:rPr>
      </w:pPr>
      <w:r>
        <w:rPr>
          <w:rFonts w:ascii="Arial" w:cs="Arial" w:eastAsia="Arial" w:hAnsi="Arial"/>
          <w:sz w:val="18"/>
          <w:szCs w:val="18"/>
          <w:color w:val="auto"/>
        </w:rPr>
        <w:t>We own a 79.62% equity interest and a 50% voting interest in Station Venture, a variable interest entity. The remaining equity interests in Station Venture are held by LIN TV, Corp. (“LIN TV”). Station Venture holds an indirect interest in the NBC owned local television stations in Dallas, Texas and San Diego, California through its ownership interests in Station Venture Operations, LP (“Station LP”), a less than wholly owned consolidated subsidiary. Station Venture is the obligor on an $816 million senior secured note that is due in 2023 to General Electric Capital Corporation, a subsidiary of GE, as servicer. The note is non-recourse to us, guaranteed by LIN TV and collateralized by substantially all of the assets of Station Venture and Station LP.</w:t>
      </w:r>
    </w:p>
    <w:p>
      <w:pPr>
        <w:spacing w:after="0" w:line="15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January 2010, upon adoption of amended guidance related to the consolidation of variable interest entities, we included Station Venture in our consolidated financial statements. We recorded $4 million and $66 million of interest expense incurred by Station Venture, for the period ended January 28, 2011 and the year ended December 31 2010, respectively, and also a corresponding noncontrolling interest representing LIN TV’s share of Station Venture’s interest expense for the respective periods. The senior secured note was classified as related party borrowings in our consolidated balance sheet as of December 31, 2010.</w:t>
      </w:r>
    </w:p>
    <w:p>
      <w:pPr>
        <w:spacing w:after="0" w:line="15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connection with the closing of the Joint Venture Transaction, GE has indemnified us for all liabilities we may incur as a result of any credit support, risk of loss or similar arrangement related to the senior secured note in existence prior to the closing of the Joint Venture Transaction on January 28, 2011. Due to the change in circumstances, we are no longer the primary beneficiary of, and accordingly do not consolidate, Station Venture. The carrying value of our equity method investment in Station Venture as of December 31, 2011 was zero. Because the assets of Station LP serve as collateral for Station Venture’s $816 million senior secured note, we have recorded a $482 million liability in our allocation of purchase price, representing the fair value of the net assets that collateralize the note.</w:t>
      </w:r>
    </w:p>
    <w:p>
      <w:pPr>
        <w:spacing w:after="0" w:line="156"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In addition to Station Venture, we consider NBCU Receivables Funding LLC (“Funding LLC”), a wholly owned subsidiary, to be a variable interest entity. See Note 19 for additional information. We do not hold any other variable interests that are material to our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60" w:type="dxa"/>
            <w:vAlign w:val="bottom"/>
          </w:tcPr>
          <w:p>
            <w:pPr>
              <w:spacing w:after="0"/>
              <w:rPr>
                <w:sz w:val="14"/>
                <w:szCs w:val="14"/>
                <w:color w:val="auto"/>
              </w:rPr>
            </w:pPr>
          </w:p>
        </w:tc>
        <w:tc>
          <w:tcPr>
            <w:tcW w:w="3740" w:type="dxa"/>
            <w:vAlign w:val="bottom"/>
            <w:gridSpan w:val="2"/>
          </w:tcPr>
          <w:p>
            <w:pPr>
              <w:jc w:val="right"/>
              <w:ind w:right="120"/>
              <w:spacing w:after="0"/>
              <w:rPr>
                <w:sz w:val="20"/>
                <w:szCs w:val="20"/>
                <w:color w:val="auto"/>
              </w:rPr>
            </w:pPr>
            <w:r>
              <w:rPr>
                <w:rFonts w:ascii="Arial" w:cs="Arial" w:eastAsia="Arial" w:hAnsi="Arial"/>
                <w:sz w:val="14"/>
                <w:szCs w:val="14"/>
                <w:color w:val="auto"/>
              </w:rPr>
              <w:t>Weighted Average</w:t>
            </w: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121"/>
        </w:trPr>
        <w:tc>
          <w:tcPr>
            <w:tcW w:w="5460" w:type="dxa"/>
            <w:vAlign w:val="bottom"/>
          </w:tcPr>
          <w:p>
            <w:pPr>
              <w:spacing w:after="0"/>
              <w:rPr>
                <w:sz w:val="10"/>
                <w:szCs w:val="10"/>
                <w:color w:val="auto"/>
              </w:rPr>
            </w:pPr>
          </w:p>
        </w:tc>
        <w:tc>
          <w:tcPr>
            <w:tcW w:w="3740" w:type="dxa"/>
            <w:vAlign w:val="bottom"/>
            <w:gridSpan w:val="2"/>
          </w:tcPr>
          <w:p>
            <w:pPr>
              <w:jc w:val="right"/>
              <w:ind w:right="120"/>
              <w:spacing w:after="0" w:line="121" w:lineRule="exact"/>
              <w:rPr>
                <w:sz w:val="20"/>
                <w:szCs w:val="20"/>
                <w:color w:val="auto"/>
              </w:rPr>
            </w:pPr>
            <w:r>
              <w:rPr>
                <w:rFonts w:ascii="Arial" w:cs="Arial" w:eastAsia="Arial" w:hAnsi="Arial"/>
                <w:sz w:val="14"/>
                <w:szCs w:val="14"/>
                <w:color w:val="auto"/>
              </w:rPr>
              <w:t>Useful Life at</w:t>
            </w: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December 31 (in millions)</w:t>
            </w:r>
          </w:p>
        </w:tc>
        <w:tc>
          <w:tcPr>
            <w:tcW w:w="3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December 31, 2011</w:t>
            </w:r>
          </w:p>
        </w:tc>
        <w:tc>
          <w:tcPr>
            <w:tcW w:w="240" w:type="dxa"/>
            <w:vAlign w:val="bottom"/>
          </w:tcPr>
          <w:p>
            <w:pPr>
              <w:spacing w:after="0"/>
              <w:rPr>
                <w:sz w:val="12"/>
                <w:szCs w:val="12"/>
                <w:color w:val="auto"/>
              </w:rPr>
            </w:pPr>
          </w:p>
        </w:tc>
        <w:tc>
          <w:tcPr>
            <w:tcW w:w="600" w:type="dxa"/>
            <w:vAlign w:val="bottom"/>
          </w:tcPr>
          <w:p>
            <w:pPr>
              <w:jc w:val="right"/>
              <w:ind w:right="15"/>
              <w:spacing w:after="0" w:line="149" w:lineRule="exact"/>
              <w:rPr>
                <w:sz w:val="20"/>
                <w:szCs w:val="20"/>
                <w:color w:val="auto"/>
              </w:rPr>
            </w:pPr>
            <w:r>
              <w:rPr>
                <w:rFonts w:ascii="Arial" w:cs="Arial" w:eastAsia="Arial" w:hAnsi="Arial"/>
                <w:sz w:val="14"/>
                <w:szCs w:val="14"/>
                <w:color w:val="auto"/>
              </w:rPr>
              <w:t>2011</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2010</w:t>
            </w:r>
          </w:p>
        </w:tc>
      </w:tr>
      <w:tr>
        <w:trPr>
          <w:trHeight w:val="20"/>
        </w:trPr>
        <w:tc>
          <w:tcPr>
            <w:tcW w:w="54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9"/>
        </w:trPr>
        <w:tc>
          <w:tcPr>
            <w:tcW w:w="5460" w:type="dxa"/>
            <w:vAlign w:val="bottom"/>
          </w:tcPr>
          <w:p>
            <w:pPr>
              <w:spacing w:after="0" w:line="200" w:lineRule="exact"/>
              <w:rPr>
                <w:sz w:val="20"/>
                <w:szCs w:val="20"/>
                <w:color w:val="auto"/>
              </w:rPr>
            </w:pPr>
            <w:r>
              <w:rPr>
                <w:rFonts w:ascii="Arial" w:cs="Arial" w:eastAsia="Arial" w:hAnsi="Arial"/>
                <w:sz w:val="18"/>
                <w:szCs w:val="18"/>
                <w:color w:val="auto"/>
              </w:rPr>
              <w:t>Land</w:t>
            </w:r>
          </w:p>
        </w:tc>
        <w:tc>
          <w:tcPr>
            <w:tcW w:w="37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721</w:t>
            </w:r>
          </w:p>
        </w:tc>
        <w:tc>
          <w:tcPr>
            <w:tcW w:w="220" w:type="dxa"/>
            <w:vAlign w:val="bottom"/>
            <w:tcBorders>
              <w:right w:val="single" w:sz="8" w:color="auto"/>
            </w:tcBorders>
          </w:tcPr>
          <w:p>
            <w:pPr>
              <w:spacing w:after="0"/>
              <w:rPr>
                <w:sz w:val="17"/>
                <w:szCs w:val="17"/>
                <w:color w:val="auto"/>
              </w:rPr>
            </w:pPr>
          </w:p>
        </w:tc>
        <w:tc>
          <w:tcPr>
            <w:tcW w:w="500" w:type="dxa"/>
            <w:vAlign w:val="bottom"/>
            <w:gridSpan w:val="2"/>
          </w:tcPr>
          <w:p>
            <w:pPr>
              <w:ind w:left="28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249</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3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 years</w:t>
            </w:r>
          </w:p>
        </w:tc>
        <w:tc>
          <w:tcPr>
            <w:tcW w:w="240" w:type="dxa"/>
            <w:vAlign w:val="bottom"/>
          </w:tcPr>
          <w:p>
            <w:pPr>
              <w:spacing w:after="0"/>
              <w:rPr>
                <w:sz w:val="17"/>
                <w:szCs w:val="17"/>
                <w:color w:val="auto"/>
              </w:rPr>
            </w:pP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2,894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1,358</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3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 years</w:t>
            </w:r>
          </w:p>
        </w:tc>
        <w:tc>
          <w:tcPr>
            <w:tcW w:w="240" w:type="dxa"/>
            <w:vAlign w:val="bottom"/>
          </w:tcPr>
          <w:p>
            <w:pPr>
              <w:spacing w:after="0"/>
              <w:rPr>
                <w:sz w:val="17"/>
                <w:szCs w:val="17"/>
                <w:color w:val="auto"/>
              </w:rPr>
            </w:pP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1,569</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1,510</w:t>
            </w:r>
          </w:p>
        </w:tc>
      </w:tr>
      <w:tr>
        <w:trPr>
          <w:trHeight w:val="199"/>
        </w:trPr>
        <w:tc>
          <w:tcPr>
            <w:tcW w:w="5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Construction in process</w:t>
            </w:r>
          </w:p>
        </w:tc>
        <w:tc>
          <w:tcPr>
            <w:tcW w:w="3740" w:type="dxa"/>
            <w:vAlign w:val="bottom"/>
            <w:tcBorders>
              <w:bottom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417</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242</w:t>
            </w:r>
          </w:p>
        </w:tc>
      </w:tr>
      <w:tr>
        <w:trPr>
          <w:trHeight w:val="199"/>
        </w:trPr>
        <w:tc>
          <w:tcPr>
            <w:tcW w:w="5460" w:type="dxa"/>
            <w:vAlign w:val="bottom"/>
          </w:tcPr>
          <w:p>
            <w:pPr>
              <w:spacing w:after="0" w:line="200" w:lineRule="exact"/>
              <w:rPr>
                <w:sz w:val="20"/>
                <w:szCs w:val="20"/>
                <w:color w:val="auto"/>
              </w:rPr>
            </w:pPr>
            <w:r>
              <w:rPr>
                <w:rFonts w:ascii="Arial" w:cs="Arial" w:eastAsia="Arial" w:hAnsi="Arial"/>
                <w:sz w:val="18"/>
                <w:szCs w:val="18"/>
                <w:color w:val="auto"/>
              </w:rPr>
              <w:t>Property and equipment, at cost</w:t>
            </w: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5,601</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3,359</w:t>
            </w:r>
          </w:p>
        </w:tc>
      </w:tr>
      <w:tr>
        <w:trPr>
          <w:trHeight w:val="199"/>
        </w:trPr>
        <w:tc>
          <w:tcPr>
            <w:tcW w:w="5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Accumulated depreciation</w:t>
            </w:r>
          </w:p>
        </w:tc>
        <w:tc>
          <w:tcPr>
            <w:tcW w:w="3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637</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1,524</w:t>
            </w:r>
          </w:p>
        </w:tc>
      </w:tr>
      <w:tr>
        <w:trPr>
          <w:trHeight w:val="203"/>
        </w:trPr>
        <w:tc>
          <w:tcPr>
            <w:tcW w:w="54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Property and equipment, net</w:t>
            </w:r>
          </w:p>
        </w:tc>
        <w:tc>
          <w:tcPr>
            <w:tcW w:w="3620" w:type="dxa"/>
            <w:vAlign w:val="bottom"/>
            <w:tcBorders>
              <w:bottom w:val="single" w:sz="8" w:color="53439A"/>
            </w:tcBorders>
          </w:tcPr>
          <w:p>
            <w:pPr>
              <w:spacing w:after="0"/>
              <w:rPr>
                <w:sz w:val="17"/>
                <w:szCs w:val="17"/>
                <w:color w:val="auto"/>
              </w:rPr>
            </w:pPr>
          </w:p>
        </w:tc>
        <w:tc>
          <w:tcPr>
            <w:tcW w:w="120" w:type="dxa"/>
            <w:vAlign w:val="bottom"/>
            <w:tcBorders>
              <w:bottom w:val="single" w:sz="8" w:color="53439A"/>
            </w:tcBorders>
          </w:tcPr>
          <w:p>
            <w:pPr>
              <w:spacing w:after="0"/>
              <w:rPr>
                <w:sz w:val="17"/>
                <w:szCs w:val="17"/>
                <w:color w:val="auto"/>
              </w:rPr>
            </w:pPr>
          </w:p>
        </w:tc>
        <w:tc>
          <w:tcPr>
            <w:tcW w:w="240" w:type="dxa"/>
            <w:vAlign w:val="bottom"/>
            <w:tcBorders>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4,964</w:t>
            </w:r>
          </w:p>
        </w:tc>
        <w:tc>
          <w:tcPr>
            <w:tcW w:w="220" w:type="dxa"/>
            <w:vAlign w:val="bottom"/>
            <w:tcBorders>
              <w:bottom w:val="single" w:sz="8" w:color="53439A"/>
              <w:right w:val="single" w:sz="8" w:color="auto"/>
            </w:tcBorders>
          </w:tcPr>
          <w:p>
            <w:pPr>
              <w:spacing w:after="0"/>
              <w:rPr>
                <w:sz w:val="17"/>
                <w:szCs w:val="17"/>
                <w:color w:val="auto"/>
              </w:rPr>
            </w:pPr>
          </w:p>
        </w:tc>
        <w:tc>
          <w:tcPr>
            <w:tcW w:w="500" w:type="dxa"/>
            <w:vAlign w:val="bottom"/>
            <w:tcBorders>
              <w:bottom w:val="single" w:sz="8" w:color="53439A"/>
            </w:tcBorders>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1,835</w:t>
            </w:r>
          </w:p>
        </w:tc>
      </w:tr>
    </w:tbl>
    <w:p>
      <w:pPr>
        <w:spacing w:after="0" w:line="16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Property and equipment, net increased in 2011 primarily as a result of the impact of the Joint Venture and Universal Orlando transactions. See Note 4 for additional information on these transactions.</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23"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3439A"/>
        </w:rPr>
        <w:t>Goodwill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8"/>
              </w:rPr>
              <w:t>Broadcast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Filmed</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Theme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Borders>
              <w:bottom w:val="single" w:sz="8" w:color="auto"/>
            </w:tcBorders>
            <w:vMerge w:val="continue"/>
          </w:tcPr>
          <w:p>
            <w:pPr>
              <w:spacing w:after="0"/>
              <w:rPr>
                <w:sz w:val="12"/>
                <w:szCs w:val="12"/>
                <w:color w:val="auto"/>
              </w:rPr>
            </w:pPr>
          </w:p>
        </w:tc>
        <w:tc>
          <w:tcPr>
            <w:tcW w:w="2480" w:type="dxa"/>
            <w:vAlign w:val="bottom"/>
            <w:tcBorders>
              <w:bottom w:val="single" w:sz="8" w:color="auto"/>
            </w:tcBorders>
            <w:gridSpan w:val="2"/>
          </w:tcPr>
          <w:p>
            <w:pPr>
              <w:ind w:left="1480"/>
              <w:spacing w:after="0" w:line="149" w:lineRule="exact"/>
              <w:rPr>
                <w:sz w:val="20"/>
                <w:szCs w:val="20"/>
                <w:color w:val="auto"/>
              </w:rPr>
            </w:pPr>
            <w:r>
              <w:rPr>
                <w:rFonts w:ascii="Arial" w:cs="Arial" w:eastAsia="Arial" w:hAnsi="Arial"/>
                <w:sz w:val="14"/>
                <w:szCs w:val="14"/>
                <w:color w:val="auto"/>
                <w:w w:val="99"/>
              </w:rPr>
              <w:t>Cable Networks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Television</w:t>
            </w:r>
          </w:p>
        </w:tc>
        <w:tc>
          <w:tcPr>
            <w:tcW w:w="106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w w:val="98"/>
              </w:rPr>
              <w:t>Entertainment</w:t>
            </w:r>
          </w:p>
        </w:tc>
        <w:tc>
          <w:tcPr>
            <w:tcW w:w="720" w:type="dxa"/>
            <w:vAlign w:val="bottom"/>
            <w:tcBorders>
              <w:bottom w:val="single" w:sz="8" w:color="auto"/>
            </w:tcBorders>
            <w:gridSpan w:val="2"/>
          </w:tcPr>
          <w:p>
            <w:pPr>
              <w:jc w:val="right"/>
              <w:ind w:right="16"/>
              <w:spacing w:after="0" w:line="149" w:lineRule="exact"/>
              <w:rPr>
                <w:sz w:val="20"/>
                <w:szCs w:val="20"/>
                <w:color w:val="auto"/>
              </w:rPr>
            </w:pPr>
            <w:r>
              <w:rPr>
                <w:rFonts w:ascii="Arial" w:cs="Arial" w:eastAsia="Arial" w:hAnsi="Arial"/>
                <w:sz w:val="14"/>
                <w:szCs w:val="14"/>
                <w:color w:val="auto"/>
              </w:rPr>
              <w:t>Parks</w:t>
            </w:r>
          </w:p>
        </w:tc>
        <w:tc>
          <w:tcPr>
            <w:tcW w:w="92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400" w:type="dxa"/>
            <w:vAlign w:val="bottom"/>
          </w:tcPr>
          <w:p>
            <w:pPr>
              <w:spacing w:after="0" w:line="200" w:lineRule="exact"/>
              <w:rPr>
                <w:sz w:val="20"/>
                <w:szCs w:val="20"/>
                <w:color w:val="auto"/>
              </w:rPr>
            </w:pPr>
            <w:r>
              <w:rPr>
                <w:rFonts w:ascii="Arial" w:cs="Arial" w:eastAsia="Arial" w:hAnsi="Arial"/>
                <w:sz w:val="18"/>
                <w:szCs w:val="18"/>
                <w:color w:val="auto"/>
              </w:rPr>
              <w:t>Balance, December 31, 2009</w:t>
            </w:r>
          </w:p>
        </w:tc>
        <w:tc>
          <w:tcPr>
            <w:tcW w:w="1680" w:type="dxa"/>
            <w:vAlign w:val="bottom"/>
          </w:tcPr>
          <w:p>
            <w:pPr>
              <w:ind w:left="148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14,143</w:t>
            </w:r>
          </w:p>
        </w:tc>
        <w:tc>
          <w:tcPr>
            <w:tcW w:w="16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$ 2,553</w:t>
            </w:r>
          </w:p>
        </w:tc>
        <w:tc>
          <w:tcPr>
            <w:tcW w:w="380" w:type="dxa"/>
            <w:vAlign w:val="bottom"/>
          </w:tcPr>
          <w:p>
            <w:pPr>
              <w:ind w:left="18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1,931</w:t>
            </w:r>
          </w:p>
        </w:tc>
        <w:tc>
          <w:tcPr>
            <w:tcW w:w="280" w:type="dxa"/>
            <w:vAlign w:val="bottom"/>
          </w:tcPr>
          <w:p>
            <w:pPr>
              <w:ind w:left="180"/>
              <w:spacing w:after="0" w:line="200"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15</w:t>
            </w:r>
          </w:p>
        </w:tc>
        <w:tc>
          <w:tcPr>
            <w:tcW w:w="9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$ 18,642</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6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1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598</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53439A"/>
            </w:tcBorders>
          </w:tcPr>
          <w:p>
            <w:pPr>
              <w:spacing w:after="0"/>
              <w:rPr>
                <w:sz w:val="20"/>
                <w:szCs w:val="20"/>
                <w:color w:val="auto"/>
              </w:rPr>
            </w:pPr>
            <w:r>
              <w:rPr>
                <w:rFonts w:ascii="Arial" w:cs="Arial" w:eastAsia="Arial" w:hAnsi="Arial"/>
                <w:sz w:val="18"/>
                <w:szCs w:val="18"/>
                <w:color w:val="auto"/>
              </w:rPr>
              <w:t>Balance, December 31, 2010 and January 28, 2011</w:t>
            </w:r>
          </w:p>
        </w:tc>
        <w:tc>
          <w:tcPr>
            <w:tcW w:w="1680" w:type="dxa"/>
            <w:vAlign w:val="bottom"/>
            <w:tcBorders>
              <w:bottom w:val="single" w:sz="8" w:color="53439A"/>
            </w:tcBorders>
          </w:tcPr>
          <w:p>
            <w:pPr>
              <w:ind w:left="14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14,146</w:t>
            </w:r>
          </w:p>
        </w:tc>
        <w:tc>
          <w:tcPr>
            <w:tcW w:w="160" w:type="dxa"/>
            <w:vAlign w:val="bottom"/>
            <w:tcBorders>
              <w:bottom w:val="single" w:sz="8" w:color="53439A"/>
            </w:tcBorders>
          </w:tcPr>
          <w:p>
            <w:pPr>
              <w:spacing w:after="0"/>
              <w:rPr>
                <w:sz w:val="18"/>
                <w:szCs w:val="18"/>
                <w:color w:val="auto"/>
              </w:rPr>
            </w:pPr>
          </w:p>
        </w:tc>
        <w:tc>
          <w:tcPr>
            <w:tcW w:w="6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$ 3,151</w:t>
            </w:r>
          </w:p>
        </w:tc>
        <w:tc>
          <w:tcPr>
            <w:tcW w:w="380" w:type="dxa"/>
            <w:vAlign w:val="bottom"/>
            <w:tcBorders>
              <w:bottom w:val="single" w:sz="8" w:color="53439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Borders>
              <w:bottom w:val="single" w:sz="8" w:color="53439A"/>
            </w:tcBorders>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53439A"/>
            </w:tcBorders>
          </w:tcPr>
          <w:p>
            <w:pPr>
              <w:jc w:val="right"/>
              <w:ind w:right="16"/>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53439A"/>
            </w:tcBorders>
          </w:tcPr>
          <w:p>
            <w:pPr>
              <w:jc w:val="right"/>
              <w:ind w:right="17"/>
              <w:spacing w:after="0"/>
              <w:rPr>
                <w:sz w:val="20"/>
                <w:szCs w:val="20"/>
                <w:color w:val="auto"/>
              </w:rPr>
            </w:pPr>
            <w:r>
              <w:rPr>
                <w:rFonts w:ascii="Arial" w:cs="Arial" w:eastAsia="Arial" w:hAnsi="Arial"/>
                <w:sz w:val="18"/>
                <w:szCs w:val="18"/>
                <w:color w:val="auto"/>
              </w:rPr>
              <w:t>$ 19,243</w:t>
            </w:r>
          </w:p>
        </w:tc>
        <w:tc>
          <w:tcPr>
            <w:tcW w:w="0" w:type="dxa"/>
            <w:vAlign w:val="bottom"/>
          </w:tcPr>
          <w:p>
            <w:pPr>
              <w:spacing w:after="0"/>
              <w:rPr>
                <w:sz w:val="1"/>
                <w:szCs w:val="1"/>
                <w:color w:val="auto"/>
              </w:rPr>
            </w:pPr>
          </w:p>
        </w:tc>
      </w:tr>
      <w:tr>
        <w:trPr>
          <w:trHeight w:val="345"/>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Broadcast</w:t>
            </w:r>
          </w:p>
        </w:tc>
        <w:tc>
          <w:tcPr>
            <w:tcW w:w="380" w:type="dxa"/>
            <w:vAlign w:val="bottom"/>
          </w:tcPr>
          <w:p>
            <w:pPr>
              <w:spacing w:after="0"/>
              <w:rPr>
                <w:sz w:val="24"/>
                <w:szCs w:val="24"/>
                <w:color w:val="auto"/>
              </w:rPr>
            </w:pPr>
          </w:p>
        </w:tc>
        <w:tc>
          <w:tcPr>
            <w:tcW w:w="680" w:type="dxa"/>
            <w:vAlign w:val="bottom"/>
          </w:tcPr>
          <w:p>
            <w:pPr>
              <w:jc w:val="right"/>
              <w:ind w:right="97"/>
              <w:spacing w:after="0"/>
              <w:rPr>
                <w:sz w:val="20"/>
                <w:szCs w:val="20"/>
                <w:color w:val="auto"/>
              </w:rPr>
            </w:pPr>
            <w:r>
              <w:rPr>
                <w:rFonts w:ascii="Arial" w:cs="Arial" w:eastAsia="Arial" w:hAnsi="Arial"/>
                <w:sz w:val="14"/>
                <w:szCs w:val="14"/>
                <w:color w:val="auto"/>
              </w:rPr>
              <w:t>Filmed</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Theme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0" w:type="dxa"/>
            <w:vAlign w:val="bottom"/>
            <w:tcBorders>
              <w:bottom w:val="single" w:sz="8" w:color="auto"/>
            </w:tcBorders>
            <w:vMerge w:val="continue"/>
          </w:tcPr>
          <w:p>
            <w:pPr>
              <w:spacing w:after="0"/>
              <w:rPr>
                <w:sz w:val="12"/>
                <w:szCs w:val="12"/>
                <w:color w:val="auto"/>
              </w:rPr>
            </w:pPr>
          </w:p>
        </w:tc>
        <w:tc>
          <w:tcPr>
            <w:tcW w:w="2480" w:type="dxa"/>
            <w:vAlign w:val="bottom"/>
            <w:tcBorders>
              <w:bottom w:val="single" w:sz="8" w:color="auto"/>
            </w:tcBorders>
            <w:gridSpan w:val="2"/>
          </w:tcPr>
          <w:p>
            <w:pPr>
              <w:ind w:left="1360"/>
              <w:spacing w:after="0" w:line="149" w:lineRule="exact"/>
              <w:rPr>
                <w:sz w:val="20"/>
                <w:szCs w:val="20"/>
                <w:color w:val="auto"/>
              </w:rPr>
            </w:pPr>
            <w:r>
              <w:rPr>
                <w:rFonts w:ascii="Arial" w:cs="Arial" w:eastAsia="Arial" w:hAnsi="Arial"/>
                <w:sz w:val="14"/>
                <w:szCs w:val="14"/>
                <w:color w:val="auto"/>
              </w:rPr>
              <w:t>Cable Networks</w:t>
            </w:r>
          </w:p>
        </w:tc>
        <w:tc>
          <w:tcPr>
            <w:tcW w:w="8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Television</w:t>
            </w:r>
          </w:p>
        </w:tc>
        <w:tc>
          <w:tcPr>
            <w:tcW w:w="1060" w:type="dxa"/>
            <w:vAlign w:val="bottom"/>
            <w:tcBorders>
              <w:bottom w:val="single" w:sz="8" w:color="auto"/>
            </w:tcBorders>
            <w:gridSpan w:val="2"/>
          </w:tcPr>
          <w:p>
            <w:pPr>
              <w:ind w:left="40"/>
              <w:spacing w:after="0" w:line="149" w:lineRule="exact"/>
              <w:rPr>
                <w:sz w:val="20"/>
                <w:szCs w:val="20"/>
                <w:color w:val="auto"/>
              </w:rPr>
            </w:pPr>
            <w:r>
              <w:rPr>
                <w:rFonts w:ascii="Arial" w:cs="Arial" w:eastAsia="Arial" w:hAnsi="Arial"/>
                <w:sz w:val="14"/>
                <w:szCs w:val="14"/>
                <w:color w:val="auto"/>
              </w:rPr>
              <w:t>Entertainment</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6"/>
              <w:spacing w:after="0" w:line="149" w:lineRule="exact"/>
              <w:rPr>
                <w:sz w:val="20"/>
                <w:szCs w:val="20"/>
                <w:color w:val="auto"/>
              </w:rPr>
            </w:pPr>
            <w:r>
              <w:rPr>
                <w:rFonts w:ascii="Arial" w:cs="Arial" w:eastAsia="Arial" w:hAnsi="Arial"/>
                <w:sz w:val="14"/>
                <w:szCs w:val="14"/>
                <w:color w:val="auto"/>
                <w:w w:val="89"/>
              </w:rPr>
              <w:t>Parks</w:t>
            </w:r>
          </w:p>
        </w:tc>
        <w:tc>
          <w:tcPr>
            <w:tcW w:w="92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400" w:type="dxa"/>
            <w:vAlign w:val="bottom"/>
          </w:tcPr>
          <w:p>
            <w:pPr>
              <w:spacing w:after="0" w:line="200" w:lineRule="exact"/>
              <w:rPr>
                <w:sz w:val="20"/>
                <w:szCs w:val="20"/>
                <w:color w:val="auto"/>
              </w:rPr>
            </w:pPr>
            <w:r>
              <w:rPr>
                <w:rFonts w:ascii="Arial" w:cs="Arial" w:eastAsia="Arial" w:hAnsi="Arial"/>
                <w:sz w:val="18"/>
                <w:szCs w:val="18"/>
                <w:color w:val="auto"/>
              </w:rPr>
              <w:t>Balance, January 29, 2011</w:t>
            </w:r>
          </w:p>
        </w:tc>
        <w:tc>
          <w:tcPr>
            <w:tcW w:w="1680" w:type="dxa"/>
            <w:vAlign w:val="bottom"/>
          </w:tcPr>
          <w:p>
            <w:pPr>
              <w:ind w:left="136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line="200" w:lineRule="exact"/>
              <w:rPr>
                <w:sz w:val="20"/>
                <w:szCs w:val="20"/>
                <w:color w:val="auto"/>
              </w:rPr>
            </w:pPr>
            <w:r>
              <w:rPr>
                <w:rFonts w:ascii="Arial" w:cs="Arial" w:eastAsia="Arial" w:hAnsi="Arial"/>
                <w:sz w:val="18"/>
                <w:szCs w:val="18"/>
                <w:color w:val="auto"/>
              </w:rPr>
              <w:t>12,744</w:t>
            </w:r>
          </w:p>
        </w:tc>
        <w:tc>
          <w:tcPr>
            <w:tcW w:w="160" w:type="dxa"/>
            <w:vAlign w:val="bottom"/>
          </w:tcPr>
          <w:p>
            <w:pPr>
              <w:ind w:left="40"/>
              <w:spacing w:after="0" w:line="200"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765</w:t>
            </w:r>
          </w:p>
        </w:tc>
        <w:tc>
          <w:tcPr>
            <w:tcW w:w="38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7"/>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$ 13,509</w:t>
            </w:r>
          </w:p>
        </w:tc>
        <w:tc>
          <w:tcPr>
            <w:tcW w:w="0" w:type="dxa"/>
            <w:vAlign w:val="bottom"/>
          </w:tcPr>
          <w:p>
            <w:pPr>
              <w:spacing w:after="0"/>
              <w:rPr>
                <w:sz w:val="1"/>
                <w:szCs w:val="1"/>
                <w:color w:val="auto"/>
              </w:rPr>
            </w:pPr>
          </w:p>
        </w:tc>
      </w:tr>
      <w:tr>
        <w:trPr>
          <w:trHeight w:val="199"/>
        </w:trPr>
        <w:tc>
          <w:tcPr>
            <w:tcW w:w="54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Acquisitions</w:t>
            </w:r>
          </w:p>
        </w:tc>
        <w:tc>
          <w:tcPr>
            <w:tcW w:w="1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gridSpan w:val="2"/>
          </w:tcPr>
          <w:p>
            <w:pPr>
              <w:jc w:val="right"/>
              <w:ind w:right="16"/>
              <w:spacing w:after="0" w:line="200" w:lineRule="exact"/>
              <w:rPr>
                <w:sz w:val="20"/>
                <w:szCs w:val="20"/>
                <w:color w:val="auto"/>
              </w:rPr>
            </w:pPr>
            <w:r>
              <w:rPr>
                <w:rFonts w:ascii="Arial" w:cs="Arial" w:eastAsia="Arial" w:hAnsi="Arial"/>
                <w:sz w:val="18"/>
                <w:szCs w:val="18"/>
                <w:color w:val="auto"/>
              </w:rPr>
              <w:t>1,140</w:t>
            </w:r>
          </w:p>
        </w:tc>
        <w:tc>
          <w:tcPr>
            <w:tcW w:w="92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53439A"/>
            </w:tcBorders>
          </w:tcPr>
          <w:p>
            <w:pPr>
              <w:spacing w:after="0"/>
              <w:rPr>
                <w:sz w:val="20"/>
                <w:szCs w:val="20"/>
                <w:color w:val="auto"/>
              </w:rPr>
            </w:pPr>
            <w:r>
              <w:rPr>
                <w:rFonts w:ascii="Arial" w:cs="Arial" w:eastAsia="Arial" w:hAnsi="Arial"/>
                <w:sz w:val="18"/>
                <w:szCs w:val="18"/>
                <w:color w:val="auto"/>
              </w:rPr>
              <w:t>Balance, December 31, 2011</w:t>
            </w:r>
          </w:p>
        </w:tc>
        <w:tc>
          <w:tcPr>
            <w:tcW w:w="1680" w:type="dxa"/>
            <w:vAlign w:val="bottom"/>
            <w:tcBorders>
              <w:bottom w:val="single" w:sz="8" w:color="53439A"/>
            </w:tcBorders>
          </w:tcPr>
          <w:p>
            <w:pPr>
              <w:ind w:left="13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53439A"/>
            </w:tcBorders>
          </w:tcPr>
          <w:p>
            <w:pPr>
              <w:jc w:val="right"/>
              <w:ind w:right="72"/>
              <w:spacing w:after="0"/>
              <w:rPr>
                <w:sz w:val="20"/>
                <w:szCs w:val="20"/>
                <w:color w:val="auto"/>
              </w:rPr>
            </w:pPr>
            <w:r>
              <w:rPr>
                <w:rFonts w:ascii="Arial" w:cs="Arial" w:eastAsia="Arial" w:hAnsi="Arial"/>
                <w:sz w:val="18"/>
                <w:szCs w:val="18"/>
                <w:color w:val="auto"/>
              </w:rPr>
              <w:t>12,744</w:t>
            </w:r>
          </w:p>
        </w:tc>
        <w:tc>
          <w:tcPr>
            <w:tcW w:w="160" w:type="dxa"/>
            <w:vAlign w:val="bottom"/>
            <w:tcBorders>
              <w:bottom w:val="single" w:sz="8" w:color="53439A"/>
            </w:tcBorders>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53439A"/>
            </w:tcBorders>
          </w:tcPr>
          <w:p>
            <w:pPr>
              <w:jc w:val="right"/>
              <w:ind w:right="97"/>
              <w:spacing w:after="0"/>
              <w:rPr>
                <w:sz w:val="20"/>
                <w:szCs w:val="20"/>
                <w:color w:val="auto"/>
              </w:rPr>
            </w:pPr>
            <w:r>
              <w:rPr>
                <w:rFonts w:ascii="Arial" w:cs="Arial" w:eastAsia="Arial" w:hAnsi="Arial"/>
                <w:sz w:val="18"/>
                <w:szCs w:val="18"/>
                <w:color w:val="auto"/>
              </w:rPr>
              <w:t>772</w:t>
            </w:r>
          </w:p>
        </w:tc>
        <w:tc>
          <w:tcPr>
            <w:tcW w:w="380" w:type="dxa"/>
            <w:vAlign w:val="bottom"/>
            <w:tcBorders>
              <w:bottom w:val="single" w:sz="8" w:color="53439A"/>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53439A"/>
            </w:tcBorders>
          </w:tcPr>
          <w:p>
            <w:pPr>
              <w:jc w:val="right"/>
              <w:ind w:right="97"/>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53439A"/>
            </w:tcBorders>
            <w:gridSpan w:val="2"/>
          </w:tcPr>
          <w:p>
            <w:pPr>
              <w:jc w:val="right"/>
              <w:ind w:right="16"/>
              <w:spacing w:after="0"/>
              <w:rPr>
                <w:sz w:val="20"/>
                <w:szCs w:val="20"/>
                <w:color w:val="auto"/>
              </w:rPr>
            </w:pPr>
            <w:r>
              <w:rPr>
                <w:rFonts w:ascii="Arial" w:cs="Arial" w:eastAsia="Arial" w:hAnsi="Arial"/>
                <w:sz w:val="18"/>
                <w:szCs w:val="18"/>
                <w:color w:val="auto"/>
                <w:w w:val="99"/>
              </w:rPr>
              <w:t>$ 1,140</w:t>
            </w:r>
          </w:p>
        </w:tc>
        <w:tc>
          <w:tcPr>
            <w:tcW w:w="920" w:type="dxa"/>
            <w:vAlign w:val="bottom"/>
            <w:tcBorders>
              <w:bottom w:val="single" w:sz="8" w:color="53439A"/>
            </w:tcBorders>
          </w:tcPr>
          <w:p>
            <w:pPr>
              <w:jc w:val="right"/>
              <w:ind w:right="17"/>
              <w:spacing w:after="0"/>
              <w:rPr>
                <w:sz w:val="20"/>
                <w:szCs w:val="20"/>
                <w:color w:val="auto"/>
              </w:rPr>
            </w:pPr>
            <w:r>
              <w:rPr>
                <w:rFonts w:ascii="Arial" w:cs="Arial" w:eastAsia="Arial" w:hAnsi="Arial"/>
                <w:sz w:val="18"/>
                <w:szCs w:val="18"/>
                <w:color w:val="auto"/>
              </w:rPr>
              <w:t>$ 14,657</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Goodwill as of January 29, 2011 represents the goodwill recognized in connection with the closing of the Joint Venture Transaction. The change in goodwill for the period January 29, 2011 to December 31, 2011 is primarily related to the Universal Orlando transaction in July 2011. See Note 4 for additional information on these transactions. The change in goodwill in 2010 primarily relates to the consolidation of Station Venture.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are presented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color w:val="auto"/>
                <w:w w:val="94"/>
              </w:rPr>
              <w:t>Successor</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220"/>
              <w:spacing w:after="0"/>
              <w:rPr>
                <w:sz w:val="20"/>
                <w:szCs w:val="20"/>
                <w:color w:val="auto"/>
              </w:rPr>
            </w:pPr>
            <w:r>
              <w:rPr>
                <w:rFonts w:ascii="Arial" w:cs="Arial" w:eastAsia="Arial" w:hAnsi="Arial"/>
                <w:sz w:val="14"/>
                <w:szCs w:val="14"/>
                <w:color w:val="auto"/>
                <w:w w:val="96"/>
              </w:rPr>
              <w:t>Predecessor</w:t>
            </w:r>
          </w:p>
        </w:tc>
        <w:tc>
          <w:tcPr>
            <w:tcW w:w="500" w:type="dxa"/>
            <w:vAlign w:val="bottom"/>
            <w:tcBorders>
              <w:bottom w:val="single" w:sz="8" w:color="auto"/>
            </w:tcBorders>
          </w:tcPr>
          <w:p>
            <w:pPr>
              <w:spacing w:after="0"/>
              <w:rPr>
                <w:sz w:val="14"/>
                <w:szCs w:val="14"/>
                <w:color w:val="auto"/>
              </w:rPr>
            </w:pPr>
          </w:p>
        </w:tc>
      </w:tr>
      <w:tr>
        <w:trPr>
          <w:trHeight w:val="223"/>
        </w:trPr>
        <w:tc>
          <w:tcPr>
            <w:tcW w:w="43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w w:val="96"/>
              </w:rPr>
              <w:t>2010</w:t>
            </w:r>
          </w:p>
        </w:tc>
        <w:tc>
          <w:tcPr>
            <w:tcW w:w="500" w:type="dxa"/>
            <w:vAlign w:val="bottom"/>
            <w:tcBorders>
              <w:bottom w:val="single" w:sz="8" w:color="auto"/>
            </w:tcBorders>
          </w:tcPr>
          <w:p>
            <w:pPr>
              <w:spacing w:after="0"/>
              <w:rPr>
                <w:sz w:val="19"/>
                <w:szCs w:val="19"/>
                <w:color w:val="auto"/>
              </w:rPr>
            </w:pPr>
          </w:p>
        </w:tc>
      </w:tr>
      <w:tr>
        <w:trPr>
          <w:trHeight w:val="142"/>
        </w:trPr>
        <w:tc>
          <w:tcPr>
            <w:tcW w:w="4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00" w:type="dxa"/>
            <w:vAlign w:val="bottom"/>
          </w:tcPr>
          <w:p>
            <w:pPr>
              <w:jc w:val="right"/>
              <w:ind w:right="21"/>
              <w:spacing w:after="0" w:line="142" w:lineRule="exact"/>
              <w:rPr>
                <w:sz w:val="20"/>
                <w:szCs w:val="20"/>
                <w:color w:val="auto"/>
              </w:rPr>
            </w:pPr>
            <w:r>
              <w:rPr>
                <w:rFonts w:ascii="Arial" w:cs="Arial" w:eastAsia="Arial" w:hAnsi="Arial"/>
                <w:sz w:val="14"/>
                <w:szCs w:val="14"/>
                <w:color w:val="auto"/>
              </w:rPr>
              <w:t>Gross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Gross</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304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Original useful life at</w:t>
            </w:r>
          </w:p>
        </w:tc>
        <w:tc>
          <w:tcPr>
            <w:tcW w:w="900" w:type="dxa"/>
            <w:vAlign w:val="bottom"/>
          </w:tcPr>
          <w:p>
            <w:pPr>
              <w:jc w:val="right"/>
              <w:ind w:right="21"/>
              <w:spacing w:after="0" w:line="149" w:lineRule="exact"/>
              <w:rPr>
                <w:sz w:val="20"/>
                <w:szCs w:val="20"/>
                <w:color w:val="auto"/>
              </w:rPr>
            </w:pPr>
            <w:r>
              <w:rPr>
                <w:rFonts w:ascii="Arial" w:cs="Arial" w:eastAsia="Arial" w:hAnsi="Arial"/>
                <w:sz w:val="14"/>
                <w:szCs w:val="14"/>
                <w:color w:val="auto"/>
              </w:rPr>
              <w:t>Carrying</w:t>
            </w:r>
          </w:p>
        </w:tc>
        <w:tc>
          <w:tcPr>
            <w:tcW w:w="120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0"/>
              </w:rPr>
              <w:t>Carrying</w:t>
            </w:r>
          </w:p>
        </w:tc>
        <w:tc>
          <w:tcPr>
            <w:tcW w:w="10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Accumulated</w:t>
            </w:r>
          </w:p>
        </w:tc>
      </w:tr>
      <w:tr>
        <w:trPr>
          <w:trHeight w:val="149"/>
        </w:trPr>
        <w:tc>
          <w:tcPr>
            <w:tcW w:w="4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040" w:type="dxa"/>
            <w:vAlign w:val="bottom"/>
            <w:tcBorders>
              <w:bottom w:val="single" w:sz="8" w:color="auto"/>
            </w:tcBorders>
          </w:tcPr>
          <w:p>
            <w:pPr>
              <w:jc w:val="right"/>
              <w:ind w:right="122"/>
              <w:spacing w:after="0" w:line="149" w:lineRule="exact"/>
              <w:rPr>
                <w:sz w:val="20"/>
                <w:szCs w:val="20"/>
                <w:color w:val="auto"/>
              </w:rPr>
            </w:pPr>
            <w:r>
              <w:rPr>
                <w:rFonts w:ascii="Arial" w:cs="Arial" w:eastAsia="Arial" w:hAnsi="Arial"/>
                <w:sz w:val="14"/>
                <w:szCs w:val="14"/>
                <w:color w:val="auto"/>
              </w:rPr>
              <w:t>December 31, 2011</w:t>
            </w:r>
          </w:p>
        </w:tc>
        <w:tc>
          <w:tcPr>
            <w:tcW w:w="900" w:type="dxa"/>
            <w:vAlign w:val="bottom"/>
            <w:tcBorders>
              <w:bottom w:val="single" w:sz="8" w:color="auto"/>
            </w:tcBorders>
          </w:tcPr>
          <w:p>
            <w:pPr>
              <w:jc w:val="right"/>
              <w:ind w:right="21"/>
              <w:spacing w:after="0" w:line="14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right w:val="single" w:sz="8" w:color="auto"/>
            </w:tcBorders>
            <w:gridSpan w:val="3"/>
          </w:tcPr>
          <w:p>
            <w:pPr>
              <w:ind w:left="140"/>
              <w:spacing w:after="0" w:line="149" w:lineRule="exact"/>
              <w:rPr>
                <w:sz w:val="20"/>
                <w:szCs w:val="20"/>
                <w:color w:val="auto"/>
              </w:rPr>
            </w:pPr>
            <w:r>
              <w:rPr>
                <w:rFonts w:ascii="Arial" w:cs="Arial" w:eastAsia="Arial" w:hAnsi="Arial"/>
                <w:sz w:val="14"/>
                <w:szCs w:val="14"/>
                <w:color w:val="auto"/>
              </w:rPr>
              <w:t>Amortization</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Amount</w:t>
            </w:r>
          </w:p>
        </w:tc>
        <w:tc>
          <w:tcPr>
            <w:tcW w:w="1080" w:type="dxa"/>
            <w:vAlign w:val="bottom"/>
            <w:tcBorders>
              <w:bottom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color w:val="auto"/>
              </w:rPr>
              <w:t>Amortization</w:t>
            </w: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Customer relationships</w:t>
            </w:r>
          </w:p>
        </w:tc>
        <w:tc>
          <w:tcPr>
            <w:tcW w:w="304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4-20 years</w:t>
            </w:r>
          </w:p>
        </w:tc>
        <w:tc>
          <w:tcPr>
            <w:tcW w:w="9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$ 12,788</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(1,674)</w:t>
            </w:r>
          </w:p>
        </w:tc>
        <w:tc>
          <w:tcPr>
            <w:tcW w:w="200" w:type="dxa"/>
            <w:vAlign w:val="bottom"/>
            <w:tcBorders>
              <w:right w:val="single" w:sz="8" w:color="auto"/>
            </w:tcBorders>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5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04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3-5 years</w:t>
            </w:r>
          </w:p>
        </w:tc>
        <w:tc>
          <w:tcPr>
            <w:tcW w:w="9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296</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5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304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3-36 years</w:t>
            </w:r>
          </w:p>
        </w:tc>
        <w:tc>
          <w:tcPr>
            <w:tcW w:w="9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1,431</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5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3040" w:type="dxa"/>
            <w:vAlign w:val="bottom"/>
          </w:tcPr>
          <w:p>
            <w:pPr>
              <w:spacing w:after="0"/>
              <w:rPr>
                <w:sz w:val="17"/>
                <w:szCs w:val="17"/>
                <w:color w:val="auto"/>
              </w:rPr>
            </w:pPr>
          </w:p>
        </w:tc>
        <w:tc>
          <w:tcPr>
            <w:tcW w:w="9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3,006</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9"/>
        </w:trPr>
        <w:tc>
          <w:tcPr>
            <w:tcW w:w="43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FCC licenses</w:t>
            </w:r>
          </w:p>
        </w:tc>
        <w:tc>
          <w:tcPr>
            <w:tcW w:w="3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line="200" w:lineRule="exact"/>
              <w:rPr>
                <w:sz w:val="20"/>
                <w:szCs w:val="20"/>
                <w:color w:val="auto"/>
              </w:rPr>
            </w:pPr>
            <w:r>
              <w:rPr>
                <w:rFonts w:ascii="Arial" w:cs="Arial" w:eastAsia="Arial" w:hAnsi="Arial"/>
                <w:sz w:val="18"/>
                <w:szCs w:val="18"/>
                <w:color w:val="auto"/>
              </w:rPr>
              <w:t>636</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452</w:t>
            </w: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203"/>
        </w:trPr>
        <w:tc>
          <w:tcPr>
            <w:tcW w:w="432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53439A"/>
            </w:tcBorders>
          </w:tcPr>
          <w:p>
            <w:pPr>
              <w:spacing w:after="0"/>
              <w:rPr>
                <w:sz w:val="17"/>
                <w:szCs w:val="17"/>
                <w:color w:val="auto"/>
              </w:rPr>
            </w:pPr>
          </w:p>
        </w:tc>
        <w:tc>
          <w:tcPr>
            <w:tcW w:w="900" w:type="dxa"/>
            <w:vAlign w:val="bottom"/>
            <w:tcBorders>
              <w:bottom w:val="single" w:sz="8" w:color="53439A"/>
            </w:tcBorders>
          </w:tcPr>
          <w:p>
            <w:pPr>
              <w:jc w:val="right"/>
              <w:ind w:right="21"/>
              <w:spacing w:after="0" w:line="202" w:lineRule="exact"/>
              <w:rPr>
                <w:sz w:val="20"/>
                <w:szCs w:val="20"/>
                <w:color w:val="auto"/>
              </w:rPr>
            </w:pPr>
            <w:r>
              <w:rPr>
                <w:rFonts w:ascii="Arial" w:cs="Arial" w:eastAsia="Arial" w:hAnsi="Arial"/>
                <w:sz w:val="18"/>
                <w:szCs w:val="18"/>
                <w:color w:val="auto"/>
              </w:rPr>
              <w:t>$ 18,157</w:t>
            </w:r>
          </w:p>
        </w:tc>
        <w:tc>
          <w:tcPr>
            <w:tcW w:w="380" w:type="dxa"/>
            <w:vAlign w:val="bottom"/>
            <w:tcBorders>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w w:val="94"/>
              </w:rPr>
              <w:t>(2,462)</w:t>
            </w:r>
          </w:p>
        </w:tc>
        <w:tc>
          <w:tcPr>
            <w:tcW w:w="200" w:type="dxa"/>
            <w:vAlign w:val="bottom"/>
            <w:tcBorders>
              <w:bottom w:val="single" w:sz="8" w:color="53439A"/>
              <w:right w:val="single" w:sz="8" w:color="auto"/>
            </w:tcBorders>
          </w:tcPr>
          <w:p>
            <w:pPr>
              <w:spacing w:after="0"/>
              <w:rPr>
                <w:sz w:val="17"/>
                <w:szCs w:val="17"/>
                <w:color w:val="auto"/>
              </w:rPr>
            </w:pPr>
          </w:p>
        </w:tc>
        <w:tc>
          <w:tcPr>
            <w:tcW w:w="360" w:type="dxa"/>
            <w:vAlign w:val="bottom"/>
            <w:tcBorders>
              <w:bottom w:val="single" w:sz="8" w:color="53439A"/>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3,370</w:t>
            </w:r>
          </w:p>
        </w:tc>
        <w:tc>
          <w:tcPr>
            <w:tcW w:w="580" w:type="dxa"/>
            <w:vAlign w:val="bottom"/>
            <w:tcBorders>
              <w:bottom w:val="single" w:sz="8" w:color="53439A"/>
            </w:tcBorders>
          </w:tcPr>
          <w:p>
            <w:pPr>
              <w:ind w:left="18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(818)</w:t>
            </w:r>
          </w:p>
        </w:tc>
      </w:tr>
      <w:tr>
        <w:trPr>
          <w:trHeight w:val="513"/>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3040" w:type="dxa"/>
            <w:vAlign w:val="bottom"/>
          </w:tcPr>
          <w:p>
            <w:pPr>
              <w:jc w:val="right"/>
              <w:ind w:right="1442"/>
              <w:spacing w:after="0"/>
              <w:rPr>
                <w:sz w:val="20"/>
                <w:szCs w:val="20"/>
                <w:color w:val="auto"/>
              </w:rPr>
            </w:pPr>
            <w:r>
              <w:rPr>
                <w:rFonts w:ascii="Arial" w:cs="Arial" w:eastAsia="Arial" w:hAnsi="Arial"/>
                <w:sz w:val="14"/>
                <w:szCs w:val="14"/>
                <w:b w:val="1"/>
                <w:bCs w:val="1"/>
                <w:color w:val="auto"/>
              </w:rPr>
              <w:t>70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8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estimated expenses for each of the next five years to be recognized in amortization expense are presented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color w:val="auto"/>
              </w:rPr>
              <w:t>Amortization Expense</w:t>
            </w:r>
          </w:p>
        </w:tc>
        <w:tc>
          <w:tcPr>
            <w:tcW w:w="0" w:type="dxa"/>
            <w:vAlign w:val="bottom"/>
          </w:tcPr>
          <w:p>
            <w:pPr>
              <w:spacing w:after="0"/>
              <w:rPr>
                <w:sz w:val="1"/>
                <w:szCs w:val="1"/>
                <w:color w:val="auto"/>
              </w:rPr>
            </w:pPr>
          </w:p>
        </w:tc>
      </w:tr>
      <w:tr>
        <w:trPr>
          <w:trHeight w:val="199"/>
        </w:trPr>
        <w:tc>
          <w:tcPr>
            <w:tcW w:w="5380" w:type="dxa"/>
            <w:vAlign w:val="bottom"/>
          </w:tcPr>
          <w:p>
            <w:pPr>
              <w:spacing w:after="0" w:line="200" w:lineRule="exact"/>
              <w:rPr>
                <w:sz w:val="20"/>
                <w:szCs w:val="20"/>
                <w:color w:val="auto"/>
              </w:rPr>
            </w:pPr>
            <w:r>
              <w:rPr>
                <w:rFonts w:ascii="Arial" w:cs="Arial" w:eastAsia="Arial" w:hAnsi="Arial"/>
                <w:sz w:val="18"/>
                <w:szCs w:val="18"/>
                <w:color w:val="auto"/>
              </w:rPr>
              <w:t>2012</w:t>
            </w:r>
          </w:p>
        </w:tc>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2016</w:t>
            </w:r>
          </w:p>
        </w:tc>
        <w:tc>
          <w:tcPr>
            <w:tcW w:w="3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532"/>
        </w:trPr>
        <w:tc>
          <w:tcPr>
            <w:tcW w:w="5380" w:type="dxa"/>
            <w:vAlign w:val="bottom"/>
          </w:tcPr>
          <w:p>
            <w:pPr>
              <w:spacing w:after="0"/>
              <w:rPr>
                <w:sz w:val="20"/>
                <w:szCs w:val="20"/>
                <w:color w:val="auto"/>
              </w:rPr>
            </w:pPr>
            <w:r>
              <w:rPr>
                <w:rFonts w:ascii="Arial" w:cs="Arial" w:eastAsia="Arial" w:hAnsi="Arial"/>
                <w:sz w:val="18"/>
                <w:szCs w:val="18"/>
                <w:b w:val="1"/>
                <w:bCs w:val="1"/>
                <w:color w:val="53439A"/>
              </w:rPr>
              <w:t>Note 10: Long-Term Debt</w:t>
            </w:r>
          </w:p>
        </w:tc>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380" w:type="dxa"/>
            <w:vAlign w:val="bottom"/>
            <w:tcBorders>
              <w:bottom w:val="single" w:sz="8" w:color="53439A"/>
            </w:tcBorders>
          </w:tcPr>
          <w:p>
            <w:pPr>
              <w:spacing w:after="0"/>
              <w:rPr>
                <w:sz w:val="3"/>
                <w:szCs w:val="3"/>
                <w:color w:val="auto"/>
              </w:rPr>
            </w:pPr>
          </w:p>
        </w:tc>
        <w:tc>
          <w:tcPr>
            <w:tcW w:w="3880" w:type="dxa"/>
            <w:vAlign w:val="bottom"/>
            <w:tcBorders>
              <w:bottom w:val="single" w:sz="8" w:color="53439A"/>
            </w:tcBorders>
          </w:tcPr>
          <w:p>
            <w:pPr>
              <w:spacing w:after="0"/>
              <w:rPr>
                <w:sz w:val="3"/>
                <w:szCs w:val="3"/>
                <w:color w:val="auto"/>
              </w:rPr>
            </w:pPr>
          </w:p>
        </w:tc>
        <w:tc>
          <w:tcPr>
            <w:tcW w:w="840" w:type="dxa"/>
            <w:vAlign w:val="bottom"/>
            <w:tcBorders>
              <w:bottom w:val="single" w:sz="8" w:color="53439A"/>
            </w:tcBorders>
            <w:gridSpan w:val="2"/>
          </w:tcPr>
          <w:p>
            <w:pPr>
              <w:spacing w:after="0"/>
              <w:rPr>
                <w:sz w:val="3"/>
                <w:szCs w:val="3"/>
                <w:color w:val="auto"/>
              </w:rPr>
            </w:pPr>
          </w:p>
        </w:tc>
        <w:tc>
          <w:tcPr>
            <w:tcW w:w="220" w:type="dxa"/>
            <w:vAlign w:val="bottom"/>
            <w:tcBorders>
              <w:bottom w:val="single" w:sz="8" w:color="53439A"/>
            </w:tcBorders>
          </w:tcPr>
          <w:p>
            <w:pPr>
              <w:spacing w:after="0"/>
              <w:rPr>
                <w:sz w:val="3"/>
                <w:szCs w:val="3"/>
                <w:color w:val="auto"/>
              </w:rPr>
            </w:pPr>
          </w:p>
        </w:tc>
        <w:tc>
          <w:tcPr>
            <w:tcW w:w="120" w:type="dxa"/>
            <w:vAlign w:val="bottom"/>
            <w:tcBorders>
              <w:bottom w:val="single" w:sz="8" w:color="53439A"/>
            </w:tcBorders>
          </w:tcPr>
          <w:p>
            <w:pPr>
              <w:spacing w:after="0"/>
              <w:rPr>
                <w:sz w:val="3"/>
                <w:szCs w:val="3"/>
                <w:color w:val="auto"/>
              </w:rPr>
            </w:pPr>
          </w:p>
        </w:tc>
        <w:tc>
          <w:tcPr>
            <w:tcW w:w="980" w:type="dxa"/>
            <w:vAlign w:val="bottom"/>
            <w:tcBorders>
              <w:bottom w:val="single" w:sz="8" w:color="53439A"/>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5380" w:type="dxa"/>
            <w:vAlign w:val="bottom"/>
          </w:tcPr>
          <w:p>
            <w:pPr>
              <w:spacing w:after="0"/>
              <w:rPr>
                <w:sz w:val="24"/>
                <w:szCs w:val="24"/>
                <w:color w:val="auto"/>
              </w:rPr>
            </w:pPr>
          </w:p>
        </w:tc>
        <w:tc>
          <w:tcPr>
            <w:tcW w:w="3880" w:type="dxa"/>
            <w:vAlign w:val="bottom"/>
            <w:vMerge w:val="restart"/>
          </w:tcPr>
          <w:p>
            <w:pPr>
              <w:jc w:val="right"/>
              <w:ind w:right="277"/>
              <w:spacing w:after="0"/>
              <w:rPr>
                <w:sz w:val="20"/>
                <w:szCs w:val="20"/>
                <w:color w:val="auto"/>
              </w:rPr>
            </w:pPr>
            <w:r>
              <w:rPr>
                <w:rFonts w:ascii="Arial" w:cs="Arial" w:eastAsia="Arial" w:hAnsi="Arial"/>
                <w:sz w:val="14"/>
                <w:szCs w:val="14"/>
                <w:color w:val="auto"/>
              </w:rPr>
              <w:t>Weighted Average Interest Rate as of</w:t>
            </w: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Successor</w:t>
            </w:r>
          </w:p>
        </w:tc>
        <w:tc>
          <w:tcPr>
            <w:tcW w:w="12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December 31, 2011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5380" w:type="dxa"/>
            <w:vAlign w:val="bottom"/>
          </w:tcPr>
          <w:p>
            <w:pPr>
              <w:spacing w:after="0" w:line="200" w:lineRule="exact"/>
              <w:rPr>
                <w:sz w:val="20"/>
                <w:szCs w:val="20"/>
                <w:color w:val="auto"/>
              </w:rPr>
            </w:pPr>
            <w:r>
              <w:rPr>
                <w:rFonts w:ascii="Arial" w:cs="Arial" w:eastAsia="Arial" w:hAnsi="Arial"/>
                <w:sz w:val="18"/>
                <w:szCs w:val="18"/>
                <w:color w:val="auto"/>
              </w:rPr>
              <w:t>Commercial paper</w:t>
            </w:r>
          </w:p>
        </w:tc>
        <w:tc>
          <w:tcPr>
            <w:tcW w:w="388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0.508%</w:t>
            </w:r>
          </w:p>
        </w:tc>
        <w:tc>
          <w:tcPr>
            <w:tcW w:w="200" w:type="dxa"/>
            <w:vAlign w:val="bottom"/>
          </w:tcPr>
          <w:p>
            <w:pPr>
              <w:ind w:left="100"/>
              <w:spacing w:after="0" w:line="200"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550</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38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3.329%</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3,221</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8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4.763%</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3,999</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w:t>
            </w:r>
          </w:p>
        </w:tc>
        <w:tc>
          <w:tcPr>
            <w:tcW w:w="38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6.131%</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2,209</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Senior subordinated notes due 2016</w:t>
            </w:r>
          </w:p>
        </w:tc>
        <w:tc>
          <w:tcPr>
            <w:tcW w:w="38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9.293%</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171</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including capital lease obligations</w:t>
            </w:r>
          </w:p>
        </w:tc>
        <w:tc>
          <w:tcPr>
            <w:tcW w:w="388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380" w:type="dxa"/>
            <w:vAlign w:val="bottom"/>
          </w:tcPr>
          <w:p>
            <w:pPr>
              <w:spacing w:after="0" w:line="200" w:lineRule="exact"/>
              <w:rPr>
                <w:sz w:val="20"/>
                <w:szCs w:val="20"/>
                <w:color w:val="auto"/>
              </w:rPr>
            </w:pPr>
            <w:r>
              <w:rPr>
                <w:rFonts w:ascii="Arial" w:cs="Arial" w:eastAsia="Arial" w:hAnsi="Arial"/>
                <w:sz w:val="18"/>
                <w:szCs w:val="18"/>
                <w:color w:val="auto"/>
              </w:rPr>
              <w:t>Total debt</w:t>
            </w:r>
          </w:p>
        </w:tc>
        <w:tc>
          <w:tcPr>
            <w:tcW w:w="3880" w:type="dxa"/>
            <w:vAlign w:val="bottom"/>
          </w:tcPr>
          <w:p>
            <w:pPr>
              <w:jc w:val="right"/>
              <w:spacing w:after="0" w:line="200" w:lineRule="exact"/>
              <w:rPr>
                <w:sz w:val="20"/>
                <w:szCs w:val="20"/>
                <w:color w:val="auto"/>
              </w:rPr>
            </w:pPr>
            <w:r>
              <w:rPr>
                <w:rFonts w:ascii="Arial" w:cs="Arial" w:eastAsia="Arial" w:hAnsi="Arial"/>
                <w:sz w:val="18"/>
                <w:szCs w:val="18"/>
                <w:color w:val="auto"/>
              </w:rPr>
              <w:t>4.33%</w:t>
            </w:r>
            <w:r>
              <w:rPr>
                <w:rFonts w:ascii="Arial" w:cs="Arial" w:eastAsia="Arial" w:hAnsi="Arial"/>
                <w:sz w:val="22"/>
                <w:szCs w:val="22"/>
                <w:color w:val="auto"/>
                <w:vertAlign w:val="superscript"/>
              </w:rPr>
              <w:t>(a)</w:t>
            </w:r>
          </w:p>
        </w:tc>
        <w:tc>
          <w:tcPr>
            <w:tcW w:w="200" w:type="dxa"/>
            <w:vAlign w:val="bottom"/>
          </w:tcPr>
          <w:p>
            <w:pPr>
              <w:spacing w:after="0"/>
              <w:rPr>
                <w:sz w:val="17"/>
                <w:szCs w:val="17"/>
                <w:color w:val="auto"/>
              </w:rPr>
            </w:pPr>
          </w:p>
        </w:tc>
        <w:tc>
          <w:tcPr>
            <w:tcW w:w="640" w:type="dxa"/>
            <w:vAlign w:val="bottom"/>
          </w:tcPr>
          <w:p>
            <w:pPr>
              <w:jc w:val="right"/>
              <w:ind w:right="15"/>
              <w:spacing w:after="0" w:line="200" w:lineRule="exact"/>
              <w:rPr>
                <w:sz w:val="20"/>
                <w:szCs w:val="20"/>
                <w:color w:val="auto"/>
              </w:rPr>
            </w:pPr>
            <w:r>
              <w:rPr>
                <w:rFonts w:ascii="Arial" w:cs="Arial" w:eastAsia="Arial" w:hAnsi="Arial"/>
                <w:sz w:val="18"/>
                <w:szCs w:val="18"/>
                <w:color w:val="auto"/>
                <w:w w:val="94"/>
              </w:rPr>
              <w:t>10,168</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199"/>
        </w:trPr>
        <w:tc>
          <w:tcPr>
            <w:tcW w:w="5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Current portion</w:t>
            </w:r>
          </w:p>
        </w:tc>
        <w:tc>
          <w:tcPr>
            <w:tcW w:w="3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554</w:t>
            </w:r>
          </w:p>
        </w:tc>
        <w:tc>
          <w:tcPr>
            <w:tcW w:w="2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Long-term debt</w:t>
            </w:r>
          </w:p>
        </w:tc>
        <w:tc>
          <w:tcPr>
            <w:tcW w:w="388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tcBorders>
          </w:tcPr>
          <w:p>
            <w:pPr>
              <w:ind w:left="1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9,614</w:t>
            </w:r>
          </w:p>
        </w:tc>
        <w:tc>
          <w:tcPr>
            <w:tcW w:w="220" w:type="dxa"/>
            <w:vAlign w:val="bottom"/>
            <w:tcBorders>
              <w:bottom w:val="single" w:sz="8" w:color="53439A"/>
              <w:right w:val="single" w:sz="8" w:color="auto"/>
            </w:tcBorders>
          </w:tcPr>
          <w:p>
            <w:pPr>
              <w:spacing w:after="0"/>
              <w:rPr>
                <w:sz w:val="17"/>
                <w:szCs w:val="17"/>
                <w:color w:val="auto"/>
              </w:rPr>
            </w:pPr>
          </w:p>
        </w:tc>
        <w:tc>
          <w:tcPr>
            <w:tcW w:w="440" w:type="dxa"/>
            <w:vAlign w:val="bottom"/>
            <w:tcBorders>
              <w:bottom w:val="single" w:sz="8" w:color="53439A"/>
            </w:tcBorders>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the effects of our derivative financial instruments.</w:t>
      </w:r>
    </w:p>
    <w:p>
      <w:pPr>
        <w:spacing w:after="0" w:line="15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of December 31, 2011 and 2010, our debt had an estimated fair value of $11 billion and $9.1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During 2011, we completed the exchange of our senior debt securities into publicly registered notes. The terms of the publicly registered debt are substantially the same as the original notes issued in 2010.</w:t>
      </w:r>
    </w:p>
    <w:p>
      <w:pPr>
        <w:spacing w:after="0" w:line="324"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46" w:right="239" w:bottom="1440" w:gutter="0" w:footer="0" w:header="0"/>
        </w:sectPr>
      </w:pPr>
    </w:p>
    <w:bookmarkStart w:id="154" w:name="page155"/>
    <w:bookmarkEnd w:id="154"/>
    <w:p>
      <w:pPr>
        <w:ind w:right="4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1, 2011, we consolidated $1.5 billion of long-term debt obligations as a result of the Universal Orlando transaction. In accordance with acquisition accounting, these debt securities were recorded at fair value as of the acquisition date. Borrowings under our revolving credit facility, along with cash on hand at Universal Orlando, were used to terminate Universal Orlando’s existing $801 million term loan immediately following the acquisition. In addition, on August 1, 2011, Universal Orlando redeemed $140 million aggregate principal amount of its 8.875% senior notes due 2015 and $79 million aggregate principal amount of its 10.875% senior subordinated notes due 2016. As of December 31, 2011, the carrying value on our consolidated balance sheet of Universal Orlando’s senior notes and senior subordinated notes was $458 million. In October 2011, we fully and unconditionally guaranteed Universal Orlando’s senior and senior subordinated notes in exchange for amendments that conform the notes’ covenants and events of default to those contained in our other outstanding public debt securities. See Note 22 for condensed consolidating financial information related to this guarantee.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Debt Maturities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2011 (in millions)</w:t>
      </w:r>
    </w:p>
    <w:tbl>
      <w:tblPr>
        <w:tblLayout w:type="fixed"/>
        <w:tblInd w:w="0" w:type="dxa"/>
        <w:tblCellMar>
          <w:top w:w="0" w:type="dxa"/>
          <w:left w:w="0" w:type="dxa"/>
          <w:bottom w:w="0" w:type="dxa"/>
          <w:right w:w="0" w:type="dxa"/>
        </w:tblCellMar>
      </w:tblPr>
      <w:tr>
        <w:trPr>
          <w:trHeight w:val="199"/>
        </w:trPr>
        <w:tc>
          <w:tcPr>
            <w:tcW w:w="57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2012</w:t>
            </w:r>
          </w:p>
        </w:tc>
        <w:tc>
          <w:tcPr>
            <w:tcW w:w="50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554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1,320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5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1,173</w:t>
            </w:r>
          </w:p>
        </w:tc>
      </w:tr>
      <w:tr>
        <w:trPr>
          <w:trHeight w:val="199"/>
        </w:trPr>
        <w:tc>
          <w:tcPr>
            <w:tcW w:w="5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5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6,211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Commercial Paper Program</w:t>
      </w:r>
    </w:p>
    <w:p>
      <w:pPr>
        <w:ind w:right="120"/>
        <w:spacing w:after="0" w:line="237" w:lineRule="auto"/>
        <w:rPr>
          <w:sz w:val="20"/>
          <w:szCs w:val="20"/>
          <w:color w:val="auto"/>
        </w:rPr>
      </w:pPr>
      <w:r>
        <w:rPr>
          <w:rFonts w:ascii="Arial" w:cs="Arial" w:eastAsia="Arial" w:hAnsi="Arial"/>
          <w:sz w:val="18"/>
          <w:szCs w:val="18"/>
          <w:color w:val="auto"/>
        </w:rPr>
        <w:t>In 2011, we established a new commercial paper program that provides a lower cost source of borrowing to fund our short-term working capital requirements which is supported by our revolving credit facility. We have a maximum borrowing capacity of $1.5 billion under this program and as of December 31, 2011, we had issued $550 million face amount of commercial paper. The proceeds from these issuances were used to repay the borrowings under our revolving credit facility and fund our short-term working capital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Revolving Bank Credit Facility</w:t>
      </w:r>
    </w:p>
    <w:p>
      <w:pPr>
        <w:ind w:right="40"/>
        <w:spacing w:after="0" w:line="236" w:lineRule="auto"/>
        <w:rPr>
          <w:sz w:val="20"/>
          <w:szCs w:val="20"/>
          <w:color w:val="auto"/>
        </w:rPr>
      </w:pPr>
      <w:r>
        <w:rPr>
          <w:rFonts w:ascii="Arial" w:cs="Arial" w:eastAsia="Arial" w:hAnsi="Arial"/>
          <w:sz w:val="18"/>
          <w:szCs w:val="18"/>
          <w:color w:val="auto"/>
        </w:rPr>
        <w:t>As of December 31, 2011, we had a $1.5 billion revolving credit facility due June 2016 (the “credit facility”) with a syndicate of banks. Borrowings under the credit facility bear interest at a floating rate per annum of 1.125% over LIBOR. Our credit facility requires us to maintain certain financial ratios based on our debt and our earnings. We were in compliance with all financial covenants for all periods presented. In 2011, we utilized proceeds from borrowings under our credit facility to fund a portion of our acquisition of the remaining 50% equity interest in Universal Orlando that we did not already own and repay Universal Orlando’s term loan. We repaid our borrowings under the credit facility in full through our issuances of commercial paper. As of December 31, 2011, amounts available under our credit facility totaled $934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3439A"/>
        </w:rPr>
        <w:t>Letters of Credit</w:t>
      </w:r>
    </w:p>
    <w:p>
      <w:pPr>
        <w:spacing w:after="0"/>
        <w:rPr>
          <w:sz w:val="20"/>
          <w:szCs w:val="20"/>
          <w:color w:val="auto"/>
        </w:rPr>
      </w:pPr>
      <w:r>
        <w:rPr>
          <w:rFonts w:ascii="Arial" w:cs="Arial" w:eastAsia="Arial" w:hAnsi="Arial"/>
          <w:sz w:val="18"/>
          <w:szCs w:val="18"/>
          <w:color w:val="auto"/>
        </w:rPr>
        <w:t>As of December 31, 2011, we had $67 million of letters of credit outstanding.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345"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11: 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our recognized balance sheet amounts denominated in foreign currency, anticipated foreign currency denominated production costs and rights, and anticipated international content-related revenue and royalties, we manage our exposure to fluctuations in foreign exchange rates by using foreign exchange contracts such as forward and option contracts.</w:t>
      </w:r>
    </w:p>
    <w:p>
      <w:pPr>
        <w:spacing w:after="0" w:line="154"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154"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As of December 31, 2011, our derivative financial instruments designated as hedges included our interest rate swap agreements, which are recorded to other noncurrent assets and certain of our foreign exchange contracts, which are recorded to other current assets or accrued expenses and other current liabilities.</w:t>
      </w:r>
    </w:p>
    <w:p>
      <w:pPr>
        <w:spacing w:after="0" w:line="1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of December 31, 2011, our derivative financial instruments not designated as hedges were certain of our foreign exchange contracts, which are recorded to other current assets or accrued expenses and other current liabilities.</w:t>
      </w:r>
    </w:p>
    <w:p>
      <w:pPr>
        <w:spacing w:after="0" w:line="155" w:lineRule="exact"/>
        <w:rPr>
          <w:sz w:val="20"/>
          <w:szCs w:val="20"/>
          <w:color w:val="auto"/>
        </w:rPr>
      </w:pPr>
    </w:p>
    <w:p>
      <w:pPr>
        <w:ind w:right="1280"/>
        <w:spacing w:after="0" w:line="328" w:lineRule="auto"/>
        <w:rPr>
          <w:sz w:val="20"/>
          <w:szCs w:val="20"/>
          <w:color w:val="auto"/>
        </w:rPr>
      </w:pPr>
      <w:r>
        <w:rPr>
          <w:rFonts w:ascii="Arial" w:cs="Arial" w:eastAsia="Arial" w:hAnsi="Arial"/>
          <w:sz w:val="18"/>
          <w:szCs w:val="18"/>
          <w:color w:val="auto"/>
        </w:rPr>
        <w:t xml:space="preserve">See Note 12 for additional information on the fair values of our derivative financial instruments as of December 31, 2011 and 2010. </w:t>
      </w:r>
      <w:r>
        <w:rPr>
          <w:rFonts w:ascii="Arial" w:cs="Arial" w:eastAsia="Arial" w:hAnsi="Arial"/>
          <w:sz w:val="18"/>
          <w:szCs w:val="18"/>
          <w:b w:val="1"/>
          <w:bCs w:val="1"/>
          <w:color w:val="auto"/>
        </w:rPr>
        <w:t>Fair Value Hedges</w:t>
      </w:r>
    </w:p>
    <w:p>
      <w:pPr>
        <w:spacing w:after="0" w:line="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For derivative financial instruments used to hedge exposure to interest rate risk that are designated and effective as fair value hedges, such as fixed to variable swaps, changes in the fair value of the derivative financial instrument substantially offset changes in the fair value of the underlying debt, each of which is recorded to interest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53439A"/>
        </w:rPr>
        <w:t>Terms of Outstanding Fixed to Variable Swaps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9620" w:type="dxa"/>
            <w:vAlign w:val="bottom"/>
          </w:tcPr>
          <w:p>
            <w:pPr>
              <w:spacing w:after="0" w:line="200" w:lineRule="exact"/>
              <w:rPr>
                <w:sz w:val="20"/>
                <w:szCs w:val="20"/>
                <w:color w:val="auto"/>
              </w:rPr>
            </w:pPr>
            <w:r>
              <w:rPr>
                <w:rFonts w:ascii="Arial" w:cs="Arial" w:eastAsia="Arial" w:hAnsi="Arial"/>
                <w:sz w:val="18"/>
                <w:szCs w:val="18"/>
                <w:color w:val="auto"/>
              </w:rPr>
              <w:t>Maturities</w:t>
            </w:r>
          </w:p>
        </w:tc>
        <w:tc>
          <w:tcPr>
            <w:tcW w:w="740" w:type="dxa"/>
            <w:vAlign w:val="bottom"/>
          </w:tcPr>
          <w:p>
            <w:pPr>
              <w:spacing w:after="0"/>
              <w:rPr>
                <w:sz w:val="17"/>
                <w:szCs w:val="17"/>
                <w:color w:val="auto"/>
              </w:rPr>
            </w:pPr>
          </w:p>
        </w:tc>
        <w:tc>
          <w:tcPr>
            <w:tcW w:w="1060" w:type="dxa"/>
            <w:vAlign w:val="bottom"/>
          </w:tcPr>
          <w:p>
            <w:pPr>
              <w:jc w:val="right"/>
              <w:ind w:right="138"/>
              <w:spacing w:after="0" w:line="200" w:lineRule="exact"/>
              <w:rPr>
                <w:sz w:val="20"/>
                <w:szCs w:val="20"/>
                <w:color w:val="auto"/>
              </w:rPr>
            </w:pPr>
            <w:r>
              <w:rPr>
                <w:rFonts w:ascii="Arial" w:cs="Arial" w:eastAsia="Arial" w:hAnsi="Arial"/>
                <w:sz w:val="18"/>
                <w:szCs w:val="18"/>
                <w:color w:val="auto"/>
                <w:w w:val="95"/>
              </w:rPr>
              <w:t>2014-2016</w:t>
            </w:r>
          </w:p>
        </w:tc>
        <w:tc>
          <w:tcPr>
            <w:tcW w:w="0" w:type="dxa"/>
            <w:vAlign w:val="bottom"/>
          </w:tcPr>
          <w:p>
            <w:pPr>
              <w:spacing w:after="0"/>
              <w:rPr>
                <w:sz w:val="1"/>
                <w:szCs w:val="1"/>
                <w:color w:val="auto"/>
              </w:rPr>
            </w:pPr>
          </w:p>
        </w:tc>
      </w:tr>
      <w:tr>
        <w:trPr>
          <w:trHeight w:val="203"/>
        </w:trPr>
        <w:tc>
          <w:tcPr>
            <w:tcW w:w="9620" w:type="dxa"/>
            <w:vAlign w:val="bottom"/>
          </w:tcPr>
          <w:p>
            <w:pPr>
              <w:spacing w:after="0" w:line="202" w:lineRule="exact"/>
              <w:rPr>
                <w:sz w:val="20"/>
                <w:szCs w:val="20"/>
                <w:color w:val="auto"/>
              </w:rPr>
            </w:pPr>
            <w:r>
              <w:rPr>
                <w:rFonts w:ascii="Arial" w:cs="Arial" w:eastAsia="Arial" w:hAnsi="Arial"/>
                <w:sz w:val="18"/>
                <w:szCs w:val="18"/>
                <w:color w:val="auto"/>
              </w:rPr>
              <w:t>Notional amount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9620" w:type="dxa"/>
            <w:vAlign w:val="bottom"/>
          </w:tcPr>
          <w:p>
            <w:pPr>
              <w:spacing w:after="0" w:line="202" w:lineRule="exact"/>
              <w:rPr>
                <w:sz w:val="20"/>
                <w:szCs w:val="20"/>
                <w:color w:val="auto"/>
              </w:rPr>
            </w:pPr>
            <w:r>
              <w:rPr>
                <w:rFonts w:ascii="Arial" w:cs="Arial" w:eastAsia="Arial" w:hAnsi="Arial"/>
                <w:sz w:val="18"/>
                <w:szCs w:val="18"/>
                <w:color w:val="auto"/>
              </w:rPr>
              <w:t>Average pay rate</w:t>
            </w:r>
          </w:p>
        </w:tc>
        <w:tc>
          <w:tcPr>
            <w:tcW w:w="7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9620" w:type="dxa"/>
            <w:vAlign w:val="bottom"/>
          </w:tcPr>
          <w:p>
            <w:pPr>
              <w:spacing w:after="0" w:line="202" w:lineRule="exact"/>
              <w:rPr>
                <w:sz w:val="20"/>
                <w:szCs w:val="20"/>
                <w:color w:val="auto"/>
              </w:rPr>
            </w:pPr>
            <w:r>
              <w:rPr>
                <w:rFonts w:ascii="Arial" w:cs="Arial" w:eastAsia="Arial" w:hAnsi="Arial"/>
                <w:sz w:val="18"/>
                <w:szCs w:val="18"/>
                <w:color w:val="auto"/>
              </w:rPr>
              <w:t>Average receive rate</w:t>
            </w:r>
          </w:p>
        </w:tc>
        <w:tc>
          <w:tcPr>
            <w:tcW w:w="7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9"/>
        </w:trPr>
        <w:tc>
          <w:tcPr>
            <w:tcW w:w="96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Estimated fair value</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8"/>
              <w:spacing w:after="0" w:line="20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notional amounts presented in the table above are used to measure interest to be paid or received and do not represent the amount of exposure to credit loss. Average pay rate is estimated using the average implied LIBOR through the year of maturity based on the yield curve in effect plus the applicable borrowing margin at the end of the period. The estimated fair value in the table above represents the approximate amount of net proceeds required to settle the contracts, including accrued interest of $3 million as of December 31, 2011. As of December 31, 2010, we held no derivative financial instruments that were designated as fair value hedges.</w:t>
      </w:r>
    </w:p>
    <w:p>
      <w:pPr>
        <w:spacing w:after="0" w:line="327"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485"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 Hedges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derivative financial instruments designated as cash flow hedges of foreign exchange risk, such as forward contracts, the effective portion of the hedge is reported in accumulated other comprehensive income (loss). These amounts are recognized as an adjustment to earnings in the period in which the effects of the remeasurement of changes in exchange rates on the foreign currency denominated hedged items are recognized in earnings. When foreign currency denominated hedged items are settled, any remaining unrealized gain or loss from the hedge is recognized in earnings. The amounts recorded in our consolidated financial statements related to our cash flow hedges were not material for all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Financial Instruments</w:t>
      </w:r>
    </w:p>
    <w:p>
      <w:pPr>
        <w:spacing w:after="0" w:line="1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2011, 2010 and 2009, certain derivative financial instruments relating to foreign exchange risk were not designated as fair value or cash flow hedges. Changes in fair value for these instruments are recognized on a current basis in operating costs and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Amount of Gain (Loss) Recognized in Income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Predecessor</w:t>
            </w:r>
          </w:p>
        </w:tc>
        <w:tc>
          <w:tcPr>
            <w:tcW w:w="820" w:type="dxa"/>
            <w:vAlign w:val="bottom"/>
          </w:tcPr>
          <w:p>
            <w:pPr>
              <w:spacing w:after="0"/>
              <w:rPr>
                <w:sz w:val="14"/>
                <w:szCs w:val="14"/>
                <w:color w:val="auto"/>
              </w:rPr>
            </w:pPr>
          </w:p>
        </w:tc>
      </w:tr>
      <w:tr>
        <w:trPr>
          <w:trHeight w:val="141"/>
        </w:trPr>
        <w:tc>
          <w:tcPr>
            <w:tcW w:w="7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6"/>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6"/>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
              <w:spacing w:after="0" w:line="141" w:lineRule="exact"/>
              <w:rPr>
                <w:sz w:val="20"/>
                <w:szCs w:val="20"/>
                <w:color w:val="auto"/>
              </w:rPr>
            </w:pPr>
            <w:r>
              <w:rPr>
                <w:rFonts w:ascii="Arial" w:cs="Arial" w:eastAsia="Arial" w:hAnsi="Arial"/>
                <w:sz w:val="14"/>
                <w:szCs w:val="14"/>
                <w:color w:val="auto"/>
                <w:w w:val="94"/>
              </w:rPr>
              <w:t>Year Ended</w:t>
            </w:r>
          </w:p>
        </w:tc>
      </w:tr>
      <w:tr>
        <w:trPr>
          <w:trHeight w:val="149"/>
        </w:trPr>
        <w:tc>
          <w:tcPr>
            <w:tcW w:w="7220" w:type="dxa"/>
            <w:vAlign w:val="bottom"/>
          </w:tcPr>
          <w:p>
            <w:pPr>
              <w:spacing w:after="0"/>
              <w:rPr>
                <w:sz w:val="12"/>
                <w:szCs w:val="12"/>
                <w:color w:val="auto"/>
              </w:rPr>
            </w:pPr>
          </w:p>
        </w:tc>
        <w:tc>
          <w:tcPr>
            <w:tcW w:w="162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60" w:type="dxa"/>
            <w:vAlign w:val="bottom"/>
            <w:gridSpan w:val="2"/>
          </w:tcPr>
          <w:p>
            <w:pPr>
              <w:jc w:val="right"/>
              <w:ind w:right="66"/>
              <w:spacing w:after="0" w:line="149" w:lineRule="exact"/>
              <w:rPr>
                <w:sz w:val="20"/>
                <w:szCs w:val="20"/>
                <w:color w:val="auto"/>
              </w:rPr>
            </w:pPr>
            <w:r>
              <w:rPr>
                <w:rFonts w:ascii="Arial" w:cs="Arial" w:eastAsia="Arial" w:hAnsi="Arial"/>
                <w:sz w:val="14"/>
                <w:szCs w:val="14"/>
                <w:color w:val="auto"/>
              </w:rPr>
              <w:t>January 1, 2011 to</w:t>
            </w:r>
          </w:p>
        </w:tc>
        <w:tc>
          <w:tcPr>
            <w:tcW w:w="1040" w:type="dxa"/>
            <w:vAlign w:val="bottom"/>
            <w:gridSpan w:val="2"/>
          </w:tcPr>
          <w:p>
            <w:pPr>
              <w:jc w:val="right"/>
              <w:ind w:right="26"/>
              <w:spacing w:after="0" w:line="149" w:lineRule="exact"/>
              <w:rPr>
                <w:sz w:val="20"/>
                <w:szCs w:val="20"/>
                <w:color w:val="auto"/>
              </w:rPr>
            </w:pPr>
            <w:r>
              <w:rPr>
                <w:rFonts w:ascii="Arial" w:cs="Arial" w:eastAsia="Arial" w:hAnsi="Arial"/>
                <w:sz w:val="14"/>
                <w:szCs w:val="14"/>
                <w:color w:val="auto"/>
              </w:rPr>
              <w:t>December 31,</w:t>
            </w:r>
          </w:p>
        </w:tc>
      </w:tr>
      <w:tr>
        <w:trPr>
          <w:trHeight w:val="149"/>
        </w:trPr>
        <w:tc>
          <w:tcPr>
            <w:tcW w:w="7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66"/>
              <w:spacing w:after="0" w:line="149" w:lineRule="exact"/>
              <w:rPr>
                <w:sz w:val="20"/>
                <w:szCs w:val="20"/>
                <w:color w:val="auto"/>
              </w:rPr>
            </w:pPr>
            <w:r>
              <w:rPr>
                <w:rFonts w:ascii="Arial" w:cs="Arial" w:eastAsia="Arial" w:hAnsi="Arial"/>
                <w:sz w:val="14"/>
                <w:szCs w:val="14"/>
                <w:color w:val="auto"/>
              </w:rPr>
              <w:t>January 28, 2011</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4"/>
                <w:szCs w:val="14"/>
                <w:color w:val="auto"/>
              </w:rPr>
              <w:t>2010</w:t>
            </w: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b w:val="1"/>
                <w:bCs w:val="1"/>
                <w:color w:val="auto"/>
              </w:rPr>
              <w:t>Foreign Exchange Contracts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7220" w:type="dxa"/>
            <w:vAlign w:val="bottom"/>
            <w:tcBorders>
              <w:bottom w:val="single" w:sz="8" w:color="53439A"/>
            </w:tcBorders>
          </w:tcPr>
          <w:p>
            <w:pPr>
              <w:spacing w:after="0" w:line="200" w:lineRule="exact"/>
              <w:rPr>
                <w:sz w:val="20"/>
                <w:szCs w:val="20"/>
                <w:color w:val="auto"/>
              </w:rPr>
            </w:pPr>
            <w:r>
              <w:rPr>
                <w:rFonts w:ascii="Arial" w:cs="Arial" w:eastAsia="Arial" w:hAnsi="Arial"/>
                <w:sz w:val="18"/>
                <w:szCs w:val="18"/>
                <w:color w:val="auto"/>
              </w:rPr>
              <w:t>Total gain (loss)</w:t>
            </w:r>
          </w:p>
        </w:tc>
        <w:tc>
          <w:tcPr>
            <w:tcW w:w="280" w:type="dxa"/>
            <w:vAlign w:val="bottom"/>
            <w:tcBorders>
              <w:bottom w:val="single" w:sz="8" w:color="53439A"/>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spacing w:after="0" w:line="200"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53439A"/>
              <w:right w:val="single" w:sz="8" w:color="auto"/>
            </w:tcBorders>
          </w:tcPr>
          <w:p>
            <w:pPr>
              <w:spacing w:after="0"/>
              <w:rPr>
                <w:sz w:val="17"/>
                <w:szCs w:val="17"/>
                <w:color w:val="auto"/>
              </w:rPr>
            </w:pPr>
          </w:p>
        </w:tc>
        <w:tc>
          <w:tcPr>
            <w:tcW w:w="460" w:type="dxa"/>
            <w:vAlign w:val="bottom"/>
            <w:tcBorders>
              <w:bottom w:val="single" w:sz="8" w:color="53439A"/>
            </w:tcBorders>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ind w:right="6"/>
              <w:spacing w:after="0" w:line="200"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53439A"/>
            </w:tcBorders>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53439A"/>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December 31, 2011, our nondesignated derivative financial instruments had a total notional value of $719 million. The notional amount is a measure of the activity related to our risk exposure and does not represent the amount of exposure to credit loss or market loss, or reflect the gains or losses associated with the exposures and transactions that the foreign exchange contracts are intended to offset. The amounts ultimately realized upon settlement of these derivative financial instruments, together with the gains and losses on the underlying exposures, will depend on actual market conditions during the remaining life of the derivative financial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12: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800" w:right="980" w:hanging="225"/>
        <w:spacing w:after="0" w:line="239"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4" w:lineRule="exact"/>
        <w:rPr>
          <w:rFonts w:ascii="Arial" w:cs="Arial" w:eastAsia="Arial" w:hAnsi="Arial"/>
          <w:sz w:val="18"/>
          <w:szCs w:val="18"/>
          <w:color w:val="auto"/>
        </w:rPr>
      </w:pPr>
    </w:p>
    <w:p>
      <w:pPr>
        <w:ind w:left="800" w:right="880" w:hanging="225"/>
        <w:spacing w:after="0" w:line="23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principally from or corroborated by observable market data through correlation or other means for substantially the full term of the financial instrument</w:t>
      </w:r>
    </w:p>
    <w:p>
      <w:pPr>
        <w:spacing w:after="0" w:line="115" w:lineRule="exact"/>
        <w:rPr>
          <w:rFonts w:ascii="Arial" w:cs="Arial" w:eastAsia="Arial" w:hAnsi="Arial"/>
          <w:sz w:val="18"/>
          <w:szCs w:val="18"/>
          <w:color w:val="auto"/>
        </w:rPr>
      </w:pPr>
    </w:p>
    <w:p>
      <w:pPr>
        <w:jc w:val="both"/>
        <w:ind w:left="800" w:right="1060" w:hanging="225"/>
        <w:spacing w:after="0" w:line="238"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bl>
    <w:p>
      <w:pPr>
        <w:sectPr>
          <w:pgSz w:w="11900" w:h="16838" w:orient="portrait"/>
          <w:cols w:equalWidth="0" w:num="1">
            <w:col w:w="11420"/>
          </w:cols>
          <w:pgMar w:left="240" w:top="323" w:right="239" w:bottom="1440" w:gutter="0" w:footer="0" w:header="0"/>
        </w:sectPr>
      </w:pPr>
    </w:p>
    <w:bookmarkStart w:id="157" w:name="page158"/>
    <w:bookmarkEnd w:id="157"/>
    <w:p>
      <w:pPr>
        <w:ind w:right="16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3439A"/>
        </w:rPr>
        <w:t>Recurring Fair Value Measures</w:t>
      </w:r>
    </w:p>
    <w:p>
      <w:pPr>
        <w:sectPr>
          <w:pgSz w:w="11900" w:h="16838" w:orient="portrait"/>
          <w:cols w:equalWidth="0" w:num="1">
            <w:col w:w="11420"/>
          </w:cols>
          <w:pgMar w:left="240" w:top="345" w:right="239" w:bottom="1440" w:gutter="0" w:footer="0" w:header="0"/>
        </w:sectPr>
      </w:pPr>
    </w:p>
    <w:p>
      <w:pPr>
        <w:spacing w:after="0" w:line="73" w:lineRule="exact"/>
        <w:rPr>
          <w:sz w:val="20"/>
          <w:szCs w:val="20"/>
          <w:color w:val="auto"/>
        </w:rPr>
      </w:pPr>
    </w:p>
    <w:p>
      <w:pPr>
        <w:jc w:val="center"/>
        <w:ind w:left="5680"/>
        <w:spacing w:after="0"/>
        <w:rPr>
          <w:sz w:val="20"/>
          <w:szCs w:val="20"/>
          <w:color w:val="auto"/>
        </w:rPr>
      </w:pPr>
      <w:r>
        <w:rPr>
          <w:rFonts w:ascii="Arial" w:cs="Arial" w:eastAsia="Arial" w:hAnsi="Arial"/>
          <w:sz w:val="14"/>
          <w:szCs w:val="14"/>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-6985</wp:posOffset>
            </wp:positionV>
            <wp:extent cx="18611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jc w:val="center"/>
        <w:ind w:left="5680"/>
        <w:spacing w:after="0"/>
        <w:rPr>
          <w:sz w:val="20"/>
          <w:szCs w:val="20"/>
          <w:color w:val="auto"/>
        </w:rPr>
      </w:pPr>
      <w:r>
        <w:rPr>
          <w:rFonts w:ascii="Arial" w:cs="Arial" w:eastAsia="Arial" w:hAnsi="Arial"/>
          <w:sz w:val="12"/>
          <w:szCs w:val="12"/>
          <w:color w:val="auto"/>
        </w:rPr>
        <w:t>Fair value as of December 31, 2011</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-6985</wp:posOffset>
            </wp:positionV>
            <wp:extent cx="16205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2"/>
          <w:szCs w:val="12"/>
          <w:color w:val="auto"/>
        </w:rPr>
        <w:t>Fair value as of December 31, 2010</w:t>
      </w:r>
    </w:p>
    <w:p>
      <w:pPr>
        <w:spacing w:after="0" w:line="11" w:lineRule="exact"/>
        <w:rPr>
          <w:sz w:val="20"/>
          <w:szCs w:val="20"/>
          <w:color w:val="auto"/>
        </w:rPr>
      </w:pPr>
    </w:p>
    <w:p>
      <w:pPr>
        <w:sectPr>
          <w:pgSz w:w="11900" w:h="16838" w:orient="portrait"/>
          <w:cols w:equalWidth="0" w:num="2">
            <w:col w:w="8340" w:space="720"/>
            <w:col w:w="2360"/>
          </w:cols>
          <w:pgMar w:left="240" w:top="34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Level 3</w:t>
            </w: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6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58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Total</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17"/>
                <w:szCs w:val="17"/>
                <w:color w:val="auto"/>
              </w:rPr>
            </w:pPr>
          </w:p>
        </w:tc>
        <w:tc>
          <w:tcPr>
            <w:tcW w:w="3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6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30</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20" w:type="dxa"/>
            <w:vAlign w:val="bottom"/>
            <w:tcBorders>
              <w:top w:val="single" w:sz="8" w:color="auto"/>
              <w:bottom w:val="single" w:sz="8" w:color="53439A"/>
            </w:tcBorders>
          </w:tcPr>
          <w:p>
            <w:pPr>
              <w:spacing w:after="0"/>
              <w:rPr>
                <w:sz w:val="17"/>
                <w:szCs w:val="17"/>
                <w:color w:val="auto"/>
              </w:rPr>
            </w:pPr>
          </w:p>
        </w:tc>
        <w:tc>
          <w:tcPr>
            <w:tcW w:w="280" w:type="dxa"/>
            <w:vAlign w:val="bottom"/>
            <w:tcBorders>
              <w:top w:val="single" w:sz="8" w:color="auto"/>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53439A"/>
            </w:tcBorders>
            <w:gridSpan w:val="2"/>
          </w:tcPr>
          <w:p>
            <w:pPr>
              <w:ind w:left="80"/>
              <w:spacing w:after="0" w:line="196" w:lineRule="exact"/>
              <w:rPr>
                <w:sz w:val="20"/>
                <w:szCs w:val="20"/>
                <w:color w:val="auto"/>
              </w:rPr>
            </w:pPr>
            <w:r>
              <w:rPr>
                <w:rFonts w:ascii="Arial" w:cs="Arial" w:eastAsia="Arial" w:hAnsi="Arial"/>
                <w:sz w:val="18"/>
                <w:szCs w:val="18"/>
                <w:color w:val="auto"/>
              </w:rPr>
              <w:t>—  $</w:t>
            </w:r>
          </w:p>
        </w:tc>
        <w:tc>
          <w:tcPr>
            <w:tcW w:w="380" w:type="dxa"/>
            <w:vAlign w:val="bottom"/>
            <w:tcBorders>
              <w:top w:val="single" w:sz="8" w:color="auto"/>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40</w:t>
            </w:r>
          </w:p>
        </w:tc>
        <w:tc>
          <w:tcPr>
            <w:tcW w:w="220" w:type="dxa"/>
            <w:vAlign w:val="bottom"/>
            <w:tcBorders>
              <w:top w:val="single" w:sz="8" w:color="auto"/>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53439A"/>
            </w:tcBorders>
          </w:tcPr>
          <w:p>
            <w:pPr>
              <w:jc w:val="right"/>
              <w:ind w:right="35"/>
              <w:spacing w:after="0" w:line="196" w:lineRule="exact"/>
              <w:rPr>
                <w:sz w:val="20"/>
                <w:szCs w:val="20"/>
                <w:color w:val="auto"/>
              </w:rPr>
            </w:pPr>
            <w:r>
              <w:rPr>
                <w:rFonts w:ascii="Arial" w:cs="Arial" w:eastAsia="Arial" w:hAnsi="Arial"/>
                <w:sz w:val="18"/>
                <w:szCs w:val="18"/>
                <w:color w:val="auto"/>
              </w:rPr>
              <w:t>61</w:t>
            </w:r>
          </w:p>
        </w:tc>
        <w:tc>
          <w:tcPr>
            <w:tcW w:w="220" w:type="dxa"/>
            <w:vAlign w:val="bottom"/>
            <w:tcBorders>
              <w:top w:val="single" w:sz="8" w:color="auto"/>
              <w:bottom w:val="single" w:sz="8" w:color="53439A"/>
              <w:right w:val="single" w:sz="8" w:color="auto"/>
            </w:tcBorders>
          </w:tcPr>
          <w:p>
            <w:pPr>
              <w:spacing w:after="0"/>
              <w:rPr>
                <w:sz w:val="17"/>
                <w:szCs w:val="17"/>
                <w:color w:val="auto"/>
              </w:rPr>
            </w:pPr>
          </w:p>
        </w:tc>
        <w:tc>
          <w:tcPr>
            <w:tcW w:w="440" w:type="dxa"/>
            <w:vAlign w:val="bottom"/>
            <w:tcBorders>
              <w:top w:val="single" w:sz="8" w:color="auto"/>
              <w:bottom w:val="single" w:sz="8" w:color="53439A"/>
            </w:tcBorders>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53439A"/>
            </w:tcBorders>
            <w:gridSpan w:val="2"/>
          </w:tcPr>
          <w:p>
            <w:pPr>
              <w:ind w:left="100"/>
              <w:spacing w:after="0" w:line="196" w:lineRule="exact"/>
              <w:rPr>
                <w:sz w:val="20"/>
                <w:szCs w:val="20"/>
                <w:color w:val="auto"/>
              </w:rPr>
            </w:pPr>
            <w:r>
              <w:rPr>
                <w:rFonts w:ascii="Arial" w:cs="Arial" w:eastAsia="Arial" w:hAnsi="Arial"/>
                <w:sz w:val="18"/>
                <w:szCs w:val="18"/>
                <w:color w:val="auto"/>
              </w:rPr>
              <w:t>—   $</w:t>
            </w:r>
          </w:p>
        </w:tc>
        <w:tc>
          <w:tcPr>
            <w:tcW w:w="380" w:type="dxa"/>
            <w:vAlign w:val="bottom"/>
            <w:tcBorders>
              <w:top w:val="single" w:sz="8" w:color="auto"/>
              <w:bottom w:val="single" w:sz="8" w:color="53439A"/>
            </w:tcBorders>
          </w:tcPr>
          <w:p>
            <w:pPr>
              <w:jc w:val="right"/>
              <w:ind w:right="32"/>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top w:val="single" w:sz="8" w:color="auto"/>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27</w:t>
            </w:r>
          </w:p>
        </w:tc>
        <w:tc>
          <w:tcPr>
            <w:tcW w:w="240" w:type="dxa"/>
            <w:vAlign w:val="bottom"/>
            <w:tcBorders>
              <w:top w:val="single" w:sz="8" w:color="auto"/>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30</w:t>
            </w:r>
          </w:p>
        </w:tc>
      </w:tr>
      <w:tr>
        <w:trPr>
          <w:trHeight w:val="206"/>
        </w:trPr>
        <w:tc>
          <w:tcPr>
            <w:tcW w:w="20" w:type="dxa"/>
            <w:vAlign w:val="bottom"/>
          </w:tcPr>
          <w:p>
            <w:pPr>
              <w:spacing w:after="0"/>
              <w:rPr>
                <w:sz w:val="17"/>
                <w:szCs w:val="17"/>
                <w:color w:val="auto"/>
              </w:rPr>
            </w:pPr>
          </w:p>
        </w:tc>
        <w:tc>
          <w:tcPr>
            <w:tcW w:w="5520" w:type="dxa"/>
            <w:vAlign w:val="bottom"/>
          </w:tcPr>
          <w:p>
            <w:pPr>
              <w:spacing w:after="0" w:line="206"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Contractual obligations</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1,004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5"/>
              <w:spacing w:after="0" w:line="202" w:lineRule="exact"/>
              <w:rPr>
                <w:sz w:val="20"/>
                <w:szCs w:val="20"/>
                <w:color w:val="auto"/>
              </w:rPr>
            </w:pPr>
            <w:r>
              <w:rPr>
                <w:rFonts w:ascii="Arial" w:cs="Arial" w:eastAsia="Arial" w:hAnsi="Arial"/>
                <w:sz w:val="18"/>
                <w:szCs w:val="18"/>
                <w:color w:val="auto"/>
                <w:w w:val="97"/>
              </w:rPr>
              <w:t>1,004</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17"/>
                <w:szCs w:val="17"/>
                <w:color w:val="auto"/>
              </w:rPr>
            </w:pPr>
          </w:p>
        </w:tc>
        <w:tc>
          <w:tcPr>
            <w:tcW w:w="3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6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jc w:val="right"/>
              <w:ind w:right="32"/>
              <w:spacing w:after="0" w:line="200"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3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5520" w:type="dxa"/>
            <w:vAlign w:val="bottom"/>
            <w:tcBorders>
              <w:top w:val="single" w:sz="8" w:color="auto"/>
              <w:bottom w:val="single" w:sz="8" w:color="53439A"/>
            </w:tcBorders>
          </w:tcPr>
          <w:p>
            <w:pPr>
              <w:spacing w:after="0"/>
              <w:rPr>
                <w:sz w:val="17"/>
                <w:szCs w:val="17"/>
                <w:color w:val="auto"/>
              </w:rPr>
            </w:pPr>
          </w:p>
        </w:tc>
        <w:tc>
          <w:tcPr>
            <w:tcW w:w="280" w:type="dxa"/>
            <w:vAlign w:val="bottom"/>
            <w:tcBorders>
              <w:top w:val="single" w:sz="8" w:color="auto"/>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53439A"/>
            </w:tcBorders>
          </w:tcPr>
          <w:p>
            <w:pPr>
              <w:jc w:val="right"/>
              <w:ind w:right="12"/>
              <w:spacing w:after="0" w:line="202"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rPr>
              <w:t>1,004</w:t>
            </w:r>
          </w:p>
        </w:tc>
        <w:tc>
          <w:tcPr>
            <w:tcW w:w="240" w:type="dxa"/>
            <w:vAlign w:val="bottom"/>
            <w:tcBorders>
              <w:top w:val="single" w:sz="8" w:color="auto"/>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w w:val="97"/>
              </w:rPr>
              <w:t>1,012</w:t>
            </w:r>
          </w:p>
        </w:tc>
        <w:tc>
          <w:tcPr>
            <w:tcW w:w="220" w:type="dxa"/>
            <w:vAlign w:val="bottom"/>
            <w:tcBorders>
              <w:top w:val="single" w:sz="8" w:color="auto"/>
              <w:bottom w:val="single" w:sz="8" w:color="53439A"/>
              <w:right w:val="single" w:sz="8" w:color="auto"/>
            </w:tcBorders>
          </w:tcPr>
          <w:p>
            <w:pPr>
              <w:spacing w:after="0"/>
              <w:rPr>
                <w:sz w:val="17"/>
                <w:szCs w:val="17"/>
                <w:color w:val="auto"/>
              </w:rPr>
            </w:pPr>
          </w:p>
        </w:tc>
        <w:tc>
          <w:tcPr>
            <w:tcW w:w="440" w:type="dxa"/>
            <w:vAlign w:val="bottom"/>
            <w:tcBorders>
              <w:top w:val="single" w:sz="8" w:color="auto"/>
              <w:bottom w:val="single" w:sz="8" w:color="53439A"/>
            </w:tcBorders>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53439A"/>
            </w:tcBorders>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53439A"/>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53439A"/>
            </w:tcBorders>
          </w:tcPr>
          <w:p>
            <w:pPr>
              <w:jc w:val="right"/>
              <w:ind w:right="12"/>
              <w:spacing w:after="0" w:line="202" w:lineRule="exact"/>
              <w:rPr>
                <w:sz w:val="20"/>
                <w:szCs w:val="20"/>
                <w:color w:val="auto"/>
              </w:rPr>
            </w:pPr>
            <w:r>
              <w:rPr>
                <w:rFonts w:ascii="Arial" w:cs="Arial" w:eastAsia="Arial" w:hAnsi="Arial"/>
                <w:sz w:val="18"/>
                <w:szCs w:val="18"/>
                <w:color w:val="auto"/>
              </w:rPr>
              <w:t>7</w:t>
            </w:r>
          </w:p>
        </w:tc>
      </w:tr>
    </w:tbl>
    <w:p>
      <w:pPr>
        <w:spacing w:after="0" w:line="16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Our financial instruments included in Level 3 primarily consist of contractual obligations recorded as a result of the Joint Venture and Universal Orlando transactions. See Note 20 for additional information on these obligations.</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have assets and liabilities required to be recorded at fair value on a nonrecurring basis when certain circumstances occur. In the case of film production costs, upon the occurrence of an event or change in circumstance that may indicate that the fair value of a film is less than its unamortized costs, we determine the fair value of the film and record an impairment charge for the amount by which the unamortized capitalized costs exceed the film’s fair value. The estimate of fair value of a film production is determined using Level 3 inputs, primarily an analysis of future expected cash flows. Impairment charges of $57 million were recorded in the period January 29, 2011 through December 31, 2011 as a result of this analysis.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13: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6"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In August 2011, we issued an equity interest in a consolidated subsidiary. A portion of the interest is currently redeemable and recorded at the redemption value and included in the tables below. The difference between the fair value and the carrying value of the noncontrolling interest resulted in an increase of $89 million to member’s capital of NBCUniversal.</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45" w:right="239" w:bottom="1440" w:gutter="0" w:footer="0" w:header="0"/>
          <w:type w:val="continuous"/>
        </w:sectPr>
      </w:pPr>
    </w:p>
    <w:bookmarkStart w:id="158" w:name="page159"/>
    <w:bookmarkEnd w:id="158"/>
    <w:p>
      <w:pPr>
        <w:ind w:right="4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presents the changes in equity resulting from net income attributable to NBCUniversal and transfers from or to noncontrolling interests.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Successor</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3"/>
          </w:tcPr>
          <w:p>
            <w:pPr>
              <w:jc w:val="right"/>
              <w:ind w:right="898"/>
              <w:spacing w:after="0"/>
              <w:rPr>
                <w:sz w:val="20"/>
                <w:szCs w:val="20"/>
                <w:color w:val="auto"/>
              </w:rPr>
            </w:pPr>
            <w:r>
              <w:rPr>
                <w:rFonts w:ascii="Arial" w:cs="Arial" w:eastAsia="Arial" w:hAnsi="Arial"/>
                <w:sz w:val="14"/>
                <w:szCs w:val="14"/>
                <w:color w:val="auto"/>
              </w:rPr>
              <w:t>Predecessor</w:t>
            </w:r>
          </w:p>
        </w:tc>
      </w:tr>
      <w:tr>
        <w:trPr>
          <w:trHeight w:val="141"/>
        </w:trPr>
        <w:tc>
          <w:tcPr>
            <w:tcW w:w="6900" w:type="dxa"/>
            <w:vAlign w:val="bottom"/>
          </w:tcPr>
          <w:p>
            <w:pPr>
              <w:spacing w:after="0"/>
              <w:rPr>
                <w:sz w:val="12"/>
                <w:szCs w:val="12"/>
                <w:color w:val="auto"/>
              </w:rPr>
            </w:pPr>
          </w:p>
        </w:tc>
        <w:tc>
          <w:tcPr>
            <w:tcW w:w="142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96"/>
              </w:rPr>
              <w:t>For the Period from</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2"/>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149"/>
        </w:trPr>
        <w:tc>
          <w:tcPr>
            <w:tcW w:w="6900" w:type="dxa"/>
            <w:vAlign w:val="bottom"/>
          </w:tcPr>
          <w:p>
            <w:pPr>
              <w:spacing w:after="0"/>
              <w:rPr>
                <w:sz w:val="12"/>
                <w:szCs w:val="12"/>
                <w:color w:val="auto"/>
              </w:rPr>
            </w:pPr>
          </w:p>
        </w:tc>
        <w:tc>
          <w:tcPr>
            <w:tcW w:w="162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40" w:type="dxa"/>
            <w:vAlign w:val="bottom"/>
            <w:gridSpan w:val="3"/>
          </w:tcPr>
          <w:p>
            <w:pPr>
              <w:jc w:val="right"/>
              <w:ind w:right="42"/>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20" w:type="dxa"/>
            <w:vAlign w:val="bottom"/>
          </w:tcPr>
          <w:p>
            <w:pPr>
              <w:jc w:val="right"/>
              <w:ind w:right="18"/>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69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auto"/>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42"/>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December 31, 2010</w:t>
            </w:r>
          </w:p>
        </w:tc>
      </w:tr>
      <w:tr>
        <w:trPr>
          <w:trHeight w:val="199"/>
        </w:trPr>
        <w:tc>
          <w:tcPr>
            <w:tcW w:w="6900" w:type="dxa"/>
            <w:vAlign w:val="bottom"/>
          </w:tcPr>
          <w:p>
            <w:pPr>
              <w:spacing w:after="0" w:line="200" w:lineRule="exact"/>
              <w:rPr>
                <w:sz w:val="20"/>
                <w:szCs w:val="20"/>
                <w:color w:val="auto"/>
              </w:rPr>
            </w:pPr>
            <w:r>
              <w:rPr>
                <w:rFonts w:ascii="Arial" w:cs="Arial" w:eastAsia="Arial" w:hAnsi="Arial"/>
                <w:sz w:val="18"/>
                <w:szCs w:val="18"/>
                <w:color w:val="auto"/>
              </w:rPr>
              <w:t>Net income attributable to NBCUniversal</w:t>
            </w:r>
          </w:p>
        </w:tc>
        <w:tc>
          <w:tcPr>
            <w:tcW w:w="3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1,683</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(23)</w:t>
            </w:r>
          </w:p>
        </w:tc>
        <w:tc>
          <w:tcPr>
            <w:tcW w:w="2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line="200" w:lineRule="exact"/>
              <w:rPr>
                <w:sz w:val="20"/>
                <w:szCs w:val="20"/>
                <w:color w:val="auto"/>
              </w:rPr>
            </w:pPr>
            <w:r>
              <w:rPr>
                <w:rFonts w:ascii="Arial" w:cs="Arial" w:eastAsia="Arial" w:hAnsi="Arial"/>
                <w:sz w:val="18"/>
                <w:szCs w:val="18"/>
                <w:color w:val="auto"/>
              </w:rPr>
              <w:t>1,467</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w w:val="97"/>
              </w:rPr>
              <w:t>Increase in NBCUniversal member’s capital resulting from the issuance of noncontrolling</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69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equity interest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89</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w:t>
            </w:r>
          </w:p>
        </w:tc>
      </w:tr>
      <w:tr>
        <w:trPr>
          <w:trHeight w:val="199"/>
        </w:trPr>
        <w:tc>
          <w:tcPr>
            <w:tcW w:w="6900" w:type="dxa"/>
            <w:vAlign w:val="bottom"/>
          </w:tcPr>
          <w:p>
            <w:pPr>
              <w:spacing w:after="0" w:line="200" w:lineRule="exact"/>
              <w:rPr>
                <w:sz w:val="20"/>
                <w:szCs w:val="20"/>
                <w:color w:val="auto"/>
              </w:rPr>
            </w:pPr>
            <w:r>
              <w:rPr>
                <w:rFonts w:ascii="Arial" w:cs="Arial" w:eastAsia="Arial" w:hAnsi="Arial"/>
                <w:sz w:val="18"/>
                <w:szCs w:val="18"/>
                <w:color w:val="auto"/>
                <w:w w:val="97"/>
              </w:rPr>
              <w:t>Changes in Member’s equity from net income attributable to NBCUniversal and transfers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6900" w:type="dxa"/>
            <w:vAlign w:val="bottom"/>
            <w:tcBorders>
              <w:bottom w:val="single" w:sz="8" w:color="53439A"/>
            </w:tcBorders>
          </w:tcPr>
          <w:p>
            <w:pPr>
              <w:ind w:left="220"/>
              <w:spacing w:after="0" w:line="200" w:lineRule="exact"/>
              <w:rPr>
                <w:sz w:val="20"/>
                <w:szCs w:val="20"/>
                <w:color w:val="auto"/>
              </w:rPr>
            </w:pPr>
            <w:r>
              <w:rPr>
                <w:rFonts w:ascii="Arial" w:cs="Arial" w:eastAsia="Arial" w:hAnsi="Arial"/>
                <w:sz w:val="18"/>
                <w:szCs w:val="18"/>
                <w:color w:val="auto"/>
              </w:rPr>
              <w:t>from (to) noncontrolling interests</w:t>
            </w:r>
          </w:p>
        </w:tc>
        <w:tc>
          <w:tcPr>
            <w:tcW w:w="300" w:type="dxa"/>
            <w:vAlign w:val="bottom"/>
            <w:tcBorders>
              <w:bottom w:val="single" w:sz="8" w:color="53439A"/>
            </w:tcBorders>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7"/>
              <w:spacing w:after="0" w:line="200" w:lineRule="exact"/>
              <w:rPr>
                <w:sz w:val="20"/>
                <w:szCs w:val="20"/>
                <w:color w:val="auto"/>
              </w:rPr>
            </w:pPr>
            <w:r>
              <w:rPr>
                <w:rFonts w:ascii="Arial" w:cs="Arial" w:eastAsia="Arial" w:hAnsi="Arial"/>
                <w:sz w:val="18"/>
                <w:szCs w:val="18"/>
                <w:color w:val="auto"/>
              </w:rPr>
              <w:t>1,772</w:t>
            </w:r>
          </w:p>
        </w:tc>
        <w:tc>
          <w:tcPr>
            <w:tcW w:w="200" w:type="dxa"/>
            <w:vAlign w:val="bottom"/>
            <w:tcBorders>
              <w:bottom w:val="single" w:sz="8" w:color="53439A"/>
              <w:right w:val="single" w:sz="8" w:color="auto"/>
            </w:tcBorders>
          </w:tcPr>
          <w:p>
            <w:pPr>
              <w:spacing w:after="0"/>
              <w:rPr>
                <w:sz w:val="17"/>
                <w:szCs w:val="17"/>
                <w:color w:val="auto"/>
              </w:rPr>
            </w:pPr>
          </w:p>
        </w:tc>
        <w:tc>
          <w:tcPr>
            <w:tcW w:w="460" w:type="dxa"/>
            <w:vAlign w:val="bottom"/>
            <w:tcBorders>
              <w:bottom w:val="single" w:sz="8" w:color="53439A"/>
            </w:tcBorders>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gridSpan w:val="2"/>
          </w:tcPr>
          <w:p>
            <w:pPr>
              <w:jc w:val="right"/>
              <w:spacing w:after="0" w:line="200" w:lineRule="exact"/>
              <w:rPr>
                <w:sz w:val="20"/>
                <w:szCs w:val="20"/>
                <w:color w:val="auto"/>
              </w:rPr>
            </w:pPr>
            <w:r>
              <w:rPr>
                <w:rFonts w:ascii="Arial" w:cs="Arial" w:eastAsia="Arial" w:hAnsi="Arial"/>
                <w:sz w:val="18"/>
                <w:szCs w:val="18"/>
                <w:color w:val="auto"/>
              </w:rPr>
              <w:t>(23)</w:t>
            </w:r>
          </w:p>
        </w:tc>
        <w:tc>
          <w:tcPr>
            <w:tcW w:w="260" w:type="dxa"/>
            <w:vAlign w:val="bottom"/>
            <w:tcBorders>
              <w:bottom w:val="single" w:sz="8" w:color="53439A"/>
            </w:tcBorders>
          </w:tcPr>
          <w:p>
            <w:pPr>
              <w:ind w:left="80"/>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18"/>
              <w:spacing w:after="0" w:line="200" w:lineRule="exact"/>
              <w:rPr>
                <w:sz w:val="20"/>
                <w:szCs w:val="20"/>
                <w:color w:val="auto"/>
              </w:rPr>
            </w:pPr>
            <w:r>
              <w:rPr>
                <w:rFonts w:ascii="Arial" w:cs="Arial" w:eastAsia="Arial" w:hAnsi="Arial"/>
                <w:sz w:val="18"/>
                <w:szCs w:val="18"/>
                <w:color w:val="auto"/>
              </w:rPr>
              <w:t>1,467</w:t>
            </w:r>
          </w:p>
        </w:tc>
      </w:tr>
      <w:tr>
        <w:trPr>
          <w:trHeight w:val="376"/>
        </w:trPr>
        <w:tc>
          <w:tcPr>
            <w:tcW w:w="6900" w:type="dxa"/>
            <w:vAlign w:val="bottom"/>
          </w:tcPr>
          <w:p>
            <w:pPr>
              <w:spacing w:after="0"/>
              <w:rPr>
                <w:sz w:val="20"/>
                <w:szCs w:val="20"/>
                <w:color w:val="auto"/>
              </w:rPr>
            </w:pPr>
            <w:r>
              <w:rPr>
                <w:rFonts w:ascii="Arial" w:cs="Arial" w:eastAsia="Arial" w:hAnsi="Arial"/>
                <w:sz w:val="18"/>
                <w:szCs w:val="18"/>
                <w:color w:val="53439A"/>
              </w:rPr>
              <w:t>Redeemable Noncontrolling Interests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
        </w:trPr>
        <w:tc>
          <w:tcPr>
            <w:tcW w:w="6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color w:val="auto"/>
              </w:rPr>
              <w:t>Successor</w:t>
            </w:r>
          </w:p>
        </w:tc>
      </w:tr>
      <w:tr>
        <w:trPr>
          <w:trHeight w:val="141"/>
        </w:trPr>
        <w:tc>
          <w:tcPr>
            <w:tcW w:w="6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18"/>
              <w:spacing w:after="0" w:line="141" w:lineRule="exact"/>
              <w:rPr>
                <w:sz w:val="20"/>
                <w:szCs w:val="20"/>
                <w:color w:val="auto"/>
              </w:rPr>
            </w:pPr>
            <w:r>
              <w:rPr>
                <w:rFonts w:ascii="Arial" w:cs="Arial" w:eastAsia="Arial" w:hAnsi="Arial"/>
                <w:sz w:val="14"/>
                <w:szCs w:val="14"/>
                <w:color w:val="auto"/>
              </w:rPr>
              <w:t>For the Period</w:t>
            </w:r>
          </w:p>
        </w:tc>
      </w:tr>
      <w:tr>
        <w:trPr>
          <w:trHeight w:val="149"/>
        </w:trPr>
        <w:tc>
          <w:tcPr>
            <w:tcW w:w="6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January 29, 2011 to</w:t>
            </w:r>
          </w:p>
        </w:tc>
      </w:tr>
      <w:tr>
        <w:trPr>
          <w:trHeight w:val="163"/>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2011</w:t>
            </w:r>
          </w:p>
        </w:tc>
      </w:tr>
      <w:tr>
        <w:trPr>
          <w:trHeight w:val="199"/>
        </w:trPr>
        <w:tc>
          <w:tcPr>
            <w:tcW w:w="6900" w:type="dxa"/>
            <w:vAlign w:val="bottom"/>
          </w:tcPr>
          <w:p>
            <w:pPr>
              <w:spacing w:after="0" w:line="200" w:lineRule="exact"/>
              <w:rPr>
                <w:sz w:val="20"/>
                <w:szCs w:val="20"/>
                <w:color w:val="auto"/>
              </w:rPr>
            </w:pPr>
            <w:r>
              <w:rPr>
                <w:rFonts w:ascii="Arial" w:cs="Arial" w:eastAsia="Arial" w:hAnsi="Arial"/>
                <w:sz w:val="18"/>
                <w:szCs w:val="18"/>
                <w:color w:val="auto"/>
              </w:rPr>
              <w:t>Beginning balance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line="200" w:lineRule="exact"/>
              <w:rPr>
                <w:sz w:val="20"/>
                <w:szCs w:val="20"/>
                <w:color w:val="auto"/>
              </w:rPr>
            </w:pPr>
            <w:r>
              <w:rPr>
                <w:rFonts w:ascii="Arial" w:cs="Arial" w:eastAsia="Arial" w:hAnsi="Arial"/>
                <w:sz w:val="18"/>
                <w:szCs w:val="18"/>
                <w:color w:val="auto"/>
              </w:rPr>
              <w:t>136</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9"/>
        </w:trPr>
        <w:tc>
          <w:tcPr>
            <w:tcW w:w="69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
              <w:spacing w:after="0" w:line="200" w:lineRule="exact"/>
              <w:rPr>
                <w:sz w:val="20"/>
                <w:szCs w:val="20"/>
                <w:color w:val="auto"/>
              </w:rPr>
            </w:pPr>
            <w:r>
              <w:rPr>
                <w:rFonts w:ascii="Arial" w:cs="Arial" w:eastAsia="Arial" w:hAnsi="Arial"/>
                <w:sz w:val="18"/>
                <w:szCs w:val="18"/>
                <w:color w:val="auto"/>
              </w:rPr>
              <w:t>16</w:t>
            </w:r>
          </w:p>
        </w:tc>
      </w:tr>
      <w:tr>
        <w:trPr>
          <w:trHeight w:val="209"/>
        </w:trPr>
        <w:tc>
          <w:tcPr>
            <w:tcW w:w="6900" w:type="dxa"/>
            <w:vAlign w:val="bottom"/>
            <w:tcBorders>
              <w:bottom w:val="single" w:sz="8" w:color="53439A"/>
            </w:tcBorders>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53439A"/>
            </w:tcBorders>
          </w:tcPr>
          <w:p>
            <w:pPr>
              <w:spacing w:after="0"/>
              <w:rPr>
                <w:sz w:val="18"/>
                <w:szCs w:val="18"/>
                <w:color w:val="auto"/>
              </w:rPr>
            </w:pPr>
          </w:p>
        </w:tc>
        <w:tc>
          <w:tcPr>
            <w:tcW w:w="1120" w:type="dxa"/>
            <w:vAlign w:val="bottom"/>
            <w:tcBorders>
              <w:bottom w:val="single" w:sz="8" w:color="53439A"/>
            </w:tcBorders>
          </w:tcPr>
          <w:p>
            <w:pPr>
              <w:spacing w:after="0"/>
              <w:rPr>
                <w:sz w:val="18"/>
                <w:szCs w:val="18"/>
                <w:color w:val="auto"/>
              </w:rPr>
            </w:pPr>
          </w:p>
        </w:tc>
        <w:tc>
          <w:tcPr>
            <w:tcW w:w="200" w:type="dxa"/>
            <w:vAlign w:val="bottom"/>
            <w:tcBorders>
              <w:bottom w:val="single" w:sz="8" w:color="53439A"/>
            </w:tcBorders>
          </w:tcPr>
          <w:p>
            <w:pPr>
              <w:spacing w:after="0"/>
              <w:rPr>
                <w:sz w:val="18"/>
                <w:szCs w:val="18"/>
                <w:color w:val="auto"/>
              </w:rPr>
            </w:pPr>
          </w:p>
        </w:tc>
        <w:tc>
          <w:tcPr>
            <w:tcW w:w="180" w:type="dxa"/>
            <w:vAlign w:val="bottom"/>
            <w:tcBorders>
              <w:bottom w:val="single" w:sz="8" w:color="53439A"/>
            </w:tcBorders>
          </w:tcPr>
          <w:p>
            <w:pPr>
              <w:spacing w:after="0"/>
              <w:rPr>
                <w:sz w:val="18"/>
                <w:szCs w:val="18"/>
                <w:color w:val="auto"/>
              </w:rPr>
            </w:pPr>
          </w:p>
        </w:tc>
        <w:tc>
          <w:tcPr>
            <w:tcW w:w="280" w:type="dxa"/>
            <w:vAlign w:val="bottom"/>
            <w:tcBorders>
              <w:bottom w:val="single" w:sz="8" w:color="53439A"/>
            </w:tcBorders>
          </w:tcPr>
          <w:p>
            <w:pPr>
              <w:spacing w:after="0"/>
              <w:rPr>
                <w:sz w:val="18"/>
                <w:szCs w:val="18"/>
                <w:color w:val="auto"/>
              </w:rPr>
            </w:pPr>
          </w:p>
        </w:tc>
        <w:tc>
          <w:tcPr>
            <w:tcW w:w="500" w:type="dxa"/>
            <w:vAlign w:val="bottom"/>
            <w:tcBorders>
              <w:bottom w:val="single" w:sz="8" w:color="53439A"/>
            </w:tcBorders>
          </w:tcPr>
          <w:p>
            <w:pPr>
              <w:spacing w:after="0"/>
              <w:rPr>
                <w:sz w:val="18"/>
                <w:szCs w:val="18"/>
                <w:color w:val="auto"/>
              </w:rPr>
            </w:pPr>
          </w:p>
        </w:tc>
        <w:tc>
          <w:tcPr>
            <w:tcW w:w="560" w:type="dxa"/>
            <w:vAlign w:val="bottom"/>
            <w:tcBorders>
              <w:bottom w:val="single" w:sz="8" w:color="53439A"/>
            </w:tcBorders>
          </w:tcPr>
          <w:p>
            <w:pPr>
              <w:spacing w:after="0"/>
              <w:rPr>
                <w:sz w:val="18"/>
                <w:szCs w:val="18"/>
                <w:color w:val="auto"/>
              </w:rPr>
            </w:pPr>
          </w:p>
        </w:tc>
        <w:tc>
          <w:tcPr>
            <w:tcW w:w="260" w:type="dxa"/>
            <w:vAlign w:val="bottom"/>
            <w:tcBorders>
              <w:bottom w:val="single" w:sz="8" w:color="53439A"/>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18"/>
              <w:spacing w:after="0"/>
              <w:rPr>
                <w:sz w:val="20"/>
                <w:szCs w:val="20"/>
                <w:color w:val="auto"/>
              </w:rPr>
            </w:pPr>
            <w:r>
              <w:rPr>
                <w:rFonts w:ascii="Arial" w:cs="Arial" w:eastAsia="Arial" w:hAnsi="Arial"/>
                <w:sz w:val="18"/>
                <w:szCs w:val="18"/>
                <w:color w:val="auto"/>
              </w:rPr>
              <w:t>184</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any redeemable noncontrolling interests in any Predecessor period.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14: Pension, Postretirement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Following the close of the Joint Venture Transaction on January 28, 2011, we established new defined benefit pension plans. The qualified plan and nonqualified plan provide a lifetime income benefit based on an individual’s length of service and related compensation. The qualified plan does not give credit to eligible participants for the length of service provided before the close of the Joint Venture Transaction and is not open to new participants. The nonqualified plan gives credit to eligible participants for their length of service provided before the close of the Joint Venture Transaction to the extent that participants did not vest in a supplemental pension plan sponsored by GE. We also assumed certain liabilities related to our obligation to reimburse GE for future benefit payments to those participants that were vested in the supplemental pension plan sponsored by GE at the time of the close of the Joint Venture Transaction. We expect to make contributions to the qualified plan of approximately $100 million during 2012. The nonqualified plan is unfunded.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Following the close of the Joint Venture Transaction on January 28, 2011, we established new postretirement medical and life insurance plans. The plans that were established provide continuous coverage to employees eligible to receive such benefits and give credit for length of service provided before the close of the Joint Venture Transaction. Certain covered employees also retain the right, following retirement, to elect to participate in corresponding plans sponsored by GE. To the extent that our employees make such elections, we will reimburse GE for any amounts due. We did not, however, assume any obligation for benefits due to employees who were retirees at the time of the close of the Joint Venture Transaction and were eligible to receive benefits under GE’s postretirement benefit plans.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bl>
    <w:p>
      <w:pPr>
        <w:sectPr>
          <w:pgSz w:w="11900" w:h="16838" w:orient="portrait"/>
          <w:cols w:equalWidth="0" w:num="1">
            <w:col w:w="11420"/>
          </w:cols>
          <w:pgMar w:left="240" w:top="346" w:right="239" w:bottom="1440" w:gutter="0" w:footer="0" w:header="0"/>
        </w:sectPr>
      </w:pPr>
    </w:p>
    <w:bookmarkStart w:id="159" w:name="page160"/>
    <w:bookmarkEnd w:id="159"/>
    <w:p>
      <w:pPr>
        <w:ind w:right="1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Substantially all of the employees that joined NBCUniversal from the Comcast Content Business at the close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w:t>
      </w:r>
    </w:p>
    <w:p>
      <w:pPr>
        <w:spacing w:after="0" w:line="15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tables below provide information on the changes in our projected benefit obligations, the funded status and the components of our benefit expense for our pension plans and postretirement benefit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color w:val="auto"/>
                <w:w w:val="97"/>
              </w:rPr>
              <w:t>For the Period January 29, 2011 to December 31, 2011</w:t>
            </w:r>
          </w:p>
        </w:tc>
      </w:tr>
      <w:tr>
        <w:trPr>
          <w:trHeight w:val="141"/>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137"/>
              <w:spacing w:after="0" w:line="141" w:lineRule="exact"/>
              <w:rPr>
                <w:sz w:val="20"/>
                <w:szCs w:val="20"/>
                <w:color w:val="auto"/>
              </w:rPr>
            </w:pPr>
            <w:r>
              <w:rPr>
                <w:rFonts w:ascii="Arial" w:cs="Arial" w:eastAsia="Arial" w:hAnsi="Arial"/>
                <w:sz w:val="14"/>
                <w:szCs w:val="14"/>
                <w:color w:val="auto"/>
              </w:rPr>
              <w:t>Pension</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right"/>
              <w:ind w:right="135"/>
              <w:spacing w:after="0" w:line="141" w:lineRule="exact"/>
              <w:rPr>
                <w:sz w:val="20"/>
                <w:szCs w:val="20"/>
                <w:color w:val="auto"/>
              </w:rPr>
            </w:pPr>
            <w:r>
              <w:rPr>
                <w:rFonts w:ascii="Arial" w:cs="Arial" w:eastAsia="Arial" w:hAnsi="Arial"/>
                <w:sz w:val="14"/>
                <w:szCs w:val="14"/>
                <w:color w:val="auto"/>
              </w:rPr>
              <w:t>Postretirement</w:t>
            </w:r>
          </w:p>
        </w:tc>
      </w:tr>
      <w:tr>
        <w:trPr>
          <w:trHeight w:val="149"/>
        </w:trPr>
        <w:tc>
          <w:tcPr>
            <w:tcW w:w="7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Benefits</w:t>
            </w: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5"/>
              <w:spacing w:after="0" w:line="149" w:lineRule="exact"/>
              <w:rPr>
                <w:sz w:val="20"/>
                <w:szCs w:val="20"/>
                <w:color w:val="auto"/>
              </w:rPr>
            </w:pPr>
            <w:r>
              <w:rPr>
                <w:rFonts w:ascii="Arial" w:cs="Arial" w:eastAsia="Arial" w:hAnsi="Arial"/>
                <w:sz w:val="14"/>
                <w:szCs w:val="14"/>
                <w:color w:val="auto"/>
              </w:rPr>
              <w:t>Benefits</w:t>
            </w:r>
          </w:p>
        </w:tc>
      </w:tr>
      <w:tr>
        <w:trPr>
          <w:trHeight w:val="199"/>
        </w:trPr>
        <w:tc>
          <w:tcPr>
            <w:tcW w:w="7740" w:type="dxa"/>
            <w:vAlign w:val="bottom"/>
          </w:tcPr>
          <w:p>
            <w:pPr>
              <w:spacing w:after="0" w:line="200" w:lineRule="exact"/>
              <w:rPr>
                <w:sz w:val="20"/>
                <w:szCs w:val="20"/>
                <w:color w:val="auto"/>
              </w:rPr>
            </w:pPr>
            <w:r>
              <w:rPr>
                <w:rFonts w:ascii="Arial" w:cs="Arial" w:eastAsia="Arial" w:hAnsi="Arial"/>
                <w:sz w:val="18"/>
                <w:szCs w:val="18"/>
                <w:color w:val="auto"/>
              </w:rPr>
              <w:t>Projected benefit obligation, beginning of the period</w:t>
            </w:r>
          </w:p>
        </w:tc>
        <w:tc>
          <w:tcPr>
            <w:tcW w:w="400" w:type="dxa"/>
            <w:vAlign w:val="bottom"/>
            <w:gridSpan w:val="2"/>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249</w:t>
            </w:r>
          </w:p>
        </w:tc>
        <w:tc>
          <w:tcPr>
            <w:tcW w:w="440" w:type="dxa"/>
            <w:vAlign w:val="bottom"/>
          </w:tcPr>
          <w:p>
            <w:pPr>
              <w:ind w:left="14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160</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99</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12</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Actuarial (gain) loss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71</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w:t>
            </w:r>
          </w:p>
        </w:tc>
      </w:tr>
      <w:tr>
        <w:trPr>
          <w:trHeight w:val="199"/>
        </w:trPr>
        <w:tc>
          <w:tcPr>
            <w:tcW w:w="7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Benefits paid</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w:t>
            </w:r>
          </w:p>
        </w:tc>
      </w:tr>
      <w:tr>
        <w:trPr>
          <w:trHeight w:val="196"/>
        </w:trPr>
        <w:tc>
          <w:tcPr>
            <w:tcW w:w="77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Projected benefit obligation, end of the period</w:t>
            </w:r>
          </w:p>
        </w:tc>
        <w:tc>
          <w:tcPr>
            <w:tcW w:w="400" w:type="dxa"/>
            <w:vAlign w:val="bottom"/>
            <w:tcBorders>
              <w:bottom w:val="single" w:sz="8" w:color="53439A"/>
            </w:tcBorders>
            <w:gridSpan w:val="2"/>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53439A"/>
            </w:tcBorders>
          </w:tcPr>
          <w:p>
            <w:pPr>
              <w:jc w:val="right"/>
              <w:ind w:right="137"/>
              <w:spacing w:after="0" w:line="196" w:lineRule="exact"/>
              <w:rPr>
                <w:sz w:val="20"/>
                <w:szCs w:val="20"/>
                <w:color w:val="auto"/>
              </w:rPr>
            </w:pPr>
            <w:r>
              <w:rPr>
                <w:rFonts w:ascii="Arial" w:cs="Arial" w:eastAsia="Arial" w:hAnsi="Arial"/>
                <w:sz w:val="18"/>
                <w:szCs w:val="18"/>
                <w:color w:val="auto"/>
              </w:rPr>
              <w:t>427</w:t>
            </w:r>
          </w:p>
        </w:tc>
        <w:tc>
          <w:tcPr>
            <w:tcW w:w="440" w:type="dxa"/>
            <w:vAlign w:val="bottom"/>
            <w:tcBorders>
              <w:bottom w:val="single" w:sz="8" w:color="53439A"/>
            </w:tcBorders>
          </w:tcPr>
          <w:p>
            <w:pPr>
              <w:ind w:left="14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3439A"/>
            </w:tcBorders>
          </w:tcPr>
          <w:p>
            <w:pPr>
              <w:spacing w:after="0"/>
              <w:rPr>
                <w:sz w:val="17"/>
                <w:szCs w:val="17"/>
                <w:color w:val="auto"/>
              </w:rPr>
            </w:pPr>
          </w:p>
        </w:tc>
        <w:tc>
          <w:tcPr>
            <w:tcW w:w="400" w:type="dxa"/>
            <w:vAlign w:val="bottom"/>
            <w:tcBorders>
              <w:bottom w:val="single" w:sz="8" w:color="53439A"/>
            </w:tcBorders>
          </w:tcPr>
          <w:p>
            <w:pPr>
              <w:spacing w:after="0"/>
              <w:rPr>
                <w:sz w:val="17"/>
                <w:szCs w:val="17"/>
                <w:color w:val="auto"/>
              </w:rPr>
            </w:pPr>
          </w:p>
        </w:tc>
        <w:tc>
          <w:tcPr>
            <w:tcW w:w="800" w:type="dxa"/>
            <w:vAlign w:val="bottom"/>
            <w:tcBorders>
              <w:bottom w:val="single" w:sz="8" w:color="53439A"/>
            </w:tcBorders>
          </w:tcPr>
          <w:p>
            <w:pPr>
              <w:jc w:val="right"/>
              <w:ind w:right="135"/>
              <w:spacing w:after="0" w:line="196" w:lineRule="exact"/>
              <w:rPr>
                <w:sz w:val="20"/>
                <w:szCs w:val="20"/>
                <w:color w:val="auto"/>
              </w:rPr>
            </w:pPr>
            <w:r>
              <w:rPr>
                <w:rFonts w:ascii="Arial" w:cs="Arial" w:eastAsia="Arial" w:hAnsi="Arial"/>
                <w:sz w:val="18"/>
                <w:szCs w:val="18"/>
                <w:color w:val="auto"/>
              </w:rPr>
              <w:t>161</w:t>
            </w:r>
          </w:p>
        </w:tc>
      </w:tr>
      <w:tr>
        <w:trPr>
          <w:trHeight w:val="199"/>
        </w:trPr>
        <w:tc>
          <w:tcPr>
            <w:tcW w:w="7740" w:type="dxa"/>
            <w:vAlign w:val="bottom"/>
          </w:tcPr>
          <w:p>
            <w:pPr>
              <w:spacing w:after="0" w:line="200" w:lineRule="exact"/>
              <w:rPr>
                <w:sz w:val="20"/>
                <w:szCs w:val="20"/>
                <w:color w:val="auto"/>
              </w:rPr>
            </w:pPr>
            <w:r>
              <w:rPr>
                <w:rFonts w:ascii="Arial" w:cs="Arial" w:eastAsia="Arial" w:hAnsi="Arial"/>
                <w:sz w:val="18"/>
                <w:szCs w:val="18"/>
                <w:color w:val="auto"/>
              </w:rPr>
              <w:t>Accumulated benefit obligation, end of the year</w:t>
            </w:r>
          </w:p>
        </w:tc>
        <w:tc>
          <w:tcPr>
            <w:tcW w:w="400" w:type="dxa"/>
            <w:vAlign w:val="bottom"/>
            <w:gridSpan w:val="2"/>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7"/>
              <w:spacing w:after="0" w:line="200" w:lineRule="exact"/>
              <w:rPr>
                <w:sz w:val="20"/>
                <w:szCs w:val="20"/>
                <w:color w:val="auto"/>
              </w:rPr>
            </w:pPr>
            <w:r>
              <w:rPr>
                <w:rFonts w:ascii="Arial" w:cs="Arial" w:eastAsia="Arial" w:hAnsi="Arial"/>
                <w:sz w:val="18"/>
                <w:szCs w:val="18"/>
                <w:color w:val="auto"/>
              </w:rPr>
              <w:t>395</w:t>
            </w:r>
          </w:p>
        </w:tc>
        <w:tc>
          <w:tcPr>
            <w:tcW w:w="440" w:type="dxa"/>
            <w:vAlign w:val="bottom"/>
          </w:tcPr>
          <w:p>
            <w:pPr>
              <w:ind w:left="14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161</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Plan funded status and recorded benefit obligation</w:t>
            </w:r>
          </w:p>
        </w:tc>
        <w:tc>
          <w:tcPr>
            <w:tcW w:w="40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(427)</w:t>
            </w:r>
          </w:p>
        </w:tc>
        <w:tc>
          <w:tcPr>
            <w:tcW w:w="4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 benefits expense</w:t>
            </w:r>
          </w:p>
        </w:tc>
        <w:tc>
          <w:tcPr>
            <w:tcW w:w="40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71</w:t>
            </w:r>
          </w:p>
        </w:tc>
        <w:tc>
          <w:tcPr>
            <w:tcW w:w="44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w:t>
            </w:r>
          </w:p>
        </w:tc>
      </w:tr>
      <w:tr>
        <w:trPr>
          <w:trHeight w:val="199"/>
        </w:trPr>
        <w:tc>
          <w:tcPr>
            <w:tcW w:w="7740" w:type="dxa"/>
            <w:vAlign w:val="bottom"/>
            <w:tcBorders>
              <w:bottom w:val="single" w:sz="8" w:color="53439A"/>
            </w:tcBorders>
          </w:tcPr>
          <w:p>
            <w:pPr>
              <w:spacing w:after="0" w:line="200" w:lineRule="exact"/>
              <w:rPr>
                <w:sz w:val="20"/>
                <w:szCs w:val="20"/>
                <w:color w:val="auto"/>
              </w:rPr>
            </w:pPr>
            <w:r>
              <w:rPr>
                <w:rFonts w:ascii="Arial" w:cs="Arial" w:eastAsia="Arial" w:hAnsi="Arial"/>
                <w:sz w:val="18"/>
                <w:szCs w:val="18"/>
                <w:color w:val="auto"/>
              </w:rPr>
              <w:t>Discount rate</w:t>
            </w:r>
          </w:p>
        </w:tc>
        <w:tc>
          <w:tcPr>
            <w:tcW w:w="80" w:type="dxa"/>
            <w:vAlign w:val="bottom"/>
            <w:tcBorders>
              <w:bottom w:val="single" w:sz="8" w:color="53439A"/>
            </w:tcBorders>
          </w:tcPr>
          <w:p>
            <w:pPr>
              <w:spacing w:after="0"/>
              <w:rPr>
                <w:sz w:val="17"/>
                <w:szCs w:val="17"/>
                <w:color w:val="auto"/>
              </w:rPr>
            </w:pPr>
          </w:p>
        </w:tc>
        <w:tc>
          <w:tcPr>
            <w:tcW w:w="320" w:type="dxa"/>
            <w:vAlign w:val="bottom"/>
            <w:tcBorders>
              <w:bottom w:val="single" w:sz="8" w:color="53439A"/>
            </w:tcBorders>
          </w:tcPr>
          <w:p>
            <w:pPr>
              <w:spacing w:after="0"/>
              <w:rPr>
                <w:sz w:val="17"/>
                <w:szCs w:val="17"/>
                <w:color w:val="auto"/>
              </w:rPr>
            </w:pPr>
          </w:p>
        </w:tc>
        <w:tc>
          <w:tcPr>
            <w:tcW w:w="1180" w:type="dxa"/>
            <w:vAlign w:val="bottom"/>
            <w:tcBorders>
              <w:bottom w:val="single" w:sz="8" w:color="53439A"/>
            </w:tcBorders>
          </w:tcPr>
          <w:p>
            <w:pPr>
              <w:jc w:val="right"/>
              <w:spacing w:after="0" w:line="200" w:lineRule="exact"/>
              <w:rPr>
                <w:sz w:val="20"/>
                <w:szCs w:val="20"/>
                <w:color w:val="auto"/>
              </w:rPr>
            </w:pPr>
            <w:r>
              <w:rPr>
                <w:rFonts w:ascii="Arial" w:cs="Arial" w:eastAsia="Arial" w:hAnsi="Arial"/>
                <w:sz w:val="18"/>
                <w:szCs w:val="18"/>
                <w:color w:val="auto"/>
              </w:rPr>
              <w:t>4.75 - 5.25%</w:t>
            </w:r>
          </w:p>
        </w:tc>
        <w:tc>
          <w:tcPr>
            <w:tcW w:w="440" w:type="dxa"/>
            <w:vAlign w:val="bottom"/>
            <w:tcBorders>
              <w:bottom w:val="single" w:sz="8" w:color="53439A"/>
            </w:tcBorders>
          </w:tcPr>
          <w:p>
            <w:pPr>
              <w:spacing w:after="0"/>
              <w:rPr>
                <w:sz w:val="17"/>
                <w:szCs w:val="17"/>
                <w:color w:val="auto"/>
              </w:rPr>
            </w:pPr>
          </w:p>
        </w:tc>
        <w:tc>
          <w:tcPr>
            <w:tcW w:w="460" w:type="dxa"/>
            <w:vAlign w:val="bottom"/>
            <w:tcBorders>
              <w:bottom w:val="single" w:sz="8" w:color="53439A"/>
            </w:tcBorders>
          </w:tcPr>
          <w:p>
            <w:pPr>
              <w:spacing w:after="0"/>
              <w:rPr>
                <w:sz w:val="17"/>
                <w:szCs w:val="17"/>
                <w:color w:val="auto"/>
              </w:rPr>
            </w:pPr>
          </w:p>
        </w:tc>
        <w:tc>
          <w:tcPr>
            <w:tcW w:w="400" w:type="dxa"/>
            <w:vAlign w:val="bottom"/>
            <w:tcBorders>
              <w:bottom w:val="single" w:sz="8" w:color="53439A"/>
            </w:tcBorders>
          </w:tcPr>
          <w:p>
            <w:pPr>
              <w:spacing w:after="0"/>
              <w:rPr>
                <w:sz w:val="17"/>
                <w:szCs w:val="17"/>
                <w:color w:val="auto"/>
              </w:rPr>
            </w:pPr>
          </w:p>
        </w:tc>
        <w:tc>
          <w:tcPr>
            <w:tcW w:w="800" w:type="dxa"/>
            <w:vAlign w:val="bottom"/>
            <w:tcBorders>
              <w:bottom w:val="single" w:sz="8" w:color="53439A"/>
            </w:tcBorders>
          </w:tcPr>
          <w:p>
            <w:pPr>
              <w:jc w:val="right"/>
              <w:spacing w:after="0" w:line="200" w:lineRule="exact"/>
              <w:rPr>
                <w:sz w:val="20"/>
                <w:szCs w:val="20"/>
                <w:color w:val="auto"/>
              </w:rPr>
            </w:pPr>
            <w:r>
              <w:rPr>
                <w:rFonts w:ascii="Arial" w:cs="Arial" w:eastAsia="Arial" w:hAnsi="Arial"/>
                <w:sz w:val="18"/>
                <w:szCs w:val="18"/>
                <w:color w:val="auto"/>
              </w:rPr>
              <w:t>4.75%</w:t>
            </w:r>
          </w:p>
        </w:tc>
      </w:tr>
      <w:tr>
        <w:trPr>
          <w:trHeight w:val="345"/>
        </w:trPr>
        <w:tc>
          <w:tcPr>
            <w:tcW w:w="7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Borders>
              <w:bottom w:val="single" w:sz="8" w:color="auto"/>
            </w:tcBorders>
            <w:gridSpan w:val="6"/>
          </w:tcPr>
          <w:p>
            <w:pPr>
              <w:jc w:val="right"/>
              <w:ind w:right="55"/>
              <w:spacing w:after="0"/>
              <w:rPr>
                <w:sz w:val="20"/>
                <w:szCs w:val="20"/>
                <w:color w:val="auto"/>
              </w:rPr>
            </w:pPr>
            <w:r>
              <w:rPr>
                <w:rFonts w:ascii="Arial" w:cs="Arial" w:eastAsia="Arial" w:hAnsi="Arial"/>
                <w:sz w:val="14"/>
                <w:szCs w:val="14"/>
                <w:color w:val="auto"/>
              </w:rPr>
              <w:t>For the Period January 29, 2011 to December 31, 2011</w:t>
            </w:r>
          </w:p>
        </w:tc>
      </w:tr>
      <w:tr>
        <w:trPr>
          <w:trHeight w:val="141"/>
        </w:trPr>
        <w:tc>
          <w:tcPr>
            <w:tcW w:w="7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ind w:right="277"/>
              <w:spacing w:after="0" w:line="141" w:lineRule="exact"/>
              <w:rPr>
                <w:sz w:val="20"/>
                <w:szCs w:val="20"/>
                <w:color w:val="auto"/>
              </w:rPr>
            </w:pPr>
            <w:r>
              <w:rPr>
                <w:rFonts w:ascii="Arial" w:cs="Arial" w:eastAsia="Arial" w:hAnsi="Arial"/>
                <w:sz w:val="14"/>
                <w:szCs w:val="14"/>
                <w:color w:val="auto"/>
              </w:rPr>
              <w:t>Pension</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ind w:left="220"/>
              <w:spacing w:after="0" w:line="141" w:lineRule="exact"/>
              <w:rPr>
                <w:sz w:val="20"/>
                <w:szCs w:val="20"/>
                <w:color w:val="auto"/>
              </w:rPr>
            </w:pPr>
            <w:r>
              <w:rPr>
                <w:rFonts w:ascii="Arial" w:cs="Arial" w:eastAsia="Arial" w:hAnsi="Arial"/>
                <w:sz w:val="14"/>
                <w:szCs w:val="14"/>
                <w:color w:val="auto"/>
              </w:rPr>
              <w:t>Postretirement</w:t>
            </w:r>
          </w:p>
        </w:tc>
      </w:tr>
      <w:tr>
        <w:trPr>
          <w:trHeight w:val="163"/>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Benefits</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Benefits</w:t>
            </w:r>
          </w:p>
        </w:tc>
      </w:tr>
      <w:tr>
        <w:trPr>
          <w:trHeight w:val="199"/>
        </w:trPr>
        <w:tc>
          <w:tcPr>
            <w:tcW w:w="7740" w:type="dxa"/>
            <w:vAlign w:val="bottom"/>
          </w:tcPr>
          <w:p>
            <w:pPr>
              <w:spacing w:after="0" w:line="200" w:lineRule="exact"/>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77"/>
              <w:spacing w:after="0" w:line="200" w:lineRule="exact"/>
              <w:rPr>
                <w:sz w:val="20"/>
                <w:szCs w:val="20"/>
                <w:color w:val="auto"/>
              </w:rPr>
            </w:pPr>
            <w:r>
              <w:rPr>
                <w:rFonts w:ascii="Arial" w:cs="Arial" w:eastAsia="Arial" w:hAnsi="Arial"/>
                <w:sz w:val="18"/>
                <w:szCs w:val="18"/>
                <w:color w:val="auto"/>
              </w:rPr>
              <w:t>99</w:t>
            </w:r>
          </w:p>
        </w:tc>
        <w:tc>
          <w:tcPr>
            <w:tcW w:w="4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6</w:t>
            </w:r>
          </w:p>
        </w:tc>
      </w:tr>
      <w:tr>
        <w:trPr>
          <w:trHeight w:val="199"/>
        </w:trPr>
        <w:tc>
          <w:tcPr>
            <w:tcW w:w="7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cost</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8</w:t>
            </w:r>
          </w:p>
        </w:tc>
      </w:tr>
      <w:tr>
        <w:trPr>
          <w:trHeight w:val="196"/>
        </w:trPr>
        <w:tc>
          <w:tcPr>
            <w:tcW w:w="77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 benefits expense</w:t>
            </w:r>
          </w:p>
        </w:tc>
        <w:tc>
          <w:tcPr>
            <w:tcW w:w="400" w:type="dxa"/>
            <w:vAlign w:val="bottom"/>
            <w:tcBorders>
              <w:bottom w:val="single" w:sz="8" w:color="53439A"/>
            </w:tcBorders>
            <w:gridSpan w:val="2"/>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53439A"/>
            </w:tcBorders>
          </w:tcPr>
          <w:p>
            <w:pPr>
              <w:jc w:val="right"/>
              <w:ind w:right="277"/>
              <w:spacing w:after="0" w:line="196" w:lineRule="exact"/>
              <w:rPr>
                <w:sz w:val="20"/>
                <w:szCs w:val="20"/>
                <w:color w:val="auto"/>
              </w:rPr>
            </w:pPr>
            <w:r>
              <w:rPr>
                <w:rFonts w:ascii="Arial" w:cs="Arial" w:eastAsia="Arial" w:hAnsi="Arial"/>
                <w:sz w:val="18"/>
                <w:szCs w:val="18"/>
                <w:color w:val="auto"/>
              </w:rPr>
              <w:t>111</w:t>
            </w:r>
          </w:p>
        </w:tc>
        <w:tc>
          <w:tcPr>
            <w:tcW w:w="44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3439A"/>
            </w:tcBorders>
          </w:tcPr>
          <w:p>
            <w:pPr>
              <w:spacing w:after="0"/>
              <w:rPr>
                <w:sz w:val="17"/>
                <w:szCs w:val="17"/>
                <w:color w:val="auto"/>
              </w:rPr>
            </w:pPr>
          </w:p>
        </w:tc>
        <w:tc>
          <w:tcPr>
            <w:tcW w:w="400" w:type="dxa"/>
            <w:vAlign w:val="bottom"/>
            <w:tcBorders>
              <w:bottom w:val="single" w:sz="8" w:color="53439A"/>
            </w:tcBorders>
          </w:tcPr>
          <w:p>
            <w:pPr>
              <w:spacing w:after="0"/>
              <w:rPr>
                <w:sz w:val="17"/>
                <w:szCs w:val="17"/>
                <w:color w:val="auto"/>
              </w:rPr>
            </w:pPr>
          </w:p>
        </w:tc>
        <w:tc>
          <w:tcPr>
            <w:tcW w:w="800" w:type="dxa"/>
            <w:vAlign w:val="bottom"/>
            <w:tcBorders>
              <w:bottom w:val="single" w:sz="8" w:color="53439A"/>
            </w:tcBorders>
          </w:tcPr>
          <w:p>
            <w:pPr>
              <w:jc w:val="right"/>
              <w:ind w:right="15"/>
              <w:spacing w:after="0" w:line="196" w:lineRule="exact"/>
              <w:rPr>
                <w:sz w:val="20"/>
                <w:szCs w:val="20"/>
                <w:color w:val="auto"/>
              </w:rPr>
            </w:pPr>
            <w:r>
              <w:rPr>
                <w:rFonts w:ascii="Arial" w:cs="Arial" w:eastAsia="Arial" w:hAnsi="Arial"/>
                <w:sz w:val="18"/>
                <w:szCs w:val="18"/>
                <w:color w:val="auto"/>
              </w:rPr>
              <w:t>14</w:t>
            </w:r>
          </w:p>
        </w:tc>
      </w:tr>
      <w:tr>
        <w:trPr>
          <w:trHeight w:val="370"/>
        </w:trPr>
        <w:tc>
          <w:tcPr>
            <w:tcW w:w="7740" w:type="dxa"/>
            <w:vAlign w:val="bottom"/>
          </w:tcPr>
          <w:p>
            <w:pPr>
              <w:spacing w:after="0"/>
              <w:rPr>
                <w:sz w:val="20"/>
                <w:szCs w:val="20"/>
                <w:color w:val="auto"/>
              </w:rPr>
            </w:pPr>
            <w:r>
              <w:rPr>
                <w:rFonts w:ascii="Arial" w:cs="Arial" w:eastAsia="Arial" w:hAnsi="Arial"/>
                <w:sz w:val="18"/>
                <w:szCs w:val="18"/>
                <w:color w:val="53439A"/>
              </w:rPr>
              <w:t>Expected Future Benefit Payments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7"/>
        </w:trPr>
        <w:tc>
          <w:tcPr>
            <w:tcW w:w="7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4"/>
                <w:szCs w:val="14"/>
                <w:color w:val="auto"/>
              </w:rPr>
              <w:t>Pension</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Postretirement</w:t>
            </w:r>
          </w:p>
        </w:tc>
      </w:tr>
      <w:tr>
        <w:trPr>
          <w:trHeight w:val="149"/>
        </w:trPr>
        <w:tc>
          <w:tcPr>
            <w:tcW w:w="7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300"/>
              <w:spacing w:after="0" w:line="149" w:lineRule="exact"/>
              <w:rPr>
                <w:sz w:val="20"/>
                <w:szCs w:val="20"/>
                <w:color w:val="auto"/>
              </w:rPr>
            </w:pPr>
            <w:r>
              <w:rPr>
                <w:rFonts w:ascii="Arial" w:cs="Arial" w:eastAsia="Arial" w:hAnsi="Arial"/>
                <w:sz w:val="14"/>
                <w:szCs w:val="14"/>
                <w:color w:val="auto"/>
              </w:rPr>
              <w:t>Benefits</w:t>
            </w: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Benefits</w:t>
            </w:r>
          </w:p>
        </w:tc>
      </w:tr>
      <w:tr>
        <w:trPr>
          <w:trHeight w:val="199"/>
        </w:trPr>
        <w:tc>
          <w:tcPr>
            <w:tcW w:w="7740" w:type="dxa"/>
            <w:vAlign w:val="bottom"/>
          </w:tcPr>
          <w:p>
            <w:pPr>
              <w:spacing w:after="0" w:line="200" w:lineRule="exact"/>
              <w:rPr>
                <w:sz w:val="20"/>
                <w:szCs w:val="20"/>
                <w:color w:val="auto"/>
              </w:rPr>
            </w:pPr>
            <w:r>
              <w:rPr>
                <w:rFonts w:ascii="Arial" w:cs="Arial" w:eastAsia="Arial" w:hAnsi="Arial"/>
                <w:sz w:val="18"/>
                <w:szCs w:val="18"/>
                <w:color w:val="auto"/>
              </w:rPr>
              <w:t>2012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ind w:left="30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9</w:t>
            </w:r>
          </w:p>
        </w:tc>
        <w:tc>
          <w:tcPr>
            <w:tcW w:w="40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w:t>
            </w:r>
          </w:p>
        </w:tc>
      </w:tr>
      <w:tr>
        <w:trPr>
          <w:trHeight w:val="199"/>
        </w:trPr>
        <w:tc>
          <w:tcPr>
            <w:tcW w:w="7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2017 – 2021</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300"/>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183</w:t>
            </w:r>
          </w:p>
        </w:tc>
        <w:tc>
          <w:tcPr>
            <w:tcW w:w="4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41</w:t>
            </w:r>
          </w:p>
        </w:tc>
      </w:tr>
    </w:tbl>
    <w:p>
      <w:pPr>
        <w:spacing w:after="0" w:line="16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2011, the benefit obligations associated with these plans exceeded the value of their plan assets by $38 million.</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Predecessor GE Benefit Plans</w:t>
      </w:r>
    </w:p>
    <w:p>
      <w:pPr>
        <w:spacing w:after="0" w:line="1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Before January 28, 2011, our employees participated in GE-sponsored employee benefit plans, including GE’s primary defined benefit pension plan, a nonqualified supplemental pension plan, a defined contribution savings plan, and a number of GE health and life insurance plans. Further, under a transition services agreement with GE, our international employees will continue to participate in GE employee benefit plans for 18 months after the close of the Joint Venture Transaction or until we establish new employee benefit plans to replace the GE programs, whichever occurs first. We have also agreed to reimburse GE for amounts paid by GE for specified employee benefit and insurance programs that GE will continue to administer, which included $47 million related to our withdrawal from certain international benefit plans, which was paid in September 2011.</w:t>
      </w:r>
    </w:p>
    <w:p>
      <w:pPr>
        <w:spacing w:after="0" w:line="13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table below presents the amounts charged to us by GE and recognized in our consolidated statement of income related to our employees’ participation in GE sponsored plans during the predecessor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Predecessor</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1"/>
        </w:trPr>
        <w:tc>
          <w:tcPr>
            <w:tcW w:w="7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36"/>
              <w:spacing w:after="0" w:line="141" w:lineRule="exact"/>
              <w:rPr>
                <w:sz w:val="20"/>
                <w:szCs w:val="20"/>
                <w:color w:val="auto"/>
              </w:rPr>
            </w:pPr>
            <w:r>
              <w:rPr>
                <w:rFonts w:ascii="Arial" w:cs="Arial" w:eastAsia="Arial" w:hAnsi="Arial"/>
                <w:sz w:val="14"/>
                <w:szCs w:val="14"/>
                <w:color w:val="auto"/>
              </w:rPr>
              <w:t>For the Period</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7280" w:type="dxa"/>
            <w:vAlign w:val="bottom"/>
          </w:tcPr>
          <w:p>
            <w:pPr>
              <w:spacing w:after="0"/>
              <w:rPr>
                <w:sz w:val="12"/>
                <w:szCs w:val="12"/>
                <w:color w:val="auto"/>
              </w:rPr>
            </w:pPr>
          </w:p>
        </w:tc>
        <w:tc>
          <w:tcPr>
            <w:tcW w:w="1340" w:type="dxa"/>
            <w:vAlign w:val="bottom"/>
            <w:gridSpan w:val="2"/>
          </w:tcPr>
          <w:p>
            <w:pPr>
              <w:jc w:val="right"/>
              <w:ind w:right="36"/>
              <w:spacing w:after="0" w:line="149" w:lineRule="exact"/>
              <w:rPr>
                <w:sz w:val="20"/>
                <w:szCs w:val="20"/>
                <w:color w:val="auto"/>
              </w:rPr>
            </w:pPr>
            <w:r>
              <w:rPr>
                <w:rFonts w:ascii="Arial" w:cs="Arial" w:eastAsia="Arial" w:hAnsi="Arial"/>
                <w:sz w:val="14"/>
                <w:szCs w:val="14"/>
                <w:color w:val="auto"/>
              </w:rPr>
              <w:t>January 1, 2011 to</w:t>
            </w:r>
          </w:p>
        </w:tc>
        <w:tc>
          <w:tcPr>
            <w:tcW w:w="280" w:type="dxa"/>
            <w:vAlign w:val="bottom"/>
          </w:tcPr>
          <w:p>
            <w:pPr>
              <w:spacing w:after="0"/>
              <w:rPr>
                <w:sz w:val="12"/>
                <w:szCs w:val="12"/>
                <w:color w:val="auto"/>
              </w:rPr>
            </w:pPr>
          </w:p>
        </w:tc>
        <w:tc>
          <w:tcPr>
            <w:tcW w:w="1120" w:type="dxa"/>
            <w:vAlign w:val="bottom"/>
          </w:tcPr>
          <w:p>
            <w:pPr>
              <w:jc w:val="right"/>
              <w:ind w:right="39"/>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16"/>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7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jc w:val="right"/>
              <w:ind w:right="36"/>
              <w:spacing w:after="0" w:line="149" w:lineRule="exact"/>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GE pension plans</w:t>
            </w:r>
            <w:r>
              <w:rPr>
                <w:rFonts w:ascii="Arial" w:cs="Arial" w:eastAsia="Arial" w:hAnsi="Arial"/>
                <w:sz w:val="22"/>
                <w:szCs w:val="22"/>
                <w:color w:val="auto"/>
                <w:vertAlign w:val="superscript"/>
              </w:rPr>
              <w:t>(a)</w:t>
            </w:r>
          </w:p>
        </w:tc>
        <w:tc>
          <w:tcPr>
            <w:tcW w:w="280" w:type="dxa"/>
            <w:vAlign w:val="bottom"/>
          </w:tcPr>
          <w:p>
            <w:pPr>
              <w:jc w:val="right"/>
              <w:ind w:right="2"/>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line="200" w:lineRule="exact"/>
              <w:rPr>
                <w:sz w:val="20"/>
                <w:szCs w:val="20"/>
                <w:color w:val="auto"/>
              </w:rPr>
            </w:pPr>
            <w:r>
              <w:rPr>
                <w:rFonts w:ascii="Arial" w:cs="Arial" w:eastAsia="Arial" w:hAnsi="Arial"/>
                <w:sz w:val="18"/>
                <w:szCs w:val="18"/>
                <w:color w:val="auto"/>
              </w:rPr>
              <w:t>20</w:t>
            </w:r>
          </w:p>
        </w:tc>
        <w:tc>
          <w:tcPr>
            <w:tcW w:w="2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line="200" w:lineRule="exact"/>
              <w:rPr>
                <w:sz w:val="20"/>
                <w:szCs w:val="20"/>
                <w:color w:val="auto"/>
              </w:rPr>
            </w:pPr>
            <w:r>
              <w:rPr>
                <w:rFonts w:ascii="Arial" w:cs="Arial" w:eastAsia="Arial" w:hAnsi="Arial"/>
                <w:sz w:val="18"/>
                <w:szCs w:val="18"/>
                <w:color w:val="auto"/>
              </w:rPr>
              <w:t>18</w:t>
            </w:r>
          </w:p>
        </w:tc>
        <w:tc>
          <w:tcPr>
            <w:tcW w:w="4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18</w:t>
            </w:r>
          </w:p>
        </w:tc>
      </w:tr>
      <w:tr>
        <w:trPr>
          <w:trHeight w:val="203"/>
        </w:trPr>
        <w:tc>
          <w:tcPr>
            <w:tcW w:w="7280" w:type="dxa"/>
            <w:vAlign w:val="bottom"/>
          </w:tcPr>
          <w:p>
            <w:pPr>
              <w:spacing w:after="0" w:line="203" w:lineRule="exact"/>
              <w:rPr>
                <w:sz w:val="20"/>
                <w:szCs w:val="20"/>
                <w:color w:val="auto"/>
              </w:rPr>
            </w:pPr>
            <w:r>
              <w:rPr>
                <w:rFonts w:ascii="Arial" w:cs="Arial" w:eastAsia="Arial" w:hAnsi="Arial"/>
                <w:sz w:val="18"/>
                <w:szCs w:val="18"/>
                <w:color w:val="auto"/>
              </w:rPr>
              <w:t>GE health and life insurance plans and other</w:t>
            </w:r>
            <w:r>
              <w:rPr>
                <w:rFonts w:ascii="Arial" w:cs="Arial" w:eastAsia="Arial" w:hAnsi="Arial"/>
                <w:sz w:val="22"/>
                <w:szCs w:val="22"/>
                <w:color w:val="auto"/>
                <w:vertAlign w:val="superscript"/>
              </w:rPr>
              <w:t>(b)</w:t>
            </w:r>
          </w:p>
        </w:tc>
        <w:tc>
          <w:tcPr>
            <w:tcW w:w="28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c>
          <w:tcPr>
            <w:tcW w:w="11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197</w:t>
            </w:r>
          </w:p>
        </w:tc>
        <w:tc>
          <w:tcPr>
            <w:tcW w:w="40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169</w:t>
            </w: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GE benefit plans</w:t>
            </w:r>
            <w:r>
              <w:rPr>
                <w:rFonts w:ascii="Arial" w:cs="Arial" w:eastAsia="Arial" w:hAnsi="Arial"/>
                <w:sz w:val="22"/>
                <w:szCs w:val="22"/>
                <w:color w:val="auto"/>
                <w:vertAlign w:val="superscript"/>
              </w:rPr>
              <w:t>(c)</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33</w:t>
            </w:r>
          </w:p>
        </w:tc>
      </w:tr>
      <w:tr>
        <w:trPr>
          <w:trHeight w:val="196"/>
        </w:trPr>
        <w:tc>
          <w:tcPr>
            <w:tcW w:w="7280" w:type="dxa"/>
            <w:vAlign w:val="bottom"/>
            <w:tcBorders>
              <w:bottom w:val="single" w:sz="8" w:color="53439A"/>
            </w:tcBorders>
          </w:tcPr>
          <w:p>
            <w:pPr>
              <w:spacing w:after="0"/>
              <w:rPr>
                <w:sz w:val="17"/>
                <w:szCs w:val="17"/>
                <w:color w:val="auto"/>
              </w:rPr>
            </w:pPr>
          </w:p>
        </w:tc>
        <w:tc>
          <w:tcPr>
            <w:tcW w:w="280" w:type="dxa"/>
            <w:vAlign w:val="bottom"/>
            <w:tcBorders>
              <w:bottom w:val="single" w:sz="8" w:color="53439A"/>
            </w:tcBorders>
          </w:tcPr>
          <w:p>
            <w:pPr>
              <w:jc w:val="right"/>
              <w:ind w:right="2"/>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ind w:right="36"/>
              <w:spacing w:after="0" w:line="196" w:lineRule="exact"/>
              <w:rPr>
                <w:sz w:val="20"/>
                <w:szCs w:val="20"/>
                <w:color w:val="auto"/>
              </w:rPr>
            </w:pPr>
            <w:r>
              <w:rPr>
                <w:rFonts w:ascii="Arial" w:cs="Arial" w:eastAsia="Arial" w:hAnsi="Arial"/>
                <w:sz w:val="18"/>
                <w:szCs w:val="18"/>
                <w:color w:val="auto"/>
              </w:rPr>
              <w:t>43</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9"/>
              <w:spacing w:after="0" w:line="196" w:lineRule="exact"/>
              <w:rPr>
                <w:sz w:val="20"/>
                <w:szCs w:val="20"/>
                <w:color w:val="auto"/>
              </w:rPr>
            </w:pPr>
            <w:r>
              <w:rPr>
                <w:rFonts w:ascii="Arial" w:cs="Arial" w:eastAsia="Arial" w:hAnsi="Arial"/>
                <w:sz w:val="18"/>
                <w:szCs w:val="18"/>
                <w:color w:val="auto"/>
              </w:rPr>
              <w:t>248</w:t>
            </w:r>
          </w:p>
        </w:tc>
        <w:tc>
          <w:tcPr>
            <w:tcW w:w="40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6"/>
              <w:spacing w:after="0" w:line="196" w:lineRule="exact"/>
              <w:rPr>
                <w:sz w:val="20"/>
                <w:szCs w:val="20"/>
                <w:color w:val="auto"/>
              </w:rPr>
            </w:pPr>
            <w:r>
              <w:rPr>
                <w:rFonts w:ascii="Arial" w:cs="Arial" w:eastAsia="Arial" w:hAnsi="Arial"/>
                <w:sz w:val="18"/>
                <w:szCs w:val="18"/>
                <w:color w:val="auto"/>
              </w:rPr>
              <w:t>220</w:t>
            </w:r>
          </w:p>
        </w:tc>
      </w:tr>
    </w:tbl>
    <w:p>
      <w:pPr>
        <w:spacing w:after="0" w:line="67" w:lineRule="exact"/>
        <w:rPr>
          <w:sz w:val="20"/>
          <w:szCs w:val="20"/>
          <w:color w:val="auto"/>
        </w:rPr>
      </w:pPr>
    </w:p>
    <w:p>
      <w:pPr>
        <w:jc w:val="both"/>
        <w:ind w:left="300" w:right="320" w:hanging="292"/>
        <w:spacing w:after="0" w:line="228" w:lineRule="auto"/>
        <w:tabs>
          <w:tab w:leader="none" w:pos="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Primarily represents participation of certain of our employees under GE’s supplemental pension plan. In addition, prior to the Joint Venture Transaction, our employees participated in GE’s primary pension plan, which is a defined benefit plan administered by GE. Our participation in that plan was accounted for as a participant in a multiemployer plan, for which we recorded expense only to the extent that we were required to fund the plan.</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Primarily represents our employees’ and retirees’ participation in GE’s principal retiree benefit plan.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Primarily represents costs associated with our employees’ participation in GE’s defined contribution savings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3439A"/>
        </w:rPr>
        <w:t>Multiemployer Benefit Plans</w:t>
      </w:r>
    </w:p>
    <w:p>
      <w:pPr>
        <w:ind w:right="140"/>
        <w:spacing w:after="0" w:line="236" w:lineRule="auto"/>
        <w:rPr>
          <w:sz w:val="20"/>
          <w:szCs w:val="20"/>
          <w:color w:val="auto"/>
        </w:rPr>
      </w:pPr>
      <w:r>
        <w:rPr>
          <w:rFonts w:ascii="Arial" w:cs="Arial" w:eastAsia="Arial" w:hAnsi="Arial"/>
          <w:sz w:val="18"/>
          <w:szCs w:val="18"/>
          <w:color w:val="auto"/>
        </w:rPr>
        <w:t>We also participate in various multiemployer pension and other benefit plans covering some of our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where we consider our contributions to be individually significant and the largest plans in which we participate are funded at a level of 80 percent or greater. The total contributions we made to multiemployer benefit plans for the period January 29, 2011 to December 31, 2011 were $42 million. Our contributions to multiemployer benefit plans were not material for the predecessor periods presented.</w:t>
      </w:r>
    </w:p>
    <w:p>
      <w:pPr>
        <w:spacing w:after="0" w:line="15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If we cease to be obligated to make contributions or otherwise withdraw from participation in one of these plans, applicable law requires us to fund our allocable share of the unfunded vested benefits, referred to as a withdrawal liability. In addition, actions taken by other participating employers may lead to adverse changes in the financial condition of a multiemployer benefit plan and our withdrawal liability may increase.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3439A"/>
        </w:rPr>
        <w:t>Deferred Compensation Plans</w:t>
      </w:r>
    </w:p>
    <w:p>
      <w:pPr>
        <w:ind w:right="240"/>
        <w:spacing w:after="0" w:line="237" w:lineRule="auto"/>
        <w:rPr>
          <w:sz w:val="20"/>
          <w:szCs w:val="20"/>
          <w:color w:val="auto"/>
        </w:rPr>
      </w:pPr>
      <w:r>
        <w:rPr>
          <w:rFonts w:ascii="Arial" w:cs="Arial" w:eastAsia="Arial" w:hAnsi="Arial"/>
          <w:sz w:val="18"/>
          <w:szCs w:val="18"/>
          <w:color w:val="auto"/>
        </w:rPr>
        <w:t>Following the close of the Joint Venture Transaction on January 28, 2011, we established an unfunded nonqualified deferred compensation plan for certain employees. The amount of compensation deferred by each participant is based on participant elections. Participants in the plan designate one or more valuation funds, independently established funds or indices, which are used to determine the amount of earnings to be credited or debited to the participant’s account.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323" w:right="239" w:bottom="1440" w:gutter="0" w:footer="0" w:header="0"/>
        </w:sectPr>
      </w:pPr>
    </w:p>
    <w:bookmarkStart w:id="161" w:name="page162"/>
    <w:bookmarkEnd w:id="161"/>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certain of our employees participate in Comcast’s unfunded, nonqualified deferred compensation plan. The amount of compensation deferred by each participant is based on participant elections. Participant accounts are credited with income primarily based on a fixed annual rate. As a result of the Joint Venture Transaction, we assumed the obligation for compensation deferred under this plan before January 28, 2011 for the employees of the Comcast Content Business.</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of the amounts credited to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for these deferred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 the period January 29, 2011 to December 31, 2011 (in millions)</w:t>
            </w:r>
          </w:p>
        </w:tc>
        <w:tc>
          <w:tcPr>
            <w:tcW w:w="4060" w:type="dxa"/>
            <w:vAlign w:val="bottom"/>
            <w:tcBorders>
              <w:bottom w:val="single" w:sz="8" w:color="auto"/>
            </w:tcBorders>
            <w:gridSpan w:val="2"/>
          </w:tcPr>
          <w:p>
            <w:pPr>
              <w:ind w:left="3320"/>
              <w:spacing w:after="0"/>
              <w:rPr>
                <w:sz w:val="20"/>
                <w:szCs w:val="20"/>
                <w:color w:val="auto"/>
              </w:rPr>
            </w:pPr>
            <w:r>
              <w:rPr>
                <w:rFonts w:ascii="Arial" w:cs="Arial" w:eastAsia="Arial" w:hAnsi="Arial"/>
                <w:sz w:val="14"/>
                <w:szCs w:val="14"/>
                <w:color w:val="auto"/>
              </w:rPr>
              <w:t>Successor</w:t>
            </w:r>
          </w:p>
        </w:tc>
      </w:tr>
      <w:tr>
        <w:trPr>
          <w:trHeight w:val="199"/>
        </w:trPr>
        <w:tc>
          <w:tcPr>
            <w:tcW w:w="7360" w:type="dxa"/>
            <w:vAlign w:val="bottom"/>
          </w:tcPr>
          <w:p>
            <w:pPr>
              <w:spacing w:after="0" w:line="200" w:lineRule="exact"/>
              <w:rPr>
                <w:sz w:val="20"/>
                <w:szCs w:val="20"/>
                <w:color w:val="auto"/>
              </w:rPr>
            </w:pPr>
            <w:r>
              <w:rPr>
                <w:rFonts w:ascii="Arial" w:cs="Arial" w:eastAsia="Arial" w:hAnsi="Arial"/>
                <w:sz w:val="18"/>
                <w:szCs w:val="18"/>
                <w:color w:val="auto"/>
              </w:rPr>
              <w:t>Benefits obligation</w:t>
            </w:r>
          </w:p>
        </w:tc>
        <w:tc>
          <w:tcPr>
            <w:tcW w:w="3540" w:type="dxa"/>
            <w:vAlign w:val="bottom"/>
          </w:tcPr>
          <w:p>
            <w:pPr>
              <w:ind w:left="332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114</w:t>
            </w:r>
          </w:p>
        </w:tc>
      </w:tr>
      <w:tr>
        <w:trPr>
          <w:trHeight w:val="199"/>
        </w:trPr>
        <w:tc>
          <w:tcPr>
            <w:tcW w:w="7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Interest Expense</w:t>
            </w:r>
          </w:p>
        </w:tc>
        <w:tc>
          <w:tcPr>
            <w:tcW w:w="3540" w:type="dxa"/>
            <w:vAlign w:val="bottom"/>
            <w:tcBorders>
              <w:bottom w:val="single" w:sz="8" w:color="auto"/>
            </w:tcBorders>
          </w:tcPr>
          <w:p>
            <w:pPr>
              <w:ind w:left="3320"/>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3439A"/>
        </w:rPr>
        <w:t>Retirement Investment Plans</w:t>
      </w:r>
    </w:p>
    <w:p>
      <w:pPr>
        <w:ind w:right="60"/>
        <w:spacing w:after="0" w:line="237" w:lineRule="auto"/>
        <w:rPr>
          <w:sz w:val="20"/>
          <w:szCs w:val="20"/>
          <w:color w:val="auto"/>
        </w:rPr>
      </w:pPr>
      <w:r>
        <w:rPr>
          <w:rFonts w:ascii="Arial" w:cs="Arial" w:eastAsia="Arial" w:hAnsi="Arial"/>
          <w:sz w:val="18"/>
          <w:szCs w:val="18"/>
          <w:color w:val="auto"/>
        </w:rPr>
        <w:t>Following the close of the Joint Venture Transaction on January 28, 2011, we provide a 401(k) defined contribution retirement plan for our U.S. employees and certain of our employees participate in a similar plan provided by Comcast. In addition, we also provide similar defined contribution retirement plans for non-U.S. employees. We match a percentage of the employees’ contributions up to certain limits. In 2011, expenses related to these plans were approximately $70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15: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Following the closing of the Joint Venture Transaction, certain of our employees and executive officers receive awards of stock options and RSUs under Comcast equity plans. The expense associated with participation in these plans, including the expense associated with awards to former Comcast employees who were not vested as of closing, is settled in cash with Comcast.</w:t>
      </w:r>
    </w:p>
    <w:p>
      <w:pPr>
        <w:sectPr>
          <w:pgSz w:w="11900" w:h="16838" w:orient="portrait"/>
          <w:cols w:equalWidth="0" w:num="1">
            <w:col w:w="11420"/>
          </w:cols>
          <w:pgMar w:left="240" w:top="345"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53439A"/>
        </w:rPr>
        <w:t>Recognized Share-Based Compensation Expense – Comcast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-6985</wp:posOffset>
            </wp:positionV>
            <wp:extent cx="1294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2"/>
          <w:szCs w:val="12"/>
          <w:color w:val="auto"/>
        </w:rPr>
        <w:t>For the Period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January 29, 2011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2011</w:t>
      </w:r>
    </w:p>
    <w:p>
      <w:pPr>
        <w:spacing w:after="0" w:line="25" w:lineRule="exact"/>
        <w:rPr>
          <w:sz w:val="20"/>
          <w:szCs w:val="20"/>
          <w:color w:val="auto"/>
        </w:rPr>
      </w:pPr>
    </w:p>
    <w:p>
      <w:pPr>
        <w:sectPr>
          <w:pgSz w:w="11900" w:h="16838" w:orient="portrait"/>
          <w:cols w:equalWidth="0" w:num="2">
            <w:col w:w="9400" w:space="720"/>
            <w:col w:w="1300"/>
          </w:cols>
          <w:pgMar w:left="240" w:top="345" w:right="2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62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Stock options</w:t>
            </w:r>
          </w:p>
        </w:tc>
        <w:tc>
          <w:tcPr>
            <w:tcW w:w="4400" w:type="dxa"/>
            <w:vAlign w:val="bottom"/>
            <w:tcBorders>
              <w:top w:val="single" w:sz="8" w:color="auto"/>
            </w:tcBorders>
          </w:tcPr>
          <w:p>
            <w:pPr>
              <w:jc w:val="right"/>
              <w:ind w:right="372"/>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44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w:t>
            </w:r>
          </w:p>
        </w:tc>
      </w:tr>
      <w:tr>
        <w:trPr>
          <w:trHeight w:val="199"/>
        </w:trPr>
        <w:tc>
          <w:tcPr>
            <w:tcW w:w="62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w:t>
            </w:r>
          </w:p>
        </w:tc>
        <w:tc>
          <w:tcPr>
            <w:tcW w:w="4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w:t>
            </w:r>
          </w:p>
        </w:tc>
      </w:tr>
      <w:tr>
        <w:trPr>
          <w:trHeight w:val="196"/>
        </w:trPr>
        <w:tc>
          <w:tcPr>
            <w:tcW w:w="626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Total</w:t>
            </w:r>
          </w:p>
        </w:tc>
        <w:tc>
          <w:tcPr>
            <w:tcW w:w="4400" w:type="dxa"/>
            <w:vAlign w:val="bottom"/>
            <w:tcBorders>
              <w:bottom w:val="single" w:sz="8" w:color="53439A"/>
            </w:tcBorders>
          </w:tcPr>
          <w:p>
            <w:pPr>
              <w:jc w:val="right"/>
              <w:ind w:right="37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33</w:t>
            </w:r>
          </w:p>
        </w:tc>
      </w:tr>
    </w:tbl>
    <w:p>
      <w:pPr>
        <w:spacing w:after="0" w:line="16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December 31, 2011, we had unrecognized pretax compensation expense of $44 million related to 11.1 million nonvested Comcast stock options and unrecognized pretax compensation expense of $62 million related to 5.4 million nonvested Comcast RSUs that will be recognized over a weighted-average period of approximately 2.3 years and 2.0 years, respectively.</w:t>
      </w:r>
    </w:p>
    <w:p>
      <w:pPr>
        <w:spacing w:after="0" w:line="323" w:lineRule="exact"/>
        <w:rPr>
          <w:sz w:val="20"/>
          <w:szCs w:val="20"/>
          <w:color w:val="auto"/>
        </w:rPr>
      </w:pPr>
    </w:p>
    <w:p>
      <w:pPr>
        <w:ind w:left="5680"/>
        <w:spacing w:after="0"/>
        <w:tabs>
          <w:tab w:leader="none" w:pos="846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NBCUniversal 2011 Annual Report on Form 10-K</w:t>
      </w:r>
    </w:p>
    <w:p>
      <w:pPr>
        <w:sectPr>
          <w:pgSz w:w="11900" w:h="16838" w:orient="portrait"/>
          <w:cols w:equalWidth="0" w:num="1">
            <w:col w:w="11420"/>
          </w:cols>
          <w:pgMar w:left="240" w:top="345" w:right="2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Option Plans</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 maintains stock option plans for certain employees under which fixed-price stock options may be granted and the option price is generally not less than the fair value of a share of the underlying stock on the date of grant. Option terms are generally 10 years, with options generally becoming exercisable within five years from the date of grant.</w:t>
      </w:r>
    </w:p>
    <w:p>
      <w:pPr>
        <w:spacing w:after="0" w:line="15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Comcast uses the Black-Scholes option pricing model to estimate the fair value of each stock option on the date of grant. The Black-Scholes option pricing model uses the assumptions summarized in the table below. Dividend yield is based on the yield on the date of grant. Expected volatility is based on a blend of implied and historical volatility of Comcast Class A common stock. The risk-free rate is based on the U.S. Treasury yield curve in effect on the date of grant. Comcast uses historical data on the exercise of stock options and other factors expected to impact holders’ behavior to estimate the expected term of the options granted.</w:t>
      </w:r>
    </w:p>
    <w:p>
      <w:pPr>
        <w:spacing w:after="0" w:line="15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table below presents the weighted-average fair value on the date of grant of the 2.8 million Class A common stock options awarded under Comcast’s stock option plans to employees of NBCUniversal and the related weighted-average valuation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w:t>
            </w:r>
          </w:p>
        </w:tc>
      </w:tr>
      <w:tr>
        <w:trPr>
          <w:trHeight w:val="199"/>
        </w:trPr>
        <w:tc>
          <w:tcPr>
            <w:tcW w:w="6520" w:type="dxa"/>
            <w:vAlign w:val="bottom"/>
          </w:tcPr>
          <w:p>
            <w:pPr>
              <w:spacing w:after="0" w:line="200" w:lineRule="exact"/>
              <w:rPr>
                <w:sz w:val="20"/>
                <w:szCs w:val="20"/>
                <w:color w:val="auto"/>
              </w:rPr>
            </w:pPr>
            <w:r>
              <w:rPr>
                <w:rFonts w:ascii="Arial" w:cs="Arial" w:eastAsia="Arial" w:hAnsi="Arial"/>
                <w:sz w:val="18"/>
                <w:szCs w:val="18"/>
                <w:color w:val="auto"/>
              </w:rPr>
              <w:t>Fair value</w:t>
            </w:r>
          </w:p>
        </w:tc>
        <w:tc>
          <w:tcPr>
            <w:tcW w:w="490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$ 6.77</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49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90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49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99"/>
        </w:trPr>
        <w:tc>
          <w:tcPr>
            <w:tcW w:w="6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Expected option life (in years)</w:t>
            </w:r>
          </w:p>
        </w:tc>
        <w:tc>
          <w:tcPr>
            <w:tcW w:w="490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7.0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Restricted Stock Plan</w:t>
      </w:r>
    </w:p>
    <w:p>
      <w:pPr>
        <w:spacing w:after="0" w:line="1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Comcast maintains a restricted stock plan under which certain of our employees and executive officers (each, a “participant”) may be granted RSU awards in units of Comcast Class A common stock. RSUs are valued based on the closing price on the date of grant and discounted for the lack of dividends, if any, during the vesting period and entitle participants to receive, at the time of vesting, one share of common stock for each RSU. The awards vest annually, generally over a period not to exceed five years, and do not have voting or dividend rights prior to vesting.</w:t>
      </w:r>
    </w:p>
    <w:p>
      <w:pPr>
        <w:spacing w:after="0" w:line="12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weighted-average fair value on the date of grant of the 2.6 million RSUs awarded under Comcast’s restricted stock plans to employees of NBCUniversal was $21.75.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Following the closing of the Joint Venture Transaction, certain of our employees are eligible to participate in employee stock purchase plans that allow employees to purchase shares of Comcast Class A common stock at a 15% discount. We recognize the fair value of the discount associated with shares purchased under these plans as share-based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 Option Plans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the close of the Joint Venture Transaction, GE granted stock options and RSUs to certain of our employees and in limited circumstances to consultants, advisors and independent contractors, the majority of which vested in conjunction with the closing of the Joint Venture Transaction on January 28, 2011. However, certain stock option and RSU grants did not vest upon the closing and continue to vest based on the original period of the award. The share-based compensation expense recorded for these remaining stock options and RSUs is presented in the table below in the Successor period ended December 31, 2011.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323"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Recognized Share-Based Compensation Expense – GE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00"/>
              <w:spacing w:after="0"/>
              <w:rPr>
                <w:sz w:val="20"/>
                <w:szCs w:val="20"/>
                <w:color w:val="auto"/>
              </w:rPr>
            </w:pPr>
            <w:r>
              <w:rPr>
                <w:rFonts w:ascii="Arial" w:cs="Arial" w:eastAsia="Arial" w:hAnsi="Arial"/>
                <w:sz w:val="14"/>
                <w:szCs w:val="14"/>
                <w:color w:val="auto"/>
              </w:rPr>
              <w:t>Predecessor</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0"/>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7"/>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40" w:type="dxa"/>
            <w:vAlign w:val="bottom"/>
            <w:gridSpan w:val="2"/>
          </w:tcPr>
          <w:p>
            <w:pPr>
              <w:jc w:val="right"/>
              <w:ind w:right="57"/>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Year Ended</w:t>
            </w:r>
          </w:p>
        </w:tc>
      </w:tr>
      <w:tr>
        <w:trPr>
          <w:trHeight w:val="163"/>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color w:val="auto"/>
              </w:rPr>
              <w:t>GE equity awards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Stock options</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w:t>
            </w:r>
          </w:p>
        </w:tc>
      </w:tr>
      <w:tr>
        <w:trPr>
          <w:trHeight w:val="199"/>
        </w:trPr>
        <w:tc>
          <w:tcPr>
            <w:tcW w:w="55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Restricted share units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12</w:t>
            </w:r>
          </w:p>
        </w:tc>
      </w:tr>
      <w:tr>
        <w:trPr>
          <w:trHeight w:val="196"/>
        </w:trPr>
        <w:tc>
          <w:tcPr>
            <w:tcW w:w="5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color w:val="auto"/>
              </w:rPr>
              <w:t>21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16: Member’s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As part of the Joint Venture Transaction, we converted our company into a limited liability company of which NBCUniversal Holdings is the sole member. Comcast controls and owns 51% of NBCUniversal Holdings and GE owns the remaining 49%.</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NBCUniversal Holdings has caused us and will continue to cause us to make distributions or loans to NBCUniversal Holdings to meet its cash requirements. These requirements include an obligation to make distributions on a quarterly basis to enable its indirect owners (Comcast and GE) to meet their obligations to pay taxes on taxable income generated by our business. During the period January 29, 2011 through December 31, 2011, we made distributions to NBCUniversal Holdings of $244 million.</w:t>
      </w:r>
    </w:p>
    <w:p>
      <w:pPr>
        <w:spacing w:after="0" w:line="155"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 the Predecessor period ended January 28, 2011, we distributed approximately $7.4 billion to GE prior to the close of the Joint Venture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our accumulated other comprehensive income (loss), net of deferred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9"/>
        </w:trPr>
        <w:tc>
          <w:tcPr>
            <w:tcW w:w="9160" w:type="dxa"/>
            <w:vAlign w:val="bottom"/>
          </w:tcPr>
          <w:p>
            <w:pPr>
              <w:spacing w:after="0" w:line="200" w:lineRule="exact"/>
              <w:rPr>
                <w:sz w:val="20"/>
                <w:szCs w:val="20"/>
                <w:color w:val="auto"/>
              </w:rPr>
            </w:pPr>
            <w:r>
              <w:rPr>
                <w:rFonts w:ascii="Arial" w:cs="Arial" w:eastAsia="Arial" w:hAnsi="Arial"/>
                <w:sz w:val="18"/>
                <w:szCs w:val="18"/>
                <w:color w:val="auto"/>
              </w:rPr>
              <w:t>Unrealized gains (losses) on marketable securities</w:t>
            </w:r>
          </w:p>
        </w:tc>
        <w:tc>
          <w:tcPr>
            <w:tcW w:w="32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2</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3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3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Cumulative translation adjustments</w:t>
            </w: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1</w:t>
            </w:r>
          </w:p>
        </w:tc>
      </w:tr>
      <w:tr>
        <w:trPr>
          <w:trHeight w:val="203"/>
        </w:trPr>
        <w:tc>
          <w:tcPr>
            <w:tcW w:w="91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Accumulated other comprehensive income (loss), net of deferred taxes</w:t>
            </w:r>
          </w:p>
        </w:tc>
        <w:tc>
          <w:tcPr>
            <w:tcW w:w="320" w:type="dxa"/>
            <w:vAlign w:val="bottom"/>
            <w:tcBorders>
              <w:bottom w:val="single" w:sz="8" w:color="53439A"/>
            </w:tcBorders>
          </w:tcPr>
          <w:p>
            <w:pPr>
              <w:ind w:left="12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53439A"/>
              <w:right w:val="single" w:sz="8" w:color="auto"/>
            </w:tcBorders>
          </w:tcPr>
          <w:p>
            <w:pPr>
              <w:spacing w:after="0"/>
              <w:rPr>
                <w:sz w:val="17"/>
                <w:szCs w:val="17"/>
                <w:color w:val="auto"/>
              </w:rPr>
            </w:pPr>
          </w:p>
        </w:tc>
        <w:tc>
          <w:tcPr>
            <w:tcW w:w="580" w:type="dxa"/>
            <w:vAlign w:val="bottom"/>
            <w:tcBorders>
              <w:bottom w:val="single" w:sz="8" w:color="53439A"/>
            </w:tcBorders>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(13)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Transaction</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Following the closing of the Joint Venture Transaction, we are a limited liability company. For U.S. federal income tax purposes, we are disregarded as an entity separate from NBCUniversal Holdings, a tax partnership. Accordingly, we do not incur any significant current or deferred domestic income taxes. We continue to incur current and deferred foreign income taxes through our foreign subsidiaries, and also incur foreign withholding tax expense.</w:t>
      </w:r>
    </w:p>
    <w:p>
      <w:pPr>
        <w:spacing w:after="0" w:line="324"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6" w:right="239" w:bottom="1440" w:gutter="0" w:footer="0" w:header="0"/>
        </w:sectPr>
      </w:pPr>
    </w:p>
    <w:bookmarkStart w:id="164" w:name="page165"/>
    <w:bookmarkEnd w:id="164"/>
    <w:p>
      <w:pPr>
        <w:ind w:right="68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tables below present information on the taxes incurred following our conversion into a limited liability company. The information for our Predecessor periods is presented separately as the information is not comparable following the significant change in our taxable status.</w:t>
      </w:r>
    </w:p>
    <w:p>
      <w:pPr>
        <w:sectPr>
          <w:pgSz w:w="11900" w:h="16838" w:orient="portrait"/>
          <w:cols w:equalWidth="0" w:num="1">
            <w:col w:w="11420"/>
          </w:cols>
          <w:pgMar w:left="240" w:top="345" w:right="2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53439A"/>
        </w:rPr>
        <w:t>Components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-6985</wp:posOffset>
            </wp:positionV>
            <wp:extent cx="12865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2"/>
          <w:szCs w:val="12"/>
          <w:color w:val="auto"/>
        </w:rPr>
        <w:t>For the Period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January 29, 2011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2011</w:t>
      </w:r>
    </w:p>
    <w:p>
      <w:pPr>
        <w:spacing w:after="0" w:line="25" w:lineRule="exact"/>
        <w:rPr>
          <w:sz w:val="20"/>
          <w:szCs w:val="20"/>
          <w:color w:val="auto"/>
        </w:rPr>
      </w:pPr>
    </w:p>
    <w:p>
      <w:pPr>
        <w:sectPr>
          <w:pgSz w:w="11900" w:h="16838" w:orient="portrait"/>
          <w:cols w:equalWidth="0" w:num="2">
            <w:col w:w="9400" w:space="720"/>
            <w:col w:w="1300"/>
          </w:cols>
          <w:pgMar w:left="240" w:top="345" w:right="2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85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Foreign</w:t>
            </w:r>
          </w:p>
        </w:tc>
        <w:tc>
          <w:tcPr>
            <w:tcW w:w="16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20"/>
              <w:spacing w:after="0" w:line="202" w:lineRule="exact"/>
              <w:rPr>
                <w:sz w:val="20"/>
                <w:szCs w:val="20"/>
                <w:color w:val="auto"/>
              </w:rPr>
            </w:pPr>
            <w:r>
              <w:rPr>
                <w:rFonts w:ascii="Arial" w:cs="Arial" w:eastAsia="Arial" w:hAnsi="Arial"/>
                <w:sz w:val="18"/>
                <w:szCs w:val="18"/>
                <w:color w:val="auto"/>
              </w:rPr>
              <w:t>Current income tax expense</w:t>
            </w:r>
          </w:p>
        </w:tc>
        <w:tc>
          <w:tcPr>
            <w:tcW w:w="2380" w:type="dxa"/>
            <w:vAlign w:val="bottom"/>
            <w:gridSpan w:val="2"/>
          </w:tcPr>
          <w:p>
            <w:pPr>
              <w:jc w:val="right"/>
              <w:ind w:right="63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852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852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U.S. domestic tax expense</w:t>
            </w:r>
          </w:p>
        </w:tc>
        <w:tc>
          <w:tcPr>
            <w:tcW w:w="1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380" w:type="dxa"/>
            <w:vAlign w:val="bottom"/>
            <w:tcBorders>
              <w:bottom w:val="single" w:sz="8" w:color="53439A"/>
            </w:tcBorders>
            <w:gridSpan w:val="2"/>
          </w:tcPr>
          <w:p>
            <w:pPr>
              <w:jc w:val="right"/>
              <w:ind w:right="632"/>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70"/>
        </w:trPr>
        <w:tc>
          <w:tcPr>
            <w:tcW w:w="8520" w:type="dxa"/>
            <w:vAlign w:val="bottom"/>
          </w:tcPr>
          <w:p>
            <w:pPr>
              <w:spacing w:after="0"/>
              <w:rPr>
                <w:sz w:val="20"/>
                <w:szCs w:val="20"/>
                <w:color w:val="auto"/>
              </w:rPr>
            </w:pPr>
            <w:r>
              <w:rPr>
                <w:rFonts w:ascii="Arial" w:cs="Arial" w:eastAsia="Arial" w:hAnsi="Arial"/>
                <w:sz w:val="18"/>
                <w:szCs w:val="18"/>
                <w:color w:val="53439A"/>
              </w:rPr>
              <w:t>Components of Net Deferred Tax Liability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600" w:type="dxa"/>
            <w:vAlign w:val="bottom"/>
          </w:tcPr>
          <w:p>
            <w:pPr>
              <w:spacing w:after="0"/>
              <w:rPr>
                <w:sz w:val="20"/>
                <w:szCs w:val="20"/>
                <w:color w:val="auto"/>
              </w:rPr>
            </w:pPr>
          </w:p>
        </w:tc>
        <w:tc>
          <w:tcPr>
            <w:tcW w:w="13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auto"/>
            </w:tcBorders>
            <w:vMerge w:val="continue"/>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52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2380" w:type="dxa"/>
            <w:vAlign w:val="bottom"/>
            <w:gridSpan w:val="2"/>
          </w:tcPr>
          <w:p>
            <w:pPr>
              <w:ind w:left="2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Nondeductible accruals and other</w:t>
            </w: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Valuation allowance</w:t>
            </w:r>
          </w:p>
        </w:tc>
        <w:tc>
          <w:tcPr>
            <w:tcW w:w="1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9"/>
        </w:trPr>
        <w:tc>
          <w:tcPr>
            <w:tcW w:w="852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2380" w:type="dxa"/>
            <w:vAlign w:val="bottom"/>
            <w:gridSpan w:val="2"/>
          </w:tcPr>
          <w:p>
            <w:pPr>
              <w:ind w:left="216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9"/>
        </w:trPr>
        <w:tc>
          <w:tcPr>
            <w:tcW w:w="8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Differences between book and tax basis of investments</w:t>
            </w:r>
          </w:p>
        </w:tc>
        <w:tc>
          <w:tcPr>
            <w:tcW w:w="1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2380" w:type="dxa"/>
            <w:vAlign w:val="bottom"/>
            <w:tcBorders>
              <w:bottom w:val="single" w:sz="8" w:color="53439A"/>
            </w:tcBorders>
            <w:gridSpan w:val="2"/>
          </w:tcPr>
          <w:p>
            <w:pPr>
              <w:ind w:left="216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Changes in net deferred income tax liabilities in 2011 that were not recorded as deferred income tax expense are primarily related to the effects of the Joint Venture Transaction. All deferred income taxes relating to U.S. federal tax matters have been retained by GE and Comcast, as applicable. Accordingly, we have no significant deferred tax assets and liabilities related to U.S federal tax matters as of December 31, 2011.</w:t>
      </w:r>
    </w:p>
    <w:p>
      <w:pPr>
        <w:spacing w:after="0" w:line="15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deferred tax assets are primarily related to non-deductible accruals and reserves as well as various foreign net operating losses. The determination of the realization of the net operating loss carryforwards is dependent on our subsidiaries’ taxable income or loss, or foreign laws that can change from year to year and impact the amount of such carryforwards. As of December 31, 2011, our gross net operating losses totaled approximately $271 million, the majority of which expire in periods through 2021. We recognize a valuation allowance if we determine it is more likely than not that some portion, or all, of a deferred tax asset will not be realized. As of December 31, 2011 our valuation allowance was related primarily to state and foreign net operating loss carryforwards.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345" w:right="2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Predecessor</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periods prior to the Joint Venture Transaction, our Predecessor was a U.S. corporation and incurred current and deferred U.S. and foreign taxes on worldwide income. The below tables present information on the taxes incurred by our Predecessor.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Income (Loss) Before Income Taxes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rPr>
              <w:t>Predecessor</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7"/>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20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3"/>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January 28, 2011</w:t>
            </w: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2010</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United States</w:t>
            </w:r>
          </w:p>
        </w:tc>
        <w:tc>
          <w:tcPr>
            <w:tcW w:w="28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(39)</w:t>
            </w:r>
          </w:p>
        </w:tc>
        <w:tc>
          <w:tcPr>
            <w:tcW w:w="2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18"/>
              <w:spacing w:after="0" w:line="200" w:lineRule="exact"/>
              <w:rPr>
                <w:sz w:val="20"/>
                <w:szCs w:val="20"/>
                <w:color w:val="auto"/>
              </w:rPr>
            </w:pPr>
            <w:r>
              <w:rPr>
                <w:rFonts w:ascii="Arial" w:cs="Arial" w:eastAsia="Arial" w:hAnsi="Arial"/>
                <w:sz w:val="18"/>
                <w:szCs w:val="18"/>
                <w:color w:val="auto"/>
              </w:rPr>
              <w:t>1,731</w:t>
            </w:r>
          </w:p>
        </w:tc>
        <w:tc>
          <w:tcPr>
            <w:tcW w:w="66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530</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53439A"/>
            </w:tcBorders>
          </w:tcPr>
          <w:p>
            <w:pPr>
              <w:spacing w:after="0"/>
              <w:rPr>
                <w:sz w:val="17"/>
                <w:szCs w:val="17"/>
                <w:color w:val="auto"/>
              </w:rPr>
            </w:pP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(29)</w:t>
            </w:r>
          </w:p>
        </w:tc>
        <w:tc>
          <w:tcPr>
            <w:tcW w:w="2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53439A"/>
            </w:tcBorders>
          </w:tcPr>
          <w:p>
            <w:pPr>
              <w:jc w:val="right"/>
              <w:ind w:right="118"/>
              <w:spacing w:after="0" w:line="196" w:lineRule="exact"/>
              <w:rPr>
                <w:sz w:val="20"/>
                <w:szCs w:val="20"/>
                <w:color w:val="auto"/>
              </w:rPr>
            </w:pPr>
            <w:r>
              <w:rPr>
                <w:rFonts w:ascii="Arial" w:cs="Arial" w:eastAsia="Arial" w:hAnsi="Arial"/>
                <w:sz w:val="18"/>
                <w:szCs w:val="18"/>
                <w:color w:val="auto"/>
              </w:rPr>
              <w:t>2,261</w:t>
            </w:r>
          </w:p>
        </w:tc>
        <w:tc>
          <w:tcPr>
            <w:tcW w:w="660" w:type="dxa"/>
            <w:vAlign w:val="bottom"/>
            <w:tcBorders>
              <w:bottom w:val="single" w:sz="8" w:color="53439A"/>
            </w:tcBorders>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370"/>
        </w:trPr>
        <w:tc>
          <w:tcPr>
            <w:tcW w:w="7280" w:type="dxa"/>
            <w:vAlign w:val="bottom"/>
          </w:tcPr>
          <w:p>
            <w:pPr>
              <w:spacing w:after="0"/>
              <w:rPr>
                <w:sz w:val="20"/>
                <w:szCs w:val="20"/>
                <w:color w:val="auto"/>
              </w:rPr>
            </w:pPr>
            <w:r>
              <w:rPr>
                <w:rFonts w:ascii="Arial" w:cs="Arial" w:eastAsia="Arial" w:hAnsi="Arial"/>
                <w:sz w:val="18"/>
                <w:szCs w:val="18"/>
                <w:color w:val="53439A"/>
              </w:rPr>
              <w:t>Components of Income Tax Expense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7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rPr>
              <w:t>Predecessor</w:t>
            </w: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7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57"/>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20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3"/>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January 28, 2011</w:t>
            </w: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2010</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403</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290</w:t>
            </w:r>
          </w:p>
        </w:tc>
        <w:tc>
          <w:tcPr>
            <w:tcW w:w="6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80" w:type="dxa"/>
            <w:vAlign w:val="bottom"/>
          </w:tcPr>
          <w:p>
            <w:pPr>
              <w:spacing w:after="0"/>
              <w:rPr>
                <w:sz w:val="17"/>
                <w:szCs w:val="17"/>
                <w:color w:val="auto"/>
              </w:rPr>
            </w:pPr>
          </w:p>
        </w:tc>
        <w:tc>
          <w:tcPr>
            <w:tcW w:w="10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12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(16)</w:t>
            </w:r>
          </w:p>
        </w:tc>
        <w:tc>
          <w:tcPr>
            <w:tcW w:w="6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217</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
              <w:spacing w:after="0" w:line="196" w:lineRule="exact"/>
              <w:rPr>
                <w:sz w:val="20"/>
                <w:szCs w:val="20"/>
                <w:color w:val="auto"/>
              </w:rPr>
            </w:pPr>
            <w:r>
              <w:rPr>
                <w:rFonts w:ascii="Arial" w:cs="Arial" w:eastAsia="Arial" w:hAnsi="Arial"/>
                <w:sz w:val="18"/>
                <w:szCs w:val="18"/>
                <w:color w:val="auto"/>
              </w:rPr>
              <w:t>441</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8"/>
              <w:spacing w:after="0" w:line="196" w:lineRule="exact"/>
              <w:rPr>
                <w:sz w:val="20"/>
                <w:szCs w:val="20"/>
                <w:color w:val="auto"/>
              </w:rPr>
            </w:pPr>
            <w:r>
              <w:rPr>
                <w:rFonts w:ascii="Arial" w:cs="Arial" w:eastAsia="Arial" w:hAnsi="Arial"/>
                <w:sz w:val="18"/>
                <w:szCs w:val="18"/>
                <w:color w:val="auto"/>
              </w:rPr>
              <w:t>491</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60" w:type="dxa"/>
            <w:vAlign w:val="bottom"/>
          </w:tcPr>
          <w:p>
            <w:pPr>
              <w:spacing w:after="0"/>
              <w:rPr>
                <w:sz w:val="17"/>
                <w:szCs w:val="17"/>
                <w:color w:val="auto"/>
              </w:rPr>
            </w:pPr>
          </w:p>
        </w:tc>
        <w:tc>
          <w:tcPr>
            <w:tcW w:w="120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230</w:t>
            </w:r>
          </w:p>
        </w:tc>
        <w:tc>
          <w:tcPr>
            <w:tcW w:w="6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8"/>
              <w:spacing w:after="0" w:line="196" w:lineRule="exact"/>
              <w:rPr>
                <w:sz w:val="20"/>
                <w:szCs w:val="20"/>
                <w:color w:val="auto"/>
              </w:rPr>
            </w:pPr>
            <w:r>
              <w:rPr>
                <w:rFonts w:ascii="Arial" w:cs="Arial" w:eastAsia="Arial" w:hAnsi="Arial"/>
                <w:sz w:val="18"/>
                <w:szCs w:val="18"/>
                <w:color w:val="auto"/>
              </w:rPr>
              <w:t>254</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(4)</w:t>
            </w:r>
          </w:p>
        </w:tc>
        <w:tc>
          <w:tcPr>
            <w:tcW w:w="26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53439A"/>
            </w:tcBorders>
          </w:tcPr>
          <w:p>
            <w:pPr>
              <w:jc w:val="right"/>
              <w:ind w:right="118"/>
              <w:spacing w:after="0" w:line="196" w:lineRule="exact"/>
              <w:rPr>
                <w:sz w:val="20"/>
                <w:szCs w:val="20"/>
                <w:color w:val="auto"/>
              </w:rPr>
            </w:pPr>
            <w:r>
              <w:rPr>
                <w:rFonts w:ascii="Arial" w:cs="Arial" w:eastAsia="Arial" w:hAnsi="Arial"/>
                <w:sz w:val="18"/>
                <w:szCs w:val="18"/>
                <w:color w:val="auto"/>
              </w:rPr>
              <w:t>745</w:t>
            </w:r>
          </w:p>
        </w:tc>
        <w:tc>
          <w:tcPr>
            <w:tcW w:w="660" w:type="dxa"/>
            <w:vAlign w:val="bottom"/>
            <w:tcBorders>
              <w:bottom w:val="single" w:sz="8" w:color="53439A"/>
            </w:tcBorders>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370"/>
        </w:trPr>
        <w:tc>
          <w:tcPr>
            <w:tcW w:w="7280" w:type="dxa"/>
            <w:vAlign w:val="bottom"/>
          </w:tcPr>
          <w:p>
            <w:pPr>
              <w:spacing w:after="0"/>
              <w:rPr>
                <w:sz w:val="20"/>
                <w:szCs w:val="20"/>
                <w:color w:val="auto"/>
              </w:rPr>
            </w:pPr>
            <w:r>
              <w:rPr>
                <w:rFonts w:ascii="Arial" w:cs="Arial" w:eastAsia="Arial" w:hAnsi="Arial"/>
                <w:sz w:val="18"/>
                <w:szCs w:val="18"/>
                <w:color w:val="53439A"/>
              </w:rPr>
              <w:t>Components of Net Deferred Tax Liability</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2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Nondeductible accruals and other</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9"/>
        </w:trPr>
        <w:tc>
          <w:tcPr>
            <w:tcW w:w="728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Foreign income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Differences between book and tax basis of investments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53439A"/>
            </w:tcBorders>
          </w:tcPr>
          <w:p>
            <w:pPr>
              <w:spacing w:after="0"/>
              <w:rPr>
                <w:sz w:val="17"/>
                <w:szCs w:val="17"/>
                <w:color w:val="auto"/>
              </w:rPr>
            </w:pPr>
          </w:p>
        </w:tc>
        <w:tc>
          <w:tcPr>
            <w:tcW w:w="1080" w:type="dxa"/>
            <w:vAlign w:val="bottom"/>
            <w:tcBorders>
              <w:bottom w:val="single" w:sz="8" w:color="53439A"/>
            </w:tcBorders>
          </w:tcPr>
          <w:p>
            <w:pPr>
              <w:spacing w:after="0"/>
              <w:rPr>
                <w:sz w:val="17"/>
                <w:szCs w:val="17"/>
                <w:color w:val="auto"/>
              </w:rPr>
            </w:pPr>
          </w:p>
        </w:tc>
        <w:tc>
          <w:tcPr>
            <w:tcW w:w="260" w:type="dxa"/>
            <w:vAlign w:val="bottom"/>
            <w:tcBorders>
              <w:bottom w:val="single" w:sz="8" w:color="53439A"/>
            </w:tcBorders>
          </w:tcPr>
          <w:p>
            <w:pPr>
              <w:spacing w:after="0"/>
              <w:rPr>
                <w:sz w:val="17"/>
                <w:szCs w:val="17"/>
                <w:color w:val="auto"/>
              </w:rPr>
            </w:pPr>
          </w:p>
        </w:tc>
        <w:tc>
          <w:tcPr>
            <w:tcW w:w="1200" w:type="dxa"/>
            <w:vAlign w:val="bottom"/>
            <w:tcBorders>
              <w:bottom w:val="single" w:sz="8" w:color="53439A"/>
            </w:tcBorders>
          </w:tcPr>
          <w:p>
            <w:pPr>
              <w:spacing w:after="0"/>
              <w:rPr>
                <w:sz w:val="17"/>
                <w:szCs w:val="17"/>
                <w:color w:val="auto"/>
              </w:rPr>
            </w:pPr>
          </w:p>
        </w:tc>
        <w:tc>
          <w:tcPr>
            <w:tcW w:w="660" w:type="dxa"/>
            <w:vAlign w:val="bottom"/>
            <w:tcBorders>
              <w:bottom w:val="single" w:sz="8" w:color="53439A"/>
            </w:tcBorders>
          </w:tcPr>
          <w:p>
            <w:pPr>
              <w:ind w:left="44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506"/>
        </w:trPr>
        <w:tc>
          <w:tcPr>
            <w:tcW w:w="7280" w:type="dxa"/>
            <w:vAlign w:val="bottom"/>
          </w:tcPr>
          <w:p>
            <w:pPr>
              <w:ind w:left="5680"/>
              <w:spacing w:after="0"/>
              <w:rPr>
                <w:sz w:val="20"/>
                <w:szCs w:val="20"/>
                <w:color w:val="auto"/>
              </w:rPr>
            </w:pPr>
            <w:r>
              <w:rPr>
                <w:rFonts w:ascii="Arial" w:cs="Arial" w:eastAsia="Arial" w:hAnsi="Arial"/>
                <w:sz w:val="14"/>
                <w:szCs w:val="14"/>
                <w:b w:val="1"/>
                <w:bCs w:val="1"/>
                <w:color w:val="auto"/>
              </w:rPr>
              <w:t>83</w:t>
            </w:r>
          </w:p>
        </w:tc>
        <w:tc>
          <w:tcPr>
            <w:tcW w:w="280" w:type="dxa"/>
            <w:vAlign w:val="bottom"/>
          </w:tcPr>
          <w:p>
            <w:pPr>
              <w:spacing w:after="0"/>
              <w:rPr>
                <w:sz w:val="24"/>
                <w:szCs w:val="24"/>
                <w:color w:val="auto"/>
              </w:rPr>
            </w:pPr>
          </w:p>
        </w:tc>
        <w:tc>
          <w:tcPr>
            <w:tcW w:w="386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323" w:right="239" w:bottom="1440" w:gutter="0" w:footer="0" w:header="0"/>
        </w:sectPr>
      </w:pPr>
    </w:p>
    <w:bookmarkStart w:id="166" w:name="page167"/>
    <w:bookmarkEnd w:id="166"/>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income tax expense in our Predecessor periods differs from the federal statutory amount because of the effect of the items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Predecessor</w:t>
            </w:r>
          </w:p>
        </w:tc>
        <w:tc>
          <w:tcPr>
            <w:tcW w:w="1480" w:type="dxa"/>
            <w:vAlign w:val="bottom"/>
            <w:tcBorders>
              <w:bottom w:val="single" w:sz="8" w:color="auto"/>
            </w:tcBorders>
          </w:tcPr>
          <w:p>
            <w:pPr>
              <w:spacing w:after="0"/>
              <w:rPr>
                <w:sz w:val="14"/>
                <w:szCs w:val="14"/>
                <w:color w:val="auto"/>
              </w:rPr>
            </w:pPr>
          </w:p>
        </w:tc>
      </w:tr>
      <w:tr>
        <w:trPr>
          <w:trHeight w:val="141"/>
        </w:trPr>
        <w:tc>
          <w:tcPr>
            <w:tcW w:w="7000" w:type="dxa"/>
            <w:vAlign w:val="bottom"/>
          </w:tcPr>
          <w:p>
            <w:pPr>
              <w:spacing w:after="0"/>
              <w:rPr>
                <w:sz w:val="12"/>
                <w:szCs w:val="12"/>
                <w:color w:val="auto"/>
              </w:rPr>
            </w:pPr>
          </w:p>
        </w:tc>
        <w:tc>
          <w:tcPr>
            <w:tcW w:w="1440" w:type="dxa"/>
            <w:vAlign w:val="bottom"/>
          </w:tcPr>
          <w:p>
            <w:pPr>
              <w:jc w:val="right"/>
              <w:ind w:right="158"/>
              <w:spacing w:after="0" w:line="141" w:lineRule="exact"/>
              <w:rPr>
                <w:sz w:val="20"/>
                <w:szCs w:val="20"/>
                <w:color w:val="auto"/>
              </w:rPr>
            </w:pPr>
            <w:r>
              <w:rPr>
                <w:rFonts w:ascii="Arial" w:cs="Arial" w:eastAsia="Arial" w:hAnsi="Arial"/>
                <w:sz w:val="14"/>
                <w:szCs w:val="14"/>
                <w:color w:val="auto"/>
              </w:rPr>
              <w:t>For the Period</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1440" w:type="dxa"/>
            <w:vAlign w:val="bottom"/>
          </w:tcPr>
          <w:p>
            <w:pPr>
              <w:jc w:val="right"/>
              <w:ind w:right="158"/>
              <w:spacing w:after="0" w:line="149" w:lineRule="exact"/>
              <w:rPr>
                <w:sz w:val="20"/>
                <w:szCs w:val="20"/>
                <w:color w:val="auto"/>
              </w:rPr>
            </w:pPr>
            <w:r>
              <w:rPr>
                <w:rFonts w:ascii="Arial" w:cs="Arial" w:eastAsia="Arial" w:hAnsi="Arial"/>
                <w:sz w:val="14"/>
                <w:szCs w:val="14"/>
                <w:color w:val="auto"/>
              </w:rPr>
              <w:t>January 1, 2011 to</w:t>
            </w:r>
          </w:p>
        </w:tc>
        <w:tc>
          <w:tcPr>
            <w:tcW w:w="1500" w:type="dxa"/>
            <w:vAlign w:val="bottom"/>
          </w:tcPr>
          <w:p>
            <w:pPr>
              <w:jc w:val="right"/>
              <w:ind w:right="158"/>
              <w:spacing w:after="0" w:line="149" w:lineRule="exact"/>
              <w:rPr>
                <w:sz w:val="20"/>
                <w:szCs w:val="20"/>
                <w:color w:val="auto"/>
              </w:rPr>
            </w:pPr>
            <w:r>
              <w:rPr>
                <w:rFonts w:ascii="Arial" w:cs="Arial" w:eastAsia="Arial" w:hAnsi="Arial"/>
                <w:sz w:val="14"/>
                <w:szCs w:val="14"/>
                <w:color w:val="auto"/>
              </w:rPr>
              <w:t>Year Ended</w:t>
            </w:r>
          </w:p>
        </w:tc>
        <w:tc>
          <w:tcPr>
            <w:tcW w:w="148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7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jc w:val="right"/>
              <w:ind w:right="158"/>
              <w:spacing w:after="0" w:line="149" w:lineRule="exact"/>
              <w:rPr>
                <w:sz w:val="20"/>
                <w:szCs w:val="20"/>
                <w:color w:val="auto"/>
              </w:rPr>
            </w:pPr>
            <w:r>
              <w:rPr>
                <w:rFonts w:ascii="Arial" w:cs="Arial" w:eastAsia="Arial" w:hAnsi="Arial"/>
                <w:sz w:val="14"/>
                <w:szCs w:val="14"/>
                <w:color w:val="auto"/>
              </w:rPr>
              <w:t>January 28, 2011</w:t>
            </w:r>
          </w:p>
        </w:tc>
        <w:tc>
          <w:tcPr>
            <w:tcW w:w="1500" w:type="dxa"/>
            <w:vAlign w:val="bottom"/>
            <w:tcBorders>
              <w:bottom w:val="single" w:sz="8" w:color="auto"/>
            </w:tcBorders>
          </w:tcPr>
          <w:p>
            <w:pPr>
              <w:jc w:val="right"/>
              <w:ind w:right="158"/>
              <w:spacing w:after="0" w:line="149" w:lineRule="exact"/>
              <w:rPr>
                <w:sz w:val="20"/>
                <w:szCs w:val="20"/>
                <w:color w:val="auto"/>
              </w:rPr>
            </w:pPr>
            <w:r>
              <w:rPr>
                <w:rFonts w:ascii="Arial" w:cs="Arial" w:eastAsia="Arial" w:hAnsi="Arial"/>
                <w:sz w:val="14"/>
                <w:szCs w:val="14"/>
                <w:color w:val="auto"/>
              </w:rPr>
              <w:t>December 31, 2010</w:t>
            </w:r>
          </w:p>
        </w:tc>
        <w:tc>
          <w:tcPr>
            <w:tcW w:w="148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7000" w:type="dxa"/>
            <w:vAlign w:val="bottom"/>
          </w:tcPr>
          <w:p>
            <w:pPr>
              <w:spacing w:after="0" w:line="200" w:lineRule="exact"/>
              <w:rPr>
                <w:sz w:val="20"/>
                <w:szCs w:val="20"/>
                <w:color w:val="auto"/>
              </w:rPr>
            </w:pPr>
            <w:r>
              <w:rPr>
                <w:rFonts w:ascii="Arial" w:cs="Arial" w:eastAsia="Arial" w:hAnsi="Arial"/>
                <w:sz w:val="18"/>
                <w:szCs w:val="18"/>
                <w:color w:val="auto"/>
              </w:rPr>
              <w:t>Federal tax statutory rate</w:t>
            </w:r>
          </w:p>
        </w:tc>
        <w:tc>
          <w:tcPr>
            <w:tcW w:w="1440" w:type="dxa"/>
            <w:vAlign w:val="bottom"/>
          </w:tcPr>
          <w:p>
            <w:pPr>
              <w:jc w:val="right"/>
              <w:spacing w:after="0" w:line="200" w:lineRule="exact"/>
              <w:rPr>
                <w:sz w:val="20"/>
                <w:szCs w:val="20"/>
                <w:color w:val="auto"/>
              </w:rPr>
            </w:pPr>
            <w:r>
              <w:rPr>
                <w:rFonts w:ascii="Arial" w:cs="Arial" w:eastAsia="Arial" w:hAnsi="Arial"/>
                <w:sz w:val="18"/>
                <w:szCs w:val="18"/>
                <w:color w:val="auto"/>
              </w:rPr>
              <w:t>35.00%</w:t>
            </w:r>
          </w:p>
        </w:tc>
        <w:tc>
          <w:tcPr>
            <w:tcW w:w="1500" w:type="dxa"/>
            <w:vAlign w:val="bottom"/>
          </w:tcPr>
          <w:p>
            <w:pPr>
              <w:jc w:val="right"/>
              <w:spacing w:after="0" w:line="200" w:lineRule="exact"/>
              <w:rPr>
                <w:sz w:val="20"/>
                <w:szCs w:val="20"/>
                <w:color w:val="auto"/>
              </w:rPr>
            </w:pPr>
            <w:r>
              <w:rPr>
                <w:rFonts w:ascii="Arial" w:cs="Arial" w:eastAsia="Arial" w:hAnsi="Arial"/>
                <w:sz w:val="18"/>
                <w:szCs w:val="18"/>
                <w:color w:val="auto"/>
              </w:rPr>
              <w:t>35.00%</w:t>
            </w:r>
          </w:p>
        </w:tc>
        <w:tc>
          <w:tcPr>
            <w:tcW w:w="1480" w:type="dxa"/>
            <w:vAlign w:val="bottom"/>
          </w:tcPr>
          <w:p>
            <w:pPr>
              <w:jc w:val="right"/>
              <w:spacing w:after="0" w:line="200" w:lineRule="exact"/>
              <w:rPr>
                <w:sz w:val="20"/>
                <w:szCs w:val="20"/>
                <w:color w:val="auto"/>
              </w:rPr>
            </w:pPr>
            <w:r>
              <w:rPr>
                <w:rFonts w:ascii="Arial" w:cs="Arial" w:eastAsia="Arial" w:hAnsi="Arial"/>
                <w:sz w:val="18"/>
                <w:szCs w:val="18"/>
                <w:color w:val="auto"/>
              </w:rPr>
              <w:t>35.00%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Disposition of business</w:t>
            </w:r>
          </w:p>
        </w:tc>
        <w:tc>
          <w:tcPr>
            <w:tcW w:w="1440" w:type="dxa"/>
            <w:vAlign w:val="bottom"/>
          </w:tcPr>
          <w:p>
            <w:pPr>
              <w:jc w:val="right"/>
              <w:ind w:right="98"/>
              <w:spacing w:after="0"/>
              <w:rPr>
                <w:sz w:val="20"/>
                <w:szCs w:val="20"/>
                <w:color w:val="auto"/>
              </w:rPr>
            </w:pPr>
            <w:r>
              <w:rPr>
                <w:rFonts w:ascii="Arial" w:cs="Arial" w:eastAsia="Arial" w:hAnsi="Arial"/>
                <w:sz w:val="18"/>
                <w:szCs w:val="18"/>
                <w:color w:val="auto"/>
              </w:rPr>
              <w:t>(32.66)</w:t>
            </w:r>
          </w:p>
        </w:tc>
        <w:tc>
          <w:tcPr>
            <w:tcW w:w="150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7"/>
              <w:spacing w:after="0"/>
              <w:rPr>
                <w:sz w:val="20"/>
                <w:szCs w:val="20"/>
                <w:color w:val="auto"/>
              </w:rPr>
            </w:pPr>
            <w:r>
              <w:rPr>
                <w:rFonts w:ascii="Arial" w:cs="Arial" w:eastAsia="Arial" w:hAnsi="Arial"/>
                <w:sz w:val="18"/>
                <w:szCs w:val="18"/>
                <w:color w:val="auto"/>
              </w:rPr>
              <w:t>—</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44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1.90</w:t>
            </w:r>
          </w:p>
        </w:tc>
        <w:tc>
          <w:tcPr>
            <w:tcW w:w="150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0.61</w:t>
            </w:r>
          </w:p>
        </w:tc>
        <w:tc>
          <w:tcPr>
            <w:tcW w:w="14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1.22</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Domestic manufacturing and export benefits</w:t>
            </w:r>
          </w:p>
        </w:tc>
        <w:tc>
          <w:tcPr>
            <w:tcW w:w="144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11.67</w:t>
            </w:r>
          </w:p>
        </w:tc>
        <w:tc>
          <w:tcPr>
            <w:tcW w:w="15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(2.04)</w:t>
            </w:r>
          </w:p>
        </w:tc>
        <w:tc>
          <w:tcPr>
            <w:tcW w:w="14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(1.53)</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44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0.04</w:t>
            </w:r>
          </w:p>
        </w:tc>
        <w:tc>
          <w:tcPr>
            <w:tcW w:w="150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0.10</w:t>
            </w:r>
          </w:p>
        </w:tc>
        <w:tc>
          <w:tcPr>
            <w:tcW w:w="148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6.71</w:t>
            </w:r>
          </w:p>
        </w:tc>
      </w:tr>
      <w:tr>
        <w:trPr>
          <w:trHeight w:val="199"/>
        </w:trPr>
        <w:tc>
          <w:tcPr>
            <w:tcW w:w="7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net</w:t>
            </w:r>
          </w:p>
        </w:tc>
        <w:tc>
          <w:tcPr>
            <w:tcW w:w="1440" w:type="dxa"/>
            <w:vAlign w:val="bottom"/>
            <w:tcBorders>
              <w:bottom w:val="single" w:sz="8" w:color="auto"/>
            </w:tcBorders>
          </w:tcPr>
          <w:p>
            <w:pPr>
              <w:jc w:val="right"/>
              <w:ind w:right="98"/>
              <w:spacing w:after="0" w:line="200" w:lineRule="exact"/>
              <w:rPr>
                <w:sz w:val="20"/>
                <w:szCs w:val="20"/>
                <w:color w:val="auto"/>
              </w:rPr>
            </w:pPr>
            <w:r>
              <w:rPr>
                <w:rFonts w:ascii="Arial" w:cs="Arial" w:eastAsia="Arial" w:hAnsi="Arial"/>
                <w:sz w:val="18"/>
                <w:szCs w:val="18"/>
                <w:color w:val="auto"/>
              </w:rPr>
              <w:t>(2.16)</w:t>
            </w:r>
          </w:p>
        </w:tc>
        <w:tc>
          <w:tcPr>
            <w:tcW w:w="1500" w:type="dxa"/>
            <w:vAlign w:val="bottom"/>
            <w:tcBorders>
              <w:bottom w:val="single" w:sz="8" w:color="auto"/>
            </w:tcBorders>
          </w:tcPr>
          <w:p>
            <w:pPr>
              <w:jc w:val="right"/>
              <w:ind w:right="98"/>
              <w:spacing w:after="0" w:line="200" w:lineRule="exact"/>
              <w:rPr>
                <w:sz w:val="20"/>
                <w:szCs w:val="20"/>
                <w:color w:val="auto"/>
              </w:rPr>
            </w:pPr>
            <w:r>
              <w:rPr>
                <w:rFonts w:ascii="Arial" w:cs="Arial" w:eastAsia="Arial" w:hAnsi="Arial"/>
                <w:sz w:val="18"/>
                <w:szCs w:val="18"/>
                <w:color w:val="auto"/>
              </w:rPr>
              <w:t>(0.71)</w:t>
            </w:r>
          </w:p>
        </w:tc>
        <w:tc>
          <w:tcPr>
            <w:tcW w:w="1480" w:type="dxa"/>
            <w:vAlign w:val="bottom"/>
            <w:tcBorders>
              <w:bottom w:val="single" w:sz="8" w:color="auto"/>
            </w:tcBorders>
          </w:tcPr>
          <w:p>
            <w:pPr>
              <w:jc w:val="right"/>
              <w:ind w:right="77"/>
              <w:spacing w:after="0" w:line="200" w:lineRule="exact"/>
              <w:rPr>
                <w:sz w:val="20"/>
                <w:szCs w:val="20"/>
                <w:color w:val="auto"/>
              </w:rPr>
            </w:pPr>
            <w:r>
              <w:rPr>
                <w:rFonts w:ascii="Arial" w:cs="Arial" w:eastAsia="Arial" w:hAnsi="Arial"/>
                <w:sz w:val="18"/>
                <w:szCs w:val="18"/>
                <w:color w:val="auto"/>
              </w:rPr>
              <w:t>(1.52)</w:t>
            </w:r>
          </w:p>
        </w:tc>
      </w:tr>
      <w:tr>
        <w:trPr>
          <w:trHeight w:val="196"/>
        </w:trPr>
        <w:tc>
          <w:tcPr>
            <w:tcW w:w="700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Actual income tax rate</w:t>
            </w:r>
          </w:p>
        </w:tc>
        <w:tc>
          <w:tcPr>
            <w:tcW w:w="14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13.79%</w:t>
            </w:r>
          </w:p>
        </w:tc>
        <w:tc>
          <w:tcPr>
            <w:tcW w:w="15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32.96%</w:t>
            </w:r>
          </w:p>
        </w:tc>
        <w:tc>
          <w:tcPr>
            <w:tcW w:w="14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39.88%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Following the close of the Joint Venture Transaction, we retained liabilities for uncertain tax positions where we are the tax filer of record. In addition to our change in taxable status, GE and Comcast have indemnified NBCUniversal Holdings and us with respect to our income tax obligations attributable to periods prior to the closing of the Joint Venture Transaction, including indemnification of uncertain tax positions relating to filings made prior to the closing of the Joint Venture Transaction. Our liabilities for uncertain tax positions associated with consolidated GE or Comcast tax filings were retained by GE and Comcast, respectively, at January 28, 2011. Our uncertain tax positions as of December 31, 2011 totaled $52 million and substantially all of these liabilities are indemnified by GE or Comcast for which we have recorded a corresponding asset. Due to the indemnification from GE and Comcast, we do not expect the recognition of tax benefits for such positions in the future will have a material impact on our consolidated statement of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53439A"/>
        </w:rPr>
        <w:t>Reconciliation of Unrecognized Tax Benefits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80" w:type="dxa"/>
            <w:vAlign w:val="bottom"/>
          </w:tcPr>
          <w:p>
            <w:pPr>
              <w:spacing w:after="0"/>
              <w:rPr>
                <w:sz w:val="12"/>
                <w:szCs w:val="12"/>
                <w:color w:val="auto"/>
              </w:rPr>
            </w:pPr>
          </w:p>
        </w:tc>
        <w:tc>
          <w:tcPr>
            <w:tcW w:w="160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0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40" w:type="dxa"/>
            <w:vAlign w:val="bottom"/>
          </w:tcPr>
          <w:p>
            <w:pPr>
              <w:jc w:val="right"/>
              <w:ind w:right="37"/>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5"/>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15"/>
              <w:spacing w:after="0" w:line="149" w:lineRule="exact"/>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80" w:type="dxa"/>
            <w:vAlign w:val="bottom"/>
          </w:tcPr>
          <w:p>
            <w:pPr>
              <w:spacing w:after="0" w:line="200" w:lineRule="exact"/>
              <w:rPr>
                <w:sz w:val="20"/>
                <w:szCs w:val="20"/>
                <w:color w:val="auto"/>
              </w:rPr>
            </w:pPr>
            <w:r>
              <w:rPr>
                <w:rFonts w:ascii="Arial" w:cs="Arial" w:eastAsia="Arial" w:hAnsi="Arial"/>
                <w:sz w:val="18"/>
                <w:szCs w:val="18"/>
                <w:color w:val="auto"/>
              </w:rPr>
              <w:t>Beginning Balance</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57</w:t>
            </w:r>
          </w:p>
        </w:tc>
        <w:tc>
          <w:tcPr>
            <w:tcW w:w="20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425</w:t>
            </w:r>
          </w:p>
        </w:tc>
        <w:tc>
          <w:tcPr>
            <w:tcW w:w="2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312</w:t>
            </w:r>
          </w:p>
        </w:tc>
        <w:tc>
          <w:tcPr>
            <w:tcW w:w="3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283</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2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11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149</w:t>
            </w:r>
          </w:p>
        </w:tc>
        <w:tc>
          <w:tcPr>
            <w:tcW w:w="3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3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199"/>
        </w:trPr>
        <w:tc>
          <w:tcPr>
            <w:tcW w:w="5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Reductions due to expiration of statute of limitations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203"/>
        </w:trPr>
        <w:tc>
          <w:tcPr>
            <w:tcW w:w="558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7"/>
              <w:spacing w:after="0" w:line="202" w:lineRule="exact"/>
              <w:rPr>
                <w:sz w:val="20"/>
                <w:szCs w:val="20"/>
                <w:color w:val="auto"/>
              </w:rPr>
            </w:pPr>
            <w:r>
              <w:rPr>
                <w:rFonts w:ascii="Arial" w:cs="Arial" w:eastAsia="Arial" w:hAnsi="Arial"/>
                <w:sz w:val="18"/>
                <w:szCs w:val="18"/>
                <w:color w:val="auto"/>
              </w:rPr>
              <w:t>52</w:t>
            </w:r>
          </w:p>
        </w:tc>
        <w:tc>
          <w:tcPr>
            <w:tcW w:w="200" w:type="dxa"/>
            <w:vAlign w:val="bottom"/>
            <w:tcBorders>
              <w:bottom w:val="single" w:sz="8" w:color="53439A"/>
              <w:right w:val="single" w:sz="8" w:color="auto"/>
            </w:tcBorders>
          </w:tcPr>
          <w:p>
            <w:pPr>
              <w:spacing w:after="0"/>
              <w:rPr>
                <w:sz w:val="17"/>
                <w:szCs w:val="17"/>
                <w:color w:val="auto"/>
              </w:rPr>
            </w:pPr>
          </w:p>
        </w:tc>
        <w:tc>
          <w:tcPr>
            <w:tcW w:w="440" w:type="dxa"/>
            <w:vAlign w:val="bottom"/>
            <w:tcBorders>
              <w:bottom w:val="single" w:sz="8" w:color="53439A"/>
            </w:tcBorders>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429</w:t>
            </w:r>
          </w:p>
        </w:tc>
        <w:tc>
          <w:tcPr>
            <w:tcW w:w="26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ind w:right="37"/>
              <w:spacing w:after="0" w:line="202" w:lineRule="exact"/>
              <w:rPr>
                <w:sz w:val="20"/>
                <w:szCs w:val="20"/>
                <w:color w:val="auto"/>
              </w:rPr>
            </w:pPr>
            <w:r>
              <w:rPr>
                <w:rFonts w:ascii="Arial" w:cs="Arial" w:eastAsia="Arial" w:hAnsi="Arial"/>
                <w:sz w:val="18"/>
                <w:szCs w:val="18"/>
                <w:color w:val="auto"/>
              </w:rPr>
              <w:t>425</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5"/>
              <w:spacing w:after="0" w:line="202" w:lineRule="exact"/>
              <w:rPr>
                <w:sz w:val="20"/>
                <w:szCs w:val="20"/>
                <w:color w:val="auto"/>
              </w:rPr>
            </w:pPr>
            <w:r>
              <w:rPr>
                <w:rFonts w:ascii="Arial" w:cs="Arial" w:eastAsia="Arial" w:hAnsi="Arial"/>
                <w:sz w:val="18"/>
                <w:szCs w:val="18"/>
                <w:color w:val="auto"/>
              </w:rPr>
              <w:t>312</w:t>
            </w:r>
          </w:p>
        </w:tc>
      </w:tr>
    </w:tbl>
    <w:p>
      <w:pPr>
        <w:spacing w:after="0" w:line="165"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As of December 31, 2011 and 2010, we had accrued approximately $10 million and $46 million, respectively, of interest associated with our uncertain tax positions.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not subject to audits of any periods that are not covered by the indemnification from GE or Comcast.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bl>
    <w:p>
      <w:pPr>
        <w:sectPr>
          <w:pgSz w:w="11900" w:h="16838" w:orient="portrait"/>
          <w:cols w:equalWidth="0" w:num="1">
            <w:col w:w="11420"/>
          </w:cols>
          <w:pgMar w:left="240" w:top="345"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18: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3439A"/>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r>
      <w:tr>
        <w:trPr>
          <w:trHeight w:val="199"/>
        </w:trPr>
        <w:tc>
          <w:tcPr>
            <w:tcW w:w="9160" w:type="dxa"/>
            <w:vAlign w:val="bottom"/>
          </w:tcPr>
          <w:p>
            <w:pPr>
              <w:spacing w:after="0" w:line="200" w:lineRule="exact"/>
              <w:rPr>
                <w:sz w:val="20"/>
                <w:szCs w:val="20"/>
                <w:color w:val="auto"/>
              </w:rPr>
            </w:pPr>
            <w:r>
              <w:rPr>
                <w:rFonts w:ascii="Arial" w:cs="Arial" w:eastAsia="Arial" w:hAnsi="Arial"/>
                <w:sz w:val="18"/>
                <w:szCs w:val="18"/>
                <w:color w:val="auto"/>
              </w:rPr>
              <w:t>Receivables, gross</w:t>
            </w:r>
          </w:p>
        </w:tc>
        <w:tc>
          <w:tcPr>
            <w:tcW w:w="26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line="200" w:lineRule="exact"/>
              <w:rPr>
                <w:sz w:val="20"/>
                <w:szCs w:val="20"/>
                <w:color w:val="auto"/>
              </w:rPr>
            </w:pPr>
            <w:r>
              <w:rPr>
                <w:rFonts w:ascii="Arial" w:cs="Arial" w:eastAsia="Arial" w:hAnsi="Arial"/>
                <w:sz w:val="18"/>
                <w:szCs w:val="18"/>
                <w:color w:val="auto"/>
              </w:rPr>
              <w:t>4,019</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2,733</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26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425</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485</w:t>
            </w: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Less: Allowance for doubtful accounts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85</w:t>
            </w:r>
          </w:p>
        </w:tc>
      </w:tr>
      <w:tr>
        <w:trPr>
          <w:trHeight w:val="203"/>
        </w:trPr>
        <w:tc>
          <w:tcPr>
            <w:tcW w:w="91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Receivables, net</w:t>
            </w:r>
          </w:p>
        </w:tc>
        <w:tc>
          <w:tcPr>
            <w:tcW w:w="260" w:type="dxa"/>
            <w:vAlign w:val="bottom"/>
            <w:tcBorders>
              <w:bottom w:val="single" w:sz="8" w:color="53439A"/>
            </w:tcBorders>
          </w:tcPr>
          <w:p>
            <w:pPr>
              <w:ind w:left="120"/>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3439A"/>
            </w:tcBorders>
          </w:tcPr>
          <w:p>
            <w:pPr>
              <w:jc w:val="right"/>
              <w:ind w:right="36"/>
              <w:spacing w:after="0" w:line="202" w:lineRule="exact"/>
              <w:rPr>
                <w:sz w:val="20"/>
                <w:szCs w:val="20"/>
                <w:color w:val="auto"/>
              </w:rPr>
            </w:pPr>
            <w:r>
              <w:rPr>
                <w:rFonts w:ascii="Arial" w:cs="Arial" w:eastAsia="Arial" w:hAnsi="Arial"/>
                <w:sz w:val="18"/>
                <w:szCs w:val="18"/>
                <w:color w:val="auto"/>
              </w:rPr>
              <w:t>3,557</w:t>
            </w:r>
          </w:p>
        </w:tc>
        <w:tc>
          <w:tcPr>
            <w:tcW w:w="220" w:type="dxa"/>
            <w:vAlign w:val="bottom"/>
            <w:tcBorders>
              <w:bottom w:val="single" w:sz="8" w:color="53439A"/>
              <w:right w:val="single" w:sz="8" w:color="auto"/>
            </w:tcBorders>
          </w:tcPr>
          <w:p>
            <w:pPr>
              <w:spacing w:after="0"/>
              <w:rPr>
                <w:sz w:val="17"/>
                <w:szCs w:val="17"/>
                <w:color w:val="auto"/>
              </w:rPr>
            </w:pPr>
          </w:p>
        </w:tc>
        <w:tc>
          <w:tcPr>
            <w:tcW w:w="520" w:type="dxa"/>
            <w:vAlign w:val="bottom"/>
            <w:tcBorders>
              <w:bottom w:val="single" w:sz="8" w:color="53439A"/>
            </w:tcBorders>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3439A"/>
            </w:tcBorders>
          </w:tcPr>
          <w:p>
            <w:pPr>
              <w:jc w:val="right"/>
              <w:ind w:right="16"/>
              <w:spacing w:after="0" w:line="202" w:lineRule="exact"/>
              <w:rPr>
                <w:sz w:val="20"/>
                <w:szCs w:val="20"/>
                <w:color w:val="auto"/>
              </w:rPr>
            </w:pPr>
            <w:r>
              <w:rPr>
                <w:rFonts w:ascii="Arial" w:cs="Arial" w:eastAsia="Arial" w:hAnsi="Arial"/>
                <w:sz w:val="18"/>
                <w:szCs w:val="18"/>
                <w:color w:val="auto"/>
              </w:rPr>
              <w:t>2,163</w:t>
            </w:r>
          </w:p>
        </w:tc>
      </w:tr>
    </w:tbl>
    <w:p>
      <w:pPr>
        <w:spacing w:after="0" w:line="1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trade receivables do not represent a significant concentration of credit risk as of December 31, 2011 and December 31, 2010 due to the wide variety of customers and markets into which our products are sold and their dispersion across geographic areas.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Successor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Predecessor</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1"/>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Borders>
              <w:right w:val="single" w:sz="8" w:color="auto"/>
            </w:tcBorders>
            <w:gridSpan w:val="2"/>
          </w:tcPr>
          <w:p>
            <w:pPr>
              <w:ind w:left="100"/>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39"/>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Year Ended</w:t>
            </w:r>
          </w:p>
        </w:tc>
      </w:tr>
      <w:tr>
        <w:trPr>
          <w:trHeight w:val="163"/>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December 31, 2009</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Programming and production</w:t>
            </w:r>
          </w:p>
        </w:tc>
        <w:tc>
          <w:tcPr>
            <w:tcW w:w="34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0"/>
              <w:spacing w:after="0" w:line="200" w:lineRule="exact"/>
              <w:rPr>
                <w:sz w:val="20"/>
                <w:szCs w:val="20"/>
                <w:color w:val="auto"/>
              </w:rPr>
            </w:pPr>
            <w:r>
              <w:rPr>
                <w:rFonts w:ascii="Arial" w:cs="Arial" w:eastAsia="Arial" w:hAnsi="Arial"/>
                <w:sz w:val="18"/>
                <w:szCs w:val="18"/>
                <w:color w:val="auto"/>
              </w:rPr>
              <w:t>9,708</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line="200" w:lineRule="exact"/>
              <w:rPr>
                <w:sz w:val="20"/>
                <w:szCs w:val="20"/>
                <w:color w:val="auto"/>
              </w:rPr>
            </w:pPr>
            <w:r>
              <w:rPr>
                <w:rFonts w:ascii="Arial" w:cs="Arial" w:eastAsia="Arial" w:hAnsi="Arial"/>
                <w:sz w:val="18"/>
                <w:szCs w:val="18"/>
                <w:color w:val="auto"/>
              </w:rPr>
              <w:t>711</w:t>
            </w:r>
          </w:p>
        </w:tc>
        <w:tc>
          <w:tcPr>
            <w:tcW w:w="26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0"/>
              <w:spacing w:after="0" w:line="200" w:lineRule="exact"/>
              <w:rPr>
                <w:sz w:val="20"/>
                <w:szCs w:val="20"/>
                <w:color w:val="auto"/>
              </w:rPr>
            </w:pPr>
            <w:r>
              <w:rPr>
                <w:rFonts w:ascii="Arial" w:cs="Arial" w:eastAsia="Arial" w:hAnsi="Arial"/>
                <w:sz w:val="18"/>
                <w:szCs w:val="18"/>
                <w:color w:val="auto"/>
              </w:rPr>
              <w:t>9,349</w:t>
            </w:r>
          </w:p>
        </w:tc>
        <w:tc>
          <w:tcPr>
            <w:tcW w:w="4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8,488</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Advertising, marketing and promotion</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1,849</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153</w:t>
            </w:r>
          </w:p>
        </w:tc>
        <w:tc>
          <w:tcPr>
            <w:tcW w:w="260" w:type="dxa"/>
            <w:vAlign w:val="bottom"/>
          </w:tcPr>
          <w:p>
            <w:pPr>
              <w:spacing w:after="0"/>
              <w:rPr>
                <w:sz w:val="17"/>
                <w:szCs w:val="17"/>
                <w:color w:val="auto"/>
              </w:rPr>
            </w:pPr>
          </w:p>
        </w:tc>
        <w:tc>
          <w:tcPr>
            <w:tcW w:w="11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1,474</w:t>
            </w:r>
          </w:p>
        </w:tc>
        <w:tc>
          <w:tcPr>
            <w:tcW w:w="400" w:type="dxa"/>
            <w:vAlign w:val="bottom"/>
          </w:tcPr>
          <w:p>
            <w:pPr>
              <w:spacing w:after="0"/>
              <w:rPr>
                <w:sz w:val="17"/>
                <w:szCs w:val="17"/>
                <w:color w:val="auto"/>
              </w:rPr>
            </w:pPr>
          </w:p>
        </w:tc>
        <w:tc>
          <w:tcPr>
            <w:tcW w:w="10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1,493</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4,075</w:t>
            </w: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307</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3,214</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2,889</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Operating costs and expenses (excluding depreciation and</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5540" w:type="dxa"/>
            <w:vAlign w:val="bottom"/>
            <w:tcBorders>
              <w:bottom w:val="single" w:sz="8" w:color="53439A"/>
            </w:tcBorders>
          </w:tcPr>
          <w:p>
            <w:pPr>
              <w:ind w:left="220"/>
              <w:spacing w:after="0" w:line="200" w:lineRule="exact"/>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53439A"/>
            </w:tcBorders>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ind w:right="40"/>
              <w:spacing w:after="0" w:line="200" w:lineRule="exact"/>
              <w:rPr>
                <w:sz w:val="20"/>
                <w:szCs w:val="20"/>
                <w:color w:val="auto"/>
              </w:rPr>
            </w:pPr>
            <w:r>
              <w:rPr>
                <w:rFonts w:ascii="Arial" w:cs="Arial" w:eastAsia="Arial" w:hAnsi="Arial"/>
                <w:sz w:val="18"/>
                <w:szCs w:val="18"/>
                <w:color w:val="auto"/>
              </w:rPr>
              <w:t>15,632</w:t>
            </w:r>
          </w:p>
        </w:tc>
        <w:tc>
          <w:tcPr>
            <w:tcW w:w="220" w:type="dxa"/>
            <w:vAlign w:val="bottom"/>
            <w:tcBorders>
              <w:bottom w:val="single" w:sz="8" w:color="53439A"/>
              <w:right w:val="single" w:sz="8" w:color="auto"/>
            </w:tcBorders>
          </w:tcPr>
          <w:p>
            <w:pPr>
              <w:spacing w:after="0"/>
              <w:rPr>
                <w:sz w:val="17"/>
                <w:szCs w:val="17"/>
                <w:color w:val="auto"/>
              </w:rPr>
            </w:pPr>
          </w:p>
        </w:tc>
        <w:tc>
          <w:tcPr>
            <w:tcW w:w="440" w:type="dxa"/>
            <w:vAlign w:val="bottom"/>
            <w:tcBorders>
              <w:bottom w:val="single" w:sz="8" w:color="53439A"/>
            </w:tcBorders>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53439A"/>
            </w:tcBorders>
          </w:tcPr>
          <w:p>
            <w:pPr>
              <w:jc w:val="right"/>
              <w:ind w:right="39"/>
              <w:spacing w:after="0" w:line="200" w:lineRule="exact"/>
              <w:rPr>
                <w:sz w:val="20"/>
                <w:szCs w:val="20"/>
                <w:color w:val="auto"/>
              </w:rPr>
            </w:pPr>
            <w:r>
              <w:rPr>
                <w:rFonts w:ascii="Arial" w:cs="Arial" w:eastAsia="Arial" w:hAnsi="Arial"/>
                <w:sz w:val="18"/>
                <w:szCs w:val="18"/>
                <w:color w:val="auto"/>
              </w:rPr>
              <w:t>1,171</w:t>
            </w:r>
          </w:p>
        </w:tc>
        <w:tc>
          <w:tcPr>
            <w:tcW w:w="260" w:type="dxa"/>
            <w:vAlign w:val="bottom"/>
            <w:tcBorders>
              <w:bottom w:val="single" w:sz="8" w:color="53439A"/>
            </w:tcBorders>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20"/>
              <w:spacing w:after="0" w:line="200" w:lineRule="exact"/>
              <w:rPr>
                <w:sz w:val="20"/>
                <w:szCs w:val="20"/>
                <w:color w:val="auto"/>
              </w:rPr>
            </w:pPr>
            <w:r>
              <w:rPr>
                <w:rFonts w:ascii="Arial" w:cs="Arial" w:eastAsia="Arial" w:hAnsi="Arial"/>
                <w:sz w:val="18"/>
                <w:szCs w:val="18"/>
                <w:color w:val="auto"/>
              </w:rPr>
              <w:t>14,037</w:t>
            </w:r>
          </w:p>
        </w:tc>
        <w:tc>
          <w:tcPr>
            <w:tcW w:w="400" w:type="dxa"/>
            <w:vAlign w:val="bottom"/>
            <w:tcBorders>
              <w:bottom w:val="single" w:sz="8" w:color="53439A"/>
            </w:tcBorders>
          </w:tcPr>
          <w:p>
            <w:pPr>
              <w:ind w:left="10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7"/>
              <w:spacing w:after="0" w:line="200" w:lineRule="exact"/>
              <w:rPr>
                <w:sz w:val="20"/>
                <w:szCs w:val="20"/>
                <w:color w:val="auto"/>
              </w:rPr>
            </w:pPr>
            <w:r>
              <w:rPr>
                <w:rFonts w:ascii="Arial" w:cs="Arial" w:eastAsia="Arial" w:hAnsi="Arial"/>
                <w:sz w:val="18"/>
                <w:szCs w:val="18"/>
                <w:color w:val="auto"/>
              </w:rPr>
              <w:t>12,870</w:t>
            </w:r>
          </w:p>
        </w:tc>
      </w:tr>
      <w:tr>
        <w:trPr>
          <w:trHeight w:val="376"/>
        </w:trPr>
        <w:tc>
          <w:tcPr>
            <w:tcW w:w="5540" w:type="dxa"/>
            <w:vAlign w:val="bottom"/>
          </w:tcPr>
          <w:p>
            <w:pPr>
              <w:spacing w:after="0"/>
              <w:rPr>
                <w:sz w:val="20"/>
                <w:szCs w:val="20"/>
                <w:color w:val="auto"/>
              </w:rPr>
            </w:pPr>
            <w:r>
              <w:rPr>
                <w:rFonts w:ascii="Arial" w:cs="Arial" w:eastAsia="Arial" w:hAnsi="Arial"/>
                <w:sz w:val="18"/>
                <w:szCs w:val="18"/>
                <w:color w:val="53439A"/>
              </w:rPr>
              <w:t>Cash Payments for Interest and Income Taxes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
        </w:trPr>
        <w:tc>
          <w:tcPr>
            <w:tcW w:w="5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7"/>
        </w:trPr>
        <w:tc>
          <w:tcPr>
            <w:tcW w:w="5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4"/>
                <w:szCs w:val="14"/>
                <w:color w:val="auto"/>
              </w:rPr>
              <w:t>Predecessor</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41"/>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0"/>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39"/>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34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0"/>
              <w:spacing w:after="0" w:line="200" w:lineRule="exact"/>
              <w:rPr>
                <w:sz w:val="20"/>
                <w:szCs w:val="20"/>
                <w:color w:val="auto"/>
              </w:rPr>
            </w:pPr>
            <w:r>
              <w:rPr>
                <w:rFonts w:ascii="Arial" w:cs="Arial" w:eastAsia="Arial" w:hAnsi="Arial"/>
                <w:sz w:val="18"/>
                <w:szCs w:val="18"/>
                <w:color w:val="auto"/>
              </w:rPr>
              <w:t>444</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w:t>
            </w:r>
          </w:p>
        </w:tc>
        <w:tc>
          <w:tcPr>
            <w:tcW w:w="26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0"/>
              <w:spacing w:after="0" w:line="200" w:lineRule="exact"/>
              <w:rPr>
                <w:sz w:val="20"/>
                <w:szCs w:val="20"/>
                <w:color w:val="auto"/>
              </w:rPr>
            </w:pPr>
            <w:r>
              <w:rPr>
                <w:rFonts w:ascii="Arial" w:cs="Arial" w:eastAsia="Arial" w:hAnsi="Arial"/>
                <w:sz w:val="18"/>
                <w:szCs w:val="18"/>
                <w:color w:val="auto"/>
              </w:rPr>
              <w:t>275</w:t>
            </w:r>
          </w:p>
        </w:tc>
        <w:tc>
          <w:tcPr>
            <w:tcW w:w="4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105</w:t>
            </w: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gridSpan w:val="2"/>
          </w:tcPr>
          <w:p>
            <w:pPr>
              <w:ind w:left="100"/>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161</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ind w:left="24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493</w:t>
            </w:r>
          </w:p>
        </w:tc>
        <w:tc>
          <w:tcPr>
            <w:tcW w:w="26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328</w:t>
            </w:r>
          </w:p>
        </w:tc>
        <w:tc>
          <w:tcPr>
            <w:tcW w:w="40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461</w:t>
            </w:r>
          </w:p>
        </w:tc>
      </w:tr>
      <w:tr>
        <w:trPr>
          <w:trHeight w:val="506"/>
        </w:trPr>
        <w:tc>
          <w:tcPr>
            <w:tcW w:w="55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85</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486"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As of January 28, 2011 (in millions)</w:t>
      </w:r>
    </w:p>
    <w:tbl>
      <w:tblPr>
        <w:tblLayout w:type="fixed"/>
        <w:tblInd w:w="0" w:type="dxa"/>
        <w:tblCellMar>
          <w:top w:w="0" w:type="dxa"/>
          <w:left w:w="0" w:type="dxa"/>
          <w:bottom w:w="0" w:type="dxa"/>
          <w:right w:w="0" w:type="dxa"/>
        </w:tblCellMar>
      </w:tblPr>
      <w:tr>
        <w:trPr>
          <w:trHeight w:val="199"/>
        </w:trPr>
        <w:tc>
          <w:tcPr>
            <w:tcW w:w="77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Cash and cash equivalents at end of Predecessor period</w:t>
            </w:r>
          </w:p>
        </w:tc>
        <w:tc>
          <w:tcPr>
            <w:tcW w:w="364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$ 470</w:t>
            </w:r>
          </w:p>
        </w:tc>
      </w:tr>
      <w:tr>
        <w:trPr>
          <w:trHeight w:val="199"/>
        </w:trPr>
        <w:tc>
          <w:tcPr>
            <w:tcW w:w="77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Content Business contributed cash balances</w:t>
            </w:r>
          </w:p>
        </w:tc>
        <w:tc>
          <w:tcPr>
            <w:tcW w:w="3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38</w:t>
            </w:r>
          </w:p>
        </w:tc>
      </w:tr>
      <w:tr>
        <w:trPr>
          <w:trHeight w:val="196"/>
        </w:trPr>
        <w:tc>
          <w:tcPr>
            <w:tcW w:w="778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color w:val="auto"/>
              </w:rPr>
              <w:t>Cash and cash equivalents at beginning of Successor period</w:t>
            </w:r>
          </w:p>
        </w:tc>
        <w:tc>
          <w:tcPr>
            <w:tcW w:w="36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color w:val="auto"/>
              </w:rPr>
              <w:t>$ 508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During 2011, as a result of the Joint Venture and Universal Orlando transactions, acquisition accounting has been applied to a significant portion of our assets and liabilities. See Note 4 for additional information. In addition, we acquired approximately $339 million of intellectual property rights that were accrued and unpaid as of December 31, 2011.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19: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We monetize certain of our accounts receivable under programs with a syndicate of banks. In December 2011, we entered into new agreements that allow for the sale of up to $1.5 billion of certain of our accounts receivable that had previously been subject to securitization agreements with General Electric Capital Corporation (“GECC”), a subsidiary of GE. In connection with our new agreements, we repurchased the receivables held by GECC and the consideration paid approximated the fair value of the underlying accounts receivables. Following completion of these transactions, we terminated our agreements with GECC. Under our new programs we entered into in December 2011, we transfer, at fair value, our accounts receivable that are to be monetized, to Funding LLC, a wholly owned subsidiary. The operating activities of Funding LLC are restricted to the transfer and sale of the monetized receivables to the third party syndicate of banks. Due to these restrictions, Funding LLC is considered a variable interest entity, which we consolidate as we are the primary beneficiary. The assets and liabilities of this entity primarily represent the receivables and cash receipts that are not yet remitted to the program as of the balance sheet date.</w:t>
      </w:r>
    </w:p>
    <w:p>
      <w:pPr>
        <w:spacing w:after="0" w:line="33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December 31, 2011.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345" w:right="239" w:bottom="1440" w:gutter="0" w:footer="0" w:header="0"/>
        </w:sectPr>
      </w:pPr>
    </w:p>
    <w:bookmarkStart w:id="169" w:name="page170"/>
    <w:bookmarkEnd w:id="169"/>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responsible for servicing the receivables and remitting collections to the purchasers under the securitization programs. We perform this service for a fee that is equal to the prevailing market rate for such services. As a result, no servicing asset or liability has been recorded in our consolidated balance sheet as of December 31, 2011. The servicing fees are a component of net loss (gain) on sale presented in the table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53439A"/>
        </w:rPr>
        <w:t>Effect on Income from Receivables Monetization and Cash Flows on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Successor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Predecessor</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right w:val="single" w:sz="8" w:color="auto"/>
            </w:tcBorders>
            <w:gridSpan w:val="2"/>
          </w:tcPr>
          <w:p>
            <w:pPr>
              <w:ind w:left="140"/>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59"/>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60" w:type="dxa"/>
            <w:vAlign w:val="bottom"/>
          </w:tcPr>
          <w:p>
            <w:pPr>
              <w:jc w:val="right"/>
              <w:ind w:right="62"/>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9"/>
              <w:spacing w:after="0" w:line="149" w:lineRule="exact"/>
              <w:rPr>
                <w:sz w:val="20"/>
                <w:szCs w:val="20"/>
                <w:color w:val="auto"/>
              </w:rPr>
            </w:pPr>
            <w:r>
              <w:rPr>
                <w:rFonts w:ascii="Arial" w:cs="Arial" w:eastAsia="Arial" w:hAnsi="Arial"/>
                <w:sz w:val="14"/>
                <w:szCs w:val="14"/>
                <w:color w:val="auto"/>
              </w:rPr>
              <w:t>Year Ended</w:t>
            </w:r>
          </w:p>
        </w:tc>
      </w:tr>
      <w:tr>
        <w:trPr>
          <w:trHeight w:val="163"/>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January 28, 2011</w:t>
            </w: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2010</w:t>
            </w: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color w:val="auto"/>
              </w:rPr>
              <w:t>Net (loss) gain on sale</w:t>
            </w:r>
            <w:r>
              <w:rPr>
                <w:rFonts w:ascii="Arial" w:cs="Arial" w:eastAsia="Arial" w:hAnsi="Arial"/>
                <w:sz w:val="22"/>
                <w:szCs w:val="22"/>
                <w:color w:val="auto"/>
                <w:vertAlign w:val="superscript"/>
              </w:rPr>
              <w:t>(a)</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(36)</w:t>
            </w:r>
          </w:p>
        </w:tc>
        <w:tc>
          <w:tcPr>
            <w:tcW w:w="22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line="200" w:lineRule="exact"/>
              <w:rPr>
                <w:sz w:val="20"/>
                <w:szCs w:val="20"/>
                <w:color w:val="auto"/>
              </w:rPr>
            </w:pPr>
            <w:r>
              <w:rPr>
                <w:rFonts w:ascii="Arial" w:cs="Arial" w:eastAsia="Arial" w:hAnsi="Arial"/>
                <w:sz w:val="18"/>
                <w:szCs w:val="18"/>
                <w:color w:val="auto"/>
              </w:rPr>
              <w:t>1</w:t>
            </w:r>
          </w:p>
        </w:tc>
        <w:tc>
          <w:tcPr>
            <w:tcW w:w="2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
              <w:spacing w:after="0" w:line="200" w:lineRule="exact"/>
              <w:rPr>
                <w:sz w:val="20"/>
                <w:szCs w:val="20"/>
                <w:color w:val="auto"/>
              </w:rPr>
            </w:pPr>
            <w:r>
              <w:rPr>
                <w:rFonts w:ascii="Arial" w:cs="Arial" w:eastAsia="Arial" w:hAnsi="Arial"/>
                <w:sz w:val="18"/>
                <w:szCs w:val="18"/>
                <w:color w:val="auto"/>
              </w:rPr>
              <w:t>(24)</w:t>
            </w:r>
          </w:p>
        </w:tc>
        <w:tc>
          <w:tcPr>
            <w:tcW w:w="3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(30)</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22"/>
                <w:szCs w:val="22"/>
                <w:color w:val="auto"/>
                <w:vertAlign w:val="superscript"/>
              </w:rPr>
              <w:t>(b)</w:t>
            </w:r>
          </w:p>
        </w:tc>
        <w:tc>
          <w:tcPr>
            <w:tcW w:w="28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(237)</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(177)</w:t>
            </w:r>
          </w:p>
        </w:tc>
        <w:tc>
          <w:tcPr>
            <w:tcW w:w="24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62"/>
              <w:spacing w:after="0" w:line="200"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197</w:t>
            </w:r>
          </w:p>
        </w:tc>
      </w:tr>
    </w:tbl>
    <w:p>
      <w:pPr>
        <w:spacing w:after="0" w:line="67"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consolidated statement of income.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consolidated statement of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3439A"/>
        </w:rPr>
        <w:t>Receivables Monetized and Deferred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color w:val="auto"/>
              </w:rPr>
              <w:t>Successor</w:t>
            </w: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9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2010</w:t>
            </w:r>
          </w:p>
        </w:tc>
      </w:tr>
      <w:tr>
        <w:trPr>
          <w:trHeight w:val="199"/>
        </w:trPr>
        <w:tc>
          <w:tcPr>
            <w:tcW w:w="9160" w:type="dxa"/>
            <w:vAlign w:val="bottom"/>
          </w:tcPr>
          <w:p>
            <w:pPr>
              <w:spacing w:after="0" w:line="200" w:lineRule="exact"/>
              <w:rPr>
                <w:sz w:val="20"/>
                <w:szCs w:val="20"/>
                <w:color w:val="auto"/>
              </w:rPr>
            </w:pPr>
            <w:r>
              <w:rPr>
                <w:rFonts w:ascii="Arial" w:cs="Arial" w:eastAsia="Arial" w:hAnsi="Arial"/>
                <w:sz w:val="18"/>
                <w:szCs w:val="18"/>
                <w:color w:val="auto"/>
              </w:rPr>
              <w:t>Monetized receivables sold</w:t>
            </w:r>
          </w:p>
        </w:tc>
        <w:tc>
          <w:tcPr>
            <w:tcW w:w="32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9"/>
              <w:spacing w:after="0" w:line="200" w:lineRule="exact"/>
              <w:rPr>
                <w:sz w:val="20"/>
                <w:szCs w:val="20"/>
                <w:color w:val="auto"/>
              </w:rPr>
            </w:pPr>
            <w:r>
              <w:rPr>
                <w:rFonts w:ascii="Arial" w:cs="Arial" w:eastAsia="Arial" w:hAnsi="Arial"/>
                <w:sz w:val="18"/>
                <w:szCs w:val="18"/>
                <w:color w:val="auto"/>
              </w:rPr>
              <w:t>961</w:t>
            </w:r>
          </w:p>
        </w:tc>
        <w:tc>
          <w:tcPr>
            <w:tcW w:w="220" w:type="dxa"/>
            <w:vAlign w:val="bottom"/>
            <w:tcBorders>
              <w:right w:val="single" w:sz="8" w:color="auto"/>
            </w:tcBorders>
          </w:tcPr>
          <w:p>
            <w:pPr>
              <w:spacing w:after="0"/>
              <w:rPr>
                <w:sz w:val="17"/>
                <w:szCs w:val="17"/>
                <w:color w:val="auto"/>
              </w:rPr>
            </w:pPr>
          </w:p>
        </w:tc>
        <w:tc>
          <w:tcPr>
            <w:tcW w:w="520" w:type="dxa"/>
            <w:vAlign w:val="bottom"/>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line="200" w:lineRule="exact"/>
              <w:rPr>
                <w:sz w:val="20"/>
                <w:szCs w:val="20"/>
                <w:color w:val="auto"/>
              </w:rPr>
            </w:pPr>
            <w:r>
              <w:rPr>
                <w:rFonts w:ascii="Arial" w:cs="Arial" w:eastAsia="Arial" w:hAnsi="Arial"/>
                <w:sz w:val="18"/>
                <w:szCs w:val="18"/>
                <w:color w:val="auto"/>
              </w:rPr>
              <w:t>1,446</w:t>
            </w:r>
          </w:p>
        </w:tc>
      </w:tr>
      <w:tr>
        <w:trPr>
          <w:trHeight w:val="199"/>
        </w:trPr>
        <w:tc>
          <w:tcPr>
            <w:tcW w:w="91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Deferred consideration</w:t>
            </w:r>
          </w:p>
        </w:tc>
        <w:tc>
          <w:tcPr>
            <w:tcW w:w="32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268</w:t>
            </w:r>
          </w:p>
        </w:tc>
        <w:tc>
          <w:tcPr>
            <w:tcW w:w="22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gridSpan w:val="2"/>
          </w:tcPr>
          <w:p>
            <w:pPr>
              <w:ind w:left="300"/>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74</w:t>
            </w:r>
          </w:p>
        </w:tc>
      </w:tr>
    </w:tbl>
    <w:p>
      <w:pPr>
        <w:spacing w:after="0" w:line="16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amounts presented above, we had $781 million payable to our securitization programs at December 31, 2011. This amount represents cash receipts that are not yet remitted to the securitization program as of the balance sheet date and are recorded to accounts payable and accrued expenses related to trade creditors.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20: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enter into long-term commitments with third parties in the ordinary course of our business, including commitments to acquire film and television programming, take or pay creative talent and employment agreements, and various other television commitments. Many of our employees, including writers, directors, actors, technical and production personnel, and others, as well as some of our on-air and creative talent, are covered by collective bargaining agreements or works councils. As of December 31, 2011, the total number of employees covered by collective bargaining agreements was approximately 4,000 full-time equivalent employees. Of this total, approximately 46% of these full-time equivalent employees were covered by collective bargaining agreements that have expired or are scheduled to expire during 2012.</w:t>
      </w:r>
    </w:p>
    <w:p>
      <w:pPr>
        <w:spacing w:after="0" w:line="326"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70" w:name="page171"/>
    <w:bookmarkEnd w:id="170"/>
    <w:p>
      <w:pPr>
        <w:ind w:right="2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television rights to the future Olympic Games through 2020, and NBC’s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through the 2022-23 season, and other programming commitments, as well as our various contracts with creative talent and employment agreements under take-or-pay contracts.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960" w:type="dxa"/>
            <w:vAlign w:val="bottom"/>
            <w:gridSpan w:val="2"/>
          </w:tcPr>
          <w:p>
            <w:pPr>
              <w:ind w:left="3340"/>
              <w:spacing w:after="0"/>
              <w:rPr>
                <w:sz w:val="20"/>
                <w:szCs w:val="20"/>
                <w:color w:val="auto"/>
              </w:rPr>
            </w:pPr>
            <w:r>
              <w:rPr>
                <w:rFonts w:ascii="Arial" w:cs="Arial" w:eastAsia="Arial" w:hAnsi="Arial"/>
                <w:sz w:val="14"/>
                <w:szCs w:val="14"/>
                <w:color w:val="auto"/>
              </w:rPr>
              <w:t>Programming and Talent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Operating</w:t>
            </w:r>
          </w:p>
        </w:tc>
      </w:tr>
      <w:tr>
        <w:trPr>
          <w:trHeight w:val="149"/>
        </w:trPr>
        <w:tc>
          <w:tcPr>
            <w:tcW w:w="5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2011 (in millions)</w:t>
            </w:r>
          </w:p>
        </w:tc>
        <w:tc>
          <w:tcPr>
            <w:tcW w:w="37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5"/>
              <w:spacing w:after="0" w:line="149" w:lineRule="exact"/>
              <w:rPr>
                <w:sz w:val="20"/>
                <w:szCs w:val="20"/>
                <w:color w:val="auto"/>
              </w:rPr>
            </w:pPr>
            <w:r>
              <w:rPr>
                <w:rFonts w:ascii="Arial" w:cs="Arial" w:eastAsia="Arial" w:hAnsi="Arial"/>
                <w:sz w:val="14"/>
                <w:szCs w:val="14"/>
                <w:color w:val="auto"/>
              </w:rPr>
              <w:t>Commitments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5600" w:type="dxa"/>
            <w:vAlign w:val="bottom"/>
          </w:tcPr>
          <w:p>
            <w:pPr>
              <w:spacing w:after="0" w:line="200" w:lineRule="exact"/>
              <w:rPr>
                <w:sz w:val="20"/>
                <w:szCs w:val="20"/>
                <w:color w:val="auto"/>
              </w:rPr>
            </w:pPr>
            <w:r>
              <w:rPr>
                <w:rFonts w:ascii="Arial" w:cs="Arial" w:eastAsia="Arial" w:hAnsi="Arial"/>
                <w:sz w:val="18"/>
                <w:szCs w:val="18"/>
                <w:color w:val="auto"/>
              </w:rPr>
              <w:t>2012</w:t>
            </w:r>
          </w:p>
        </w:tc>
        <w:tc>
          <w:tcPr>
            <w:tcW w:w="3700" w:type="dxa"/>
            <w:vAlign w:val="bottom"/>
          </w:tcPr>
          <w:p>
            <w:pPr>
              <w:ind w:left="33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0" w:lineRule="exact"/>
              <w:rPr>
                <w:sz w:val="20"/>
                <w:szCs w:val="20"/>
                <w:color w:val="auto"/>
              </w:rPr>
            </w:pPr>
            <w:r>
              <w:rPr>
                <w:rFonts w:ascii="Arial" w:cs="Arial" w:eastAsia="Arial" w:hAnsi="Arial"/>
                <w:sz w:val="18"/>
                <w:szCs w:val="18"/>
                <w:color w:val="auto"/>
              </w:rPr>
              <w:t>4,793</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282</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3700" w:type="dxa"/>
            <w:vAlign w:val="bottom"/>
          </w:tcPr>
          <w:p>
            <w:pPr>
              <w:ind w:left="33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2,388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225</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700" w:type="dxa"/>
            <w:vAlign w:val="bottom"/>
          </w:tcPr>
          <w:p>
            <w:pPr>
              <w:ind w:left="33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2,887</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196</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700" w:type="dxa"/>
            <w:vAlign w:val="bottom"/>
          </w:tcPr>
          <w:p>
            <w:pPr>
              <w:ind w:left="33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1,976</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700" w:type="dxa"/>
            <w:vAlign w:val="bottom"/>
          </w:tcPr>
          <w:p>
            <w:pPr>
              <w:ind w:left="33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3,104</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171</w:t>
            </w:r>
          </w:p>
        </w:tc>
      </w:tr>
      <w:tr>
        <w:trPr>
          <w:trHeight w:val="199"/>
        </w:trPr>
        <w:tc>
          <w:tcPr>
            <w:tcW w:w="5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auto"/>
            </w:tcBorders>
          </w:tcPr>
          <w:p>
            <w:pPr>
              <w:ind w:left="334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17,301</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798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minimum annual commitments under operating leases include commitments with related parties of $566 million.</w:t>
      </w:r>
    </w:p>
    <w:p>
      <w:pPr>
        <w:spacing w:after="0" w:line="158"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Included in the above table are specific payments for the U.S. television rights to the 2012 London Olympics. This programming commitment was considered an unfavorable contract in the application of acquisition accounting for the Joint Venture Transaction. We recorded a liability related to this contract which will be reversed in our consolidated financial statements at the time the corresponding revenue and expenses associated with this contract are recognized.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53439A"/>
        </w:rPr>
        <w:t>Rental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06"/>
              <w:spacing w:after="0"/>
              <w:rPr>
                <w:sz w:val="20"/>
                <w:szCs w:val="20"/>
                <w:color w:val="auto"/>
              </w:rPr>
            </w:pPr>
            <w:r>
              <w:rPr>
                <w:rFonts w:ascii="Arial" w:cs="Arial" w:eastAsia="Arial" w:hAnsi="Arial"/>
                <w:sz w:val="14"/>
                <w:szCs w:val="14"/>
                <w:color w:val="auto"/>
              </w:rPr>
              <w:t>Predecessor</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6"/>
              <w:spacing w:after="0" w:line="141"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2"/>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1600" w:type="dxa"/>
            <w:vAlign w:val="bottom"/>
            <w:tcBorders>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32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1120" w:type="dxa"/>
            <w:vAlign w:val="bottom"/>
          </w:tcPr>
          <w:p>
            <w:pPr>
              <w:jc w:val="right"/>
              <w:ind w:right="26"/>
              <w:spacing w:after="0" w:line="149" w:lineRule="exact"/>
              <w:rPr>
                <w:sz w:val="20"/>
                <w:szCs w:val="20"/>
                <w:color w:val="auto"/>
              </w:rPr>
            </w:pPr>
            <w:r>
              <w:rPr>
                <w:rFonts w:ascii="Arial" w:cs="Arial" w:eastAsia="Arial" w:hAnsi="Arial"/>
                <w:sz w:val="14"/>
                <w:szCs w:val="14"/>
                <w:color w:val="auto"/>
              </w:rPr>
              <w:t>Year Ended</w:t>
            </w:r>
          </w:p>
        </w:tc>
        <w:tc>
          <w:tcPr>
            <w:tcW w:w="40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42"/>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jc w:val="right"/>
              <w:ind w:right="26"/>
              <w:spacing w:after="0" w:line="149" w:lineRule="exact"/>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2"/>
          </w:tcPr>
          <w:p>
            <w:pPr>
              <w:jc w:val="right"/>
              <w:ind w:right="22"/>
              <w:spacing w:after="0" w:line="149" w:lineRule="exact"/>
              <w:rPr>
                <w:sz w:val="20"/>
                <w:szCs w:val="20"/>
                <w:color w:val="auto"/>
              </w:rPr>
            </w:pPr>
            <w:r>
              <w:rPr>
                <w:rFonts w:ascii="Arial" w:cs="Arial" w:eastAsia="Arial" w:hAnsi="Arial"/>
                <w:sz w:val="14"/>
                <w:szCs w:val="14"/>
                <w:color w:val="auto"/>
              </w:rPr>
              <w:t>December 31, 2009</w:t>
            </w:r>
          </w:p>
        </w:tc>
      </w:tr>
      <w:tr>
        <w:trPr>
          <w:trHeight w:val="196"/>
        </w:trPr>
        <w:tc>
          <w:tcPr>
            <w:tcW w:w="5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Rental expense</w:t>
            </w:r>
          </w:p>
        </w:tc>
        <w:tc>
          <w:tcPr>
            <w:tcW w:w="28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267</w:t>
            </w:r>
          </w:p>
        </w:tc>
        <w:tc>
          <w:tcPr>
            <w:tcW w:w="2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6"/>
              <w:spacing w:after="0" w:line="196" w:lineRule="exact"/>
              <w:rPr>
                <w:sz w:val="20"/>
                <w:szCs w:val="20"/>
                <w:color w:val="auto"/>
              </w:rPr>
            </w:pPr>
            <w:r>
              <w:rPr>
                <w:rFonts w:ascii="Arial" w:cs="Arial" w:eastAsia="Arial" w:hAnsi="Arial"/>
                <w:sz w:val="18"/>
                <w:szCs w:val="18"/>
                <w:color w:val="auto"/>
              </w:rPr>
              <w:t>217</w:t>
            </w:r>
          </w:p>
        </w:tc>
        <w:tc>
          <w:tcPr>
            <w:tcW w:w="400" w:type="dxa"/>
            <w:vAlign w:val="bottom"/>
            <w:tcBorders>
              <w:bottom w:val="single" w:sz="8" w:color="auto"/>
            </w:tcBorders>
          </w:tcPr>
          <w:p>
            <w:pPr>
              <w:jc w:val="right"/>
              <w:ind w:right="122"/>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183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connection with the Joint Venture and Universal Orlando transactions, we assumed two contractual obligations that involve perpetual financial interests held by third parties in certain of our businesses. These interests are based upon a percentage of future revenue of the specified businesses. One of the contractual obligations provides the third party with the option, beginning in 2017, to require us to purchase the interest for cash in an amount equal to the fair value of the estimated future payments. These liabilities were recorded at fair value as of the respective acquisition dates, and subsequent fair value adjustments to these liabilities are recorded in other income (expense), net in our consolidated statement of income. Fair values are determined based on the terms of the contracts and Level 3 inputs, primarily including discounted future expected cash flows. As of December 31, 2011, these liabilities totaled $1 billion and the related expenses recognized in other income (expense), net in 2011 were $57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Station Venture</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discussed in Note 7, in connection with the closing of the Joint Venture Transaction, GE has indemnified us for all liabilities we may incur as a result of any credit support, risk of loss or similar arrangement related to the Station Venture $816 million senior secured note in existence prior to the close of the Joint Venture Transaction on January 28, 2011. Because the assets of Station LP serve as collateral for the Station Venture senior secured note, we have recorded a $482 million liability in the allocation of purchase price for the Joint Venture Transaction, which represents the fair value of the assets allocated in acquisition accounting that collateralize the note.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345"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21: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present our operations in four reportable segments: Cable Networks, Broadcast Television, Filmed Entertainment and Theme Parks. Following the acquisition of the 50% equity interest in Universal Orlando that we did not already own, we revised our measure of operating performance for our Theme Parks segment. Operating income (loss) before depreciation and amortization for our Theme Parks segment includes 100% of the results of operations of Universal Orlando. Prior to this transaction, equity in net income of investees was included in operating income (loss) before depreciation and amortization due to the significance of Universal Orlando to our Theme Parks segment. We have recast our Theme Parks segment performance measure for all periods presented in order to reflect our current segment performance measure. See Note 4 for additional information on the Universal Orlando transaction. Our financial data by business segment is presented in the tables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Successor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36"/>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1"/>
        </w:trPr>
        <w:tc>
          <w:tcPr>
            <w:tcW w:w="55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6"/>
              <w:spacing w:after="0" w:line="141" w:lineRule="exact"/>
              <w:rPr>
                <w:sz w:val="20"/>
                <w:szCs w:val="20"/>
                <w:color w:val="auto"/>
              </w:rPr>
            </w:pPr>
            <w:r>
              <w:rPr>
                <w:rFonts w:ascii="Arial" w:cs="Arial" w:eastAsia="Arial" w:hAnsi="Arial"/>
                <w:sz w:val="14"/>
                <w:szCs w:val="14"/>
                <w:color w:val="auto"/>
              </w:rPr>
              <w:t>For the Period</w:t>
            </w:r>
          </w:p>
        </w:tc>
        <w:tc>
          <w:tcPr>
            <w:tcW w:w="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5"/>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right w:val="single" w:sz="8" w:color="auto"/>
            </w:tcBorders>
            <w:gridSpan w:val="4"/>
          </w:tcPr>
          <w:p>
            <w:pPr>
              <w:ind w:left="60"/>
              <w:spacing w:after="0" w:line="149" w:lineRule="exact"/>
              <w:rPr>
                <w:sz w:val="20"/>
                <w:szCs w:val="20"/>
                <w:color w:val="auto"/>
              </w:rPr>
            </w:pPr>
            <w:r>
              <w:rPr>
                <w:rFonts w:ascii="Arial" w:cs="Arial" w:eastAsia="Arial" w:hAnsi="Arial"/>
                <w:sz w:val="14"/>
                <w:szCs w:val="14"/>
                <w:color w:val="auto"/>
              </w:rPr>
              <w:t>January 29, 2011 to</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right"/>
              <w:ind w:right="75"/>
              <w:spacing w:after="0" w:line="149" w:lineRule="exact"/>
              <w:rPr>
                <w:sz w:val="20"/>
                <w:szCs w:val="20"/>
                <w:color w:val="auto"/>
              </w:rPr>
            </w:pPr>
            <w:r>
              <w:rPr>
                <w:rFonts w:ascii="Arial" w:cs="Arial" w:eastAsia="Arial" w:hAnsi="Arial"/>
                <w:sz w:val="14"/>
                <w:szCs w:val="14"/>
                <w:color w:val="auto"/>
                <w:w w:val="98"/>
              </w:rPr>
              <w:t>January 1, 2011 to</w:t>
            </w:r>
          </w:p>
        </w:tc>
        <w:tc>
          <w:tcPr>
            <w:tcW w:w="240" w:type="dxa"/>
            <w:vAlign w:val="bottom"/>
          </w:tcPr>
          <w:p>
            <w:pPr>
              <w:spacing w:after="0"/>
              <w:rPr>
                <w:sz w:val="12"/>
                <w:szCs w:val="12"/>
                <w:color w:val="auto"/>
              </w:rPr>
            </w:pPr>
          </w:p>
        </w:tc>
        <w:tc>
          <w:tcPr>
            <w:tcW w:w="1140" w:type="dxa"/>
            <w:vAlign w:val="bottom"/>
          </w:tcPr>
          <w:p>
            <w:pPr>
              <w:jc w:val="right"/>
              <w:ind w:right="56"/>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gridSpan w:val="4"/>
          </w:tcPr>
          <w:p>
            <w:pPr>
              <w:ind w:left="80"/>
              <w:spacing w:after="0" w:line="149" w:lineRule="exact"/>
              <w:rPr>
                <w:sz w:val="20"/>
                <w:szCs w:val="20"/>
                <w:color w:val="auto"/>
              </w:rPr>
            </w:pPr>
            <w:r>
              <w:rPr>
                <w:rFonts w:ascii="Arial" w:cs="Arial" w:eastAsia="Arial" w:hAnsi="Arial"/>
                <w:sz w:val="14"/>
                <w:szCs w:val="14"/>
                <w:color w:val="auto"/>
              </w:rPr>
              <w:t>December 31, 2011</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75"/>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jc w:val="right"/>
              <w:ind w:right="56"/>
              <w:spacing w:after="0" w:line="149" w:lineRule="exact"/>
              <w:rPr>
                <w:sz w:val="20"/>
                <w:szCs w:val="20"/>
                <w:color w:val="auto"/>
              </w:rPr>
            </w:pPr>
            <w:r>
              <w:rPr>
                <w:rFonts w:ascii="Arial" w:cs="Arial" w:eastAsia="Arial" w:hAnsi="Arial"/>
                <w:sz w:val="14"/>
                <w:szCs w:val="14"/>
                <w:color w:val="auto"/>
                <w:w w:val="99"/>
              </w:rPr>
              <w:t>December 31, 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tcPr>
          <w:p>
            <w:pPr>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3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7,876</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20" w:type="dxa"/>
            <w:vAlign w:val="bottom"/>
            <w:gridSpan w:val="3"/>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389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4,954</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4,587</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Broadcast Television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5,935</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464</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6,888</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6,166</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Filmed Entertainment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4,239</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353</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4,576</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4,220</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Theme Parks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1,874</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115</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1,600</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1,200</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color w:val="auto"/>
              </w:rPr>
              <w:t>Total segment revenue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19,924</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1,321</w:t>
            </w:r>
          </w:p>
        </w:tc>
        <w:tc>
          <w:tcPr>
            <w:tcW w:w="240" w:type="dxa"/>
            <w:vAlign w:val="bottom"/>
          </w:tcPr>
          <w:p>
            <w:pPr>
              <w:spacing w:after="0"/>
              <w:rPr>
                <w:sz w:val="17"/>
                <w:szCs w:val="17"/>
                <w:color w:val="auto"/>
              </w:rPr>
            </w:pPr>
          </w:p>
        </w:tc>
        <w:tc>
          <w:tcPr>
            <w:tcW w:w="1140" w:type="dxa"/>
            <w:vAlign w:val="bottom"/>
          </w:tcPr>
          <w:p>
            <w:pPr>
              <w:jc w:val="right"/>
              <w:ind w:right="56"/>
              <w:spacing w:after="0" w:line="200" w:lineRule="exact"/>
              <w:rPr>
                <w:sz w:val="20"/>
                <w:szCs w:val="20"/>
                <w:color w:val="auto"/>
              </w:rPr>
            </w:pPr>
            <w:r>
              <w:rPr>
                <w:rFonts w:ascii="Arial" w:cs="Arial" w:eastAsia="Arial" w:hAnsi="Arial"/>
                <w:sz w:val="18"/>
                <w:szCs w:val="18"/>
                <w:color w:val="auto"/>
              </w:rPr>
              <w:t>18,018</w:t>
            </w:r>
          </w:p>
        </w:tc>
        <w:tc>
          <w:tcPr>
            <w:tcW w:w="360" w:type="dxa"/>
            <w:vAlign w:val="bottom"/>
          </w:tcPr>
          <w:p>
            <w:pPr>
              <w:spacing w:after="0"/>
              <w:rPr>
                <w:sz w:val="17"/>
                <w:szCs w:val="17"/>
                <w:color w:val="auto"/>
              </w:rPr>
            </w:pPr>
          </w:p>
        </w:tc>
        <w:tc>
          <w:tcPr>
            <w:tcW w:w="10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16,173</w:t>
            </w:r>
          </w:p>
        </w:tc>
      </w:tr>
      <w:tr>
        <w:trPr>
          <w:trHeight w:val="203"/>
        </w:trPr>
        <w:tc>
          <w:tcPr>
            <w:tcW w:w="5560" w:type="dxa"/>
            <w:vAlign w:val="bottom"/>
          </w:tcPr>
          <w:p>
            <w:pPr>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(b)</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45</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79</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78</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(941)</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(1,166)</w:t>
            </w:r>
          </w:p>
        </w:tc>
      </w:tr>
      <w:tr>
        <w:trPr>
          <w:trHeight w:val="203"/>
        </w:trPr>
        <w:tc>
          <w:tcPr>
            <w:tcW w:w="5560" w:type="dxa"/>
            <w:vAlign w:val="bottom"/>
            <w:tcBorders>
              <w:bottom w:val="single" w:sz="8" w:color="53439A"/>
            </w:tcBorders>
          </w:tcPr>
          <w:p>
            <w:pPr>
              <w:spacing w:after="0" w:line="203" w:lineRule="exact"/>
              <w:rPr>
                <w:sz w:val="20"/>
                <w:szCs w:val="20"/>
                <w:color w:val="auto"/>
              </w:rPr>
            </w:pPr>
            <w:r>
              <w:rPr>
                <w:rFonts w:ascii="Arial" w:cs="Arial" w:eastAsia="Arial" w:hAnsi="Arial"/>
                <w:sz w:val="18"/>
                <w:szCs w:val="18"/>
                <w:color w:val="auto"/>
              </w:rPr>
              <w:t xml:space="preserve">Total revenue </w:t>
            </w:r>
            <w:r>
              <w:rPr>
                <w:rFonts w:ascii="Arial" w:cs="Arial" w:eastAsia="Arial" w:hAnsi="Arial"/>
                <w:sz w:val="22"/>
                <w:szCs w:val="22"/>
                <w:color w:val="auto"/>
                <w:vertAlign w:val="superscript"/>
              </w:rPr>
              <w:t>(d)(f)</w:t>
            </w:r>
          </w:p>
        </w:tc>
        <w:tc>
          <w:tcPr>
            <w:tcW w:w="320" w:type="dxa"/>
            <w:vAlign w:val="bottom"/>
            <w:tcBorders>
              <w:bottom w:val="single" w:sz="8" w:color="53439A"/>
            </w:tcBorders>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ind w:right="16"/>
              <w:spacing w:after="0" w:line="202" w:lineRule="exact"/>
              <w:rPr>
                <w:sz w:val="20"/>
                <w:szCs w:val="20"/>
                <w:color w:val="auto"/>
              </w:rPr>
            </w:pPr>
            <w:r>
              <w:rPr>
                <w:rFonts w:ascii="Arial" w:cs="Arial" w:eastAsia="Arial" w:hAnsi="Arial"/>
                <w:sz w:val="18"/>
                <w:szCs w:val="18"/>
                <w:color w:val="auto"/>
              </w:rPr>
              <w:t>19,028</w:t>
            </w:r>
          </w:p>
        </w:tc>
        <w:tc>
          <w:tcPr>
            <w:tcW w:w="4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right w:val="single" w:sz="8" w:color="auto"/>
            </w:tcBorders>
          </w:tcPr>
          <w:p>
            <w:pPr>
              <w:spacing w:after="0"/>
              <w:rPr>
                <w:sz w:val="17"/>
                <w:szCs w:val="17"/>
                <w:color w:val="auto"/>
              </w:rPr>
            </w:pPr>
          </w:p>
        </w:tc>
        <w:tc>
          <w:tcPr>
            <w:tcW w:w="420" w:type="dxa"/>
            <w:vAlign w:val="bottom"/>
            <w:tcBorders>
              <w:bottom w:val="single" w:sz="8" w:color="53439A"/>
            </w:tcBorders>
            <w:gridSpan w:val="3"/>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ind w:right="75"/>
              <w:spacing w:after="0" w:line="202" w:lineRule="exact"/>
              <w:rPr>
                <w:sz w:val="20"/>
                <w:szCs w:val="20"/>
                <w:color w:val="auto"/>
              </w:rPr>
            </w:pPr>
            <w:r>
              <w:rPr>
                <w:rFonts w:ascii="Arial" w:cs="Arial" w:eastAsia="Arial" w:hAnsi="Arial"/>
                <w:sz w:val="18"/>
                <w:szCs w:val="18"/>
                <w:color w:val="auto"/>
              </w:rPr>
              <w:t>1,206</w:t>
            </w:r>
          </w:p>
        </w:tc>
        <w:tc>
          <w:tcPr>
            <w:tcW w:w="2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ind w:right="56"/>
              <w:spacing w:after="0" w:line="202" w:lineRule="exact"/>
              <w:rPr>
                <w:sz w:val="20"/>
                <w:szCs w:val="20"/>
                <w:color w:val="auto"/>
              </w:rPr>
            </w:pPr>
            <w:r>
              <w:rPr>
                <w:rFonts w:ascii="Arial" w:cs="Arial" w:eastAsia="Arial" w:hAnsi="Arial"/>
                <w:sz w:val="18"/>
                <w:szCs w:val="18"/>
                <w:color w:val="auto"/>
              </w:rPr>
              <w:t>16,590</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15,085</w:t>
            </w:r>
          </w:p>
        </w:tc>
      </w:tr>
      <w:tr>
        <w:trPr>
          <w:trHeight w:val="351"/>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color w:val="auto"/>
              </w:rPr>
              <w:t>Successor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color w:val="auto"/>
              </w:rPr>
              <w:t>Predecessor</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1"/>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20"/>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5"/>
              <w:spacing w:after="0" w:line="141" w:lineRule="exact"/>
              <w:rPr>
                <w:sz w:val="20"/>
                <w:szCs w:val="20"/>
                <w:color w:val="auto"/>
              </w:rPr>
            </w:pPr>
            <w:r>
              <w:rPr>
                <w:rFonts w:ascii="Arial" w:cs="Arial" w:eastAsia="Arial" w:hAnsi="Arial"/>
                <w:sz w:val="14"/>
                <w:szCs w:val="14"/>
                <w:color w:val="auto"/>
              </w:rPr>
              <w:t>For the Period</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49"/>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right w:val="single" w:sz="8" w:color="auto"/>
            </w:tcBorders>
            <w:gridSpan w:val="4"/>
          </w:tcPr>
          <w:p>
            <w:pPr>
              <w:jc w:val="right"/>
              <w:ind w:right="320"/>
              <w:spacing w:after="0" w:line="149" w:lineRule="exact"/>
              <w:rPr>
                <w:sz w:val="20"/>
                <w:szCs w:val="20"/>
                <w:color w:val="auto"/>
              </w:rPr>
            </w:pPr>
            <w:r>
              <w:rPr>
                <w:rFonts w:ascii="Arial" w:cs="Arial" w:eastAsia="Arial" w:hAnsi="Arial"/>
                <w:sz w:val="14"/>
                <w:szCs w:val="14"/>
                <w:color w:val="auto"/>
              </w:rPr>
              <w:t>January 29, 2011 to</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January 1, 2011 to</w:t>
            </w:r>
          </w:p>
        </w:tc>
        <w:tc>
          <w:tcPr>
            <w:tcW w:w="240" w:type="dxa"/>
            <w:vAlign w:val="bottom"/>
          </w:tcPr>
          <w:p>
            <w:pPr>
              <w:spacing w:after="0"/>
              <w:rPr>
                <w:sz w:val="12"/>
                <w:szCs w:val="12"/>
                <w:color w:val="auto"/>
              </w:rPr>
            </w:pPr>
          </w:p>
        </w:tc>
        <w:tc>
          <w:tcPr>
            <w:tcW w:w="1140" w:type="dxa"/>
            <w:vAlign w:val="bottom"/>
          </w:tcPr>
          <w:p>
            <w:pPr>
              <w:jc w:val="right"/>
              <w:ind w:right="56"/>
              <w:spacing w:after="0" w:line="149" w:lineRule="exact"/>
              <w:rPr>
                <w:sz w:val="20"/>
                <w:szCs w:val="20"/>
                <w:color w:val="auto"/>
              </w:rPr>
            </w:pPr>
            <w:r>
              <w:rPr>
                <w:rFonts w:ascii="Arial" w:cs="Arial" w:eastAsia="Arial" w:hAnsi="Arial"/>
                <w:sz w:val="14"/>
                <w:szCs w:val="14"/>
                <w:color w:val="auto"/>
              </w:rPr>
              <w:t>Year Ended</w:t>
            </w:r>
          </w:p>
        </w:tc>
        <w:tc>
          <w:tcPr>
            <w:tcW w:w="360" w:type="dxa"/>
            <w:vAlign w:val="bottom"/>
          </w:tcPr>
          <w:p>
            <w:pPr>
              <w:spacing w:after="0"/>
              <w:rPr>
                <w:sz w:val="12"/>
                <w:szCs w:val="12"/>
                <w:color w:val="auto"/>
              </w:rPr>
            </w:pPr>
          </w:p>
        </w:tc>
        <w:tc>
          <w:tcPr>
            <w:tcW w:w="10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gridSpan w:val="4"/>
          </w:tcPr>
          <w:p>
            <w:pPr>
              <w:jc w:val="right"/>
              <w:ind w:right="320"/>
              <w:spacing w:after="0" w:line="149" w:lineRule="exact"/>
              <w:rPr>
                <w:sz w:val="20"/>
                <w:szCs w:val="20"/>
                <w:color w:val="auto"/>
              </w:rPr>
            </w:pPr>
            <w:r>
              <w:rPr>
                <w:rFonts w:ascii="Arial" w:cs="Arial" w:eastAsia="Arial" w:hAnsi="Arial"/>
                <w:sz w:val="14"/>
                <w:szCs w:val="14"/>
                <w:color w:val="auto"/>
              </w:rPr>
              <w:t>December 31, 2011</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35"/>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2"/>
          </w:tcPr>
          <w:p>
            <w:pPr>
              <w:jc w:val="right"/>
              <w:ind w:right="56"/>
              <w:spacing w:after="0" w:line="149" w:lineRule="exact"/>
              <w:rPr>
                <w:sz w:val="20"/>
                <w:szCs w:val="20"/>
                <w:color w:val="auto"/>
              </w:rPr>
            </w:pPr>
            <w:r>
              <w:rPr>
                <w:rFonts w:ascii="Arial" w:cs="Arial" w:eastAsia="Arial" w:hAnsi="Arial"/>
                <w:sz w:val="14"/>
                <w:szCs w:val="14"/>
                <w:color w:val="auto"/>
              </w:rPr>
              <w:t>December 31,2010</w:t>
            </w:r>
          </w:p>
        </w:tc>
        <w:tc>
          <w:tcPr>
            <w:tcW w:w="1360" w:type="dxa"/>
            <w:vAlign w:val="bottom"/>
            <w:tcBorders>
              <w:bottom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 Before Depreciation and Amortization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560" w:type="dxa"/>
            <w:vAlign w:val="bottom"/>
          </w:tcPr>
          <w:p>
            <w:pPr>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w:t>
            </w:r>
          </w:p>
        </w:tc>
        <w:tc>
          <w:tcPr>
            <w:tcW w:w="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3,119</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2,347</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2,135</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Broadcast Television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124</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445</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Filmed Entertainment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290</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39</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Theme Parks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830</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591</w:t>
            </w:r>
          </w:p>
        </w:tc>
        <w:tc>
          <w:tcPr>
            <w:tcW w:w="3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424</w:t>
            </w:r>
          </w:p>
        </w:tc>
      </w:tr>
      <w:tr>
        <w:trPr>
          <w:trHeight w:val="203"/>
        </w:trPr>
        <w:tc>
          <w:tcPr>
            <w:tcW w:w="5560" w:type="dxa"/>
            <w:vAlign w:val="bottom"/>
          </w:tcPr>
          <w:p>
            <w:pPr>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(b)</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(c)</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(234)</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(386)</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(260)</w:t>
            </w:r>
          </w:p>
        </w:tc>
      </w:tr>
      <w:tr>
        <w:trPr>
          <w:trHeight w:val="203"/>
        </w:trPr>
        <w:tc>
          <w:tcPr>
            <w:tcW w:w="5560" w:type="dxa"/>
            <w:vAlign w:val="bottom"/>
            <w:tcBorders>
              <w:bottom w:val="single" w:sz="8" w:color="53439A"/>
            </w:tcBorders>
          </w:tcPr>
          <w:p>
            <w:pPr>
              <w:spacing w:after="0" w:line="203" w:lineRule="exact"/>
              <w:rPr>
                <w:sz w:val="20"/>
                <w:szCs w:val="20"/>
                <w:color w:val="auto"/>
              </w:rPr>
            </w:pPr>
            <w:r>
              <w:rPr>
                <w:rFonts w:ascii="Arial" w:cs="Arial" w:eastAsia="Arial" w:hAnsi="Arial"/>
                <w:sz w:val="18"/>
                <w:szCs w:val="18"/>
                <w:color w:val="auto"/>
              </w:rPr>
              <w:t>Total operating income (loss) before depreciation and amortization</w:t>
            </w:r>
            <w:r>
              <w:rPr>
                <w:rFonts w:ascii="Arial" w:cs="Arial" w:eastAsia="Arial" w:hAnsi="Arial"/>
                <w:sz w:val="22"/>
                <w:szCs w:val="22"/>
                <w:color w:val="auto"/>
                <w:vertAlign w:val="superscript"/>
              </w:rPr>
              <w:t>(e)</w:t>
            </w:r>
          </w:p>
        </w:tc>
        <w:tc>
          <w:tcPr>
            <w:tcW w:w="20" w:type="dxa"/>
            <w:vAlign w:val="bottom"/>
            <w:tcBorders>
              <w:bottom w:val="single" w:sz="8" w:color="53439A"/>
            </w:tcBorders>
          </w:tcPr>
          <w:p>
            <w:pPr>
              <w:spacing w:after="0"/>
              <w:rPr>
                <w:sz w:val="17"/>
                <w:szCs w:val="17"/>
                <w:color w:val="auto"/>
              </w:rPr>
            </w:pPr>
          </w:p>
        </w:tc>
        <w:tc>
          <w:tcPr>
            <w:tcW w:w="300" w:type="dxa"/>
            <w:vAlign w:val="bottom"/>
            <w:tcBorders>
              <w:bottom w:val="single" w:sz="8" w:color="53439A"/>
            </w:tcBorders>
          </w:tcPr>
          <w:p>
            <w:pPr>
              <w:spacing w:after="0"/>
              <w:rPr>
                <w:sz w:val="17"/>
                <w:szCs w:val="17"/>
                <w:color w:val="auto"/>
              </w:rPr>
            </w:pPr>
          </w:p>
        </w:tc>
        <w:tc>
          <w:tcPr>
            <w:tcW w:w="10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3,396</w:t>
            </w:r>
          </w:p>
        </w:tc>
        <w:tc>
          <w:tcPr>
            <w:tcW w:w="4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right w:val="single" w:sz="8" w:color="auto"/>
            </w:tcBorders>
          </w:tcPr>
          <w:p>
            <w:pPr>
              <w:spacing w:after="0"/>
              <w:rPr>
                <w:sz w:val="17"/>
                <w:szCs w:val="17"/>
                <w:color w:val="auto"/>
              </w:rPr>
            </w:pPr>
          </w:p>
        </w:tc>
        <w:tc>
          <w:tcPr>
            <w:tcW w:w="140" w:type="dxa"/>
            <w:vAlign w:val="bottom"/>
            <w:tcBorders>
              <w:bottom w:val="single" w:sz="8" w:color="53439A"/>
            </w:tcBorders>
          </w:tcPr>
          <w:p>
            <w:pPr>
              <w:spacing w:after="0"/>
              <w:rPr>
                <w:sz w:val="17"/>
                <w:szCs w:val="17"/>
                <w:color w:val="auto"/>
              </w:rPr>
            </w:pPr>
          </w:p>
        </w:tc>
        <w:tc>
          <w:tcPr>
            <w:tcW w:w="40" w:type="dxa"/>
            <w:vAlign w:val="bottom"/>
            <w:tcBorders>
              <w:bottom w:val="single" w:sz="8" w:color="53439A"/>
            </w:tcBorders>
          </w:tcPr>
          <w:p>
            <w:pPr>
              <w:spacing w:after="0"/>
              <w:rPr>
                <w:sz w:val="17"/>
                <w:szCs w:val="17"/>
                <w:color w:val="auto"/>
              </w:rPr>
            </w:pPr>
          </w:p>
        </w:tc>
        <w:tc>
          <w:tcPr>
            <w:tcW w:w="240" w:type="dxa"/>
            <w:vAlign w:val="bottom"/>
            <w:tcBorders>
              <w:bottom w:val="single" w:sz="8" w:color="53439A"/>
            </w:tcBorders>
          </w:tcPr>
          <w:p>
            <w:pPr>
              <w:spacing w:after="0"/>
              <w:rPr>
                <w:sz w:val="17"/>
                <w:szCs w:val="17"/>
                <w:color w:val="auto"/>
              </w:rPr>
            </w:pPr>
          </w:p>
        </w:tc>
        <w:tc>
          <w:tcPr>
            <w:tcW w:w="1080" w:type="dxa"/>
            <w:vAlign w:val="bottom"/>
            <w:tcBorders>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240" w:type="dxa"/>
            <w:vAlign w:val="bottom"/>
            <w:tcBorders>
              <w:bottom w:val="single" w:sz="8" w:color="53439A"/>
            </w:tcBorders>
          </w:tcPr>
          <w:p>
            <w:pPr>
              <w:spacing w:after="0"/>
              <w:rPr>
                <w:sz w:val="17"/>
                <w:szCs w:val="17"/>
                <w:color w:val="auto"/>
              </w:rPr>
            </w:pPr>
          </w:p>
        </w:tc>
        <w:tc>
          <w:tcPr>
            <w:tcW w:w="1140" w:type="dxa"/>
            <w:vAlign w:val="bottom"/>
            <w:tcBorders>
              <w:bottom w:val="single" w:sz="8" w:color="53439A"/>
            </w:tcBorders>
          </w:tcPr>
          <w:p>
            <w:pPr>
              <w:jc w:val="right"/>
              <w:ind w:right="56"/>
              <w:spacing w:after="0" w:line="202" w:lineRule="exact"/>
              <w:rPr>
                <w:sz w:val="20"/>
                <w:szCs w:val="20"/>
                <w:color w:val="auto"/>
              </w:rPr>
            </w:pPr>
            <w:r>
              <w:rPr>
                <w:rFonts w:ascii="Arial" w:cs="Arial" w:eastAsia="Arial" w:hAnsi="Arial"/>
                <w:sz w:val="18"/>
                <w:szCs w:val="18"/>
                <w:color w:val="auto"/>
              </w:rPr>
              <w:t>2,553</w:t>
            </w:r>
          </w:p>
        </w:tc>
        <w:tc>
          <w:tcPr>
            <w:tcW w:w="360" w:type="dxa"/>
            <w:vAlign w:val="bottom"/>
            <w:tcBorders>
              <w:bottom w:val="single" w:sz="8" w:color="53439A"/>
            </w:tcBorders>
          </w:tcPr>
          <w:p>
            <w:pPr>
              <w:spacing w:after="0"/>
              <w:rPr>
                <w:sz w:val="17"/>
                <w:szCs w:val="17"/>
                <w:color w:val="auto"/>
              </w:rPr>
            </w:pPr>
          </w:p>
        </w:tc>
        <w:tc>
          <w:tcPr>
            <w:tcW w:w="100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2,215</w:t>
            </w:r>
          </w:p>
        </w:tc>
      </w:tr>
      <w:tr>
        <w:trPr>
          <w:trHeight w:val="206"/>
        </w:trPr>
        <w:tc>
          <w:tcPr>
            <w:tcW w:w="5560" w:type="dxa"/>
            <w:vAlign w:val="bottom"/>
          </w:tcPr>
          <w:p>
            <w:pPr>
              <w:spacing w:after="0" w:line="206" w:lineRule="exact"/>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401</w:t>
            </w:r>
          </w:p>
        </w:tc>
        <w:tc>
          <w:tcPr>
            <w:tcW w:w="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5"/>
              <w:spacing w:after="0" w:line="206"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c>
          <w:tcPr>
            <w:tcW w:w="1140" w:type="dxa"/>
            <w:vAlign w:val="bottom"/>
          </w:tcPr>
          <w:p>
            <w:pPr>
              <w:jc w:val="right"/>
              <w:ind w:right="56"/>
              <w:spacing w:after="0" w:line="206" w:lineRule="exact"/>
              <w:rPr>
                <w:sz w:val="20"/>
                <w:szCs w:val="20"/>
                <w:color w:val="auto"/>
              </w:rPr>
            </w:pPr>
            <w:r>
              <w:rPr>
                <w:rFonts w:ascii="Arial" w:cs="Arial" w:eastAsia="Arial" w:hAnsi="Arial"/>
                <w:sz w:val="18"/>
                <w:szCs w:val="18"/>
                <w:color w:val="auto"/>
              </w:rPr>
              <w:t>252</w:t>
            </w:r>
          </w:p>
        </w:tc>
        <w:tc>
          <w:tcPr>
            <w:tcW w:w="360" w:type="dxa"/>
            <w:vAlign w:val="bottom"/>
          </w:tcPr>
          <w:p>
            <w:pPr>
              <w:spacing w:after="0"/>
              <w:rPr>
                <w:sz w:val="17"/>
                <w:szCs w:val="17"/>
                <w:color w:val="auto"/>
              </w:rPr>
            </w:pPr>
          </w:p>
        </w:tc>
        <w:tc>
          <w:tcPr>
            <w:tcW w:w="1000" w:type="dxa"/>
            <w:vAlign w:val="bottom"/>
          </w:tcPr>
          <w:p>
            <w:pPr>
              <w:jc w:val="right"/>
              <w:ind w:right="14"/>
              <w:spacing w:after="0" w:line="206" w:lineRule="exact"/>
              <w:rPr>
                <w:sz w:val="20"/>
                <w:szCs w:val="20"/>
                <w:color w:val="auto"/>
              </w:rPr>
            </w:pPr>
            <w:r>
              <w:rPr>
                <w:rFonts w:ascii="Arial" w:cs="Arial" w:eastAsia="Arial" w:hAnsi="Arial"/>
                <w:sz w:val="18"/>
                <w:szCs w:val="18"/>
                <w:color w:val="auto"/>
              </w:rPr>
              <w:t>242</w:t>
            </w:r>
          </w:p>
        </w:tc>
      </w:tr>
      <w:tr>
        <w:trPr>
          <w:trHeight w:val="199"/>
        </w:trPr>
        <w:tc>
          <w:tcPr>
            <w:tcW w:w="5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Amortization</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712</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105</w:t>
            </w:r>
          </w:p>
        </w:tc>
      </w:tr>
      <w:tr>
        <w:trPr>
          <w:trHeight w:val="203"/>
        </w:trPr>
        <w:tc>
          <w:tcPr>
            <w:tcW w:w="5560" w:type="dxa"/>
            <w:vAlign w:val="bottom"/>
            <w:tcBorders>
              <w:bottom w:val="single" w:sz="8" w:color="53439A"/>
            </w:tcBorders>
          </w:tcPr>
          <w:p>
            <w:pPr>
              <w:spacing w:after="0" w:line="202" w:lineRule="exact"/>
              <w:rPr>
                <w:sz w:val="20"/>
                <w:szCs w:val="20"/>
                <w:color w:val="auto"/>
              </w:rPr>
            </w:pPr>
            <w:r>
              <w:rPr>
                <w:rFonts w:ascii="Arial" w:cs="Arial" w:eastAsia="Arial" w:hAnsi="Arial"/>
                <w:sz w:val="18"/>
                <w:szCs w:val="18"/>
                <w:color w:val="auto"/>
              </w:rPr>
              <w:t>Total operating income</w:t>
            </w:r>
          </w:p>
        </w:tc>
        <w:tc>
          <w:tcPr>
            <w:tcW w:w="320" w:type="dxa"/>
            <w:vAlign w:val="bottom"/>
            <w:tcBorders>
              <w:bottom w:val="single" w:sz="8" w:color="53439A"/>
            </w:tcBorders>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2,283</w:t>
            </w:r>
          </w:p>
        </w:tc>
        <w:tc>
          <w:tcPr>
            <w:tcW w:w="40" w:type="dxa"/>
            <w:vAlign w:val="bottom"/>
            <w:tcBorders>
              <w:bottom w:val="single" w:sz="8" w:color="53439A"/>
            </w:tcBorders>
          </w:tcPr>
          <w:p>
            <w:pPr>
              <w:spacing w:after="0"/>
              <w:rPr>
                <w:sz w:val="17"/>
                <w:szCs w:val="17"/>
                <w:color w:val="auto"/>
              </w:rPr>
            </w:pPr>
          </w:p>
        </w:tc>
        <w:tc>
          <w:tcPr>
            <w:tcW w:w="200" w:type="dxa"/>
            <w:vAlign w:val="bottom"/>
            <w:tcBorders>
              <w:bottom w:val="single" w:sz="8" w:color="53439A"/>
              <w:right w:val="single" w:sz="8" w:color="auto"/>
            </w:tcBorders>
          </w:tcPr>
          <w:p>
            <w:pPr>
              <w:spacing w:after="0"/>
              <w:rPr>
                <w:sz w:val="17"/>
                <w:szCs w:val="17"/>
                <w:color w:val="auto"/>
              </w:rPr>
            </w:pPr>
          </w:p>
        </w:tc>
        <w:tc>
          <w:tcPr>
            <w:tcW w:w="420" w:type="dxa"/>
            <w:vAlign w:val="bottom"/>
            <w:tcBorders>
              <w:bottom w:val="single" w:sz="8" w:color="53439A"/>
            </w:tcBorders>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53439A"/>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53439A"/>
            </w:tcBorders>
          </w:tcPr>
          <w:p>
            <w:pPr>
              <w:jc w:val="right"/>
              <w:ind w:right="56"/>
              <w:spacing w:after="0" w:line="202" w:lineRule="exact"/>
              <w:rPr>
                <w:sz w:val="20"/>
                <w:szCs w:val="20"/>
                <w:color w:val="auto"/>
              </w:rPr>
            </w:pPr>
            <w:r>
              <w:rPr>
                <w:rFonts w:ascii="Arial" w:cs="Arial" w:eastAsia="Arial" w:hAnsi="Arial"/>
                <w:sz w:val="18"/>
                <w:szCs w:val="18"/>
                <w:color w:val="auto"/>
              </w:rPr>
              <w:t>2,204</w:t>
            </w:r>
          </w:p>
        </w:tc>
        <w:tc>
          <w:tcPr>
            <w:tcW w:w="360" w:type="dxa"/>
            <w:vAlign w:val="bottom"/>
            <w:tcBorders>
              <w:bottom w:val="single" w:sz="8" w:color="53439A"/>
            </w:tcBorders>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1,868</w:t>
            </w:r>
          </w:p>
        </w:tc>
      </w:tr>
      <w:tr>
        <w:trPr>
          <w:trHeight w:val="513"/>
        </w:trPr>
        <w:tc>
          <w:tcPr>
            <w:tcW w:w="55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89</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5"/>
          </w:tcPr>
          <w:p>
            <w:pPr>
              <w:jc w:val="right"/>
              <w:spacing w:after="0"/>
              <w:rPr>
                <w:sz w:val="20"/>
                <w:szCs w:val="20"/>
                <w:color w:val="auto"/>
              </w:rPr>
            </w:pPr>
            <w:r>
              <w:rPr>
                <w:rFonts w:ascii="Arial" w:cs="Arial" w:eastAsia="Arial" w:hAnsi="Arial"/>
                <w:sz w:val="14"/>
                <w:szCs w:val="14"/>
                <w:color w:val="auto"/>
              </w:rPr>
              <w:t>NBCUniversal 2011 Annual Report on Form 10-K</w:t>
            </w:r>
          </w:p>
        </w:tc>
      </w:tr>
    </w:tbl>
    <w:p>
      <w:pPr>
        <w:sectPr>
          <w:pgSz w:w="11900" w:h="16838" w:orient="portrait"/>
          <w:cols w:equalWidth="0" w:num="1">
            <w:col w:w="11420"/>
          </w:cols>
          <w:pgMar w:left="240" w:top="485" w:right="23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Successor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Predecessor</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(in millions)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color w:val="auto"/>
                <w:w w:val="96"/>
              </w:rPr>
              <w:t>2011</w:t>
            </w:r>
          </w:p>
        </w:tc>
        <w:tc>
          <w:tcPr>
            <w:tcW w:w="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2010</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Cable Networks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$ 29,578</w:t>
            </w:r>
          </w:p>
        </w:tc>
        <w:tc>
          <w:tcPr>
            <w:tcW w:w="220" w:type="dxa"/>
            <w:vAlign w:val="bottom"/>
            <w:tcBorders>
              <w:right w:val="single" w:sz="8" w:color="auto"/>
            </w:tcBorders>
          </w:tcPr>
          <w:p>
            <w:pPr>
              <w:spacing w:after="0"/>
              <w:rPr>
                <w:sz w:val="17"/>
                <w:szCs w:val="17"/>
                <w:color w:val="auto"/>
              </w:rPr>
            </w:pP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17,522</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6,213</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7,330</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3,891</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6,162</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Theme Parks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2"/>
              <w:spacing w:after="0" w:line="200" w:lineRule="exact"/>
              <w:rPr>
                <w:sz w:val="20"/>
                <w:szCs w:val="20"/>
                <w:color w:val="auto"/>
              </w:rPr>
            </w:pPr>
            <w:r>
              <w:rPr>
                <w:rFonts w:ascii="Arial" w:cs="Arial" w:eastAsia="Arial" w:hAnsi="Arial"/>
                <w:sz w:val="18"/>
                <w:szCs w:val="18"/>
                <w:color w:val="auto"/>
              </w:rPr>
              <w:t>6,197</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3,079</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Total segment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2"/>
              <w:spacing w:after="0" w:line="200" w:lineRule="exact"/>
              <w:rPr>
                <w:sz w:val="20"/>
                <w:szCs w:val="20"/>
                <w:color w:val="auto"/>
              </w:rPr>
            </w:pPr>
            <w:r>
              <w:rPr>
                <w:rFonts w:ascii="Arial" w:cs="Arial" w:eastAsia="Arial" w:hAnsi="Arial"/>
                <w:sz w:val="18"/>
                <w:szCs w:val="18"/>
                <w:color w:val="auto"/>
              </w:rPr>
              <w:t>45,879</w:t>
            </w:r>
          </w:p>
        </w:tc>
        <w:tc>
          <w:tcPr>
            <w:tcW w:w="2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34,093</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Headquarters, other and eliminations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2"/>
              <w:spacing w:after="0" w:line="200" w:lineRule="exact"/>
              <w:rPr>
                <w:sz w:val="20"/>
                <w:szCs w:val="20"/>
                <w:color w:val="auto"/>
              </w:rPr>
            </w:pPr>
            <w:r>
              <w:rPr>
                <w:rFonts w:ascii="Arial" w:cs="Arial" w:eastAsia="Arial" w:hAnsi="Arial"/>
                <w:sz w:val="18"/>
                <w:szCs w:val="18"/>
                <w:color w:val="auto"/>
              </w:rPr>
              <w:t>4,905</w:t>
            </w:r>
          </w:p>
        </w:tc>
        <w:tc>
          <w:tcPr>
            <w:tcW w:w="2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8,331</w:t>
            </w:r>
          </w:p>
        </w:tc>
      </w:tr>
      <w:tr>
        <w:trPr>
          <w:trHeight w:val="203"/>
        </w:trPr>
        <w:tc>
          <w:tcPr>
            <w:tcW w:w="5540" w:type="dxa"/>
            <w:vAlign w:val="bottom"/>
            <w:gridSpan w:val="2"/>
          </w:tcPr>
          <w:p>
            <w:pPr>
              <w:spacing w:after="0" w:line="203"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(f)</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$ 50,784</w:t>
            </w:r>
          </w:p>
        </w:tc>
        <w:tc>
          <w:tcPr>
            <w:tcW w:w="220" w:type="dxa"/>
            <w:vAlign w:val="bottom"/>
            <w:tcBorders>
              <w:right w:val="single" w:sz="8" w:color="auto"/>
            </w:tcBorders>
          </w:tcPr>
          <w:p>
            <w:pPr>
              <w:spacing w:after="0"/>
              <w:rPr>
                <w:sz w:val="17"/>
                <w:szCs w:val="17"/>
                <w:color w:val="auto"/>
              </w:rPr>
            </w:pPr>
          </w:p>
        </w:tc>
        <w:tc>
          <w:tcPr>
            <w:tcW w:w="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42,424</w:t>
            </w:r>
          </w:p>
        </w:tc>
      </w:tr>
      <w:tr>
        <w:trPr>
          <w:trHeight w:val="351"/>
        </w:trPr>
        <w:tc>
          <w:tcPr>
            <w:tcW w:w="20" w:type="dxa"/>
            <w:vAlign w:val="bottom"/>
          </w:tcPr>
          <w:p>
            <w:pPr>
              <w:spacing w:after="0"/>
              <w:rPr>
                <w:sz w:val="24"/>
                <w:szCs w:val="24"/>
                <w:color w:val="auto"/>
              </w:rPr>
            </w:pPr>
          </w:p>
        </w:tc>
        <w:tc>
          <w:tcPr>
            <w:tcW w:w="5520" w:type="dxa"/>
            <w:vAlign w:val="bottom"/>
            <w:tcBorders>
              <w:top w:val="single" w:sz="8" w:color="53439A"/>
            </w:tcBorders>
          </w:tcPr>
          <w:p>
            <w:pPr>
              <w:spacing w:after="0"/>
              <w:rPr>
                <w:sz w:val="24"/>
                <w:szCs w:val="24"/>
                <w:color w:val="auto"/>
              </w:rPr>
            </w:pPr>
          </w:p>
        </w:tc>
        <w:tc>
          <w:tcPr>
            <w:tcW w:w="280" w:type="dxa"/>
            <w:vAlign w:val="bottom"/>
            <w:tcBorders>
              <w:top w:val="single" w:sz="8" w:color="53439A"/>
            </w:tcBorders>
          </w:tcPr>
          <w:p>
            <w:pPr>
              <w:spacing w:after="0"/>
              <w:rPr>
                <w:sz w:val="24"/>
                <w:szCs w:val="24"/>
                <w:color w:val="auto"/>
              </w:rPr>
            </w:pPr>
          </w:p>
        </w:tc>
        <w:tc>
          <w:tcPr>
            <w:tcW w:w="1320" w:type="dxa"/>
            <w:vAlign w:val="bottom"/>
            <w:tcBorders>
              <w:top w:val="single" w:sz="8" w:color="53439A"/>
            </w:tcBorders>
            <w:gridSpan w:val="2"/>
          </w:tcPr>
          <w:p>
            <w:pPr>
              <w:ind w:left="100"/>
              <w:spacing w:after="0"/>
              <w:rPr>
                <w:sz w:val="20"/>
                <w:szCs w:val="20"/>
                <w:color w:val="auto"/>
              </w:rPr>
            </w:pPr>
            <w:r>
              <w:rPr>
                <w:rFonts w:ascii="Arial" w:cs="Arial" w:eastAsia="Arial" w:hAnsi="Arial"/>
                <w:sz w:val="14"/>
                <w:szCs w:val="14"/>
                <w:color w:val="auto"/>
              </w:rPr>
              <w:t>Successor</w:t>
            </w:r>
          </w:p>
        </w:tc>
        <w:tc>
          <w:tcPr>
            <w:tcW w:w="180" w:type="dxa"/>
            <w:vAlign w:val="bottom"/>
            <w:tcBorders>
              <w:top w:val="single" w:sz="8" w:color="53439A"/>
            </w:tcBorders>
          </w:tcPr>
          <w:p>
            <w:pPr>
              <w:spacing w:after="0"/>
              <w:rPr>
                <w:sz w:val="24"/>
                <w:szCs w:val="24"/>
                <w:color w:val="auto"/>
              </w:rPr>
            </w:pPr>
          </w:p>
        </w:tc>
        <w:tc>
          <w:tcPr>
            <w:tcW w:w="280" w:type="dxa"/>
            <w:vAlign w:val="bottom"/>
            <w:tcBorders>
              <w:top w:val="single" w:sz="8" w:color="53439A"/>
            </w:tcBorders>
          </w:tcPr>
          <w:p>
            <w:pPr>
              <w:spacing w:after="0"/>
              <w:rPr>
                <w:sz w:val="24"/>
                <w:szCs w:val="24"/>
                <w:color w:val="auto"/>
              </w:rPr>
            </w:pPr>
          </w:p>
        </w:tc>
        <w:tc>
          <w:tcPr>
            <w:tcW w:w="1040" w:type="dxa"/>
            <w:vAlign w:val="bottom"/>
            <w:tcBorders>
              <w:top w:val="single" w:sz="8" w:color="53439A"/>
            </w:tcBorders>
          </w:tcPr>
          <w:p>
            <w:pPr>
              <w:spacing w:after="0"/>
              <w:rPr>
                <w:sz w:val="24"/>
                <w:szCs w:val="24"/>
                <w:color w:val="auto"/>
              </w:rPr>
            </w:pPr>
          </w:p>
        </w:tc>
        <w:tc>
          <w:tcPr>
            <w:tcW w:w="260" w:type="dxa"/>
            <w:vAlign w:val="bottom"/>
            <w:tcBorders>
              <w:top w:val="single" w:sz="8" w:color="53439A"/>
            </w:tcBorders>
          </w:tcPr>
          <w:p>
            <w:pPr>
              <w:spacing w:after="0"/>
              <w:rPr>
                <w:sz w:val="24"/>
                <w:szCs w:val="24"/>
                <w:color w:val="auto"/>
              </w:rPr>
            </w:pPr>
          </w:p>
        </w:tc>
        <w:tc>
          <w:tcPr>
            <w:tcW w:w="1120" w:type="dxa"/>
            <w:vAlign w:val="bottom"/>
            <w:tcBorders>
              <w:top w:val="single" w:sz="8" w:color="53439A"/>
            </w:tcBorders>
            <w:gridSpan w:val="2"/>
          </w:tcPr>
          <w:p>
            <w:pPr>
              <w:jc w:val="right"/>
              <w:ind w:right="212"/>
              <w:spacing w:after="0"/>
              <w:rPr>
                <w:sz w:val="20"/>
                <w:szCs w:val="20"/>
                <w:color w:val="auto"/>
              </w:rPr>
            </w:pPr>
            <w:r>
              <w:rPr>
                <w:rFonts w:ascii="Arial" w:cs="Arial" w:eastAsia="Arial" w:hAnsi="Arial"/>
                <w:sz w:val="14"/>
                <w:szCs w:val="14"/>
                <w:color w:val="auto"/>
              </w:rPr>
              <w:t>Predecessor</w:t>
            </w:r>
          </w:p>
        </w:tc>
        <w:tc>
          <w:tcPr>
            <w:tcW w:w="220" w:type="dxa"/>
            <w:vAlign w:val="bottom"/>
            <w:tcBorders>
              <w:top w:val="single" w:sz="8" w:color="53439A"/>
            </w:tcBorders>
          </w:tcPr>
          <w:p>
            <w:pPr>
              <w:spacing w:after="0"/>
              <w:rPr>
                <w:sz w:val="24"/>
                <w:szCs w:val="24"/>
                <w:color w:val="auto"/>
              </w:rPr>
            </w:pPr>
          </w:p>
        </w:tc>
        <w:tc>
          <w:tcPr>
            <w:tcW w:w="200" w:type="dxa"/>
            <w:vAlign w:val="bottom"/>
            <w:tcBorders>
              <w:top w:val="single" w:sz="8" w:color="53439A"/>
            </w:tcBorders>
          </w:tcPr>
          <w:p>
            <w:pPr>
              <w:spacing w:after="0"/>
              <w:rPr>
                <w:sz w:val="24"/>
                <w:szCs w:val="24"/>
                <w:color w:val="auto"/>
              </w:rPr>
            </w:pPr>
          </w:p>
        </w:tc>
        <w:tc>
          <w:tcPr>
            <w:tcW w:w="26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r>
      <w:tr>
        <w:trPr>
          <w:trHeight w:val="141"/>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5"/>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4"/>
              <w:spacing w:after="0" w:line="141" w:lineRule="exact"/>
              <w:rPr>
                <w:sz w:val="20"/>
                <w:szCs w:val="20"/>
                <w:color w:val="auto"/>
              </w:rPr>
            </w:pPr>
            <w:r>
              <w:rPr>
                <w:rFonts w:ascii="Arial" w:cs="Arial" w:eastAsia="Arial" w:hAnsi="Arial"/>
                <w:sz w:val="14"/>
                <w:szCs w:val="14"/>
                <w:color w:val="auto"/>
              </w:rPr>
              <w:t>For the Period</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0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January 1, 2011 to</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Year Ended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55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34"/>
              <w:spacing w:after="0" w:line="149" w:lineRule="exact"/>
              <w:rPr>
                <w:sz w:val="20"/>
                <w:szCs w:val="20"/>
                <w:color w:val="auto"/>
              </w:rPr>
            </w:pPr>
            <w:r>
              <w:rPr>
                <w:rFonts w:ascii="Arial" w:cs="Arial" w:eastAsia="Arial" w:hAnsi="Arial"/>
                <w:sz w:val="14"/>
                <w:szCs w:val="14"/>
                <w:color w:val="auto"/>
              </w:rPr>
              <w:t>January 28, 2011</w:t>
            </w:r>
          </w:p>
        </w:tc>
        <w:tc>
          <w:tcPr>
            <w:tcW w:w="1380" w:type="dxa"/>
            <w:vAlign w:val="bottom"/>
            <w:tcBorders>
              <w:bottom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December 31, 2010</w:t>
            </w:r>
          </w:p>
        </w:tc>
        <w:tc>
          <w:tcPr>
            <w:tcW w:w="1400" w:type="dxa"/>
            <w:vAlign w:val="bottom"/>
            <w:tcBorders>
              <w:bottom w:val="single" w:sz="8" w:color="auto"/>
            </w:tcBorders>
            <w:gridSpan w:val="4"/>
          </w:tcPr>
          <w:p>
            <w:pPr>
              <w:ind w:left="100"/>
              <w:spacing w:after="0" w:line="149" w:lineRule="exact"/>
              <w:rPr>
                <w:sz w:val="20"/>
                <w:szCs w:val="20"/>
                <w:color w:val="auto"/>
              </w:rPr>
            </w:pPr>
            <w:r>
              <w:rPr>
                <w:rFonts w:ascii="Arial" w:cs="Arial" w:eastAsia="Arial" w:hAnsi="Arial"/>
                <w:sz w:val="14"/>
                <w:szCs w:val="14"/>
                <w:color w:val="auto"/>
              </w:rPr>
              <w:t>December 31, 2009</w:t>
            </w: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Capital Expenditures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Cable Networks</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46</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Theme Parks</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154</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Headquarters and Other</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165</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2"/>
              <w:spacing w:after="0" w:line="200" w:lineRule="exact"/>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172</w:t>
            </w:r>
          </w:p>
        </w:tc>
      </w:tr>
      <w:tr>
        <w:trPr>
          <w:trHeight w:val="203"/>
        </w:trPr>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196" w:lineRule="exact"/>
              <w:rPr>
                <w:sz w:val="20"/>
                <w:szCs w:val="20"/>
                <w:color w:val="auto"/>
              </w:rPr>
            </w:pPr>
            <w:r>
              <w:rPr>
                <w:rFonts w:ascii="Arial" w:cs="Arial" w:eastAsia="Arial" w:hAnsi="Arial"/>
                <w:sz w:val="18"/>
                <w:szCs w:val="18"/>
                <w:color w:val="auto"/>
              </w:rPr>
              <w:t>432</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16</w:t>
            </w:r>
          </w:p>
        </w:tc>
        <w:tc>
          <w:tcPr>
            <w:tcW w:w="26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286</w:t>
            </w:r>
          </w:p>
        </w:tc>
        <w:tc>
          <w:tcPr>
            <w:tcW w:w="220" w:type="dxa"/>
            <w:vAlign w:val="bottom"/>
          </w:tcPr>
          <w:p>
            <w:pPr>
              <w:ind w:left="10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308</w:t>
            </w:r>
          </w:p>
        </w:tc>
      </w:tr>
      <w:tr>
        <w:trPr>
          <w:trHeight w:val="206"/>
        </w:trPr>
        <w:tc>
          <w:tcPr>
            <w:tcW w:w="20" w:type="dxa"/>
            <w:vAlign w:val="bottom"/>
          </w:tcPr>
          <w:p>
            <w:pPr>
              <w:spacing w:after="0"/>
              <w:rPr>
                <w:sz w:val="17"/>
                <w:szCs w:val="17"/>
                <w:color w:val="auto"/>
              </w:rPr>
            </w:pPr>
          </w:p>
        </w:tc>
        <w:tc>
          <w:tcPr>
            <w:tcW w:w="5520" w:type="dxa"/>
            <w:vAlign w:val="bottom"/>
            <w:tcBorders>
              <w:top w:val="single" w:sz="8" w:color="53439A"/>
            </w:tcBorders>
          </w:tcPr>
          <w:p>
            <w:pPr>
              <w:spacing w:after="0" w:line="206" w:lineRule="exact"/>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53439A"/>
            </w:tcBorders>
          </w:tcPr>
          <w:p>
            <w:pPr>
              <w:spacing w:after="0"/>
              <w:rPr>
                <w:sz w:val="17"/>
                <w:szCs w:val="17"/>
                <w:color w:val="auto"/>
              </w:rPr>
            </w:pPr>
          </w:p>
        </w:tc>
        <w:tc>
          <w:tcPr>
            <w:tcW w:w="1120" w:type="dxa"/>
            <w:vAlign w:val="bottom"/>
            <w:tcBorders>
              <w:top w:val="single" w:sz="8" w:color="53439A"/>
            </w:tcBorders>
          </w:tcPr>
          <w:p>
            <w:pPr>
              <w:spacing w:after="0"/>
              <w:rPr>
                <w:sz w:val="17"/>
                <w:szCs w:val="17"/>
                <w:color w:val="auto"/>
              </w:rPr>
            </w:pPr>
          </w:p>
        </w:tc>
        <w:tc>
          <w:tcPr>
            <w:tcW w:w="200" w:type="dxa"/>
            <w:vAlign w:val="bottom"/>
            <w:tcBorders>
              <w:top w:val="single" w:sz="8" w:color="53439A"/>
              <w:right w:val="single" w:sz="8" w:color="auto"/>
            </w:tcBorders>
          </w:tcPr>
          <w:p>
            <w:pPr>
              <w:spacing w:after="0"/>
              <w:rPr>
                <w:sz w:val="17"/>
                <w:szCs w:val="17"/>
                <w:color w:val="auto"/>
              </w:rPr>
            </w:pPr>
          </w:p>
        </w:tc>
        <w:tc>
          <w:tcPr>
            <w:tcW w:w="180" w:type="dxa"/>
            <w:vAlign w:val="bottom"/>
            <w:tcBorders>
              <w:top w:val="single" w:sz="8" w:color="53439A"/>
            </w:tcBorders>
          </w:tcPr>
          <w:p>
            <w:pPr>
              <w:spacing w:after="0"/>
              <w:rPr>
                <w:sz w:val="17"/>
                <w:szCs w:val="17"/>
                <w:color w:val="auto"/>
              </w:rPr>
            </w:pPr>
          </w:p>
        </w:tc>
        <w:tc>
          <w:tcPr>
            <w:tcW w:w="280" w:type="dxa"/>
            <w:vAlign w:val="bottom"/>
            <w:tcBorders>
              <w:top w:val="single" w:sz="8" w:color="53439A"/>
            </w:tcBorders>
          </w:tcPr>
          <w:p>
            <w:pPr>
              <w:spacing w:after="0"/>
              <w:rPr>
                <w:sz w:val="17"/>
                <w:szCs w:val="17"/>
                <w:color w:val="auto"/>
              </w:rPr>
            </w:pPr>
          </w:p>
        </w:tc>
        <w:tc>
          <w:tcPr>
            <w:tcW w:w="1040" w:type="dxa"/>
            <w:vAlign w:val="bottom"/>
            <w:tcBorders>
              <w:top w:val="single" w:sz="8" w:color="53439A"/>
            </w:tcBorders>
          </w:tcPr>
          <w:p>
            <w:pPr>
              <w:spacing w:after="0"/>
              <w:rPr>
                <w:sz w:val="17"/>
                <w:szCs w:val="17"/>
                <w:color w:val="auto"/>
              </w:rPr>
            </w:pPr>
          </w:p>
        </w:tc>
        <w:tc>
          <w:tcPr>
            <w:tcW w:w="260" w:type="dxa"/>
            <w:vAlign w:val="bottom"/>
            <w:tcBorders>
              <w:top w:val="single" w:sz="8" w:color="53439A"/>
            </w:tcBorders>
          </w:tcPr>
          <w:p>
            <w:pPr>
              <w:spacing w:after="0"/>
              <w:rPr>
                <w:sz w:val="17"/>
                <w:szCs w:val="17"/>
                <w:color w:val="auto"/>
              </w:rPr>
            </w:pPr>
          </w:p>
        </w:tc>
        <w:tc>
          <w:tcPr>
            <w:tcW w:w="200" w:type="dxa"/>
            <w:vAlign w:val="bottom"/>
            <w:tcBorders>
              <w:top w:val="single" w:sz="8" w:color="53439A"/>
            </w:tcBorders>
          </w:tcPr>
          <w:p>
            <w:pPr>
              <w:spacing w:after="0"/>
              <w:rPr>
                <w:sz w:val="17"/>
                <w:szCs w:val="17"/>
                <w:color w:val="auto"/>
              </w:rPr>
            </w:pPr>
          </w:p>
        </w:tc>
        <w:tc>
          <w:tcPr>
            <w:tcW w:w="920" w:type="dxa"/>
            <w:vAlign w:val="bottom"/>
            <w:tcBorders>
              <w:top w:val="single" w:sz="8" w:color="53439A"/>
            </w:tcBorders>
          </w:tcPr>
          <w:p>
            <w:pPr>
              <w:spacing w:after="0"/>
              <w:rPr>
                <w:sz w:val="17"/>
                <w:szCs w:val="17"/>
                <w:color w:val="auto"/>
              </w:rPr>
            </w:pPr>
          </w:p>
        </w:tc>
        <w:tc>
          <w:tcPr>
            <w:tcW w:w="220" w:type="dxa"/>
            <w:vAlign w:val="bottom"/>
            <w:tcBorders>
              <w:top w:val="single" w:sz="8" w:color="53439A"/>
            </w:tcBorders>
          </w:tcPr>
          <w:p>
            <w:pPr>
              <w:spacing w:after="0"/>
              <w:rPr>
                <w:sz w:val="17"/>
                <w:szCs w:val="17"/>
                <w:color w:val="auto"/>
              </w:rPr>
            </w:pPr>
          </w:p>
        </w:tc>
        <w:tc>
          <w:tcPr>
            <w:tcW w:w="200" w:type="dxa"/>
            <w:vAlign w:val="bottom"/>
            <w:tcBorders>
              <w:top w:val="single" w:sz="8" w:color="53439A"/>
            </w:tcBorders>
          </w:tcPr>
          <w:p>
            <w:pPr>
              <w:spacing w:after="0"/>
              <w:rPr>
                <w:sz w:val="17"/>
                <w:szCs w:val="17"/>
                <w:color w:val="auto"/>
              </w:rPr>
            </w:pPr>
          </w:p>
        </w:tc>
        <w:tc>
          <w:tcPr>
            <w:tcW w:w="260" w:type="dxa"/>
            <w:vAlign w:val="bottom"/>
            <w:tcBorders>
              <w:top w:val="single" w:sz="8" w:color="53439A"/>
            </w:tcBorders>
          </w:tcPr>
          <w:p>
            <w:pPr>
              <w:spacing w:after="0"/>
              <w:rPr>
                <w:sz w:val="17"/>
                <w:szCs w:val="17"/>
                <w:color w:val="auto"/>
              </w:rPr>
            </w:pPr>
          </w:p>
        </w:tc>
        <w:tc>
          <w:tcPr>
            <w:tcW w:w="720" w:type="dxa"/>
            <w:vAlign w:val="bottom"/>
            <w:tcBorders>
              <w:top w:val="single" w:sz="8" w:color="53439A"/>
            </w:tcBorders>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Cable Networks</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700</w:t>
            </w:r>
          </w:p>
        </w:tc>
        <w:tc>
          <w:tcPr>
            <w:tcW w:w="200" w:type="dxa"/>
            <w:vAlign w:val="bottom"/>
            <w:tcBorders>
              <w:right w:val="single" w:sz="8" w:color="auto"/>
            </w:tcBorders>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Broadcast Television</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Filmed Entertainment</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Theme Parks</w:t>
            </w:r>
          </w:p>
        </w:tc>
        <w:tc>
          <w:tcPr>
            <w:tcW w:w="28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201</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11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138</w:t>
            </w: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Headquarters, other and eliminations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114</w:t>
            </w:r>
          </w:p>
        </w:tc>
        <w:tc>
          <w:tcPr>
            <w:tcW w:w="2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2"/>
              <w:spacing w:after="0" w:line="200" w:lineRule="exact"/>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58</w:t>
            </w:r>
          </w:p>
        </w:tc>
      </w:tr>
      <w:tr>
        <w:trPr>
          <w:trHeight w:val="203"/>
        </w:trPr>
        <w:tc>
          <w:tcPr>
            <w:tcW w:w="5540" w:type="dxa"/>
            <w:vAlign w:val="bottom"/>
            <w:tcBorders>
              <w:bottom w:val="single" w:sz="8" w:color="53439A"/>
            </w:tcBorders>
            <w:gridSpan w:val="2"/>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53439A"/>
            </w:tcBorders>
          </w:tcPr>
          <w:p>
            <w:pPr>
              <w:ind w:left="8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tcPr>
          <w:p>
            <w:pPr>
              <w:jc w:val="right"/>
              <w:ind w:right="35"/>
              <w:spacing w:after="0" w:line="202" w:lineRule="exact"/>
              <w:rPr>
                <w:sz w:val="20"/>
                <w:szCs w:val="20"/>
                <w:color w:val="auto"/>
              </w:rPr>
            </w:pPr>
            <w:r>
              <w:rPr>
                <w:rFonts w:ascii="Arial" w:cs="Arial" w:eastAsia="Arial" w:hAnsi="Arial"/>
                <w:sz w:val="18"/>
                <w:szCs w:val="18"/>
                <w:color w:val="auto"/>
              </w:rPr>
              <w:t>1,113</w:t>
            </w:r>
          </w:p>
        </w:tc>
        <w:tc>
          <w:tcPr>
            <w:tcW w:w="200" w:type="dxa"/>
            <w:vAlign w:val="bottom"/>
            <w:tcBorders>
              <w:bottom w:val="single" w:sz="8" w:color="53439A"/>
              <w:right w:val="single" w:sz="8" w:color="auto"/>
            </w:tcBorders>
          </w:tcPr>
          <w:p>
            <w:pPr>
              <w:spacing w:after="0"/>
              <w:rPr>
                <w:sz w:val="17"/>
                <w:szCs w:val="17"/>
                <w:color w:val="auto"/>
              </w:rPr>
            </w:pPr>
          </w:p>
        </w:tc>
        <w:tc>
          <w:tcPr>
            <w:tcW w:w="460" w:type="dxa"/>
            <w:vAlign w:val="bottom"/>
            <w:tcBorders>
              <w:bottom w:val="single" w:sz="8" w:color="53439A"/>
            </w:tcBorders>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53439A"/>
            </w:tcBorders>
          </w:tcPr>
          <w:p>
            <w:pPr>
              <w:jc w:val="right"/>
              <w:ind w:right="14"/>
              <w:spacing w:after="0" w:line="202" w:lineRule="exact"/>
              <w:rPr>
                <w:sz w:val="20"/>
                <w:szCs w:val="20"/>
                <w:color w:val="auto"/>
              </w:rPr>
            </w:pPr>
            <w:r>
              <w:rPr>
                <w:rFonts w:ascii="Arial" w:cs="Arial" w:eastAsia="Arial" w:hAnsi="Arial"/>
                <w:sz w:val="18"/>
                <w:szCs w:val="18"/>
                <w:color w:val="auto"/>
              </w:rPr>
              <w:t>27</w:t>
            </w:r>
          </w:p>
        </w:tc>
        <w:tc>
          <w:tcPr>
            <w:tcW w:w="260" w:type="dxa"/>
            <w:vAlign w:val="bottom"/>
            <w:tcBorders>
              <w:bottom w:val="single" w:sz="8" w:color="53439A"/>
            </w:tcBorders>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53439A"/>
            </w:tcBorders>
            <w:gridSpan w:val="2"/>
          </w:tcPr>
          <w:p>
            <w:pPr>
              <w:jc w:val="right"/>
              <w:ind w:right="32"/>
              <w:spacing w:after="0" w:line="202" w:lineRule="exact"/>
              <w:rPr>
                <w:sz w:val="20"/>
                <w:szCs w:val="20"/>
                <w:color w:val="auto"/>
              </w:rPr>
            </w:pPr>
            <w:r>
              <w:rPr>
                <w:rFonts w:ascii="Arial" w:cs="Arial" w:eastAsia="Arial" w:hAnsi="Arial"/>
                <w:sz w:val="18"/>
                <w:szCs w:val="18"/>
                <w:color w:val="auto"/>
              </w:rPr>
              <w:t>349</w:t>
            </w:r>
          </w:p>
        </w:tc>
        <w:tc>
          <w:tcPr>
            <w:tcW w:w="220" w:type="dxa"/>
            <w:vAlign w:val="bottom"/>
            <w:tcBorders>
              <w:bottom w:val="single" w:sz="8" w:color="53439A"/>
            </w:tcBorders>
          </w:tcPr>
          <w:p>
            <w:pPr>
              <w:ind w:left="10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53439A"/>
            </w:tcBorders>
          </w:tcPr>
          <w:p>
            <w:pPr>
              <w:spacing w:after="0"/>
              <w:rPr>
                <w:sz w:val="17"/>
                <w:szCs w:val="17"/>
                <w:color w:val="auto"/>
              </w:rPr>
            </w:pPr>
          </w:p>
        </w:tc>
        <w:tc>
          <w:tcPr>
            <w:tcW w:w="260" w:type="dxa"/>
            <w:vAlign w:val="bottom"/>
            <w:tcBorders>
              <w:bottom w:val="single" w:sz="8" w:color="53439A"/>
            </w:tcBorders>
          </w:tcPr>
          <w:p>
            <w:pPr>
              <w:spacing w:after="0"/>
              <w:rPr>
                <w:sz w:val="17"/>
                <w:szCs w:val="17"/>
                <w:color w:val="auto"/>
              </w:rPr>
            </w:pPr>
          </w:p>
        </w:tc>
        <w:tc>
          <w:tcPr>
            <w:tcW w:w="720" w:type="dxa"/>
            <w:vAlign w:val="bottom"/>
            <w:tcBorders>
              <w:bottom w:val="single" w:sz="8" w:color="53439A"/>
            </w:tcBorders>
          </w:tcPr>
          <w:p>
            <w:pPr>
              <w:jc w:val="right"/>
              <w:ind w:right="13"/>
              <w:spacing w:after="0" w:line="202" w:lineRule="exact"/>
              <w:rPr>
                <w:sz w:val="20"/>
                <w:szCs w:val="20"/>
                <w:color w:val="auto"/>
              </w:rPr>
            </w:pPr>
            <w:r>
              <w:rPr>
                <w:rFonts w:ascii="Arial" w:cs="Arial" w:eastAsia="Arial" w:hAnsi="Arial"/>
                <w:sz w:val="18"/>
                <w:szCs w:val="18"/>
                <w:color w:val="auto"/>
              </w:rPr>
              <w:t>347</w:t>
            </w:r>
          </w:p>
        </w:tc>
      </w:tr>
    </w:tbl>
    <w:p>
      <w:pPr>
        <w:spacing w:after="0" w:line="67"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2011, our Cable Networks segment includes the results of operations and assets of the Comcast Content Business following the date of the Joint Venture Transaction.</w:t>
      </w:r>
    </w:p>
    <w:p>
      <w:pPr>
        <w:spacing w:after="0" w:line="55" w:lineRule="exact"/>
        <w:rPr>
          <w:rFonts w:ascii="Arial" w:cs="Arial" w:eastAsia="Arial" w:hAnsi="Arial"/>
          <w:sz w:val="14"/>
          <w:szCs w:val="14"/>
          <w:color w:val="auto"/>
        </w:rPr>
      </w:pPr>
    </w:p>
    <w:p>
      <w:pPr>
        <w:ind w:left="300" w:right="400" w:hanging="292"/>
        <w:spacing w:after="0" w:line="231" w:lineRule="auto"/>
        <w:tabs>
          <w:tab w:leader="none" w:pos="3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Headquarters and Other includes operating costs and expenses that are not allocated to our four reportable segments. These costs primarily include corporate overhead, employee benefit costs, costs allocated from Comcast and GE, costs and expenses related to the Joint Venture Transaction and other corporate initiatives.</w:t>
      </w:r>
    </w:p>
    <w:p>
      <w:pPr>
        <w:spacing w:after="0" w:line="54" w:lineRule="exact"/>
        <w:rPr>
          <w:rFonts w:ascii="Arial" w:cs="Arial" w:eastAsia="Arial" w:hAnsi="Arial"/>
          <w:sz w:val="14"/>
          <w:szCs w:val="14"/>
          <w:color w:val="auto"/>
        </w:rPr>
      </w:pPr>
    </w:p>
    <w:p>
      <w:pPr>
        <w:ind w:left="280" w:right="300" w:hanging="272"/>
        <w:spacing w:after="0" w:line="228" w:lineRule="auto"/>
        <w:tabs>
          <w:tab w:leader="none" w:pos="2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Eliminations include the results of operations for Universal Orlando for periods prior to July 1, 2011. Our Theme Parks segment includes these amounts to reflect our current segment performance measure but these amounts are not included when we measure our consolidated results of operations because we recorded Universal Orlando as an equity method investment in our consolidated financial statements during these periods.</w:t>
      </w:r>
    </w:p>
    <w:p>
      <w:pPr>
        <w:spacing w:after="0" w:line="54" w:lineRule="exact"/>
        <w:rPr>
          <w:sz w:val="20"/>
          <w:szCs w:val="20"/>
          <w:color w:val="auto"/>
        </w:rPr>
      </w:pPr>
    </w:p>
    <w:p>
      <w:pPr>
        <w:ind w:left="220" w:right="640"/>
        <w:spacing w:after="0" w:line="231" w:lineRule="auto"/>
        <w:rPr>
          <w:sz w:val="20"/>
          <w:szCs w:val="20"/>
          <w:color w:val="auto"/>
        </w:rPr>
      </w:pPr>
      <w:r>
        <w:rPr>
          <w:rFonts w:ascii="Arial" w:cs="Arial" w:eastAsia="Arial" w:hAnsi="Arial"/>
          <w:sz w:val="14"/>
          <w:szCs w:val="14"/>
          <w:color w:val="auto"/>
        </w:rPr>
        <w:t>Also included in Eliminations are transactions that our segments enter into with one another, which consist primarily of the licensing of film and television content from our Filmed Entertainment and Broadcast Television segment to our Cable Networks segment.</w:t>
      </w:r>
    </w:p>
    <w:p>
      <w:pPr>
        <w:spacing w:after="0" w:line="55"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our revenue in any period.</w:t>
      </w:r>
    </w:p>
    <w:p>
      <w:pPr>
        <w:spacing w:after="0" w:line="55" w:lineRule="exact"/>
        <w:rPr>
          <w:rFonts w:ascii="Arial" w:cs="Arial" w:eastAsia="Arial" w:hAnsi="Arial"/>
          <w:sz w:val="14"/>
          <w:szCs w:val="14"/>
          <w:color w:val="auto"/>
        </w:rPr>
      </w:pPr>
    </w:p>
    <w:p>
      <w:pPr>
        <w:ind w:left="300" w:right="60" w:hanging="292"/>
        <w:spacing w:after="0" w:line="224" w:lineRule="auto"/>
        <w:tabs>
          <w:tab w:leader="none" w:pos="3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to measure the profit or loss of our operating segments. This measure eliminates the significant level of noncash amortization expense arising from intangible assets recognized in connection with the Joint Venture Transaction.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reported in accordance with GAAP.</w:t>
      </w:r>
    </w:p>
    <w:p>
      <w:pPr>
        <w:spacing w:after="0" w:line="53" w:lineRule="exact"/>
        <w:rPr>
          <w:rFonts w:ascii="Arial" w:cs="Arial" w:eastAsia="Arial" w:hAnsi="Arial"/>
          <w:sz w:val="14"/>
          <w:szCs w:val="14"/>
          <w:color w:val="auto"/>
        </w:rPr>
      </w:pPr>
    </w:p>
    <w:p>
      <w:pPr>
        <w:ind w:left="260" w:right="160" w:hanging="252"/>
        <w:spacing w:after="0" w:line="231" w:lineRule="auto"/>
        <w:tabs>
          <w:tab w:leader="none" w:pos="2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tables below summarize selected financial information by geographic location.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276" w:right="23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Successor</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gridSpan w:val="3"/>
          </w:tcPr>
          <w:p>
            <w:pPr>
              <w:jc w:val="right"/>
              <w:ind w:right="212"/>
              <w:spacing w:after="0"/>
              <w:rPr>
                <w:sz w:val="20"/>
                <w:szCs w:val="20"/>
                <w:color w:val="auto"/>
              </w:rPr>
            </w:pPr>
            <w:r>
              <w:rPr>
                <w:rFonts w:ascii="Arial" w:cs="Arial" w:eastAsia="Arial" w:hAnsi="Arial"/>
                <w:sz w:val="14"/>
                <w:szCs w:val="14"/>
                <w:color w:val="auto"/>
              </w:rPr>
              <w:t>Predecessor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1"/>
        </w:trPr>
        <w:tc>
          <w:tcPr>
            <w:tcW w:w="4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For the Period</w:t>
            </w: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149"/>
        </w:trPr>
        <w:tc>
          <w:tcPr>
            <w:tcW w:w="4820" w:type="dxa"/>
            <w:vAlign w:val="bottom"/>
          </w:tcPr>
          <w:p>
            <w:pPr>
              <w:spacing w:after="0"/>
              <w:rPr>
                <w:sz w:val="12"/>
                <w:szCs w:val="12"/>
                <w:color w:val="auto"/>
              </w:rPr>
            </w:pPr>
          </w:p>
        </w:tc>
        <w:tc>
          <w:tcPr>
            <w:tcW w:w="154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60" w:type="dxa"/>
            <w:vAlign w:val="bottom"/>
          </w:tcPr>
          <w:p>
            <w:pPr>
              <w:spacing w:after="0"/>
              <w:rPr>
                <w:sz w:val="12"/>
                <w:szCs w:val="12"/>
                <w:color w:val="auto"/>
              </w:rPr>
            </w:pPr>
          </w:p>
        </w:tc>
        <w:tc>
          <w:tcPr>
            <w:tcW w:w="1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January 1, 2011 to</w:t>
            </w:r>
          </w:p>
        </w:tc>
        <w:tc>
          <w:tcPr>
            <w:tcW w:w="560" w:type="dxa"/>
            <w:vAlign w:val="bottom"/>
          </w:tcPr>
          <w:p>
            <w:pPr>
              <w:spacing w:after="0"/>
              <w:rPr>
                <w:sz w:val="12"/>
                <w:szCs w:val="12"/>
                <w:color w:val="auto"/>
              </w:rPr>
            </w:pP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w w:val="91"/>
              </w:rPr>
              <w:t>Year 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Year Ended</w:t>
            </w:r>
          </w:p>
        </w:tc>
      </w:tr>
      <w:tr>
        <w:trPr>
          <w:trHeight w:val="149"/>
        </w:trPr>
        <w:tc>
          <w:tcPr>
            <w:tcW w:w="4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December 31, 2011</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January 28, 2011</w:t>
            </w:r>
          </w:p>
        </w:tc>
        <w:tc>
          <w:tcPr>
            <w:tcW w:w="1360" w:type="dxa"/>
            <w:vAlign w:val="bottom"/>
            <w:tcBorders>
              <w:bottom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December 31, 2010</w:t>
            </w:r>
          </w:p>
        </w:tc>
        <w:tc>
          <w:tcPr>
            <w:tcW w:w="1340" w:type="dxa"/>
            <w:vAlign w:val="bottom"/>
            <w:tcBorders>
              <w:bottom w:val="single" w:sz="8" w:color="auto"/>
            </w:tcBorders>
            <w:gridSpan w:val="4"/>
          </w:tcPr>
          <w:p>
            <w:pPr>
              <w:jc w:val="right"/>
              <w:ind w:right="12"/>
              <w:spacing w:after="0" w:line="149" w:lineRule="exact"/>
              <w:rPr>
                <w:sz w:val="20"/>
                <w:szCs w:val="20"/>
                <w:color w:val="auto"/>
              </w:rPr>
            </w:pPr>
            <w:r>
              <w:rPr>
                <w:rFonts w:ascii="Arial" w:cs="Arial" w:eastAsia="Arial" w:hAnsi="Arial"/>
                <w:sz w:val="14"/>
                <w:szCs w:val="14"/>
                <w:color w:val="auto"/>
              </w:rPr>
              <w:t>December 31, 2009</w:t>
            </w:r>
          </w:p>
        </w:tc>
      </w:tr>
      <w:tr>
        <w:trPr>
          <w:trHeight w:val="141"/>
        </w:trPr>
        <w:tc>
          <w:tcPr>
            <w:tcW w:w="482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2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14,927</w:t>
            </w:r>
          </w:p>
        </w:tc>
        <w:tc>
          <w:tcPr>
            <w:tcW w:w="200" w:type="dxa"/>
            <w:vAlign w:val="bottom"/>
            <w:tcBorders>
              <w:right w:val="single" w:sz="8" w:color="auto"/>
            </w:tcBorders>
          </w:tcPr>
          <w:p>
            <w:pPr>
              <w:spacing w:after="0"/>
              <w:rPr>
                <w:sz w:val="12"/>
                <w:szCs w:val="12"/>
                <w:color w:val="auto"/>
              </w:rPr>
            </w:pPr>
          </w:p>
        </w:tc>
        <w:tc>
          <w:tcPr>
            <w:tcW w:w="14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$ 935</w:t>
            </w:r>
          </w:p>
        </w:tc>
        <w:tc>
          <w:tcPr>
            <w:tcW w:w="56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12,839</w:t>
            </w:r>
          </w:p>
        </w:tc>
        <w:tc>
          <w:tcPr>
            <w:tcW w:w="2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11,291</w:t>
            </w:r>
          </w:p>
        </w:tc>
      </w:tr>
      <w:tr>
        <w:trPr>
          <w:trHeight w:val="149"/>
        </w:trPr>
        <w:tc>
          <w:tcPr>
            <w:tcW w:w="48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24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4,101</w:t>
            </w:r>
          </w:p>
        </w:tc>
        <w:tc>
          <w:tcPr>
            <w:tcW w:w="2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12"/>
              <w:spacing w:after="0" w:line="149" w:lineRule="exact"/>
              <w:rPr>
                <w:sz w:val="20"/>
                <w:szCs w:val="20"/>
                <w:color w:val="auto"/>
              </w:rPr>
            </w:pPr>
            <w:r>
              <w:rPr>
                <w:rFonts w:ascii="Arial" w:cs="Arial" w:eastAsia="Arial" w:hAnsi="Arial"/>
                <w:sz w:val="14"/>
                <w:szCs w:val="14"/>
                <w:color w:val="auto"/>
              </w:rPr>
              <w:t>$ 271</w:t>
            </w:r>
          </w:p>
        </w:tc>
        <w:tc>
          <w:tcPr>
            <w:tcW w:w="5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3,751</w:t>
            </w:r>
          </w:p>
        </w:tc>
        <w:tc>
          <w:tcPr>
            <w:tcW w:w="2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3,794</w:t>
            </w:r>
          </w:p>
        </w:tc>
      </w:tr>
      <w:tr>
        <w:trPr>
          <w:trHeight w:val="345"/>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Successor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Predecessor</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2010</w:t>
            </w:r>
          </w:p>
        </w:tc>
      </w:tr>
      <w:tr>
        <w:trPr>
          <w:trHeight w:val="141"/>
        </w:trPr>
        <w:tc>
          <w:tcPr>
            <w:tcW w:w="4820" w:type="dxa"/>
            <w:vAlign w:val="bottom"/>
          </w:tcPr>
          <w:p>
            <w:pPr>
              <w:spacing w:after="0" w:line="141" w:lineRule="exact"/>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2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4,904</w:t>
            </w:r>
          </w:p>
        </w:tc>
        <w:tc>
          <w:tcPr>
            <w:tcW w:w="220" w:type="dxa"/>
            <w:vAlign w:val="bottom"/>
            <w:tcBorders>
              <w:right w:val="single" w:sz="8" w:color="auto"/>
            </w:tcBorders>
          </w:tcPr>
          <w:p>
            <w:pPr>
              <w:spacing w:after="0"/>
              <w:rPr>
                <w:sz w:val="12"/>
                <w:szCs w:val="12"/>
                <w:color w:val="auto"/>
              </w:rPr>
            </w:pPr>
          </w:p>
        </w:tc>
        <w:tc>
          <w:tcPr>
            <w:tcW w:w="4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1,795</w:t>
            </w:r>
          </w:p>
        </w:tc>
      </w:tr>
      <w:tr>
        <w:trPr>
          <w:trHeight w:val="149"/>
        </w:trPr>
        <w:tc>
          <w:tcPr>
            <w:tcW w:w="48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60</w:t>
            </w:r>
          </w:p>
        </w:tc>
        <w:tc>
          <w:tcPr>
            <w:tcW w:w="22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3439A"/>
        </w:rPr>
        <w:t>Note 22: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October 2011, NBCUniversal Media, LLC fully and unconditionally guaranteed Universal Orlando’s senior and senior subordinated notes in exchange for amendments that conform the notes’ covenants and events of default to those contained in our $9.1 billion of outstanding public debt securities. The guarantee includes the payment of principal, premium, if any, and interest. NBCUniversal Media, LLC is referred to as “Parent” in the tables presented below.</w:t>
      </w:r>
    </w:p>
    <w:p>
      <w:pPr>
        <w:spacing w:after="0" w:line="15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Universal Orlando’s senior and senior subordinated notes were co-issued by Universal City Development Partners, Ltd and UCDP Finance, collectively referred to as “Issuers”, and continue to be also fully and unconditionally guaranteed by Universal City Travel Partners and Universal Orlando Online Merchandise Store (collectively, “Guarantor Subsidiaries”).</w:t>
      </w:r>
    </w:p>
    <w:p>
      <w:pPr>
        <w:spacing w:after="0" w:line="154"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Our condensed consolidating financial information is presented in the tables below, and includes the operating results of the respective Universal Orlando entities from July 1, 2011, the date we acquired the remaining 50% equity interest in Universal Orlando that we did not already own.</w:t>
      </w:r>
    </w:p>
    <w:p>
      <w:pPr>
        <w:spacing w:after="0" w:line="278" w:lineRule="exact"/>
        <w:rPr>
          <w:sz w:val="20"/>
          <w:szCs w:val="20"/>
          <w:color w:val="auto"/>
        </w:rPr>
      </w:pPr>
    </w:p>
    <w:p>
      <w:pPr>
        <w:jc w:val="both"/>
        <w:ind w:left="5680"/>
        <w:spacing w:after="0"/>
        <w:tabs>
          <w:tab w:leader="none" w:pos="846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76"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8"/>
              </w:rPr>
              <w:t>Guarantor</w:t>
            </w: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Issuer</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513</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3,536</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1,200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279</w:t>
            </w:r>
          </w:p>
        </w:tc>
        <w:tc>
          <w:tcPr>
            <w:tcW w:w="220" w:type="dxa"/>
            <w:vAlign w:val="bottom"/>
          </w:tcPr>
          <w:p>
            <w:pPr>
              <w:spacing w:after="0"/>
              <w:rPr>
                <w:sz w:val="17"/>
                <w:szCs w:val="17"/>
                <w:color w:val="auto"/>
              </w:rPr>
            </w:pPr>
          </w:p>
        </w:tc>
        <w:tc>
          <w:tcPr>
            <w:tcW w:w="5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136</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7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5,249</w:t>
            </w:r>
          </w:p>
        </w:tc>
        <w:tc>
          <w:tcPr>
            <w:tcW w:w="22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5,227</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2,914</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Noncurrent receivables, net</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910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 eliminated upon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consolidation</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39,744</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(39,755)</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1,644</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3,320</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14,657</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392</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15,303</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40,667</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2,225</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47,630</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(39,764)</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124</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1,992</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1,255</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223</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2,371</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550</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773</w:t>
            </w:r>
          </w:p>
        </w:tc>
        <w:tc>
          <w:tcPr>
            <w:tcW w:w="220" w:type="dxa"/>
            <w:vAlign w:val="bottom"/>
          </w:tcPr>
          <w:p>
            <w:pPr>
              <w:spacing w:after="0"/>
              <w:rPr>
                <w:sz w:val="17"/>
                <w:szCs w:val="17"/>
                <w:color w:val="auto"/>
              </w:rPr>
            </w:pPr>
          </w:p>
        </w:tc>
        <w:tc>
          <w:tcPr>
            <w:tcW w:w="5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206</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7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5,622</w:t>
            </w:r>
          </w:p>
        </w:tc>
        <w:tc>
          <w:tcPr>
            <w:tcW w:w="22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9,142</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888</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873</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954</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262</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2,095</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184</w:t>
            </w:r>
          </w:p>
        </w:tc>
        <w:tc>
          <w:tcPr>
            <w:tcW w:w="22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Total NBCUniversal member’s equity</w:t>
            </w:r>
          </w:p>
        </w:tc>
        <w:tc>
          <w:tcPr>
            <w:tcW w:w="42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29,720</w:t>
            </w:r>
          </w:p>
        </w:tc>
        <w:tc>
          <w:tcPr>
            <w:tcW w:w="220" w:type="dxa"/>
            <w:vAlign w:val="bottom"/>
          </w:tcPr>
          <w:p>
            <w:pPr>
              <w:spacing w:after="0"/>
              <w:rPr>
                <w:sz w:val="17"/>
                <w:szCs w:val="17"/>
                <w:color w:val="auto"/>
              </w:rPr>
            </w:pPr>
          </w:p>
        </w:tc>
        <w:tc>
          <w:tcPr>
            <w:tcW w:w="5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869</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38,394</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(39,270)</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361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29,720</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869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38,755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(39,270)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4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40,667</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2,225</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47,630</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(39,764)</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506"/>
        </w:trPr>
        <w:tc>
          <w:tcPr>
            <w:tcW w:w="554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rPr>
              <w:t>92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Issuer</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848</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Short term loans to GE, net</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8,072</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2,087</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797</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8,531</w:t>
            </w:r>
          </w:p>
        </w:tc>
        <w:tc>
          <w:tcPr>
            <w:tcW w:w="260" w:type="dxa"/>
            <w:vAlign w:val="bottom"/>
          </w:tcPr>
          <w:p>
            <w:pPr>
              <w:spacing w:after="0"/>
              <w:rPr>
                <w:sz w:val="17"/>
                <w:szCs w:val="17"/>
                <w:color w:val="auto"/>
              </w:rPr>
            </w:pPr>
          </w:p>
        </w:tc>
        <w:tc>
          <w:tcPr>
            <w:tcW w:w="320" w:type="dxa"/>
            <w:vAlign w:val="bottom"/>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3,732</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3,890</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351</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1,372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Noncurrent receivables, net</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160</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622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 subsidiaries eliminated upon</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consolidation</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26,950</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(26,950)</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1,835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19,243</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19,243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2,552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6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36,033</w:t>
            </w:r>
          </w:p>
        </w:tc>
        <w:tc>
          <w:tcPr>
            <w:tcW w:w="26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33,406</w:t>
            </w:r>
          </w:p>
        </w:tc>
        <w:tc>
          <w:tcPr>
            <w:tcW w:w="20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(27,015)</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42,424</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1,564</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1,291</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179</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1,715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179</w:t>
            </w:r>
          </w:p>
        </w:tc>
        <w:tc>
          <w:tcPr>
            <w:tcW w:w="260" w:type="dxa"/>
            <w:vAlign w:val="bottom"/>
          </w:tcPr>
          <w:p>
            <w:pPr>
              <w:spacing w:after="0"/>
              <w:rPr>
                <w:sz w:val="17"/>
                <w:szCs w:val="17"/>
                <w:color w:val="auto"/>
              </w:rPr>
            </w:pPr>
          </w:p>
        </w:tc>
        <w:tc>
          <w:tcPr>
            <w:tcW w:w="320" w:type="dxa"/>
            <w:vAlign w:val="bottom"/>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4,570</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9,090</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Related party borrowings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816</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2,368</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497</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513</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Total NBCUniversal stockholders’ equity</w:t>
            </w:r>
          </w:p>
        </w:tc>
        <w:tc>
          <w:tcPr>
            <w:tcW w:w="6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23,899</w:t>
            </w:r>
          </w:p>
        </w:tc>
        <w:tc>
          <w:tcPr>
            <w:tcW w:w="260" w:type="dxa"/>
            <w:vAlign w:val="bottom"/>
          </w:tcPr>
          <w:p>
            <w:pPr>
              <w:spacing w:after="0"/>
              <w:rPr>
                <w:sz w:val="17"/>
                <w:szCs w:val="17"/>
                <w:color w:val="auto"/>
              </w:rPr>
            </w:pP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26,950</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(26,950)</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23,899</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26,868</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(26,950)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3439A"/>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6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36,033</w:t>
            </w:r>
          </w:p>
        </w:tc>
        <w:tc>
          <w:tcPr>
            <w:tcW w:w="26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33,406</w:t>
            </w:r>
          </w:p>
        </w:tc>
        <w:tc>
          <w:tcPr>
            <w:tcW w:w="20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(27,015)</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42,424</w:t>
            </w:r>
          </w:p>
        </w:tc>
        <w:tc>
          <w:tcPr>
            <w:tcW w:w="0" w:type="dxa"/>
            <w:vAlign w:val="bottom"/>
          </w:tcPr>
          <w:p>
            <w:pPr>
              <w:spacing w:after="0"/>
              <w:rPr>
                <w:sz w:val="1"/>
                <w:szCs w:val="1"/>
                <w:color w:val="auto"/>
              </w:rPr>
            </w:pPr>
          </w:p>
        </w:tc>
      </w:tr>
      <w:tr>
        <w:trPr>
          <w:trHeight w:val="506"/>
        </w:trPr>
        <w:tc>
          <w:tcPr>
            <w:tcW w:w="5540" w:type="dxa"/>
            <w:vAlign w:val="bottom"/>
          </w:tcPr>
          <w:p>
            <w:pPr>
              <w:spacing w:after="0"/>
              <w:rPr>
                <w:sz w:val="24"/>
                <w:szCs w:val="24"/>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rPr>
              <w:t>93</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gridSpan w:val="6"/>
          </w:tcPr>
          <w:p>
            <w:pPr>
              <w:jc w:val="right"/>
              <w:spacing w:after="0"/>
              <w:rPr>
                <w:sz w:val="20"/>
                <w:szCs w:val="20"/>
                <w:color w:val="auto"/>
              </w:rPr>
            </w:pPr>
            <w:r>
              <w:rPr>
                <w:rFonts w:ascii="Arial" w:cs="Arial" w:eastAsia="Arial" w:hAnsi="Arial"/>
                <w:sz w:val="14"/>
                <w:szCs w:val="14"/>
                <w:color w:val="auto"/>
                <w:w w:val="98"/>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29 to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Parent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Issuer</w:t>
            </w: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9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26</w:t>
            </w:r>
          </w:p>
        </w:tc>
        <w:tc>
          <w:tcPr>
            <w:tcW w:w="6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$ 695</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18,301</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(66)</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19,028</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18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678</w:t>
            </w: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389</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14,579</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705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678</w:t>
            </w:r>
          </w:p>
        </w:tc>
        <w:tc>
          <w:tcPr>
            <w:tcW w:w="6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462</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15,619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w:t>
            </w:r>
          </w:p>
        </w:tc>
        <w:tc>
          <w:tcPr>
            <w:tcW w:w="118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(652)</w:t>
            </w:r>
          </w:p>
        </w:tc>
        <w:tc>
          <w:tcPr>
            <w:tcW w:w="6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233</w:t>
            </w:r>
          </w:p>
        </w:tc>
        <w:tc>
          <w:tcPr>
            <w:tcW w:w="1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2,682</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118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2,767</w:t>
            </w: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261</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(2,772)</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2,338</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(2,788)</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1,686</w:t>
            </w:r>
          </w:p>
        </w:tc>
        <w:tc>
          <w:tcPr>
            <w:tcW w:w="6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162</w:t>
            </w:r>
          </w:p>
        </w:tc>
        <w:tc>
          <w:tcPr>
            <w:tcW w:w="1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2,966</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(2,772)</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118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1,683</w:t>
            </w:r>
          </w:p>
        </w:tc>
        <w:tc>
          <w:tcPr>
            <w:tcW w:w="6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162</w:t>
            </w:r>
          </w:p>
        </w:tc>
        <w:tc>
          <w:tcPr>
            <w:tcW w:w="1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2,784</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(2,772)</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5343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1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1,683</w:t>
            </w:r>
          </w:p>
        </w:tc>
        <w:tc>
          <w:tcPr>
            <w:tcW w:w="66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$ 162</w:t>
            </w:r>
          </w:p>
        </w:tc>
        <w:tc>
          <w:tcPr>
            <w:tcW w:w="1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2,606</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(2,772)</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r>
        <w:trPr>
          <w:trHeight w:val="506"/>
        </w:trPr>
        <w:tc>
          <w:tcPr>
            <w:tcW w:w="502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94</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From January 1 to January 28,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auto"/>
            </w:tcBorders>
            <w:gridSpan w:val="2"/>
            <w:vMerge w:val="continue"/>
          </w:tcPr>
          <w:p>
            <w:pPr>
              <w:spacing w:after="0"/>
              <w:rPr>
                <w:sz w:val="14"/>
                <w:szCs w:val="14"/>
                <w:color w:val="auto"/>
              </w:rPr>
            </w:pPr>
          </w:p>
        </w:tc>
        <w:tc>
          <w:tcPr>
            <w:tcW w:w="188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color w:val="auto"/>
              </w:rPr>
              <w:t>Parent</w:t>
            </w:r>
          </w:p>
        </w:tc>
        <w:tc>
          <w:tcPr>
            <w:tcW w:w="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9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460" w:type="dxa"/>
            <w:vAlign w:val="bottom"/>
          </w:tcPr>
          <w:p>
            <w:pPr>
              <w:ind w:left="1340"/>
              <w:spacing w:after="0" w:line="200"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1,206</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460" w:type="dxa"/>
            <w:vAlign w:val="bottom"/>
          </w:tcPr>
          <w:p>
            <w:pPr>
              <w:spacing w:after="0"/>
              <w:rPr>
                <w:sz w:val="17"/>
                <w:szCs w:val="17"/>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1,106</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460" w:type="dxa"/>
            <w:vAlign w:val="bottom"/>
          </w:tcPr>
          <w:p>
            <w:pPr>
              <w:spacing w:after="0"/>
              <w:rPr>
                <w:sz w:val="17"/>
                <w:szCs w:val="17"/>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1,133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w:t>
            </w:r>
          </w:p>
        </w:tc>
        <w:tc>
          <w:tcPr>
            <w:tcW w:w="1460" w:type="dxa"/>
            <w:vAlign w:val="bottom"/>
          </w:tcPr>
          <w:p>
            <w:pPr>
              <w:spacing w:after="0"/>
              <w:rPr>
                <w:sz w:val="17"/>
                <w:szCs w:val="17"/>
                <w:color w:val="auto"/>
              </w:rPr>
            </w:pP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1460" w:type="dxa"/>
            <w:vAlign w:val="bottom"/>
          </w:tcPr>
          <w:p>
            <w:pPr>
              <w:spacing w:after="0"/>
              <w:rPr>
                <w:sz w:val="17"/>
                <w:szCs w:val="17"/>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9"/>
              </w:rPr>
              <w:t>(32)</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7"/>
                <w:szCs w:val="17"/>
                <w:color w:val="auto"/>
              </w:rPr>
            </w:pPr>
          </w:p>
        </w:tc>
        <w:tc>
          <w:tcPr>
            <w:tcW w:w="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1460" w:type="dxa"/>
            <w:vAlign w:val="bottom"/>
          </w:tcPr>
          <w:p>
            <w:pPr>
              <w:spacing w:after="0"/>
              <w:rPr>
                <w:sz w:val="17"/>
                <w:szCs w:val="17"/>
                <w:color w:val="auto"/>
              </w:rPr>
            </w:pP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w w:val="99"/>
              </w:rPr>
              <w:t>(42)</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1460" w:type="dxa"/>
            <w:vAlign w:val="bottom"/>
          </w:tcPr>
          <w:p>
            <w:pPr>
              <w:spacing w:after="0"/>
              <w:rPr>
                <w:sz w:val="17"/>
                <w:szCs w:val="17"/>
                <w:color w:val="auto"/>
              </w:rPr>
            </w:pP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w w:val="99"/>
              </w:rPr>
              <w:t>(23)</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460" w:type="dxa"/>
            <w:vAlign w:val="bottom"/>
          </w:tcPr>
          <w:p>
            <w:pPr>
              <w:ind w:left="1340"/>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(23)</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54</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(54)</w:t>
            </w:r>
          </w:p>
        </w:tc>
        <w:tc>
          <w:tcPr>
            <w:tcW w:w="34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000" w:type="dxa"/>
            <w:vAlign w:val="bottom"/>
            <w:tcBorders>
              <w:top w:val="single" w:sz="8" w:color="53439A"/>
            </w:tcBorders>
          </w:tcPr>
          <w:p>
            <w:pPr>
              <w:spacing w:after="0"/>
              <w:rPr>
                <w:sz w:val="24"/>
                <w:szCs w:val="24"/>
                <w:color w:val="auto"/>
              </w:rPr>
            </w:pPr>
          </w:p>
        </w:tc>
        <w:tc>
          <w:tcPr>
            <w:tcW w:w="1460" w:type="dxa"/>
            <w:vAlign w:val="bottom"/>
            <w:tcBorders>
              <w:top w:val="single" w:sz="8" w:color="53439A"/>
            </w:tcBorders>
          </w:tcPr>
          <w:p>
            <w:pPr>
              <w:jc w:val="right"/>
              <w:ind w:right="562"/>
              <w:spacing w:after="0"/>
              <w:rPr>
                <w:sz w:val="20"/>
                <w:szCs w:val="20"/>
                <w:color w:val="auto"/>
              </w:rPr>
            </w:pPr>
            <w:r>
              <w:rPr>
                <w:rFonts w:ascii="Arial" w:cs="Arial" w:eastAsia="Arial" w:hAnsi="Arial"/>
                <w:sz w:val="14"/>
                <w:szCs w:val="14"/>
                <w:b w:val="1"/>
                <w:bCs w:val="1"/>
                <w:color w:val="auto"/>
              </w:rPr>
              <w:t>95</w:t>
            </w:r>
          </w:p>
        </w:tc>
        <w:tc>
          <w:tcPr>
            <w:tcW w:w="4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3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c>
          <w:tcPr>
            <w:tcW w:w="3040" w:type="dxa"/>
            <w:vAlign w:val="bottom"/>
            <w:tcBorders>
              <w:top w:val="single" w:sz="8" w:color="53439A"/>
            </w:tcBorders>
            <w:gridSpan w:val="6"/>
          </w:tcPr>
          <w:p>
            <w:pPr>
              <w:ind w:left="100"/>
              <w:spacing w:after="0"/>
              <w:rPr>
                <w:sz w:val="20"/>
                <w:szCs w:val="20"/>
                <w:color w:val="auto"/>
              </w:rPr>
            </w:pPr>
            <w:r>
              <w:rPr>
                <w:rFonts w:ascii="Arial" w:cs="Arial" w:eastAsia="Arial" w:hAnsi="Arial"/>
                <w:sz w:val="14"/>
                <w:szCs w:val="14"/>
                <w:color w:val="auto"/>
                <w:w w:val="95"/>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Parent</w:t>
            </w:r>
          </w:p>
        </w:tc>
        <w:tc>
          <w:tcPr>
            <w:tcW w:w="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9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39</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16,551</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443</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13,594</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443</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13,943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14,386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w:t>
            </w:r>
          </w:p>
        </w:tc>
        <w:tc>
          <w:tcPr>
            <w:tcW w:w="126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(404)</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2,608</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2,618</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(2,622)</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2,399</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(2,622)</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126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1,995</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2,888</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(2,622)</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(528)</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126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1,467</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2,671</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(2,622)</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53439A"/>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26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1,467</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2,622</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(2,622)</w:t>
            </w:r>
          </w:p>
        </w:tc>
        <w:tc>
          <w:tcPr>
            <w:tcW w:w="280" w:type="dxa"/>
            <w:vAlign w:val="bottom"/>
            <w:tcBorders>
              <w:bottom w:val="single" w:sz="8" w:color="53439A"/>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1,467</w:t>
            </w:r>
          </w:p>
        </w:tc>
        <w:tc>
          <w:tcPr>
            <w:tcW w:w="0" w:type="dxa"/>
            <w:vAlign w:val="bottom"/>
          </w:tcPr>
          <w:p>
            <w:pPr>
              <w:spacing w:after="0"/>
              <w:rPr>
                <w:sz w:val="1"/>
                <w:szCs w:val="1"/>
                <w:color w:val="auto"/>
              </w:rPr>
            </w:pPr>
          </w:p>
        </w:tc>
      </w:tr>
      <w:tr>
        <w:trPr>
          <w:trHeight w:val="506"/>
        </w:trPr>
        <w:tc>
          <w:tcPr>
            <w:tcW w:w="502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96</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9"/>
              </w:rPr>
              <w:t>Elimination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Parent</w:t>
            </w:r>
          </w:p>
        </w:tc>
        <w:tc>
          <w:tcPr>
            <w:tcW w:w="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9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3</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ind w:left="100"/>
              <w:spacing w:after="0" w:line="20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15,082</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15,085</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387</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12,483</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387</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12,830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 (loss)</w:t>
            </w:r>
          </w:p>
        </w:tc>
        <w:tc>
          <w:tcPr>
            <w:tcW w:w="126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(384)</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2,252</w:t>
            </w:r>
          </w:p>
        </w:tc>
        <w:tc>
          <w:tcPr>
            <w:tcW w:w="200" w:type="dxa"/>
            <w:vAlign w:val="bottom"/>
          </w:tcPr>
          <w:p>
            <w:pPr>
              <w:spacing w:after="0"/>
              <w:rPr>
                <w:sz w:val="17"/>
                <w:szCs w:val="17"/>
                <w:color w:val="auto"/>
              </w:rPr>
            </w:pPr>
          </w:p>
        </w:tc>
        <w:tc>
          <w:tcPr>
            <w:tcW w:w="8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of investees, net</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2,592</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(2,604)</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(194)</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405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2,351</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573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(2,604)</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126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1,967</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2,825</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(2,604)</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(689)</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199"/>
        </w:trPr>
        <w:tc>
          <w:tcPr>
            <w:tcW w:w="502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 from consolidated operations</w:t>
            </w:r>
          </w:p>
        </w:tc>
        <w:tc>
          <w:tcPr>
            <w:tcW w:w="126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1,278</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2,642</w:t>
            </w:r>
          </w:p>
        </w:tc>
        <w:tc>
          <w:tcPr>
            <w:tcW w:w="20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(2,604)</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Net (income) loss attributable to noncontrolling interests</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1,278</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2,604</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(2,604)</w:t>
            </w:r>
          </w:p>
        </w:tc>
        <w:tc>
          <w:tcPr>
            <w:tcW w:w="28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1,278</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000" w:type="dxa"/>
            <w:vAlign w:val="bottom"/>
            <w:tcBorders>
              <w:top w:val="single" w:sz="8" w:color="53439A"/>
            </w:tcBorders>
          </w:tcPr>
          <w:p>
            <w:pPr>
              <w:spacing w:after="0"/>
              <w:rPr>
                <w:sz w:val="24"/>
                <w:szCs w:val="24"/>
                <w:color w:val="auto"/>
              </w:rPr>
            </w:pPr>
          </w:p>
        </w:tc>
        <w:tc>
          <w:tcPr>
            <w:tcW w:w="1260" w:type="dxa"/>
            <w:vAlign w:val="bottom"/>
            <w:tcBorders>
              <w:top w:val="single" w:sz="8" w:color="53439A"/>
            </w:tcBorders>
          </w:tcPr>
          <w:p>
            <w:pPr>
              <w:jc w:val="right"/>
              <w:ind w:right="359"/>
              <w:spacing w:after="0"/>
              <w:rPr>
                <w:sz w:val="20"/>
                <w:szCs w:val="20"/>
                <w:color w:val="auto"/>
              </w:rPr>
            </w:pPr>
            <w:r>
              <w:rPr>
                <w:rFonts w:ascii="Arial" w:cs="Arial" w:eastAsia="Arial" w:hAnsi="Arial"/>
                <w:sz w:val="14"/>
                <w:szCs w:val="14"/>
                <w:b w:val="1"/>
                <w:bCs w:val="1"/>
                <w:color w:val="auto"/>
              </w:rPr>
              <w:t>97</w:t>
            </w:r>
          </w:p>
        </w:tc>
        <w:tc>
          <w:tcPr>
            <w:tcW w:w="6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3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c>
          <w:tcPr>
            <w:tcW w:w="3040" w:type="dxa"/>
            <w:vAlign w:val="bottom"/>
            <w:tcBorders>
              <w:top w:val="single" w:sz="8" w:color="53439A"/>
            </w:tcBorders>
            <w:gridSpan w:val="6"/>
          </w:tcPr>
          <w:p>
            <w:pPr>
              <w:ind w:left="100"/>
              <w:spacing w:after="0"/>
              <w:rPr>
                <w:sz w:val="20"/>
                <w:szCs w:val="20"/>
                <w:color w:val="auto"/>
              </w:rPr>
            </w:pPr>
            <w:r>
              <w:rPr>
                <w:rFonts w:ascii="Arial" w:cs="Arial" w:eastAsia="Arial" w:hAnsi="Arial"/>
                <w:sz w:val="14"/>
                <w:szCs w:val="14"/>
                <w:color w:val="auto"/>
                <w:w w:val="95"/>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29 to December 31,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w w:val="99"/>
              </w:rPr>
              <w:t>Elimination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5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10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5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Issuer</w:t>
            </w: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Subsidiaries</w:t>
            </w:r>
          </w:p>
        </w:tc>
        <w:tc>
          <w:tcPr>
            <w:tcW w:w="94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(592)</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268</w:t>
            </w:r>
          </w:p>
        </w:tc>
        <w:tc>
          <w:tcPr>
            <w:tcW w:w="18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3,201</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w w:val="97"/>
              </w:rPr>
              <w:t>1,030</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244</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244</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businesses and investments</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Purchases of investments and other assets</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w w:val="97"/>
              </w:rPr>
              <w:t>1,029</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321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 borrowings, net</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550</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third party borrowings</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(1,041)</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 from Comcast</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Repayments of borrowings from Comcast</w:t>
            </w:r>
          </w:p>
        </w:tc>
        <w:tc>
          <w:tcPr>
            <w:tcW w:w="5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5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00" w:type="dxa"/>
            <w:vAlign w:val="bottom"/>
          </w:tcPr>
          <w:p>
            <w:pPr>
              <w:spacing w:after="0"/>
              <w:rPr>
                <w:sz w:val="17"/>
                <w:szCs w:val="17"/>
                <w:color w:val="auto"/>
              </w:rPr>
            </w:pPr>
          </w:p>
        </w:tc>
        <w:tc>
          <w:tcPr>
            <w:tcW w:w="6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Distributions to member</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Borrowings to and from subsidiaries eliminated upon consolidation</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Repayments of borrowings from subsidiaries eliminated upon</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420"/>
              <w:spacing w:after="0" w:line="202" w:lineRule="exact"/>
              <w:rPr>
                <w:sz w:val="20"/>
                <w:szCs w:val="20"/>
                <w:color w:val="auto"/>
              </w:rPr>
            </w:pPr>
            <w:r>
              <w:rPr>
                <w:rFonts w:ascii="Arial" w:cs="Arial" w:eastAsia="Arial" w:hAnsi="Arial"/>
                <w:sz w:val="18"/>
                <w:szCs w:val="18"/>
                <w:color w:val="auto"/>
              </w:rPr>
              <w:t>consolidation</w:t>
            </w:r>
          </w:p>
        </w:tc>
        <w:tc>
          <w:tcPr>
            <w:tcW w:w="500" w:type="dxa"/>
            <w:vAlign w:val="bottom"/>
          </w:tcPr>
          <w:p>
            <w:pPr>
              <w:spacing w:after="0"/>
              <w:rPr>
                <w:sz w:val="17"/>
                <w:szCs w:val="17"/>
                <w:color w:val="auto"/>
              </w:rPr>
            </w:pPr>
          </w:p>
        </w:tc>
        <w:tc>
          <w:tcPr>
            <w:tcW w:w="5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8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50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6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7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300</w:t>
            </w:r>
          </w:p>
        </w:tc>
        <w:tc>
          <w:tcPr>
            <w:tcW w:w="2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period</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295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213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53439A"/>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53439A"/>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238</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33</w:t>
            </w:r>
          </w:p>
        </w:tc>
        <w:tc>
          <w:tcPr>
            <w:tcW w:w="180" w:type="dxa"/>
            <w:vAlign w:val="bottom"/>
            <w:tcBorders>
              <w:bottom w:val="single" w:sz="8" w:color="53439A"/>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513</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808</w:t>
            </w:r>
          </w:p>
        </w:tc>
        <w:tc>
          <w:tcPr>
            <w:tcW w:w="0" w:type="dxa"/>
            <w:vAlign w:val="bottom"/>
          </w:tcPr>
          <w:p>
            <w:pPr>
              <w:spacing w:after="0"/>
              <w:rPr>
                <w:sz w:val="1"/>
                <w:szCs w:val="1"/>
                <w:color w:val="auto"/>
              </w:rPr>
            </w:pPr>
          </w:p>
        </w:tc>
      </w:tr>
      <w:tr>
        <w:trPr>
          <w:trHeight w:val="506"/>
        </w:trPr>
        <w:tc>
          <w:tcPr>
            <w:tcW w:w="554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rPr>
              <w:t>98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1 to January 28,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w w:val="99"/>
              </w:rPr>
              <w:t>Elimination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and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jc w:val="right"/>
              <w:ind w:right="15"/>
              <w:spacing w:after="0" w:line="149" w:lineRule="exact"/>
              <w:rPr>
                <w:sz w:val="20"/>
                <w:szCs w:val="20"/>
                <w:color w:val="auto"/>
              </w:rPr>
            </w:pPr>
            <w:r>
              <w:rPr>
                <w:rFonts w:ascii="Arial" w:cs="Arial" w:eastAsia="Arial" w:hAnsi="Arial"/>
                <w:sz w:val="14"/>
                <w:szCs w:val="14"/>
                <w:color w:val="auto"/>
              </w:rPr>
              <w:t>Consolidation</w:t>
            </w:r>
          </w:p>
        </w:tc>
        <w:tc>
          <w:tcPr>
            <w:tcW w:w="10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494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Arial" w:cs="Arial" w:eastAsia="Arial" w:hAnsi="Arial"/>
                <w:sz w:val="14"/>
                <w:szCs w:val="14"/>
                <w:color w:val="auto"/>
              </w:rPr>
              <w:t>Parent</w:t>
            </w:r>
          </w:p>
        </w:tc>
        <w:tc>
          <w:tcPr>
            <w:tcW w:w="540" w:type="dxa"/>
            <w:vAlign w:val="bottom"/>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gridSpan w:val="2"/>
          </w:tcPr>
          <w:p>
            <w:pPr>
              <w:jc w:val="right"/>
              <w:ind w:right="14"/>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35"/>
              <w:spacing w:after="0"/>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5"/>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365</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2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Proceeds from sale of businesses and investments</w:t>
            </w: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331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365</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(8,041)</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(Increase) decrease in short-term loans to GE, net</w:t>
            </w:r>
          </w:p>
        </w:tc>
        <w:tc>
          <w:tcPr>
            <w:tcW w:w="1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8,072</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Repurchase of preferred stock interest</w:t>
            </w:r>
          </w:p>
        </w:tc>
        <w:tc>
          <w:tcPr>
            <w:tcW w:w="132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2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99"/>
        </w:trPr>
        <w:tc>
          <w:tcPr>
            <w:tcW w:w="49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320" w:type="dxa"/>
            <w:vAlign w:val="bottom"/>
          </w:tcPr>
          <w:p>
            <w:pPr>
              <w:spacing w:after="0"/>
              <w:rPr>
                <w:sz w:val="17"/>
                <w:szCs w:val="17"/>
                <w:color w:val="auto"/>
              </w:rPr>
            </w:pPr>
          </w:p>
        </w:tc>
        <w:tc>
          <w:tcPr>
            <w:tcW w:w="6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(673)</w:t>
            </w:r>
          </w:p>
        </w:tc>
        <w:tc>
          <w:tcPr>
            <w:tcW w:w="200" w:type="dxa"/>
            <w:vAlign w:val="bottom"/>
          </w:tcPr>
          <w:p>
            <w:pPr>
              <w:spacing w:after="0"/>
              <w:rPr>
                <w:sz w:val="17"/>
                <w:szCs w:val="17"/>
                <w:color w:val="auto"/>
              </w:rPr>
            </w:pPr>
          </w:p>
        </w:tc>
        <w:tc>
          <w:tcPr>
            <w:tcW w:w="8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period</w:t>
            </w:r>
          </w:p>
        </w:tc>
        <w:tc>
          <w:tcPr>
            <w:tcW w:w="1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96"/>
        </w:trPr>
        <w:tc>
          <w:tcPr>
            <w:tcW w:w="4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period</w:t>
            </w:r>
          </w:p>
        </w:tc>
        <w:tc>
          <w:tcPr>
            <w:tcW w:w="1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295</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175</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920" w:type="dxa"/>
            <w:vAlign w:val="bottom"/>
            <w:tcBorders>
              <w:top w:val="single" w:sz="8" w:color="53439A"/>
            </w:tcBorders>
          </w:tcPr>
          <w:p>
            <w:pPr>
              <w:spacing w:after="0"/>
              <w:rPr>
                <w:sz w:val="24"/>
                <w:szCs w:val="24"/>
                <w:color w:val="auto"/>
              </w:rPr>
            </w:pPr>
          </w:p>
        </w:tc>
        <w:tc>
          <w:tcPr>
            <w:tcW w:w="1320" w:type="dxa"/>
            <w:vAlign w:val="bottom"/>
            <w:tcBorders>
              <w:top w:val="single" w:sz="8" w:color="53439A"/>
            </w:tcBorders>
          </w:tcPr>
          <w:p>
            <w:pPr>
              <w:jc w:val="right"/>
              <w:ind w:right="339"/>
              <w:spacing w:after="0"/>
              <w:rPr>
                <w:sz w:val="20"/>
                <w:szCs w:val="20"/>
                <w:color w:val="auto"/>
              </w:rPr>
            </w:pPr>
            <w:r>
              <w:rPr>
                <w:rFonts w:ascii="Arial" w:cs="Arial" w:eastAsia="Arial" w:hAnsi="Arial"/>
                <w:sz w:val="14"/>
                <w:szCs w:val="14"/>
                <w:b w:val="1"/>
                <w:bCs w:val="1"/>
                <w:color w:val="auto"/>
              </w:rPr>
              <w:t>99</w:t>
            </w:r>
          </w:p>
        </w:tc>
        <w:tc>
          <w:tcPr>
            <w:tcW w:w="64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3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c>
          <w:tcPr>
            <w:tcW w:w="3040" w:type="dxa"/>
            <w:vAlign w:val="bottom"/>
            <w:tcBorders>
              <w:top w:val="single" w:sz="8" w:color="53439A"/>
            </w:tcBorders>
            <w:gridSpan w:val="6"/>
          </w:tcPr>
          <w:p>
            <w:pPr>
              <w:ind w:left="100"/>
              <w:spacing w:after="0"/>
              <w:rPr>
                <w:sz w:val="20"/>
                <w:szCs w:val="20"/>
                <w:color w:val="auto"/>
              </w:rPr>
            </w:pPr>
            <w:r>
              <w:rPr>
                <w:rFonts w:ascii="Arial" w:cs="Arial" w:eastAsia="Arial" w:hAnsi="Arial"/>
                <w:sz w:val="14"/>
                <w:szCs w:val="14"/>
                <w:color w:val="auto"/>
                <w:w w:val="95"/>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w w:val="99"/>
              </w:rPr>
              <w:t>Elimination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10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4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Parent</w:t>
            </w:r>
          </w:p>
        </w:tc>
        <w:tc>
          <w:tcPr>
            <w:tcW w:w="540" w:type="dxa"/>
            <w:vAlign w:val="bottom"/>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2,788</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18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1,548</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(1,548)</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18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18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businesses and investments</w:t>
            </w:r>
          </w:p>
        </w:tc>
        <w:tc>
          <w:tcPr>
            <w:tcW w:w="118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Purchases of investments and other assets</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1,538</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 party borrowings</w:t>
            </w:r>
          </w:p>
        </w:tc>
        <w:tc>
          <w:tcPr>
            <w:tcW w:w="1180" w:type="dxa"/>
            <w:vAlign w:val="bottom"/>
          </w:tcPr>
          <w:p>
            <w:pPr>
              <w:spacing w:after="0"/>
              <w:rPr>
                <w:sz w:val="17"/>
                <w:szCs w:val="17"/>
                <w:color w:val="auto"/>
              </w:rPr>
            </w:pPr>
          </w:p>
        </w:tc>
        <w:tc>
          <w:tcPr>
            <w:tcW w:w="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9,090</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third party borrowings</w:t>
            </w:r>
          </w:p>
        </w:tc>
        <w:tc>
          <w:tcPr>
            <w:tcW w:w="1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(1,589)</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(Increase) decrease in short-term loans to GE, net</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(6,529)</w:t>
            </w:r>
          </w:p>
        </w:tc>
        <w:tc>
          <w:tcPr>
            <w:tcW w:w="2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99"/>
        </w:trPr>
        <w:tc>
          <w:tcPr>
            <w:tcW w:w="50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180" w:type="dxa"/>
            <w:vAlign w:val="bottom"/>
          </w:tcPr>
          <w:p>
            <w:pPr>
              <w:spacing w:after="0"/>
              <w:rPr>
                <w:sz w:val="17"/>
                <w:szCs w:val="17"/>
                <w:color w:val="auto"/>
              </w:rPr>
            </w:pPr>
          </w:p>
        </w:tc>
        <w:tc>
          <w:tcPr>
            <w:tcW w:w="68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825</w:t>
            </w:r>
          </w:p>
        </w:tc>
        <w:tc>
          <w:tcPr>
            <w:tcW w:w="2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99"/>
        </w:trPr>
        <w:tc>
          <w:tcPr>
            <w:tcW w:w="50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174</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53439A"/>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period</w:t>
            </w:r>
          </w:p>
        </w:tc>
        <w:tc>
          <w:tcPr>
            <w:tcW w:w="118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3439A"/>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236</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3439A"/>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53439A"/>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848</w:t>
            </w:r>
          </w:p>
        </w:tc>
        <w:tc>
          <w:tcPr>
            <w:tcW w:w="20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53439A"/>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439A"/>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53439A"/>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506"/>
        </w:trPr>
        <w:tc>
          <w:tcPr>
            <w:tcW w:w="5040" w:type="dxa"/>
            <w:vAlign w:val="bottom"/>
            <w:gridSpan w:val="2"/>
          </w:tcPr>
          <w:p>
            <w:pPr>
              <w:spacing w:after="0"/>
              <w:rPr>
                <w:sz w:val="20"/>
                <w:szCs w:val="20"/>
                <w:color w:val="auto"/>
              </w:rPr>
            </w:pPr>
            <w:r>
              <w:rPr>
                <w:rFonts w:ascii="Arial" w:cs="Arial" w:eastAsia="Arial" w:hAnsi="Arial"/>
                <w:sz w:val="14"/>
                <w:szCs w:val="14"/>
                <w:color w:val="auto"/>
              </w:rPr>
              <w:t>NBCUniversal 2011 Annual Report on Form 10-K</w:t>
            </w: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100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4"/>
              <w:spacing w:after="0"/>
              <w:rPr>
                <w:sz w:val="20"/>
                <w:szCs w:val="20"/>
                <w:color w:val="auto"/>
              </w:rPr>
            </w:pPr>
            <w:r>
              <w:rPr>
                <w:rFonts w:ascii="Arial" w:cs="Arial" w:eastAsia="Arial" w:hAnsi="Arial"/>
                <w:sz w:val="14"/>
                <w:szCs w:val="14"/>
                <w:color w:val="auto"/>
                <w:w w:val="99"/>
              </w:rPr>
              <w:t>Elimination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10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3"/>
        </w:trPr>
        <w:tc>
          <w:tcPr>
            <w:tcW w:w="504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Parent</w:t>
            </w:r>
          </w:p>
        </w:tc>
        <w:tc>
          <w:tcPr>
            <w:tcW w:w="540" w:type="dxa"/>
            <w:vAlign w:val="bottom"/>
            <w:gridSpan w:val="2"/>
          </w:tcPr>
          <w:p>
            <w:pPr>
              <w:jc w:val="right"/>
              <w:ind w:right="12"/>
              <w:spacing w:after="0"/>
              <w:rPr>
                <w:sz w:val="20"/>
                <w:szCs w:val="20"/>
                <w:color w:val="auto"/>
              </w:rPr>
            </w:pPr>
            <w:r>
              <w:rPr>
                <w:rFonts w:ascii="Arial" w:cs="Arial" w:eastAsia="Arial" w:hAnsi="Arial"/>
                <w:sz w:val="14"/>
                <w:szCs w:val="14"/>
                <w:color w:val="auto"/>
              </w:rPr>
              <w:t>Issuer</w:t>
            </w:r>
          </w:p>
        </w:tc>
        <w:tc>
          <w:tcPr>
            <w:tcW w:w="940" w:type="dxa"/>
            <w:vAlign w:val="bottom"/>
            <w:gridSpan w:val="2"/>
          </w:tcPr>
          <w:p>
            <w:pPr>
              <w:jc w:val="right"/>
              <w:ind w:right="13"/>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3,270</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2,937</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businesses and investments</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Purchases of investments and other assets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2,926</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 party borrowings</w:t>
            </w:r>
          </w:p>
        </w:tc>
        <w:tc>
          <w:tcPr>
            <w:tcW w:w="122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1,670</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third party borrowings</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(1,670)</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(1,950)</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(Increase) decrease in short-term loans to GE, net</w:t>
            </w:r>
          </w:p>
        </w:tc>
        <w:tc>
          <w:tcPr>
            <w:tcW w:w="1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220" w:type="dxa"/>
            <w:vAlign w:val="bottom"/>
          </w:tcPr>
          <w:p>
            <w:pPr>
              <w:spacing w:after="0"/>
              <w:rPr>
                <w:sz w:val="17"/>
                <w:szCs w:val="17"/>
                <w:color w:val="auto"/>
              </w:rPr>
            </w:pP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(2,313)</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199"/>
        </w:trPr>
        <w:tc>
          <w:tcPr>
            <w:tcW w:w="50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3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(87)</w:t>
            </w:r>
          </w:p>
        </w:tc>
        <w:tc>
          <w:tcPr>
            <w:tcW w:w="200" w:type="dxa"/>
            <w:vAlign w:val="bottom"/>
          </w:tcPr>
          <w:p>
            <w:pPr>
              <w:spacing w:after="0"/>
              <w:rPr>
                <w:sz w:val="17"/>
                <w:szCs w:val="17"/>
                <w:color w:val="auto"/>
              </w:rPr>
            </w:pPr>
          </w:p>
        </w:tc>
        <w:tc>
          <w:tcPr>
            <w:tcW w:w="8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9"/>
        </w:trPr>
        <w:tc>
          <w:tcPr>
            <w:tcW w:w="50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period</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209</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period</w:t>
            </w: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174</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23</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020" w:type="dxa"/>
            <w:vAlign w:val="bottom"/>
            <w:tcBorders>
              <w:top w:val="single" w:sz="8" w:color="53439A"/>
            </w:tcBorders>
          </w:tcPr>
          <w:p>
            <w:pPr>
              <w:spacing w:after="0"/>
              <w:rPr>
                <w:sz w:val="24"/>
                <w:szCs w:val="24"/>
                <w:color w:val="auto"/>
              </w:rPr>
            </w:pPr>
          </w:p>
        </w:tc>
        <w:tc>
          <w:tcPr>
            <w:tcW w:w="1220" w:type="dxa"/>
            <w:vAlign w:val="bottom"/>
            <w:tcBorders>
              <w:top w:val="single" w:sz="8" w:color="53439A"/>
            </w:tcBorders>
          </w:tcPr>
          <w:p>
            <w:pPr>
              <w:jc w:val="right"/>
              <w:ind w:right="359"/>
              <w:spacing w:after="0"/>
              <w:rPr>
                <w:sz w:val="20"/>
                <w:szCs w:val="20"/>
                <w:color w:val="auto"/>
              </w:rPr>
            </w:pPr>
            <w:r>
              <w:rPr>
                <w:rFonts w:ascii="Arial" w:cs="Arial" w:eastAsia="Arial" w:hAnsi="Arial"/>
                <w:sz w:val="14"/>
                <w:szCs w:val="14"/>
                <w:b w:val="1"/>
                <w:bCs w:val="1"/>
                <w:color w:val="auto"/>
              </w:rPr>
              <w:t>101</w:t>
            </w:r>
          </w:p>
        </w:tc>
        <w:tc>
          <w:tcPr>
            <w:tcW w:w="64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320" w:type="dxa"/>
            <w:vAlign w:val="bottom"/>
            <w:tcBorders>
              <w:top w:val="single" w:sz="8" w:color="53439A"/>
            </w:tcBorders>
          </w:tcPr>
          <w:p>
            <w:pPr>
              <w:spacing w:after="0"/>
              <w:rPr>
                <w:sz w:val="24"/>
                <w:szCs w:val="24"/>
                <w:color w:val="auto"/>
              </w:rPr>
            </w:pPr>
          </w:p>
        </w:tc>
        <w:tc>
          <w:tcPr>
            <w:tcW w:w="220" w:type="dxa"/>
            <w:vAlign w:val="bottom"/>
            <w:tcBorders>
              <w:top w:val="single" w:sz="8" w:color="53439A"/>
            </w:tcBorders>
          </w:tcPr>
          <w:p>
            <w:pPr>
              <w:spacing w:after="0"/>
              <w:rPr>
                <w:sz w:val="24"/>
                <w:szCs w:val="24"/>
                <w:color w:val="auto"/>
              </w:rPr>
            </w:pPr>
          </w:p>
        </w:tc>
        <w:tc>
          <w:tcPr>
            <w:tcW w:w="720" w:type="dxa"/>
            <w:vAlign w:val="bottom"/>
            <w:tcBorders>
              <w:top w:val="single" w:sz="8" w:color="53439A"/>
            </w:tcBorders>
          </w:tcPr>
          <w:p>
            <w:pPr>
              <w:spacing w:after="0"/>
              <w:rPr>
                <w:sz w:val="24"/>
                <w:szCs w:val="24"/>
                <w:color w:val="auto"/>
              </w:rPr>
            </w:pPr>
          </w:p>
        </w:tc>
        <w:tc>
          <w:tcPr>
            <w:tcW w:w="3040" w:type="dxa"/>
            <w:vAlign w:val="bottom"/>
            <w:tcBorders>
              <w:top w:val="single" w:sz="8" w:color="53439A"/>
            </w:tcBorders>
            <w:gridSpan w:val="6"/>
          </w:tcPr>
          <w:p>
            <w:pPr>
              <w:ind w:left="100"/>
              <w:spacing w:after="0"/>
              <w:rPr>
                <w:sz w:val="20"/>
                <w:szCs w:val="20"/>
                <w:color w:val="auto"/>
              </w:rPr>
            </w:pPr>
            <w:r>
              <w:rPr>
                <w:rFonts w:ascii="Arial" w:cs="Arial" w:eastAsia="Arial" w:hAnsi="Arial"/>
                <w:sz w:val="14"/>
                <w:szCs w:val="14"/>
                <w:color w:val="auto"/>
                <w:w w:val="95"/>
              </w:rPr>
              <w:t>NBCUniversal 2011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184" w:name="page185"/>
    <w:bookmarkEnd w:id="184"/>
    <w:p>
      <w:pPr>
        <w:spacing w:after="0"/>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800" w:right="940" w:hanging="225"/>
        <w:spacing w:after="0" w:line="23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ind w:left="800" w:right="1440" w:hanging="225"/>
        <w:spacing w:after="0" w:line="281"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800" w:right="1020" w:hanging="225"/>
        <w:spacing w:after="0" w:line="23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Our management conducted an evaluation of the effectiveness of the system of internal control over financial reporting based on the framework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issued by the Committee of Sponsoring Organizations of the Treadway Commission. Based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our management concluded that our system of internal control over financial reporting was effective as of December 31, 2011.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284" w:right="239" w:bottom="1440" w:gutter="0" w:footer="0" w:header="0"/>
        </w:sectPr>
      </w:pPr>
    </w:p>
    <w:bookmarkStart w:id="185" w:name="page186"/>
    <w:bookmarkEnd w:id="185"/>
    <w:p>
      <w:pPr>
        <w:spacing w:after="0"/>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both"/>
        <w:ind w:left="5600"/>
        <w:spacing w:after="0"/>
        <w:tabs>
          <w:tab w:leader="none" w:pos="8460" w:val="left"/>
        </w:tabs>
        <w:rPr>
          <w:sz w:val="20"/>
          <w:szCs w:val="20"/>
          <w:color w:val="auto"/>
        </w:rPr>
      </w:pPr>
      <w:r>
        <w:rPr>
          <w:rFonts w:ascii="Arial" w:cs="Arial" w:eastAsia="Arial" w:hAnsi="Arial"/>
          <w:sz w:val="14"/>
          <w:szCs w:val="14"/>
          <w:b w:val="1"/>
          <w:bCs w:val="1"/>
          <w:color w:val="auto"/>
        </w:rPr>
        <w:t>103</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500" w:right="239" w:bottom="1440" w:gutter="0" w:footer="0" w:header="0"/>
        </w:sectPr>
      </w:pPr>
    </w:p>
    <w:bookmarkStart w:id="186" w:name="page187"/>
    <w:bookmarkEnd w:id="186"/>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53439A"/>
        </w:rPr>
        <w:t>Item 10: Directors, Executive Officers and 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Our Company</w:t>
      </w:r>
    </w:p>
    <w:p>
      <w:pPr>
        <w:spacing w:after="0" w:line="1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table below sets forth certain information with respect to each of our current executive officers as of December 31, 2011, each of whom has served as such since the closing of the Joint Venture Transaction on January 28,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758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Title</w:t>
            </w:r>
          </w:p>
        </w:tc>
      </w:tr>
      <w:tr>
        <w:trPr>
          <w:trHeight w:val="199"/>
        </w:trPr>
        <w:tc>
          <w:tcPr>
            <w:tcW w:w="3840" w:type="dxa"/>
            <w:vAlign w:val="bottom"/>
          </w:tcPr>
          <w:p>
            <w:pPr>
              <w:spacing w:after="0" w:line="200" w:lineRule="exact"/>
              <w:rPr>
                <w:sz w:val="20"/>
                <w:szCs w:val="20"/>
                <w:color w:val="auto"/>
              </w:rPr>
            </w:pPr>
            <w:r>
              <w:rPr>
                <w:rFonts w:ascii="Arial" w:cs="Arial" w:eastAsia="Arial" w:hAnsi="Arial"/>
                <w:sz w:val="18"/>
                <w:szCs w:val="18"/>
                <w:color w:val="auto"/>
              </w:rPr>
              <w:t>Michael J. Angelakis</w:t>
            </w:r>
          </w:p>
        </w:tc>
        <w:tc>
          <w:tcPr>
            <w:tcW w:w="7580" w:type="dxa"/>
            <w:vAlign w:val="bottom"/>
          </w:tcPr>
          <w:p>
            <w:pPr>
              <w:ind w:left="2220"/>
              <w:spacing w:after="0" w:line="200" w:lineRule="exact"/>
              <w:rPr>
                <w:sz w:val="20"/>
                <w:szCs w:val="20"/>
                <w:color w:val="auto"/>
              </w:rPr>
            </w:pPr>
            <w:r>
              <w:rPr>
                <w:rFonts w:ascii="Arial" w:cs="Arial" w:eastAsia="Arial" w:hAnsi="Arial"/>
                <w:sz w:val="18"/>
                <w:szCs w:val="18"/>
                <w:color w:val="auto"/>
              </w:rPr>
              <w:t>Principal Financial Officer</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Senior Vice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Brian L. Roberts</w:t>
            </w:r>
          </w:p>
        </w:tc>
        <w:tc>
          <w:tcPr>
            <w:tcW w:w="7580" w:type="dxa"/>
            <w:vAlign w:val="bottom"/>
          </w:tcPr>
          <w:p>
            <w:pPr>
              <w:ind w:left="2220"/>
              <w:spacing w:after="0" w:line="202" w:lineRule="exact"/>
              <w:rPr>
                <w:sz w:val="20"/>
                <w:szCs w:val="20"/>
                <w:color w:val="auto"/>
              </w:rPr>
            </w:pPr>
            <w:r>
              <w:rPr>
                <w:rFonts w:ascii="Arial" w:cs="Arial" w:eastAsia="Arial" w:hAnsi="Arial"/>
                <w:sz w:val="18"/>
                <w:szCs w:val="18"/>
                <w:color w:val="auto"/>
              </w:rPr>
              <w:t>Principal Executive Officer</w:t>
            </w:r>
          </w:p>
        </w:tc>
      </w:tr>
      <w:tr>
        <w:trPr>
          <w:trHeight w:val="199"/>
        </w:trPr>
        <w:tc>
          <w:tcPr>
            <w:tcW w:w="38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7580" w:type="dxa"/>
            <w:vAlign w:val="bottom"/>
            <w:tcBorders>
              <w:bottom w:val="single" w:sz="8" w:color="auto"/>
            </w:tcBorders>
          </w:tcPr>
          <w:p>
            <w:pPr>
              <w:ind w:left="2220"/>
              <w:spacing w:after="0" w:line="200" w:lineRule="exact"/>
              <w:rPr>
                <w:sz w:val="20"/>
                <w:szCs w:val="20"/>
                <w:color w:val="auto"/>
              </w:rPr>
            </w:pPr>
            <w:r>
              <w:rPr>
                <w:rFonts w:ascii="Arial" w:cs="Arial" w:eastAsia="Arial" w:hAnsi="Arial"/>
                <w:sz w:val="18"/>
                <w:szCs w:val="18"/>
                <w:color w:val="auto"/>
              </w:rPr>
              <w:t>Senior Vice President</w:t>
            </w:r>
          </w:p>
        </w:tc>
      </w:tr>
    </w:tbl>
    <w:p>
      <w:pPr>
        <w:spacing w:after="0" w:line="165"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All of our current executive officers are also executive officers of Comcast. For the year ended December 31, 2011, we reimbursed Comcast approximately $20 million for direct services provided by our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Our Company</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closing of the Joint Venture Transaction, our company converted from a Delaware corporation into a Delaware limited liability company of which NBCUniversal Holdings is the sole member. We are managed by NBCUniversal Holdings, and the board of directors of NBCUniversal Holdings is effectively our governing body. The management and operation of NBCUniversal Holdings and NBCUniversal is subject the governance and control arrangements provided for under the Operating Agreement of NBCUniversal Holdings (the “Operating Agreement”), which are described in more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of NBCUniversal Holdings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NBCUniversal Holdings’ board consists of five members, three of which are designated by Comcast, and two of which are designated by GE. The current Comcast designees are Michael J. Angelakis, Stephen B. Burke and Brian L. Roberts, and the current GE designees are Jeffrey R. Immelt and Keith S. Sherin. GE’s representation right will be reduced to one director if GE’s ownership interest falls below 20%, and GE will lose its representation right if GE’s ownership interest falls below 10%, with Comcast designees replacing the outgoing GE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NBCUniversal Holdings</w:t>
      </w:r>
    </w:p>
    <w:p>
      <w:pPr>
        <w:spacing w:after="0" w:line="1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NBCUniversal Holdings currently has no board committees. If NBCUniversal Holdings sells its equity securities in an initial public offering, it would be required to have an audit committee, although under the Operating Agreement the audit committee would have delegated to it only those duties it is required to have. To the extent the board of NBCUniversal Holdings forms any committees in the future, the Operating Agreement requires each such committee to have a majority of Comcast designees and at least one GE designee. In addition, following an initial public offering, the audit committee will be comprised solely of “independent” directors as defined under the applicable rules of any national securities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Provisions of the Board of Directors of NBCUniversal Holdings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Comcast has the right to designate a majority of the members of NBCUniversal Holdings’ board of directors, and its board generally can take action by the vote of a majority of the directors in attendance at a meeting where a quorum exists. As a result, Comcast generally is able to control decisions of NBCUniversal Holdings’ board, subject to certain limitations as described in more detail below under “Governance and Control Arrangements under the Operating Agreement.”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254" w:right="239" w:bottom="1440" w:gutter="0" w:footer="0" w:header="0"/>
        </w:sectPr>
      </w:pPr>
    </w:p>
    <w:bookmarkStart w:id="187" w:name="page188"/>
    <w:bookmarkEnd w:id="187"/>
    <w:p>
      <w:pPr>
        <w:ind w:right="8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presence in person or by proxy of a number of directors equal to a majority of the board generally constitutes a quorum, but at least a majority of the directors present must be designated by Comcast and, for so long as GE’s ownership interest is at least 10%, at least one director present must be a GE designee. If a meeting is adjourned due to a lack of a quorum as a result of the failure of at least one GE designee to be present, then a GE designee’s presence is not necessary for a quorum to exist if the reconvened meeting is held at least 24 hours thereafter.</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NBCUniversal Holdings’ directors generally owe fiduciary duties to NBCUniversal Holdings and its owners as may exist from time to time under the laws of Delaware. However, in some cases the Operating Agreement provides a different standard or process and, in these cases, fiduciary duties under Delaware law will not apply. Different standards or processes will apply, for example, when directors make decisions about whether to refrain from engaging in business activities that are the same as or similar to our businesses (where directors generally will not be under any duty to NBCUniversal Holdings to refrain from such activities, except as specifically agreed under non-compete restrictions and similar provisions), and decisions about transactions between NBCUniversal Holdings or us, on the one hand, and Comcast or its affiliates, on the other hand (where a general arm’s-length standard and dispute resolution process will apply).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Control Arrangements under the Operating Agreement</w:t>
      </w:r>
    </w:p>
    <w:p>
      <w:pPr>
        <w:spacing w:after="0" w:line="1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GE, Comcast and their respective subsidiaries through which they own their membership interests in NBCUniversal Holdings entered into the Operating Agreement with respect to NBCUniversal Holdings in connection with the closing of the Joint Venture Transaction. The Operating Agreement sets forth the governance and operation of both NBCUniversal Holdings and NBCUniversal. It includes provisions relating to the redemption, purchase and transfer of ownership interests in NBCUniversal Holdings and certain non-compete restrictions on the part of Comcast and GE with respect to our principal businesses. The material terms of the Operating Agreement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As described above under “Governance Provisions of the Board of Directors of NBCUniversal Holdings,” NBCUniversal Holdings is managed by a board of directors consisting of three Comcast designees and two GE designees. GE’s representation right will be reduced to one director if GE’s ownership interest in NBCUniversal Holdings falls below 20%, and GE will lose its representation right if GE’s ownership interest in NBCUniversal Holdings falls below 10%, with Comcast designees replacing the outgoing GE directors.</w:t>
      </w:r>
    </w:p>
    <w:p>
      <w:pPr>
        <w:spacing w:after="0" w:line="15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For so long as a qualifying IPO has not occurred and GE continues to own at least 10% of NBCUniversal Holdings, certain matters must be approved by at least three members of the board, which include: (i) certain incurrences or repayments of debt; (ii) removal of the Chief Executive Officer or employees reporting directly to the Chief Executive Officer; (iii) certain acquisitions and dispositions; (iv) entering into certain non-ordinary course agreements; (v) subject to certain limitations, approval of new strategic plans or material amendments to or departures from existing strategic plans; and (vi) adoption of the annual budget of NBCUniversal Holdings and its subsidiaries.</w:t>
      </w:r>
    </w:p>
    <w:p>
      <w:pPr>
        <w:spacing w:after="0" w:line="15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Furthermore, for so long as GE continues to own at least 20% of NBCUniversal Holdings, GE will have veto rights with respect to certain matters, which include: (i) certain acquisitions; (ii) material expansions of NBCUniversal Holdings’ scope of business or purpose; (iii) certain issuances or repurchases of equity; (iv) certain distributions to equity holders; (v) certain debt incurrences; (vi) certain loans to or guarantees for other persons made outside of the ordinary course of business; (vii) a liquidation or voluntary bankruptcy of NBCUniversal Holdings or any of its principal subsidiaries; (viii) certain changes to NBCUniversal Holdings’ long-term incentive plan or increases in the value of certain awards granted thereunder; and (ix) our consent with respect to Comcast’s use or sublicensing of certain of our trademarks.</w:t>
      </w:r>
    </w:p>
    <w:p>
      <w:pPr>
        <w:spacing w:after="0" w:line="200" w:lineRule="exact"/>
        <w:rPr>
          <w:sz w:val="20"/>
          <w:szCs w:val="20"/>
          <w:color w:val="auto"/>
        </w:rPr>
      </w:pPr>
    </w:p>
    <w:p>
      <w:pPr>
        <w:spacing w:after="0" w:line="274" w:lineRule="exact"/>
        <w:rPr>
          <w:sz w:val="20"/>
          <w:szCs w:val="20"/>
          <w:color w:val="auto"/>
        </w:rPr>
      </w:pPr>
    </w:p>
    <w:p>
      <w:pPr>
        <w:jc w:val="both"/>
        <w:ind w:left="5600"/>
        <w:spacing w:after="0"/>
        <w:tabs>
          <w:tab w:leader="none" w:pos="846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345" w:right="239" w:bottom="1440" w:gutter="0" w:footer="0" w:header="0"/>
        </w:sectPr>
      </w:pPr>
    </w:p>
    <w:bookmarkStart w:id="188" w:name="page189"/>
    <w:bookmarkEnd w:id="188"/>
    <w:p>
      <w:pPr>
        <w:jc w:val="both"/>
        <w:ind w:right="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in the event of a vacancy in the position of Chief Executive Officer of NBCUniversal Holdings or our company before July 28, 2014, GE will have the right to veto up to two candidates proposed by Comcast. For so long as GE continues to own at least 10% of NBCUniversal Holdings, the Chief Executive Officer of NBCUniversal Holdings and our company will be the same person.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Provisions for Future Related Party Transactions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so long as GE has any interests in NBCUniversal Holdings, all related party transactions between Comcast and its affiliates and our company or NBCUniversal Holdings must be on arm’s-length terms. During this time, NBCUniversal Holdings must notify GE of proposed related party transactions involving annual payments or obligations over $7.5 million. In addition, for so long as GE owns at least a 10% interest in NBCUniversal Holdings, GE has the right to veto any non-ordinary course related party transaction and, with respect to any ordinary-course related party transaction, to dispute whether such transaction is on arm’s-length terms and require such dispute to be arbitrated, if necessary.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Operating Agreement generally prohibits (i) Comcast from transferring its ownership interest in NBCUniversal Holdings until January 28, 2015; and (ii) GE from transferring its ownership interest until July 28, 2014, at which respective point either party may sell its ownership interest in NBCUniversal Holdings publicly or privately, subject, in the case of sales by GE, to a right of first offer in favor of Comcast, which would permit Comcast to purchase all, but not less than all, of the interests proposed to be transferred. If Comcast sells its entire ownership interest in NBCUniversal Holdings, it can require GE, or GE may elect, to sell its entire interest on the same terms, subject to certain minimum purchase price requirements as set forth in the Operating Agreement. The Operating Agreement also allows Comcast to effect a spin-off of its interest in NBCUniversal Holdings in specified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Comcast and GE have certain demand and piggyback registration rights generally exercisable, in the case of Comcast, after January 28, 2015 and, in the case of GE, after July 28, 2014. The parties’ registration rights will be subject to various restrictions on timing, frequency (including “blackout” periods in various circumstances) and, in the case of GE,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Comcast and GE have the right to purchase their pro rata portions of securities that NBCUniversal Holdings proposes to issue. If one of the parties fails to exercise its purchase right, or exercises its right for less than its full pro rata portion, the other party has the right to purchase those securities. This purchase right does not apply to issuances of securities in certain cases, including issuances to employees under benefit arrangements and certain issuances in connection with debt financing or acquisition activities.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53439A"/>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bl>
    <w:p>
      <w:pPr>
        <w:sectPr>
          <w:pgSz w:w="11900" w:h="16838" w:orient="portrait"/>
          <w:cols w:equalWidth="0" w:num="1">
            <w:col w:w="11420"/>
          </w:cols>
          <w:pgMar w:left="240" w:top="292" w:right="239" w:bottom="1440" w:gutter="0" w:footer="0" w:header="0"/>
        </w:sectPr>
      </w:pPr>
    </w:p>
    <w:bookmarkStart w:id="189" w:name="page190"/>
    <w:bookmarkEnd w:id="189"/>
    <w:p>
      <w:pPr>
        <w:ind w:right="520"/>
        <w:spacing w:after="0" w:line="260" w:lineRule="auto"/>
        <w:rPr>
          <w:sz w:val="20"/>
          <w:szCs w:val="20"/>
          <w:color w:val="auto"/>
        </w:rPr>
      </w:pPr>
      <w:r>
        <w:rPr>
          <w:rFonts w:ascii="Arial" w:cs="Arial" w:eastAsia="Arial" w:hAnsi="Arial"/>
          <w:sz w:val="24"/>
          <w:szCs w:val="24"/>
          <w:color w:val="53439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53439A"/>
        </w:rPr>
        <w:t>Item 14: Principal Accountant Fees and Services</w:t>
      </w:r>
    </w:p>
    <w:p>
      <w:pPr>
        <w:spacing w:after="0" w:line="12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KPMG LLP performed the audit of our annual consolidated financial statements as of and for the year ended December 31, 2010 and had been our independent auditor until the closing of the Joint Venture Transaction on January 28, 2011. Following the closing of the Joint Venture Transaction, the Audit Committee of Comcast’s Board of Directors appointed Deloitte &amp; Touche LLP as our independent registered public accounting firm for the year ended December 31, 2011. Set forth below are the fees paid or accrued for the services of Deloitte &amp; Touche LLP, the member firms of Deloitte Touche Tohmatsu and their respective affiliates in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r>
      <w:tr>
        <w:trPr>
          <w:trHeight w:val="199"/>
        </w:trPr>
        <w:tc>
          <w:tcPr>
            <w:tcW w:w="6100" w:type="dxa"/>
            <w:vAlign w:val="bottom"/>
          </w:tcPr>
          <w:p>
            <w:pPr>
              <w:spacing w:after="0" w:line="200" w:lineRule="exact"/>
              <w:rPr>
                <w:sz w:val="20"/>
                <w:szCs w:val="20"/>
                <w:color w:val="auto"/>
              </w:rPr>
            </w:pPr>
            <w:r>
              <w:rPr>
                <w:rFonts w:ascii="Arial" w:cs="Arial" w:eastAsia="Arial" w:hAnsi="Arial"/>
                <w:sz w:val="18"/>
                <w:szCs w:val="18"/>
                <w:color w:val="auto"/>
              </w:rPr>
              <w:t>Audit fees</w:t>
            </w:r>
          </w:p>
        </w:tc>
        <w:tc>
          <w:tcPr>
            <w:tcW w:w="48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9.1</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84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0.7</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84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0.4</w:t>
            </w:r>
          </w:p>
        </w:tc>
      </w:tr>
      <w:tr>
        <w:trPr>
          <w:trHeight w:val="199"/>
        </w:trPr>
        <w:tc>
          <w:tcPr>
            <w:tcW w:w="6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All other fees</w:t>
            </w:r>
          </w:p>
        </w:tc>
        <w:tc>
          <w:tcPr>
            <w:tcW w:w="4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0.5</w:t>
            </w:r>
          </w:p>
        </w:tc>
      </w:tr>
      <w:tr>
        <w:trPr>
          <w:trHeight w:val="196"/>
        </w:trPr>
        <w:tc>
          <w:tcPr>
            <w:tcW w:w="6100" w:type="dxa"/>
            <w:vAlign w:val="bottom"/>
            <w:tcBorders>
              <w:bottom w:val="single" w:sz="8" w:color="53439A"/>
            </w:tcBorders>
          </w:tcPr>
          <w:p>
            <w:pPr>
              <w:spacing w:after="0"/>
              <w:rPr>
                <w:sz w:val="17"/>
                <w:szCs w:val="17"/>
                <w:color w:val="auto"/>
              </w:rPr>
            </w:pPr>
          </w:p>
        </w:tc>
        <w:tc>
          <w:tcPr>
            <w:tcW w:w="4840" w:type="dxa"/>
            <w:vAlign w:val="bottom"/>
            <w:tcBorders>
              <w:bottom w:val="single" w:sz="8" w:color="53439A"/>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3439A"/>
            </w:tcBorders>
          </w:tcPr>
          <w:p>
            <w:pPr>
              <w:jc w:val="right"/>
              <w:ind w:right="16"/>
              <w:spacing w:after="0" w:line="196" w:lineRule="exact"/>
              <w:rPr>
                <w:sz w:val="20"/>
                <w:szCs w:val="20"/>
                <w:color w:val="auto"/>
              </w:rPr>
            </w:pPr>
            <w:r>
              <w:rPr>
                <w:rFonts w:ascii="Arial" w:cs="Arial" w:eastAsia="Arial" w:hAnsi="Arial"/>
                <w:sz w:val="18"/>
                <w:szCs w:val="18"/>
                <w:color w:val="auto"/>
              </w:rPr>
              <w:t>10.7</w:t>
            </w:r>
          </w:p>
        </w:tc>
      </w:tr>
    </w:tbl>
    <w:p>
      <w:pPr>
        <w:spacing w:after="0" w:line="165"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Audit fees consisted of fees paid or accrued for services rendered to us and our subsidiaries for the audits of our annual financial statements, reviews of our quarterly financial statements and audit services provided in connection with other statutory or regulatory filings.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consisted primarily of fees paid or accrued for audits associated with the Joint Venture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Tax fees consisted of fees paid or accrued for domestic and foreign tax compliance services, including tax examination assistance.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fees consisted of fees paid or accrued for consulting services regarding brand development, cost management and content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a consolidated subsidiary of Comcast, we are subject to Comcast’s Audit Committee’s policies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00"/>
        <w:spacing w:after="0"/>
        <w:tabs>
          <w:tab w:leader="none" w:pos="8460" w:val="left"/>
        </w:tabs>
        <w:rPr>
          <w:sz w:val="20"/>
          <w:szCs w:val="20"/>
          <w:color w:val="auto"/>
        </w:rPr>
      </w:pPr>
      <w:r>
        <w:rPr>
          <w:rFonts w:ascii="Arial" w:cs="Arial" w:eastAsia="Arial" w:hAnsi="Arial"/>
          <w:sz w:val="14"/>
          <w:szCs w:val="14"/>
          <w:b w:val="1"/>
          <w:bCs w:val="1"/>
          <w:color w:val="auto"/>
        </w:rPr>
        <w:t>107</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500" w:right="239" w:bottom="1440" w:gutter="0" w:footer="0" w:header="0"/>
        </w:sectPr>
      </w:pPr>
    </w:p>
    <w:bookmarkStart w:id="190" w:name="page191"/>
    <w:bookmarkEnd w:id="190"/>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53439A"/>
        </w:rPr>
        <w:t>Item 15: Exhibits and Financial Statement Schedules</w:t>
      </w:r>
    </w:p>
    <w:p>
      <w:pPr>
        <w:spacing w:after="0" w:line="123" w:lineRule="exact"/>
        <w:rPr>
          <w:sz w:val="20"/>
          <w:szCs w:val="20"/>
          <w:color w:val="auto"/>
        </w:rPr>
      </w:pPr>
    </w:p>
    <w:p>
      <w:pPr>
        <w:ind w:firstLine="8"/>
        <w:spacing w:after="0" w:line="237" w:lineRule="auto"/>
        <w:tabs>
          <w:tab w:leader="none" w:pos="2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consolidated financial statements are filed as a part of this report on Form 10-K in Item 8, Financial Statements and Supplementary Data, and a list of the consolidated financial statements are found on page 43 of this report. Schedule II – Valuation and Qualifying Accounts is found on page 113 of this report; all other financial statement schedules are omitted because the required information is not applicable, or because the information required is included in the consolidated financial statements and notes thereto.</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applicable for purposes of filing this Report as an Exhibit to the Registrant’s Registration Statement on Form S-3.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bl>
    <w:p>
      <w:pPr>
        <w:sectPr>
          <w:pgSz w:w="11900" w:h="16838" w:orient="portrait"/>
          <w:cols w:equalWidth="0" w:num="1">
            <w:col w:w="11320"/>
          </w:cols>
          <w:pgMar w:left="240" w:top="254" w:right="339" w:bottom="1440" w:gutter="0" w:footer="0" w:header="0"/>
        </w:sectPr>
      </w:pPr>
    </w:p>
    <w:bookmarkStart w:id="191" w:name="page192"/>
    <w:bookmarkEnd w:id="19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 NBCUniversal Media, LLC</w:t>
      </w:r>
    </w:p>
    <w:p>
      <w:pPr>
        <w:spacing w:after="0"/>
        <w:rPr>
          <w:sz w:val="20"/>
          <w:szCs w:val="20"/>
          <w:color w:val="auto"/>
        </w:rPr>
      </w:pPr>
      <w:r>
        <w:rPr>
          <w:rFonts w:ascii="Arial" w:cs="Arial" w:eastAsia="Arial" w:hAnsi="Arial"/>
          <w:sz w:val="18"/>
          <w:szCs w:val="18"/>
          <w:color w:val="auto"/>
        </w:rPr>
        <w:t>New York, New York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consolidated balance sheet of NBCUniversal Media, LLC and subsidiaries (the “Company”), as of December 31, 2011</w:t>
      </w:r>
    </w:p>
    <w:p>
      <w:pPr>
        <w:spacing w:after="0" w:line="234" w:lineRule="auto"/>
        <w:rPr>
          <w:sz w:val="20"/>
          <w:szCs w:val="20"/>
          <w:color w:val="auto"/>
        </w:rPr>
      </w:pPr>
      <w:r>
        <w:rPr>
          <w:rFonts w:ascii="Arial" w:cs="Arial" w:eastAsia="Arial" w:hAnsi="Arial"/>
          <w:sz w:val="18"/>
          <w:szCs w:val="18"/>
          <w:color w:val="auto"/>
        </w:rPr>
        <w:t>(successor), the related consolidated statements of income, comprehensive income, cash flows and changes in equity for the period from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January 29, 2011 to December 31, 2011 (successor), and the consolidated statements of income, comprehensive income, cash flows and changes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equity of NBC Universal, Inc. and subsidiaries for the period from January 1, 2011 to January 28, 2011 (predecessor), and have issued our</w:t>
      </w:r>
    </w:p>
    <w:p>
      <w:pPr>
        <w:spacing w:after="0"/>
        <w:rPr>
          <w:sz w:val="20"/>
          <w:szCs w:val="20"/>
          <w:color w:val="auto"/>
        </w:rPr>
      </w:pPr>
      <w:r>
        <w:rPr>
          <w:rFonts w:ascii="Arial" w:cs="Arial" w:eastAsia="Arial" w:hAnsi="Arial"/>
          <w:sz w:val="16"/>
          <w:szCs w:val="16"/>
          <w:color w:val="auto"/>
        </w:rPr>
        <w:t>report thereon dated February 22, 2012 (which report expresses an unqualified opinion and includes an explanatory paragraph referring to General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Electric Company’s transaction with Comcast Corporation on January 28, 2011); such report is included elsewhere in this Form 10-K. Our audits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also included the financial statement schedule of the Company listed in Item 15 for the period ended December 31, 2011 (successor) and the</w:t>
      </w:r>
    </w:p>
    <w:p>
      <w:pPr>
        <w:spacing w:after="0" w:line="234" w:lineRule="auto"/>
        <w:rPr>
          <w:sz w:val="20"/>
          <w:szCs w:val="20"/>
          <w:color w:val="auto"/>
        </w:rPr>
      </w:pPr>
      <w:r>
        <w:rPr>
          <w:rFonts w:ascii="Arial" w:cs="Arial" w:eastAsia="Arial" w:hAnsi="Arial"/>
          <w:sz w:val="18"/>
          <w:szCs w:val="18"/>
          <w:color w:val="auto"/>
        </w:rPr>
        <w:t>period ended January 28, 2011 (predecessor). This financial statement schedule is the responsibility of the Company’s management. Our</w:t>
      </w:r>
    </w:p>
    <w:p>
      <w:pPr>
        <w:spacing w:after="0" w:line="235" w:lineRule="auto"/>
        <w:rPr>
          <w:sz w:val="20"/>
          <w:szCs w:val="20"/>
          <w:color w:val="auto"/>
        </w:rPr>
      </w:pPr>
      <w:r>
        <w:rPr>
          <w:rFonts w:ascii="Arial" w:cs="Arial" w:eastAsia="Arial" w:hAnsi="Arial"/>
          <w:sz w:val="18"/>
          <w:szCs w:val="18"/>
          <w:color w:val="auto"/>
        </w:rPr>
        <w:t>responsibility is to express an opinion based on our audits. In our opinion, such financial statement schedule, when considered in relation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consolidated financial statements taken as a whole, presents fairly, in all material respects, the information set forth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pacing w:after="0" w:line="327" w:lineRule="exact"/>
        <w:rPr>
          <w:sz w:val="20"/>
          <w:szCs w:val="20"/>
          <w:color w:val="auto"/>
        </w:rPr>
      </w:pPr>
    </w:p>
    <w:p>
      <w:pPr>
        <w:jc w:val="both"/>
        <w:ind w:left="5600"/>
        <w:spacing w:after="0"/>
        <w:tabs>
          <w:tab w:leader="none" w:pos="8460" w:val="left"/>
        </w:tabs>
        <w:rPr>
          <w:sz w:val="20"/>
          <w:szCs w:val="20"/>
          <w:color w:val="auto"/>
        </w:rPr>
      </w:pP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NBCUniversal 2011 Annual Report on Form 10-K</w:t>
      </w:r>
    </w:p>
    <w:p>
      <w:pPr>
        <w:sectPr>
          <w:pgSz w:w="11900" w:h="16838" w:orient="portrait"/>
          <w:cols w:equalWidth="0" w:num="1">
            <w:col w:w="11420"/>
          </w:cols>
          <w:pgMar w:left="240" w:top="284" w:right="239" w:bottom="1440" w:gutter="0" w:footer="0" w:header="0"/>
        </w:sectPr>
      </w:pPr>
    </w:p>
    <w:bookmarkStart w:id="192" w:name="page193"/>
    <w:bookmarkEnd w:id="192"/>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400" w:type="dxa"/>
            <w:vAlign w:val="bottom"/>
            <w:gridSpan w:val="2"/>
          </w:tcPr>
          <w:p>
            <w:pPr>
              <w:ind w:left="2020"/>
              <w:spacing w:after="0"/>
              <w:rPr>
                <w:sz w:val="20"/>
                <w:szCs w:val="20"/>
                <w:color w:val="auto"/>
              </w:rPr>
            </w:pPr>
            <w:r>
              <w:rPr>
                <w:rFonts w:ascii="Arial" w:cs="Arial" w:eastAsia="Arial" w:hAnsi="Arial"/>
                <w:sz w:val="14"/>
                <w:szCs w:val="14"/>
                <w:color w:val="auto"/>
              </w:rPr>
              <w:t>Balance at beginning</w:t>
            </w: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Additions charged to</w:t>
            </w: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20"/>
              <w:spacing w:after="0"/>
              <w:rPr>
                <w:sz w:val="20"/>
                <w:szCs w:val="20"/>
                <w:color w:val="auto"/>
              </w:rPr>
            </w:pPr>
            <w:r>
              <w:rPr>
                <w:rFonts w:ascii="Arial" w:cs="Arial" w:eastAsia="Arial" w:hAnsi="Arial"/>
                <w:sz w:val="14"/>
                <w:szCs w:val="14"/>
                <w:color w:val="auto"/>
              </w:rPr>
              <w:t>Balance at end</w:t>
            </w:r>
          </w:p>
        </w:tc>
      </w:tr>
      <w:tr>
        <w:trPr>
          <w:trHeight w:val="149"/>
        </w:trPr>
        <w:tc>
          <w:tcPr>
            <w:tcW w:w="4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period</w:t>
            </w:r>
          </w:p>
        </w:tc>
        <w:tc>
          <w:tcPr>
            <w:tcW w:w="144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costs and expenses</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reserves</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period</w:t>
            </w:r>
          </w:p>
        </w:tc>
      </w:tr>
      <w:tr>
        <w:trPr>
          <w:trHeight w:val="177"/>
        </w:trPr>
        <w:tc>
          <w:tcPr>
            <w:tcW w:w="4280" w:type="dxa"/>
            <w:vAlign w:val="bottom"/>
          </w:tcPr>
          <w:p>
            <w:pPr>
              <w:spacing w:after="0" w:line="177" w:lineRule="exact"/>
              <w:rPr>
                <w:sz w:val="20"/>
                <w:szCs w:val="20"/>
                <w:color w:val="auto"/>
              </w:rPr>
            </w:pPr>
            <w:r>
              <w:rPr>
                <w:rFonts w:ascii="Arial" w:cs="Arial" w:eastAsia="Arial" w:hAnsi="Arial"/>
                <w:sz w:val="18"/>
                <w:szCs w:val="18"/>
                <w:b w:val="1"/>
                <w:bCs w:val="1"/>
                <w:color w:val="auto"/>
              </w:rPr>
              <w:t>Successor</w:t>
            </w:r>
          </w:p>
        </w:tc>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8"/>
                <w:szCs w:val="18"/>
                <w:b w:val="1"/>
                <w:bCs w:val="1"/>
                <w:color w:val="auto"/>
              </w:rPr>
              <w:t>Period ended December 31, 2011</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440" w:type="dxa"/>
            <w:vAlign w:val="bottom"/>
          </w:tcPr>
          <w:p>
            <w:pPr>
              <w:ind w:left="20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w:t>
            </w:r>
          </w:p>
        </w:tc>
      </w:tr>
      <w:tr>
        <w:trPr>
          <w:trHeight w:val="211"/>
        </w:trPr>
        <w:tc>
          <w:tcPr>
            <w:tcW w:w="4280" w:type="dxa"/>
            <w:vAlign w:val="bottom"/>
          </w:tcPr>
          <w:p>
            <w:pPr>
              <w:spacing w:after="0"/>
              <w:rPr>
                <w:sz w:val="20"/>
                <w:szCs w:val="20"/>
                <w:color w:val="auto"/>
              </w:rPr>
            </w:pPr>
            <w:r>
              <w:rPr>
                <w:rFonts w:ascii="Arial" w:cs="Arial" w:eastAsia="Arial" w:hAnsi="Arial"/>
                <w:sz w:val="18"/>
                <w:szCs w:val="18"/>
                <w:color w:val="auto"/>
              </w:rPr>
              <w:t>Sales returns and allowances</w:t>
            </w:r>
          </w:p>
        </w:tc>
        <w:tc>
          <w:tcPr>
            <w:tcW w:w="2440" w:type="dxa"/>
            <w:vAlign w:val="bottom"/>
          </w:tcPr>
          <w:p>
            <w:pPr>
              <w:ind w:left="20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425</w:t>
            </w:r>
          </w:p>
        </w:tc>
      </w:tr>
      <w:tr>
        <w:trPr>
          <w:trHeight w:val="388"/>
        </w:trPr>
        <w:tc>
          <w:tcPr>
            <w:tcW w:w="4280" w:type="dxa"/>
            <w:vAlign w:val="bottom"/>
          </w:tcPr>
          <w:p>
            <w:pPr>
              <w:spacing w:after="0"/>
              <w:rPr>
                <w:sz w:val="20"/>
                <w:szCs w:val="20"/>
                <w:color w:val="auto"/>
              </w:rPr>
            </w:pPr>
            <w:r>
              <w:rPr>
                <w:rFonts w:ascii="Arial" w:cs="Arial" w:eastAsia="Arial" w:hAnsi="Arial"/>
                <w:sz w:val="18"/>
                <w:szCs w:val="18"/>
                <w:b w:val="1"/>
                <w:bCs w:val="1"/>
                <w:color w:val="auto"/>
              </w:rPr>
              <w:t>Predecessor</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8"/>
                <w:szCs w:val="18"/>
                <w:b w:val="1"/>
                <w:bCs w:val="1"/>
                <w:color w:val="auto"/>
              </w:rPr>
              <w:t>Period ended January 28, 2011</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440" w:type="dxa"/>
            <w:vAlign w:val="bottom"/>
          </w:tcPr>
          <w:p>
            <w:pPr>
              <w:ind w:left="20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w:t>
            </w: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83</w:t>
            </w:r>
          </w:p>
        </w:tc>
      </w:tr>
      <w:tr>
        <w:trPr>
          <w:trHeight w:val="181"/>
        </w:trPr>
        <w:tc>
          <w:tcPr>
            <w:tcW w:w="4280" w:type="dxa"/>
            <w:vAlign w:val="bottom"/>
          </w:tcPr>
          <w:p>
            <w:pPr>
              <w:spacing w:after="0" w:line="181" w:lineRule="exact"/>
              <w:rPr>
                <w:sz w:val="20"/>
                <w:szCs w:val="20"/>
                <w:color w:val="auto"/>
              </w:rPr>
            </w:pPr>
            <w:r>
              <w:rPr>
                <w:rFonts w:ascii="Arial" w:cs="Arial" w:eastAsia="Arial" w:hAnsi="Arial"/>
                <w:sz w:val="18"/>
                <w:szCs w:val="18"/>
                <w:color w:val="auto"/>
              </w:rPr>
              <w:t>Sales returns and allowances</w:t>
            </w:r>
          </w:p>
        </w:tc>
        <w:tc>
          <w:tcPr>
            <w:tcW w:w="2440" w:type="dxa"/>
            <w:vAlign w:val="bottom"/>
          </w:tcPr>
          <w:p>
            <w:pPr>
              <w:ind w:left="2020"/>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485</w:t>
            </w:r>
          </w:p>
        </w:tc>
        <w:tc>
          <w:tcPr>
            <w:tcW w:w="62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181" w:lineRule="exact"/>
              <w:rPr>
                <w:sz w:val="20"/>
                <w:szCs w:val="20"/>
                <w:color w:val="auto"/>
              </w:rPr>
            </w:pPr>
            <w:r>
              <w:rPr>
                <w:rFonts w:ascii="Arial" w:cs="Arial" w:eastAsia="Arial" w:hAnsi="Arial"/>
                <w:sz w:val="18"/>
                <w:szCs w:val="18"/>
                <w:color w:val="auto"/>
              </w:rPr>
              <w:t>10</w:t>
            </w:r>
          </w:p>
        </w:tc>
        <w:tc>
          <w:tcPr>
            <w:tcW w:w="38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w:t>
            </w:r>
          </w:p>
        </w:tc>
        <w:tc>
          <w:tcPr>
            <w:tcW w:w="34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491</w:t>
            </w:r>
          </w:p>
        </w:tc>
      </w:tr>
      <w:tr>
        <w:trPr>
          <w:trHeight w:val="225"/>
        </w:trPr>
        <w:tc>
          <w:tcPr>
            <w:tcW w:w="428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440" w:type="dxa"/>
            <w:vAlign w:val="bottom"/>
          </w:tcPr>
          <w:p>
            <w:pPr>
              <w:ind w:left="20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145</w:t>
            </w: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85</w:t>
            </w:r>
          </w:p>
        </w:tc>
      </w:tr>
      <w:tr>
        <w:trPr>
          <w:trHeight w:val="181"/>
        </w:trPr>
        <w:tc>
          <w:tcPr>
            <w:tcW w:w="4280" w:type="dxa"/>
            <w:vAlign w:val="bottom"/>
          </w:tcPr>
          <w:p>
            <w:pPr>
              <w:spacing w:after="0" w:line="181" w:lineRule="exact"/>
              <w:rPr>
                <w:sz w:val="20"/>
                <w:szCs w:val="20"/>
                <w:color w:val="auto"/>
              </w:rPr>
            </w:pPr>
            <w:r>
              <w:rPr>
                <w:rFonts w:ascii="Arial" w:cs="Arial" w:eastAsia="Arial" w:hAnsi="Arial"/>
                <w:sz w:val="18"/>
                <w:szCs w:val="18"/>
                <w:color w:val="auto"/>
              </w:rPr>
              <w:t>Sales returns and allowances</w:t>
            </w:r>
          </w:p>
        </w:tc>
        <w:tc>
          <w:tcPr>
            <w:tcW w:w="2440" w:type="dxa"/>
            <w:vAlign w:val="bottom"/>
          </w:tcPr>
          <w:p>
            <w:pPr>
              <w:ind w:left="2020"/>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491</w:t>
            </w:r>
          </w:p>
        </w:tc>
        <w:tc>
          <w:tcPr>
            <w:tcW w:w="62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181" w:lineRule="exact"/>
              <w:rPr>
                <w:sz w:val="20"/>
                <w:szCs w:val="20"/>
                <w:color w:val="auto"/>
              </w:rPr>
            </w:pPr>
            <w:r>
              <w:rPr>
                <w:rFonts w:ascii="Arial" w:cs="Arial" w:eastAsia="Arial" w:hAnsi="Arial"/>
                <w:sz w:val="18"/>
                <w:szCs w:val="18"/>
                <w:color w:val="auto"/>
              </w:rPr>
              <w:t>931</w:t>
            </w:r>
          </w:p>
        </w:tc>
        <w:tc>
          <w:tcPr>
            <w:tcW w:w="38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937</w:t>
            </w:r>
          </w:p>
        </w:tc>
        <w:tc>
          <w:tcPr>
            <w:tcW w:w="34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485</w:t>
            </w:r>
          </w:p>
        </w:tc>
      </w:tr>
      <w:tr>
        <w:trPr>
          <w:trHeight w:val="225"/>
        </w:trPr>
        <w:tc>
          <w:tcPr>
            <w:tcW w:w="4280" w:type="dxa"/>
            <w:vAlign w:val="bottom"/>
          </w:tcPr>
          <w:p>
            <w:pPr>
              <w:spacing w:after="0"/>
              <w:rPr>
                <w:sz w:val="20"/>
                <w:szCs w:val="20"/>
                <w:color w:val="auto"/>
              </w:rPr>
            </w:pPr>
            <w:r>
              <w:rPr>
                <w:rFonts w:ascii="Arial" w:cs="Arial" w:eastAsia="Arial" w:hAnsi="Arial"/>
                <w:sz w:val="18"/>
                <w:szCs w:val="18"/>
                <w:b w:val="1"/>
                <w:bCs w:val="1"/>
                <w:color w:val="auto"/>
              </w:rPr>
              <w:t>Year ended December 31, 2009</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440" w:type="dxa"/>
            <w:vAlign w:val="bottom"/>
          </w:tcPr>
          <w:p>
            <w:pPr>
              <w:ind w:left="20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6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w:t>
            </w: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145</w:t>
            </w:r>
          </w:p>
        </w:tc>
      </w:tr>
      <w:tr>
        <w:trPr>
          <w:trHeight w:val="199"/>
        </w:trPr>
        <w:tc>
          <w:tcPr>
            <w:tcW w:w="42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Sales returns and allowances</w:t>
            </w:r>
          </w:p>
        </w:tc>
        <w:tc>
          <w:tcPr>
            <w:tcW w:w="2440" w:type="dxa"/>
            <w:vAlign w:val="bottom"/>
            <w:tcBorders>
              <w:bottom w:val="single" w:sz="8" w:color="auto"/>
            </w:tcBorders>
          </w:tcPr>
          <w:p>
            <w:pPr>
              <w:ind w:left="2020"/>
              <w:spacing w:after="0" w:line="20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504</w:t>
            </w:r>
          </w:p>
        </w:tc>
        <w:tc>
          <w:tcPr>
            <w:tcW w:w="62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929</w:t>
            </w:r>
          </w:p>
        </w:tc>
        <w:tc>
          <w:tcPr>
            <w:tcW w:w="38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942</w:t>
            </w:r>
          </w:p>
        </w:tc>
        <w:tc>
          <w:tcPr>
            <w:tcW w:w="34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491</w:t>
            </w:r>
          </w:p>
        </w:tc>
      </w:tr>
      <w:tr>
        <w:trPr>
          <w:trHeight w:val="506"/>
        </w:trPr>
        <w:tc>
          <w:tcPr>
            <w:tcW w:w="4280" w:type="dxa"/>
            <w:vAlign w:val="bottom"/>
          </w:tcPr>
          <w:p>
            <w:pPr>
              <w:spacing w:after="0"/>
              <w:rPr>
                <w:sz w:val="20"/>
                <w:szCs w:val="20"/>
                <w:color w:val="auto"/>
              </w:rPr>
            </w:pPr>
            <w:r>
              <w:rPr>
                <w:rFonts w:ascii="Arial" w:cs="Arial" w:eastAsia="Arial" w:hAnsi="Arial"/>
                <w:sz w:val="14"/>
                <w:szCs w:val="14"/>
                <w:color w:val="auto"/>
              </w:rPr>
              <w:t>NBCUniversal 2011 Annual Report on Form 10-K</w:t>
            </w:r>
          </w:p>
        </w:tc>
        <w:tc>
          <w:tcPr>
            <w:tcW w:w="2440" w:type="dxa"/>
            <w:vAlign w:val="bottom"/>
          </w:tcPr>
          <w:p>
            <w:pPr>
              <w:ind w:left="1320"/>
              <w:spacing w:after="0"/>
              <w:rPr>
                <w:sz w:val="20"/>
                <w:szCs w:val="20"/>
                <w:color w:val="auto"/>
              </w:rPr>
            </w:pPr>
            <w:r>
              <w:rPr>
                <w:rFonts w:ascii="Arial" w:cs="Arial" w:eastAsia="Arial" w:hAnsi="Arial"/>
                <w:sz w:val="14"/>
                <w:szCs w:val="14"/>
                <w:b w:val="1"/>
                <w:bCs w:val="1"/>
                <w:color w:val="auto"/>
              </w:rPr>
              <w:t>110</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28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0"/>
          <w:szCs w:val="20"/>
          <w:color w:val="auto"/>
        </w:rPr>
      </w:pPr>
    </w:p>
    <w:p>
      <w:pPr>
        <w:ind w:left="460" w:hanging="452"/>
        <w:spacing w:after="0"/>
        <w:tabs>
          <w:tab w:leader="none" w:pos="460" w:val="left"/>
        </w:tabs>
        <w:numPr>
          <w:ilvl w:val="0"/>
          <w:numId w:val="7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77"/>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0"/>
          <w:szCs w:val="20"/>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333-174175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43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6"/>
              </w:rPr>
              <w:t>DELAWARE</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360" w:type="dxa"/>
            <w:vAlign w:val="bottom"/>
          </w:tcPr>
          <w:p>
            <w:pPr>
              <w:jc w:val="center"/>
              <w:ind w:right="1512"/>
              <w:spacing w:after="0"/>
              <w:rPr>
                <w:sz w:val="20"/>
                <w:szCs w:val="20"/>
                <w:color w:val="auto"/>
              </w:rPr>
            </w:pPr>
            <w:r>
              <w:rPr>
                <w:rFonts w:ascii="Arial" w:cs="Arial" w:eastAsia="Arial" w:hAnsi="Arial"/>
                <w:sz w:val="18"/>
                <w:szCs w:val="18"/>
                <w:color w:val="auto"/>
                <w:w w:val="90"/>
              </w:rPr>
              <w:t>(State or other jurisdiction of</w:t>
            </w:r>
          </w:p>
        </w:tc>
        <w:tc>
          <w:tcPr>
            <w:tcW w:w="4120" w:type="dxa"/>
            <w:vAlign w:val="bottom"/>
          </w:tcPr>
          <w:p>
            <w:pPr>
              <w:jc w:val="center"/>
              <w:ind w:left="147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360" w:type="dxa"/>
            <w:vAlign w:val="bottom"/>
          </w:tcPr>
          <w:p>
            <w:pPr>
              <w:jc w:val="center"/>
              <w:ind w:right="1512"/>
              <w:spacing w:after="0"/>
              <w:rPr>
                <w:sz w:val="20"/>
                <w:szCs w:val="20"/>
                <w:color w:val="auto"/>
              </w:rPr>
            </w:pPr>
            <w:r>
              <w:rPr>
                <w:rFonts w:ascii="Arial" w:cs="Arial" w:eastAsia="Arial" w:hAnsi="Arial"/>
                <w:sz w:val="18"/>
                <w:szCs w:val="18"/>
                <w:color w:val="auto"/>
                <w:w w:val="90"/>
              </w:rPr>
              <w:t>incorporation or organization)</w:t>
            </w:r>
          </w:p>
        </w:tc>
        <w:tc>
          <w:tcPr>
            <w:tcW w:w="4120" w:type="dxa"/>
            <w:vAlign w:val="bottom"/>
          </w:tcPr>
          <w:p>
            <w:pPr>
              <w:spacing w:after="0"/>
              <w:rPr>
                <w:sz w:val="19"/>
                <w:szCs w:val="19"/>
                <w:color w:val="auto"/>
              </w:rPr>
            </w:pPr>
          </w:p>
        </w:tc>
      </w:tr>
      <w:tr>
        <w:trPr>
          <w:trHeight w:val="420"/>
        </w:trPr>
        <w:tc>
          <w:tcPr>
            <w:tcW w:w="43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8"/>
              </w:rPr>
              <w:t>30 Rockefeller Plaza</w:t>
            </w:r>
          </w:p>
        </w:tc>
        <w:tc>
          <w:tcPr>
            <w:tcW w:w="4120" w:type="dxa"/>
            <w:vAlign w:val="bottom"/>
          </w:tcPr>
          <w:p>
            <w:pPr>
              <w:spacing w:after="0"/>
              <w:rPr>
                <w:sz w:val="24"/>
                <w:szCs w:val="24"/>
                <w:color w:val="auto"/>
              </w:rPr>
            </w:pPr>
          </w:p>
        </w:tc>
      </w:tr>
      <w:tr>
        <w:trPr>
          <w:trHeight w:val="236"/>
        </w:trPr>
        <w:tc>
          <w:tcPr>
            <w:tcW w:w="4360" w:type="dxa"/>
            <w:vAlign w:val="bottom"/>
          </w:tcPr>
          <w:p>
            <w:pPr>
              <w:jc w:val="center"/>
              <w:ind w:right="1492"/>
              <w:spacing w:after="0"/>
              <w:rPr>
                <w:sz w:val="20"/>
                <w:szCs w:val="20"/>
                <w:color w:val="auto"/>
              </w:rPr>
            </w:pPr>
            <w:r>
              <w:rPr>
                <w:rFonts w:ascii="Arial" w:cs="Arial" w:eastAsia="Arial" w:hAnsi="Arial"/>
                <w:sz w:val="18"/>
                <w:szCs w:val="18"/>
                <w:b w:val="1"/>
                <w:bCs w:val="1"/>
                <w:color w:val="auto"/>
                <w:w w:val="90"/>
              </w:rPr>
              <w:t>New York, New York</w:t>
            </w:r>
          </w:p>
        </w:tc>
        <w:tc>
          <w:tcPr>
            <w:tcW w:w="412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360" w:type="dxa"/>
            <w:vAlign w:val="bottom"/>
          </w:tcPr>
          <w:p>
            <w:pPr>
              <w:jc w:val="center"/>
              <w:ind w:right="1492"/>
              <w:spacing w:after="0"/>
              <w:rPr>
                <w:sz w:val="20"/>
                <w:szCs w:val="20"/>
                <w:color w:val="auto"/>
              </w:rPr>
            </w:pPr>
            <w:r>
              <w:rPr>
                <w:rFonts w:ascii="Arial" w:cs="Arial" w:eastAsia="Arial" w:hAnsi="Arial"/>
                <w:sz w:val="18"/>
                <w:szCs w:val="18"/>
                <w:color w:val="auto"/>
                <w:w w:val="90"/>
              </w:rPr>
              <w:t>(Address of principal executive offices)</w:t>
            </w:r>
          </w:p>
        </w:tc>
        <w:tc>
          <w:tcPr>
            <w:tcW w:w="4120" w:type="dxa"/>
            <w:vAlign w:val="bottom"/>
          </w:tcPr>
          <w:p>
            <w:pPr>
              <w:jc w:val="center"/>
              <w:ind w:left="147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0"/>
          <w:szCs w:val="20"/>
          <w:color w:val="auto"/>
        </w:rPr>
      </w:pPr>
    </w:p>
    <w:p>
      <w:pPr>
        <w:ind w:right="6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0"/>
          <w:szCs w:val="20"/>
          <w:color w:val="auto"/>
        </w:rPr>
      </w:pPr>
    </w:p>
    <w:p>
      <w:pPr>
        <w:ind w:right="35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0"/>
          <w:szCs w:val="20"/>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ectPr>
          <w:pgSz w:w="11900" w:h="16838" w:orient="portrait"/>
          <w:cols w:equalWidth="0" w:num="1">
            <w:col w:w="11420"/>
          </w:cols>
          <w:pgMar w:left="240" w:top="125"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8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80" w:type="dxa"/>
            <w:vAlign w:val="bottom"/>
          </w:tcPr>
          <w:p>
            <w:pPr>
              <w:ind w:left="800"/>
              <w:spacing w:after="0" w:line="151" w:lineRule="exact"/>
              <w:rPr>
                <w:sz w:val="20"/>
                <w:szCs w:val="20"/>
                <w:color w:val="auto"/>
              </w:rPr>
            </w:pPr>
            <w:r>
              <w:rPr>
                <w:rFonts w:ascii="Arial" w:cs="Arial" w:eastAsia="Arial" w:hAnsi="Arial"/>
                <w:sz w:val="14"/>
                <w:szCs w:val="14"/>
                <w:b w:val="1"/>
                <w:bCs w:val="1"/>
                <w:color w:val="auto"/>
              </w:rPr>
              <w:t>Item 1.</w:t>
            </w:r>
          </w:p>
        </w:tc>
        <w:tc>
          <w:tcPr>
            <w:tcW w:w="8560" w:type="dxa"/>
            <w:vAlign w:val="bottom"/>
          </w:tcPr>
          <w:p>
            <w:pPr>
              <w:ind w:left="20"/>
              <w:spacing w:after="0" w:line="151" w:lineRule="exact"/>
              <w:rPr>
                <w:sz w:val="20"/>
                <w:szCs w:val="20"/>
                <w:color w:val="auto"/>
              </w:rPr>
            </w:pPr>
            <w:r>
              <w:rPr>
                <w:rFonts w:ascii="Arial" w:cs="Arial" w:eastAsia="Arial" w:hAnsi="Arial"/>
                <w:sz w:val="14"/>
                <w:szCs w:val="14"/>
                <w:color w:val="auto"/>
              </w:rPr>
              <w:t>Financial Statements</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Condensed Consolidated Balance Sheet as of March 31, 2012 and December 31, 2011 (Unaudited)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w w:val="89"/>
              </w:rPr>
              <w:t>Condensed Consolidated Statement of Income for the Three Months Ended March 31, 2012 and the Periods Ended March 31, 2011 and January 28, 2011</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w w:val="90"/>
              </w:rPr>
              <w:t>Condensed Consolidated Statement of Comprehensive Income for the Three Months Ended March 31, 2012 and the Periods Ended March 31, 2011 and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January 28, 2011 (Unaudited)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w w:val="89"/>
              </w:rPr>
              <w:t>Condensed Consolidated Statement of Cash Flows for the Three Months Ended March 31, 2012 and the Periods Ended March 31, 2011 and January 28,</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2011 (Unaudited)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w w:val="93"/>
              </w:rPr>
              <w:t>Condensed Consolidated Statement of Changes in Equity for the Three Months Ended March 31, 2012 and the Periods Ended March 31, 2011 and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January 28, 2011 (Unaudited)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Notes to Condensed Consolidated Financial Statements (Unaudited)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8560" w:type="dxa"/>
            <w:vAlign w:val="bottom"/>
          </w:tcPr>
          <w:p>
            <w:pPr>
              <w:ind w:left="20"/>
              <w:spacing w:after="0" w:line="147" w:lineRule="exact"/>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4.</w:t>
            </w: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Controls and Procedures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PART II. OTHER INFORMATION</w:t>
            </w:r>
          </w:p>
        </w:tc>
        <w:tc>
          <w:tcPr>
            <w:tcW w:w="8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1.</w:t>
            </w: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Legal Proceedings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1A.</w:t>
            </w:r>
          </w:p>
        </w:tc>
        <w:tc>
          <w:tcPr>
            <w:tcW w:w="8560" w:type="dxa"/>
            <w:vAlign w:val="bottom"/>
          </w:tcPr>
          <w:p>
            <w:pPr>
              <w:ind w:left="20"/>
              <w:spacing w:after="0" w:line="149" w:lineRule="exact"/>
              <w:rPr>
                <w:sz w:val="20"/>
                <w:szCs w:val="20"/>
                <w:color w:val="auto"/>
              </w:rPr>
            </w:pPr>
            <w:r>
              <w:rPr>
                <w:rFonts w:ascii="Arial" w:cs="Arial" w:eastAsia="Arial" w:hAnsi="Arial"/>
                <w:sz w:val="14"/>
                <w:szCs w:val="14"/>
                <w:color w:val="auto"/>
              </w:rPr>
              <w:t>Risk Factors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ind w:left="800"/>
              <w:spacing w:after="0"/>
              <w:rPr>
                <w:sz w:val="20"/>
                <w:szCs w:val="20"/>
                <w:color w:val="auto"/>
              </w:rPr>
            </w:pPr>
            <w:r>
              <w:rPr>
                <w:rFonts w:ascii="Arial" w:cs="Arial" w:eastAsia="Arial" w:hAnsi="Arial"/>
                <w:sz w:val="14"/>
                <w:szCs w:val="14"/>
                <w:b w:val="1"/>
                <w:bCs w:val="1"/>
                <w:color w:val="auto"/>
              </w:rPr>
              <w:t>Item 6.</w:t>
            </w:r>
          </w:p>
        </w:tc>
        <w:tc>
          <w:tcPr>
            <w:tcW w:w="8560" w:type="dxa"/>
            <w:vAlign w:val="bottom"/>
          </w:tcPr>
          <w:p>
            <w:pPr>
              <w:ind w:left="20"/>
              <w:spacing w:after="0"/>
              <w:rPr>
                <w:sz w:val="20"/>
                <w:szCs w:val="20"/>
                <w:color w:val="auto"/>
              </w:rPr>
            </w:pPr>
            <w:r>
              <w:rPr>
                <w:rFonts w:ascii="Arial" w:cs="Arial" w:eastAsia="Arial" w:hAnsi="Arial"/>
                <w:sz w:val="14"/>
                <w:szCs w:val="14"/>
                <w:color w:val="auto"/>
              </w:rPr>
              <w:t>Exhibits</w:t>
            </w: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color w:val="auto"/>
        </w:rPr>
        <w:t>This Quarterly Report on Form 10-Q is for the three months ended March 31,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55" w:lineRule="exact"/>
        <w:rPr>
          <w:rFonts w:ascii="Arial" w:cs="Arial" w:eastAsia="Arial" w:hAnsi="Arial"/>
          <w:sz w:val="14"/>
          <w:szCs w:val="14"/>
          <w:color w:val="auto"/>
        </w:rPr>
      </w:pPr>
    </w:p>
    <w:p>
      <w:pPr>
        <w:ind w:left="1020" w:right="1400" w:hanging="215"/>
        <w:spacing w:after="0" w:line="239" w:lineRule="auto"/>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43" w:lineRule="exact"/>
        <w:rPr>
          <w:rFonts w:ascii="Arial" w:cs="Arial" w:eastAsia="Arial" w:hAnsi="Arial"/>
          <w:sz w:val="14"/>
          <w:szCs w:val="14"/>
          <w:color w:val="auto"/>
        </w:rPr>
      </w:pPr>
    </w:p>
    <w:p>
      <w:pPr>
        <w:ind w:left="1020" w:right="1500" w:hanging="215"/>
        <w:spacing w:after="0" w:line="239" w:lineRule="auto"/>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right="1480" w:hanging="215"/>
        <w:spacing w:after="0" w:line="239" w:lineRule="auto"/>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we are controlled by Comcast, and GE has certain approval rights</w:t>
      </w:r>
    </w:p>
    <w:p>
      <w:pPr>
        <w:spacing w:after="0" w:line="55" w:lineRule="exact"/>
        <w:rPr>
          <w:rFonts w:ascii="Arial" w:cs="Arial" w:eastAsia="Arial" w:hAnsi="Arial"/>
          <w:sz w:val="14"/>
          <w:szCs w:val="14"/>
          <w:color w:val="auto"/>
        </w:rPr>
      </w:pPr>
    </w:p>
    <w:p>
      <w:pPr>
        <w:ind w:left="1020" w:right="1500" w:hanging="215"/>
        <w:spacing w:after="0" w:line="239" w:lineRule="auto"/>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NBCUniversal Holdings may be required to purchase all or part of GE’s interests in NBCUniversal Holdings and may cause us to make distributions or loans to it to fund these purchases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Comcast and GE may compete with us in certain cases and have the ability on their own to pursue opportunities that might be attractive to us</w:t>
      </w:r>
    </w:p>
    <w:p>
      <w:pPr>
        <w:sectPr>
          <w:pgSz w:w="11900" w:h="16838" w:orient="portrait"/>
          <w:cols w:equalWidth="0" w:num="1">
            <w:col w:w="11420"/>
          </w:cols>
          <w:pgMar w:left="240" w:top="256"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40"/>
              <w:spacing w:after="0" w:line="147" w:lineRule="exact"/>
              <w:rPr>
                <w:sz w:val="20"/>
                <w:szCs w:val="20"/>
                <w:color w:val="auto"/>
              </w:rPr>
            </w:pPr>
            <w:r>
              <w:rPr>
                <w:rFonts w:ascii="Arial" w:cs="Arial" w:eastAsia="Arial" w:hAnsi="Arial"/>
                <w:sz w:val="14"/>
                <w:szCs w:val="14"/>
                <w:color w:val="auto"/>
              </w:rPr>
              <w:t>Successor</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2180" w:type="dxa"/>
            <w:vAlign w:val="bottom"/>
            <w:gridSpan w:val="2"/>
          </w:tcPr>
          <w:p>
            <w:pPr>
              <w:ind w:left="1120"/>
              <w:spacing w:after="0" w:line="142" w:lineRule="exact"/>
              <w:rPr>
                <w:sz w:val="20"/>
                <w:szCs w:val="20"/>
                <w:color w:val="auto"/>
              </w:rPr>
            </w:pPr>
            <w:r>
              <w:rPr>
                <w:rFonts w:ascii="Arial" w:cs="Arial" w:eastAsia="Arial" w:hAnsi="Arial"/>
                <w:sz w:val="14"/>
                <w:szCs w:val="14"/>
                <w:color w:val="auto"/>
              </w:rPr>
              <w:t>March 31, 2012</w:t>
            </w:r>
          </w:p>
        </w:tc>
        <w:tc>
          <w:tcPr>
            <w:tcW w:w="2000" w:type="dxa"/>
            <w:vAlign w:val="bottom"/>
            <w:gridSpan w:val="2"/>
          </w:tcPr>
          <w:p>
            <w:pPr>
              <w:ind w:left="84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1,174</w:t>
            </w:r>
          </w:p>
        </w:tc>
        <w:tc>
          <w:tcPr>
            <w:tcW w:w="116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3,812</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948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399</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6,333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5,059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3,453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1,039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$750 and $637</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4,955</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14,587</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$2,647 and $2,462</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15,557</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133</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shd w:val="clear" w:color="auto" w:fill="E5E5E5"/>
          </w:tcPr>
          <w:p>
            <w:pPr>
              <w:ind w:left="1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51,116</w:t>
            </w:r>
          </w:p>
        </w:tc>
        <w:tc>
          <w:tcPr>
            <w:tcW w:w="1160" w:type="dxa"/>
            <w:vAlign w:val="bottom"/>
            <w:tcBorders>
              <w:bottom w:val="single" w:sz="8" w:color="auto"/>
            </w:tcBorders>
            <w:shd w:val="clear" w:color="auto" w:fill="E5E5E5"/>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309"/>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2,230</w:t>
            </w:r>
          </w:p>
        </w:tc>
        <w:tc>
          <w:tcPr>
            <w:tcW w:w="1160" w:type="dxa"/>
            <w:vAlign w:val="bottom"/>
          </w:tcPr>
          <w:p>
            <w:pPr>
              <w:ind w:left="8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1,394</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533</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842</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1,417</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153</w:t>
            </w:r>
          </w:p>
        </w:tc>
        <w:tc>
          <w:tcPr>
            <w:tcW w:w="11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6,569</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9,609</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910</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Deferred revenue</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408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2,938</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135</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Equity:</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30,190</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(77)</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3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30,113</w:t>
            </w:r>
          </w:p>
        </w:tc>
        <w:tc>
          <w:tcPr>
            <w:tcW w:w="1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314</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3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30,427</w:t>
            </w:r>
          </w:p>
        </w:tc>
        <w:tc>
          <w:tcPr>
            <w:tcW w:w="11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51,116</w:t>
            </w: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6"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1"/>
              </w:rPr>
              <w:t>Predecessor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60" w:type="dxa"/>
            <w:vAlign w:val="bottom"/>
            <w:gridSpan w:val="2"/>
            <w:vMerge w:val="restart"/>
          </w:tcPr>
          <w:p>
            <w:pPr>
              <w:ind w:left="60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1"/>
                <w:szCs w:val="11"/>
                <w:color w:val="auto"/>
              </w:rPr>
            </w:pPr>
          </w:p>
        </w:tc>
        <w:tc>
          <w:tcPr>
            <w:tcW w:w="1000" w:type="dxa"/>
            <w:vAlign w:val="bottom"/>
          </w:tcPr>
          <w:p>
            <w:pPr>
              <w:jc w:val="right"/>
              <w:ind w:right="133"/>
              <w:spacing w:after="0" w:line="131" w:lineRule="exact"/>
              <w:rPr>
                <w:sz w:val="20"/>
                <w:szCs w:val="20"/>
                <w:color w:val="auto"/>
              </w:rPr>
            </w:pPr>
            <w:r>
              <w:rPr>
                <w:rFonts w:ascii="Arial" w:cs="Arial" w:eastAsia="Arial" w:hAnsi="Arial"/>
                <w:sz w:val="14"/>
                <w:szCs w:val="14"/>
                <w:color w:val="auto"/>
                <w:w w:val="85"/>
              </w:rPr>
              <w:t>For the Period</w:t>
            </w:r>
          </w:p>
        </w:tc>
        <w:tc>
          <w:tcPr>
            <w:tcW w:w="7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15"/>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900" w:type="dxa"/>
            <w:vAlign w:val="bottom"/>
            <w:tcBorders>
              <w:right w:val="single" w:sz="8" w:color="auto"/>
            </w:tcBorders>
            <w:gridSpan w:val="3"/>
          </w:tcPr>
          <w:p>
            <w:pPr>
              <w:ind w:left="120"/>
              <w:spacing w:after="0" w:line="135"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15"/>
              <w:spacing w:after="0" w:line="135" w:lineRule="exact"/>
              <w:rPr>
                <w:sz w:val="20"/>
                <w:szCs w:val="20"/>
                <w:color w:val="auto"/>
              </w:rPr>
            </w:pPr>
            <w:r>
              <w:rPr>
                <w:rFonts w:ascii="Arial" w:cs="Arial" w:eastAsia="Arial" w:hAnsi="Arial"/>
                <w:sz w:val="14"/>
                <w:szCs w:val="14"/>
                <w:color w:val="auto"/>
                <w:w w:val="83"/>
              </w:rPr>
              <w:t>January 1, 2011</w:t>
            </w:r>
          </w:p>
        </w:tc>
        <w:tc>
          <w:tcPr>
            <w:tcW w:w="0" w:type="dxa"/>
            <w:vAlign w:val="bottom"/>
          </w:tcPr>
          <w:p>
            <w:pPr>
              <w:spacing w:after="0"/>
              <w:rPr>
                <w:sz w:val="1"/>
                <w:szCs w:val="1"/>
                <w:color w:val="auto"/>
              </w:rPr>
            </w:pPr>
          </w:p>
        </w:tc>
      </w:tr>
      <w:tr>
        <w:trPr>
          <w:trHeight w:val="173"/>
        </w:trPr>
        <w:tc>
          <w:tcPr>
            <w:tcW w:w="4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5"/>
                <w:szCs w:val="15"/>
                <w:color w:val="auto"/>
              </w:rPr>
            </w:pPr>
          </w:p>
        </w:tc>
        <w:tc>
          <w:tcPr>
            <w:tcW w:w="1660" w:type="dxa"/>
            <w:vAlign w:val="bottom"/>
          </w:tcPr>
          <w:p>
            <w:pPr>
              <w:jc w:val="right"/>
              <w:ind w:right="674"/>
              <w:spacing w:after="0"/>
              <w:rPr>
                <w:sz w:val="20"/>
                <w:szCs w:val="20"/>
                <w:color w:val="auto"/>
              </w:rPr>
            </w:pPr>
            <w:r>
              <w:rPr>
                <w:rFonts w:ascii="Arial" w:cs="Arial" w:eastAsia="Arial" w:hAnsi="Arial"/>
                <w:sz w:val="14"/>
                <w:szCs w:val="14"/>
                <w:color w:val="auto"/>
                <w:w w:val="90"/>
              </w:rPr>
              <w:t>March 31, 2012</w:t>
            </w:r>
          </w:p>
        </w:tc>
        <w:tc>
          <w:tcPr>
            <w:tcW w:w="19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color w:val="auto"/>
              </w:rPr>
              <w:t>to March 31, 2011</w:t>
            </w:r>
          </w:p>
        </w:tc>
        <w:tc>
          <w:tcPr>
            <w:tcW w:w="700" w:type="dxa"/>
            <w:vAlign w:val="bottom"/>
          </w:tcPr>
          <w:p>
            <w:pPr>
              <w:spacing w:after="0"/>
              <w:rPr>
                <w:sz w:val="15"/>
                <w:szCs w:val="15"/>
                <w:color w:val="auto"/>
              </w:rPr>
            </w:pPr>
          </w:p>
        </w:tc>
        <w:tc>
          <w:tcPr>
            <w:tcW w:w="1760" w:type="dxa"/>
            <w:vAlign w:val="bottom"/>
            <w:gridSpan w:val="2"/>
          </w:tcPr>
          <w:p>
            <w:pPr>
              <w:jc w:val="center"/>
              <w:ind w:left="392"/>
              <w:spacing w:after="0"/>
              <w:rPr>
                <w:sz w:val="20"/>
                <w:szCs w:val="20"/>
                <w:color w:val="auto"/>
              </w:rPr>
            </w:pPr>
            <w:r>
              <w:rPr>
                <w:rFonts w:ascii="Arial" w:cs="Arial" w:eastAsia="Arial" w:hAnsi="Arial"/>
                <w:sz w:val="14"/>
                <w:szCs w:val="14"/>
                <w:color w:val="auto"/>
                <w:w w:val="85"/>
              </w:rPr>
              <w:t>to January 28,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E5E5E5"/>
          </w:tcPr>
          <w:p>
            <w:pPr>
              <w:ind w:left="58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E5E5E5"/>
          </w:tcPr>
          <w:p>
            <w:pPr>
              <w:jc w:val="right"/>
              <w:ind w:right="534"/>
              <w:spacing w:after="0"/>
              <w:rPr>
                <w:sz w:val="20"/>
                <w:szCs w:val="20"/>
                <w:color w:val="auto"/>
              </w:rPr>
            </w:pPr>
            <w:r>
              <w:rPr>
                <w:rFonts w:ascii="Arial" w:cs="Arial" w:eastAsia="Arial" w:hAnsi="Arial"/>
                <w:sz w:val="18"/>
                <w:szCs w:val="18"/>
                <w:color w:val="auto"/>
              </w:rPr>
              <w:t>5,472</w:t>
            </w:r>
          </w:p>
        </w:tc>
        <w:tc>
          <w:tcPr>
            <w:tcW w:w="1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2,911</w:t>
            </w:r>
          </w:p>
        </w:tc>
        <w:tc>
          <w:tcPr>
            <w:tcW w:w="720" w:type="dxa"/>
            <w:vAlign w:val="bottom"/>
            <w:tcBorders>
              <w:top w:val="single" w:sz="8" w:color="auto"/>
              <w:right w:val="single" w:sz="8" w:color="auto"/>
            </w:tcBorders>
            <w:shd w:val="clear" w:color="auto" w:fill="E5E5E5"/>
          </w:tcPr>
          <w:p>
            <w:pPr>
              <w:spacing w:after="0"/>
              <w:rPr>
                <w:sz w:val="18"/>
                <w:szCs w:val="18"/>
                <w:color w:val="auto"/>
              </w:rPr>
            </w:pPr>
          </w:p>
        </w:tc>
        <w:tc>
          <w:tcPr>
            <w:tcW w:w="13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Costs and Expenses:</w:t>
            </w: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Arial" w:cs="Arial" w:eastAsia="Arial" w:hAnsi="Arial"/>
                <w:sz w:val="18"/>
                <w:szCs w:val="18"/>
                <w:color w:val="auto"/>
              </w:rPr>
              <w:t>4,659</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2,519</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534"/>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140</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4,971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2,706</w:t>
            </w:r>
          </w:p>
        </w:tc>
        <w:tc>
          <w:tcPr>
            <w:tcW w:w="7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205</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534"/>
              <w:spacing w:after="0"/>
              <w:rPr>
                <w:sz w:val="20"/>
                <w:szCs w:val="20"/>
                <w:color w:val="auto"/>
              </w:rPr>
            </w:pPr>
            <w:r>
              <w:rPr>
                <w:rFonts w:ascii="Arial" w:cs="Arial" w:eastAsia="Arial" w:hAnsi="Arial"/>
                <w:sz w:val="18"/>
                <w:szCs w:val="18"/>
                <w:color w:val="auto"/>
              </w:rPr>
              <w:t>6</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w:t>
            </w:r>
          </w:p>
        </w:tc>
        <w:tc>
          <w:tcPr>
            <w:tcW w:w="72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7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0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385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w:t>
            </w:r>
          </w:p>
        </w:tc>
        <w:tc>
          <w:tcPr>
            <w:tcW w:w="7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81"/>
              </w:rPr>
              <w:t>Predecessor</w:t>
            </w:r>
          </w:p>
        </w:tc>
      </w:tr>
      <w:tr>
        <w:trPr>
          <w:trHeight w:val="131"/>
        </w:trPr>
        <w:tc>
          <w:tcPr>
            <w:tcW w:w="4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5"/>
              <w:spacing w:after="0" w:line="131" w:lineRule="exact"/>
              <w:rPr>
                <w:sz w:val="20"/>
                <w:szCs w:val="20"/>
                <w:color w:val="auto"/>
              </w:rPr>
            </w:pPr>
            <w:r>
              <w:rPr>
                <w:rFonts w:ascii="Arial" w:cs="Arial" w:eastAsia="Arial" w:hAnsi="Arial"/>
                <w:sz w:val="14"/>
                <w:szCs w:val="14"/>
                <w:color w:val="auto"/>
                <w:w w:val="87"/>
              </w:rPr>
              <w:t>For the Period</w:t>
            </w:r>
          </w:p>
        </w:tc>
        <w:tc>
          <w:tcPr>
            <w:tcW w:w="7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8"/>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540" w:type="dxa"/>
            <w:vAlign w:val="bottom"/>
          </w:tcPr>
          <w:p>
            <w:pPr>
              <w:spacing w:after="0"/>
              <w:rPr>
                <w:sz w:val="12"/>
                <w:szCs w:val="12"/>
                <w:color w:val="auto"/>
              </w:rPr>
            </w:pPr>
          </w:p>
        </w:tc>
        <w:tc>
          <w:tcPr>
            <w:tcW w:w="24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Three Months Ended</w:t>
            </w:r>
          </w:p>
        </w:tc>
        <w:tc>
          <w:tcPr>
            <w:tcW w:w="194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January 29, 2011</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97"/>
              <w:spacing w:after="0" w:line="159" w:lineRule="exact"/>
              <w:rPr>
                <w:sz w:val="20"/>
                <w:szCs w:val="20"/>
                <w:color w:val="auto"/>
              </w:rPr>
            </w:pPr>
            <w:r>
              <w:rPr>
                <w:rFonts w:ascii="Arial" w:cs="Arial" w:eastAsia="Arial" w:hAnsi="Arial"/>
                <w:sz w:val="14"/>
                <w:szCs w:val="14"/>
                <w:color w:val="auto"/>
                <w:w w:val="90"/>
              </w:rPr>
              <w:t>March 31, 2012</w:t>
            </w:r>
          </w:p>
        </w:tc>
        <w:tc>
          <w:tcPr>
            <w:tcW w:w="1940" w:type="dxa"/>
            <w:vAlign w:val="bottom"/>
            <w:tcBorders>
              <w:bottom w:val="single" w:sz="8" w:color="auto"/>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7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center"/>
              <w:ind w:left="43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E5E5E5"/>
          </w:tcPr>
          <w:p>
            <w:pPr>
              <w:jc w:val="right"/>
              <w:ind w:right="557"/>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138</w:t>
            </w:r>
          </w:p>
        </w:tc>
        <w:tc>
          <w:tcPr>
            <w:tcW w:w="740" w:type="dxa"/>
            <w:vAlign w:val="bottom"/>
            <w:tcBorders>
              <w:right w:val="single" w:sz="8" w:color="auto"/>
            </w:tcBorders>
            <w:shd w:val="clear" w:color="auto" w:fill="E5E5E5"/>
          </w:tcPr>
          <w:p>
            <w:pPr>
              <w:spacing w:after="0"/>
              <w:rPr>
                <w:sz w:val="18"/>
                <w:szCs w:val="18"/>
                <w:color w:val="auto"/>
              </w:rPr>
            </w:pPr>
          </w:p>
        </w:tc>
        <w:tc>
          <w:tcPr>
            <w:tcW w:w="14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740" w:type="dxa"/>
            <w:vAlign w:val="bottom"/>
          </w:tcPr>
          <w:p>
            <w:pPr>
              <w:spacing w:after="0"/>
              <w:rPr>
                <w:sz w:val="18"/>
                <w:szCs w:val="18"/>
                <w:color w:val="auto"/>
              </w:rPr>
            </w:pPr>
          </w:p>
        </w:tc>
        <w:tc>
          <w:tcPr>
            <w:tcW w:w="1680" w:type="dxa"/>
            <w:vAlign w:val="bottom"/>
          </w:tcPr>
          <w:p>
            <w:pPr>
              <w:jc w:val="right"/>
              <w:ind w:right="497"/>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4</w:t>
            </w:r>
          </w:p>
        </w:tc>
      </w:tr>
      <w:tr>
        <w:trPr>
          <w:trHeight w:val="216"/>
        </w:trPr>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557"/>
              <w:spacing w:after="0"/>
              <w:rPr>
                <w:sz w:val="20"/>
                <w:szCs w:val="20"/>
                <w:color w:val="auto"/>
              </w:rPr>
            </w:pPr>
            <w:r>
              <w:rPr>
                <w:rFonts w:ascii="Arial" w:cs="Arial" w:eastAsia="Arial" w:hAnsi="Arial"/>
                <w:sz w:val="18"/>
                <w:szCs w:val="18"/>
                <w:color w:val="auto"/>
              </w:rPr>
              <w:t>3</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w:t>
            </w: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1</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gridSpan w:val="2"/>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54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557"/>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141</w:t>
            </w: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w:t>
            </w:r>
          </w:p>
        </w:tc>
      </w:tr>
      <w:tr>
        <w:trPr>
          <w:trHeight w:val="217"/>
        </w:trPr>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Comprehensive income (loss) attributable to NBCUniversal</w:t>
            </w:r>
          </w:p>
        </w:tc>
        <w:tc>
          <w:tcPr>
            <w:tcW w:w="74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E5E5E5"/>
          </w:tcPr>
          <w:p>
            <w:pPr>
              <w:jc w:val="right"/>
              <w:ind w:right="557"/>
              <w:spacing w:after="0"/>
              <w:rPr>
                <w:sz w:val="20"/>
                <w:szCs w:val="20"/>
                <w:color w:val="auto"/>
              </w:rPr>
            </w:pPr>
            <w:r>
              <w:rPr>
                <w:rFonts w:ascii="Arial" w:cs="Arial" w:eastAsia="Arial" w:hAnsi="Arial"/>
                <w:sz w:val="18"/>
                <w:szCs w:val="18"/>
                <w:b w:val="1"/>
                <w:bCs w:val="1"/>
                <w:color w:val="auto"/>
              </w:rPr>
              <w:t>386</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97</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1"/>
              </w:rPr>
              <w:t>Predecessor</w:t>
            </w:r>
          </w:p>
        </w:tc>
      </w:tr>
      <w:tr>
        <w:trPr>
          <w:trHeight w:val="131"/>
        </w:trPr>
        <w:tc>
          <w:tcPr>
            <w:tcW w:w="5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33"/>
              <w:spacing w:after="0" w:line="131" w:lineRule="exact"/>
              <w:rPr>
                <w:sz w:val="20"/>
                <w:szCs w:val="20"/>
                <w:color w:val="auto"/>
              </w:rPr>
            </w:pPr>
            <w:r>
              <w:rPr>
                <w:rFonts w:ascii="Arial" w:cs="Arial" w:eastAsia="Arial" w:hAnsi="Arial"/>
                <w:sz w:val="14"/>
                <w:szCs w:val="14"/>
                <w:color w:val="auto"/>
                <w:w w:val="87"/>
              </w:rPr>
              <w:t>For the Period</w:t>
            </w:r>
          </w:p>
        </w:tc>
        <w:tc>
          <w:tcPr>
            <w:tcW w:w="6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center"/>
              <w:ind w:right="115"/>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5020" w:type="dxa"/>
            <w:vAlign w:val="bottom"/>
          </w:tcPr>
          <w:p>
            <w:pPr>
              <w:spacing w:after="0"/>
              <w:rPr>
                <w:sz w:val="12"/>
                <w:szCs w:val="12"/>
                <w:color w:val="auto"/>
              </w:rPr>
            </w:pPr>
          </w:p>
        </w:tc>
        <w:tc>
          <w:tcPr>
            <w:tcW w:w="22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Three Months Ended</w:t>
            </w:r>
          </w:p>
        </w:tc>
        <w:tc>
          <w:tcPr>
            <w:tcW w:w="182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January 29, 2011</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5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34"/>
              <w:spacing w:after="0" w:line="159" w:lineRule="exact"/>
              <w:rPr>
                <w:sz w:val="20"/>
                <w:szCs w:val="20"/>
                <w:color w:val="auto"/>
              </w:rPr>
            </w:pPr>
            <w:r>
              <w:rPr>
                <w:rFonts w:ascii="Arial" w:cs="Arial" w:eastAsia="Arial" w:hAnsi="Arial"/>
                <w:sz w:val="14"/>
                <w:szCs w:val="14"/>
                <w:color w:val="auto"/>
                <w:w w:val="88"/>
              </w:rPr>
              <w:t>March 31, 2012</w:t>
            </w:r>
          </w:p>
        </w:tc>
        <w:tc>
          <w:tcPr>
            <w:tcW w:w="1820" w:type="dxa"/>
            <w:vAlign w:val="bottom"/>
            <w:tcBorders>
              <w:bottom w:val="single" w:sz="8" w:color="auto"/>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6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left="35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b w:val="1"/>
                <w:bCs w:val="1"/>
                <w:color w:val="auto"/>
              </w:rPr>
              <w:t>1,037</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523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12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(629)</w:t>
            </w:r>
          </w:p>
        </w:tc>
      </w:tr>
      <w:tr>
        <w:trPr>
          <w:trHeight w:val="210"/>
        </w:trPr>
        <w:tc>
          <w:tcPr>
            <w:tcW w:w="50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sale of businesses and investments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331</w:t>
            </w: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right w:val="single" w:sz="8" w:color="auto"/>
            </w:tcBorders>
            <w:gridSpan w:val="2"/>
            <w:shd w:val="clear" w:color="auto" w:fill="E5E5E5"/>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rPr>
              <w:t>(172)</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315</w:t>
            </w: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w w:val="98"/>
              </w:rPr>
              <w:t>Proceeds from (repayments of) short-term borrowings, net</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repayments of debt</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(Increase) decrease in short-term loans to GE, net</w:t>
            </w:r>
          </w:p>
        </w:tc>
        <w:tc>
          <w:tcPr>
            <w:tcW w:w="640" w:type="dxa"/>
            <w:vAlign w:val="bottom"/>
          </w:tcPr>
          <w:p>
            <w:pPr>
              <w:spacing w:after="0"/>
              <w:rPr>
                <w:sz w:val="18"/>
                <w:szCs w:val="18"/>
                <w:color w:val="auto"/>
              </w:rPr>
            </w:pPr>
          </w:p>
        </w:tc>
        <w:tc>
          <w:tcPr>
            <w:tcW w:w="160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8,072</w:t>
            </w:r>
          </w:p>
        </w:tc>
      </w:tr>
      <w:tr>
        <w:trPr>
          <w:trHeight w:val="216"/>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1660" w:type="dxa"/>
            <w:vAlign w:val="bottom"/>
            <w:tcBorders>
              <w:right w:val="single" w:sz="8" w:color="auto"/>
            </w:tcBorders>
            <w:gridSpan w:val="2"/>
            <w:shd w:val="clear" w:color="auto" w:fill="E5E5E5"/>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Repurchase of preferred stock interest</w:t>
            </w:r>
          </w:p>
        </w:tc>
        <w:tc>
          <w:tcPr>
            <w:tcW w:w="640" w:type="dxa"/>
            <w:vAlign w:val="bottom"/>
          </w:tcPr>
          <w:p>
            <w:pPr>
              <w:spacing w:after="0"/>
              <w:rPr>
                <w:sz w:val="18"/>
                <w:szCs w:val="18"/>
                <w:color w:val="auto"/>
              </w:rPr>
            </w:pPr>
          </w:p>
        </w:tc>
        <w:tc>
          <w:tcPr>
            <w:tcW w:w="160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5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Contributions from noncontrolling interests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1</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640" w:type="dxa"/>
            <w:vAlign w:val="bottom"/>
          </w:tcPr>
          <w:p>
            <w:pPr>
              <w:spacing w:after="0"/>
              <w:rPr>
                <w:sz w:val="18"/>
                <w:szCs w:val="18"/>
                <w:color w:val="auto"/>
              </w:rPr>
            </w:pP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Purchases of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right w:val="single" w:sz="8" w:color="auto"/>
            </w:tcBorders>
            <w:gridSpan w:val="2"/>
            <w:shd w:val="clear" w:color="auto" w:fill="E5E5E5"/>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b w:val="1"/>
                <w:bCs w:val="1"/>
                <w:color w:val="auto"/>
              </w:rPr>
              <w:t>(499)</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474"/>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437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808</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1,084</w:t>
            </w:r>
          </w:p>
        </w:tc>
      </w:tr>
      <w:tr>
        <w:trPr>
          <w:trHeight w:val="217"/>
        </w:trPr>
        <w:tc>
          <w:tcPr>
            <w:tcW w:w="5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E5E5E5"/>
          </w:tcPr>
          <w:p>
            <w:pPr>
              <w:jc w:val="right"/>
              <w:ind w:right="474"/>
              <w:spacing w:after="0"/>
              <w:rPr>
                <w:sz w:val="20"/>
                <w:szCs w:val="20"/>
                <w:color w:val="auto"/>
              </w:rPr>
            </w:pPr>
            <w:r>
              <w:rPr>
                <w:rFonts w:ascii="Arial" w:cs="Arial" w:eastAsia="Arial" w:hAnsi="Arial"/>
                <w:sz w:val="18"/>
                <w:szCs w:val="18"/>
                <w:b w:val="1"/>
                <w:bCs w:val="1"/>
                <w:color w:val="auto"/>
              </w:rPr>
              <w:t>1,174</w:t>
            </w: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945</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12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470</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Additional</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Other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Common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Paid-</w:t>
            </w: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Retained</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Comprehensive</w:t>
            </w:r>
          </w:p>
        </w:tc>
        <w:tc>
          <w:tcPr>
            <w:tcW w:w="13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900" w:type="dxa"/>
            <w:vAlign w:val="bottom"/>
          </w:tcPr>
          <w:p>
            <w:pPr>
              <w:jc w:val="center"/>
              <w:ind w:left="15"/>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73"/>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Stock</w:t>
            </w:r>
          </w:p>
        </w:tc>
        <w:tc>
          <w:tcPr>
            <w:tcW w:w="1020" w:type="dxa"/>
            <w:vAlign w:val="bottom"/>
          </w:tcPr>
          <w:p>
            <w:pPr>
              <w:jc w:val="center"/>
              <w:spacing w:after="0"/>
              <w:rPr>
                <w:sz w:val="20"/>
                <w:szCs w:val="20"/>
                <w:color w:val="auto"/>
              </w:rPr>
            </w:pPr>
            <w:r>
              <w:rPr>
                <w:rFonts w:ascii="Arial" w:cs="Arial" w:eastAsia="Arial" w:hAnsi="Arial"/>
                <w:sz w:val="14"/>
                <w:szCs w:val="14"/>
                <w:color w:val="auto"/>
                <w:w w:val="87"/>
              </w:rPr>
              <w:t>In Capital</w:t>
            </w: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36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color w:val="auto"/>
                <w:w w:val="96"/>
              </w:rPr>
              <w:t>Interests</w:t>
            </w:r>
          </w:p>
        </w:tc>
        <w:tc>
          <w:tcPr>
            <w:tcW w:w="900" w:type="dxa"/>
            <w:vAlign w:val="bottom"/>
          </w:tcPr>
          <w:p>
            <w:pPr>
              <w:jc w:val="center"/>
              <w:ind w:left="15"/>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2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$23,592</w:t>
            </w:r>
          </w:p>
        </w:tc>
        <w:tc>
          <w:tcPr>
            <w:tcW w:w="38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320</w:t>
            </w:r>
          </w:p>
        </w:tc>
        <w:tc>
          <w:tcPr>
            <w:tcW w:w="840" w:type="dxa"/>
            <w:vAlign w:val="bottom"/>
            <w:tcBorders>
              <w:top w:val="single" w:sz="8" w:color="auto"/>
            </w:tcBorders>
            <w:shd w:val="clear" w:color="auto" w:fill="E5E5E5"/>
          </w:tcPr>
          <w:p>
            <w:pPr>
              <w:jc w:val="center"/>
              <w:ind w:left="42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(82)</w:t>
            </w:r>
          </w:p>
        </w:tc>
        <w:tc>
          <w:tcPr>
            <w:tcW w:w="90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80"/>
              <w:spacing w:after="0"/>
              <w:rPr>
                <w:sz w:val="20"/>
                <w:szCs w:val="20"/>
                <w:color w:val="auto"/>
              </w:rPr>
            </w:pPr>
            <w:r>
              <w:rPr>
                <w:rFonts w:ascii="Arial" w:cs="Arial" w:eastAsia="Arial" w:hAnsi="Arial"/>
                <w:sz w:val="18"/>
                <w:szCs w:val="18"/>
                <w:color w:val="auto"/>
              </w:rPr>
              <w:t>(7,846)</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5"/>
              </w:rPr>
              <w:t>(297)</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January 28, 2011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$15,463</w:t>
            </w:r>
          </w:p>
        </w:tc>
        <w:tc>
          <w:tcPr>
            <w:tcW w:w="3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center"/>
              <w:ind w:left="424"/>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(82)</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$15,371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2"/>
          </w:tcPr>
          <w:p>
            <w:pPr>
              <w:jc w:val="center"/>
              <w:ind w:right="52"/>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ind w:left="424"/>
              <w:spacing w:after="0" w:line="149" w:lineRule="exact"/>
              <w:rPr>
                <w:sz w:val="20"/>
                <w:szCs w:val="20"/>
                <w:color w:val="auto"/>
              </w:rPr>
            </w:pPr>
            <w:r>
              <w:rPr>
                <w:rFonts w:ascii="Arial" w:cs="Arial" w:eastAsia="Arial" w:hAnsi="Arial"/>
                <w:sz w:val="14"/>
                <w:szCs w:val="14"/>
                <w:color w:val="auto"/>
                <w:w w:val="85"/>
              </w:rPr>
              <w:t>Other</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Member’s</w:t>
            </w:r>
          </w:p>
        </w:tc>
        <w:tc>
          <w:tcPr>
            <w:tcW w:w="1500" w:type="dxa"/>
            <w:vAlign w:val="bottom"/>
            <w:gridSpan w:val="2"/>
          </w:tcPr>
          <w:p>
            <w:pPr>
              <w:jc w:val="center"/>
              <w:ind w:right="52"/>
              <w:spacing w:after="0" w:line="149" w:lineRule="exact"/>
              <w:rPr>
                <w:sz w:val="20"/>
                <w:szCs w:val="20"/>
                <w:color w:val="auto"/>
              </w:rPr>
            </w:pPr>
            <w:r>
              <w:rPr>
                <w:rFonts w:ascii="Arial" w:cs="Arial" w:eastAsia="Arial" w:hAnsi="Arial"/>
                <w:sz w:val="14"/>
                <w:szCs w:val="14"/>
                <w:color w:val="auto"/>
                <w:w w:val="85"/>
              </w:rPr>
              <w:t>Comprehensive</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900" w:type="dxa"/>
            <w:vAlign w:val="bottom"/>
          </w:tcPr>
          <w:p>
            <w:pPr>
              <w:jc w:val="center"/>
              <w:ind w:left="15"/>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73"/>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gridSpan w:val="2"/>
          </w:tcPr>
          <w:p>
            <w:pPr>
              <w:jc w:val="right"/>
              <w:ind w:right="332"/>
              <w:spacing w:after="0"/>
              <w:rPr>
                <w:sz w:val="20"/>
                <w:szCs w:val="20"/>
                <w:color w:val="auto"/>
              </w:rPr>
            </w:pPr>
            <w:r>
              <w:rPr>
                <w:rFonts w:ascii="Arial" w:cs="Arial" w:eastAsia="Arial" w:hAnsi="Arial"/>
                <w:sz w:val="14"/>
                <w:szCs w:val="14"/>
                <w:color w:val="auto"/>
              </w:rPr>
              <w:t>Capital</w:t>
            </w:r>
          </w:p>
        </w:tc>
        <w:tc>
          <w:tcPr>
            <w:tcW w:w="1500" w:type="dxa"/>
            <w:vAlign w:val="bottom"/>
            <w:gridSpan w:val="2"/>
          </w:tcPr>
          <w:p>
            <w:pPr>
              <w:jc w:val="center"/>
              <w:ind w:right="72"/>
              <w:spacing w:after="0"/>
              <w:rPr>
                <w:sz w:val="20"/>
                <w:szCs w:val="20"/>
                <w:color w:val="auto"/>
              </w:rPr>
            </w:pPr>
            <w:r>
              <w:rPr>
                <w:rFonts w:ascii="Arial" w:cs="Arial" w:eastAsia="Arial" w:hAnsi="Arial"/>
                <w:sz w:val="14"/>
                <w:szCs w:val="14"/>
                <w:color w:val="auto"/>
                <w:w w:val="87"/>
              </w:rPr>
              <w:t>Income (Loss)</w:t>
            </w:r>
          </w:p>
        </w:tc>
        <w:tc>
          <w:tcPr>
            <w:tcW w:w="360" w:type="dxa"/>
            <w:vAlign w:val="bottom"/>
          </w:tcPr>
          <w:p>
            <w:pPr>
              <w:spacing w:after="0"/>
              <w:rPr>
                <w:sz w:val="15"/>
                <w:szCs w:val="15"/>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color w:val="auto"/>
                <w:w w:val="81"/>
              </w:rPr>
              <w:t>Interests</w:t>
            </w:r>
          </w:p>
        </w:tc>
        <w:tc>
          <w:tcPr>
            <w:tcW w:w="900" w:type="dxa"/>
            <w:vAlign w:val="bottom"/>
          </w:tcPr>
          <w:p>
            <w:pPr>
              <w:jc w:val="center"/>
              <w:ind w:left="15"/>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Member’s equity, remeasured at January 28, 2011</w:t>
            </w: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$24,089</w:t>
            </w:r>
          </w:p>
        </w:tc>
        <w:tc>
          <w:tcPr>
            <w:tcW w:w="840" w:type="dxa"/>
            <w:vAlign w:val="bottom"/>
            <w:tcBorders>
              <w:top w:val="single" w:sz="8" w:color="auto"/>
            </w:tcBorders>
            <w:shd w:val="clear" w:color="auto" w:fill="E5E5E5"/>
          </w:tcPr>
          <w:p>
            <w:pPr>
              <w:jc w:val="right"/>
              <w:ind w:right="424"/>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262</w:t>
            </w:r>
          </w:p>
        </w:tc>
        <w:tc>
          <w:tcPr>
            <w:tcW w:w="90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Contribution of Comcast Content Business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4,344</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57</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Total member’s equity at January 28, 2011</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28,433</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319</w:t>
            </w:r>
          </w:p>
        </w:tc>
        <w:tc>
          <w:tcPr>
            <w:tcW w:w="9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(71)</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Contributions from (distributions to) noncontrolling interests, net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0"/>
              </w:rPr>
              <w:t>(181)</w:t>
            </w: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94</w:t>
            </w:r>
          </w:p>
        </w:tc>
        <w:tc>
          <w:tcPr>
            <w:tcW w:w="8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38</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2011</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$28,283</w:t>
            </w:r>
          </w:p>
        </w:tc>
        <w:tc>
          <w:tcPr>
            <w:tcW w:w="84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320</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$28,606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32"/>
              <w:spacing w:after="0"/>
              <w:rPr>
                <w:sz w:val="20"/>
                <w:szCs w:val="20"/>
                <w:color w:val="auto"/>
              </w:rPr>
            </w:pPr>
            <w:r>
              <w:rPr>
                <w:rFonts w:ascii="Arial" w:cs="Arial" w:eastAsia="Arial" w:hAnsi="Arial"/>
                <w:sz w:val="18"/>
                <w:szCs w:val="18"/>
                <w:color w:val="auto"/>
              </w:rPr>
              <w:t>$29,798</w:t>
            </w:r>
          </w:p>
        </w:tc>
        <w:tc>
          <w:tcPr>
            <w:tcW w:w="840" w:type="dxa"/>
            <w:vAlign w:val="bottom"/>
            <w:shd w:val="clear" w:color="auto" w:fill="E5E5E5"/>
          </w:tcPr>
          <w:p>
            <w:pPr>
              <w:jc w:val="right"/>
              <w:ind w:right="42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3"/>
              </w:rPr>
              <w:t>(78)</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361</w:t>
            </w:r>
          </w:p>
        </w:tc>
        <w:tc>
          <w:tcPr>
            <w:tcW w:w="9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Compensation plans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w w:val="92"/>
              </w:rPr>
              <w:t>Contributions from (distributions to) noncontrolling interests, net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(47)</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385</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2012</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gridSpan w:val="2"/>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$30,190</w:t>
            </w:r>
          </w:p>
        </w:tc>
        <w:tc>
          <w:tcPr>
            <w:tcW w:w="840" w:type="dxa"/>
            <w:vAlign w:val="bottom"/>
            <w:tcBorders>
              <w:bottom w:val="single" w:sz="8" w:color="auto"/>
            </w:tcBorders>
            <w:shd w:val="clear" w:color="auto" w:fill="E5E5E5"/>
          </w:tcPr>
          <w:p>
            <w:pPr>
              <w:jc w:val="right"/>
              <w:ind w:right="42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w w:val="93"/>
              </w:rPr>
              <w:t>(77)</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314</w:t>
            </w:r>
          </w:p>
        </w:tc>
        <w:tc>
          <w:tcPr>
            <w:tcW w:w="9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$30,427</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200" w:name="page201"/>
    <w:bookmarkEnd w:id="200"/>
    <w:p>
      <w:pPr>
        <w:ind w:right="4360"/>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The results of operations of the businesses contributed by Comcast to NBCUniversal (the “Comcast Content Business”) and the results of operations of Universal Orlando have been consolidated with our results following their respective transaction dates. For a more complete discussion of the Joint Venture and Universal Orlando transactions, refer to our consolidated financial statements included in our 2011 Annual Report on Form 10-K.</w:t>
      </w:r>
    </w:p>
    <w:p>
      <w:pPr>
        <w:spacing w:after="0" w:line="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the change in control of our company on January 28, 2011, Comcast has applied the acquisition method of accounting with respect to the assets and liabilities of the NBCUniversal businesses it acquired (the “NBCUniversal contributed businesses”), which have been remeasured to fair value as of the date of the Joint Venture Transaction. Our condensed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to and following the Joint Venture transaction are not comparable.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affiliates primarily from the sale of advertising and incur expenses primarily related to rental charges and our monetization program held with GE and its affiliates. In addition, we also provide management services to, and receive license fees from, certain of our equity method investees.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56"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tables present the related party transactions included in our condensed consolidated financial statements.</w:t>
      </w:r>
    </w:p>
    <w:p>
      <w:pPr>
        <w:spacing w:after="0" w:line="1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Successor</w:t>
            </w: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37"/>
        </w:trPr>
        <w:tc>
          <w:tcPr>
            <w:tcW w:w="7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color w:val="auto"/>
              </w:rPr>
              <w:t>March 31, 2012</w:t>
            </w: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89"/>
              </w:rPr>
              <w:t>December 31, 2011</w:t>
            </w: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800" w:type="dxa"/>
            <w:vAlign w:val="bottom"/>
          </w:tcPr>
          <w:p>
            <w:pPr>
              <w:ind w:left="14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4"/>
              <w:spacing w:after="0"/>
              <w:rPr>
                <w:sz w:val="20"/>
                <w:szCs w:val="20"/>
                <w:color w:val="auto"/>
              </w:rPr>
            </w:pPr>
            <w:r>
              <w:rPr>
                <w:rFonts w:ascii="Arial" w:cs="Arial" w:eastAsia="Arial" w:hAnsi="Arial"/>
                <w:sz w:val="18"/>
                <w:szCs w:val="18"/>
                <w:color w:val="auto"/>
              </w:rPr>
              <w:t>209</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7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00" w:type="dxa"/>
            <w:vAlign w:val="bottom"/>
            <w:shd w:val="clear" w:color="auto" w:fill="E5E5E5"/>
          </w:tcPr>
          <w:p>
            <w:pPr>
              <w:ind w:left="1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33</w:t>
            </w: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28</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800" w:type="dxa"/>
            <w:vAlign w:val="bottom"/>
          </w:tcPr>
          <w:p>
            <w:pPr>
              <w:ind w:left="14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4"/>
              <w:spacing w:after="0"/>
              <w:rPr>
                <w:sz w:val="20"/>
                <w:szCs w:val="20"/>
                <w:color w:val="auto"/>
              </w:rPr>
            </w:pPr>
            <w:r>
              <w:rPr>
                <w:rFonts w:ascii="Arial" w:cs="Arial" w:eastAsia="Arial" w:hAnsi="Arial"/>
                <w:sz w:val="18"/>
                <w:szCs w:val="18"/>
                <w:color w:val="auto"/>
              </w:rPr>
              <w:t>16</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00" w:type="dxa"/>
            <w:vAlign w:val="bottom"/>
            <w:shd w:val="clear" w:color="auto" w:fill="E5E5E5"/>
          </w:tcPr>
          <w:p>
            <w:pPr>
              <w:ind w:left="14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33</w:t>
            </w: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18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800" w:type="dxa"/>
            <w:vAlign w:val="bottom"/>
          </w:tcPr>
          <w:p>
            <w:pPr>
              <w:ind w:left="14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54"/>
              <w:spacing w:after="0"/>
              <w:rPr>
                <w:sz w:val="20"/>
                <w:szCs w:val="20"/>
                <w:color w:val="auto"/>
              </w:rPr>
            </w:pPr>
            <w:r>
              <w:rPr>
                <w:rFonts w:ascii="Arial" w:cs="Arial" w:eastAsia="Arial" w:hAnsi="Arial"/>
                <w:sz w:val="18"/>
                <w:szCs w:val="18"/>
                <w:color w:val="auto"/>
              </w:rPr>
              <w:t>63</w:t>
            </w: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tcBorders>
              <w:bottom w:val="single" w:sz="8" w:color="auto"/>
            </w:tcBorders>
            <w:shd w:val="clear" w:color="auto" w:fill="E5E5E5"/>
          </w:tcPr>
          <w:p>
            <w:pPr>
              <w:ind w:left="14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5</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81"/>
              </w:rPr>
              <w:t>Predecessor</w:t>
            </w:r>
          </w:p>
        </w:tc>
      </w:tr>
      <w:tr>
        <w:trPr>
          <w:trHeight w:val="131"/>
        </w:trPr>
        <w:tc>
          <w:tcPr>
            <w:tcW w:w="4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5"/>
              <w:spacing w:after="0" w:line="131" w:lineRule="exact"/>
              <w:rPr>
                <w:sz w:val="20"/>
                <w:szCs w:val="20"/>
                <w:color w:val="auto"/>
              </w:rPr>
            </w:pPr>
            <w:r>
              <w:rPr>
                <w:rFonts w:ascii="Arial" w:cs="Arial" w:eastAsia="Arial" w:hAnsi="Arial"/>
                <w:sz w:val="14"/>
                <w:szCs w:val="14"/>
                <w:color w:val="auto"/>
                <w:w w:val="87"/>
              </w:rPr>
              <w:t>For the Period</w:t>
            </w:r>
          </w:p>
        </w:tc>
        <w:tc>
          <w:tcPr>
            <w:tcW w:w="7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9"/>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540" w:type="dxa"/>
            <w:vAlign w:val="bottom"/>
          </w:tcPr>
          <w:p>
            <w:pPr>
              <w:spacing w:after="0"/>
              <w:rPr>
                <w:sz w:val="12"/>
                <w:szCs w:val="12"/>
                <w:color w:val="auto"/>
              </w:rPr>
            </w:pPr>
          </w:p>
        </w:tc>
        <w:tc>
          <w:tcPr>
            <w:tcW w:w="24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Three Months Ended</w:t>
            </w:r>
          </w:p>
        </w:tc>
        <w:tc>
          <w:tcPr>
            <w:tcW w:w="194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January 29, 2011</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97"/>
              <w:spacing w:after="0" w:line="159" w:lineRule="exact"/>
              <w:rPr>
                <w:sz w:val="20"/>
                <w:szCs w:val="20"/>
                <w:color w:val="auto"/>
              </w:rPr>
            </w:pPr>
            <w:r>
              <w:rPr>
                <w:rFonts w:ascii="Arial" w:cs="Arial" w:eastAsia="Arial" w:hAnsi="Arial"/>
                <w:sz w:val="14"/>
                <w:szCs w:val="14"/>
                <w:color w:val="auto"/>
                <w:w w:val="90"/>
              </w:rPr>
              <w:t>March 31, 2012</w:t>
            </w:r>
          </w:p>
        </w:tc>
        <w:tc>
          <w:tcPr>
            <w:tcW w:w="1940" w:type="dxa"/>
            <w:vAlign w:val="bottom"/>
            <w:tcBorders>
              <w:bottom w:val="single" w:sz="8" w:color="auto"/>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7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620"/>
              <w:spacing w:after="0" w:line="159" w:lineRule="exact"/>
              <w:rPr>
                <w:sz w:val="20"/>
                <w:szCs w:val="20"/>
                <w:color w:val="auto"/>
              </w:rPr>
            </w:pPr>
            <w:r>
              <w:rPr>
                <w:rFonts w:ascii="Arial" w:cs="Arial" w:eastAsia="Arial" w:hAnsi="Arial"/>
                <w:sz w:val="14"/>
                <w:szCs w:val="14"/>
                <w:color w:val="auto"/>
                <w:w w:val="93"/>
              </w:rPr>
              <w:t>to January 28, 2011</w:t>
            </w:r>
          </w:p>
        </w:tc>
      </w:tr>
      <w:tr>
        <w:trPr>
          <w:trHeight w:val="210"/>
        </w:trPr>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74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74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Revenue</w:t>
            </w:r>
          </w:p>
        </w:tc>
        <w:tc>
          <w:tcPr>
            <w:tcW w:w="74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557"/>
              <w:spacing w:after="0"/>
              <w:rPr>
                <w:sz w:val="20"/>
                <w:szCs w:val="20"/>
                <w:color w:val="auto"/>
              </w:rPr>
            </w:pPr>
            <w:r>
              <w:rPr>
                <w:rFonts w:ascii="Arial" w:cs="Arial" w:eastAsia="Arial" w:hAnsi="Arial"/>
                <w:sz w:val="18"/>
                <w:szCs w:val="18"/>
                <w:color w:val="auto"/>
              </w:rPr>
              <w:t>346</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N/A</w:t>
            </w: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74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N/A</w:t>
            </w: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E5E5E5"/>
          </w:tcPr>
          <w:p>
            <w:pPr>
              <w:jc w:val="right"/>
              <w:ind w:right="557"/>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15</w:t>
            </w:r>
          </w:p>
        </w:tc>
        <w:tc>
          <w:tcPr>
            <w:tcW w:w="740" w:type="dxa"/>
            <w:vAlign w:val="bottom"/>
            <w:tcBorders>
              <w:right w:val="single" w:sz="8" w:color="auto"/>
            </w:tcBorders>
            <w:shd w:val="clear" w:color="auto" w:fill="E5E5E5"/>
          </w:tcPr>
          <w:p>
            <w:pPr>
              <w:spacing w:after="0"/>
              <w:rPr>
                <w:sz w:val="18"/>
                <w:szCs w:val="18"/>
                <w:color w:val="auto"/>
              </w:rPr>
            </w:pPr>
          </w:p>
        </w:tc>
        <w:tc>
          <w:tcPr>
            <w:tcW w:w="1440" w:type="dxa"/>
            <w:vAlign w:val="bottom"/>
            <w:gridSpan w:val="2"/>
            <w:shd w:val="clear" w:color="auto" w:fill="E5E5E5"/>
          </w:tcPr>
          <w:p>
            <w:pPr>
              <w:ind w:left="13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4</w:t>
            </w: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Operating costs and expenses</w:t>
            </w:r>
          </w:p>
        </w:tc>
        <w:tc>
          <w:tcPr>
            <w:tcW w:w="74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497"/>
              <w:spacing w:after="0"/>
              <w:rPr>
                <w:sz w:val="20"/>
                <w:szCs w:val="20"/>
                <w:color w:val="auto"/>
              </w:rPr>
            </w:pPr>
            <w:r>
              <w:rPr>
                <w:rFonts w:ascii="Arial" w:cs="Arial" w:eastAsia="Arial" w:hAnsi="Arial"/>
                <w:sz w:val="18"/>
                <w:szCs w:val="18"/>
                <w:color w:val="auto"/>
              </w:rPr>
              <w:t>(22)</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740" w:type="dxa"/>
            <w:vAlign w:val="bottom"/>
            <w:tcBorders>
              <w:right w:val="single" w:sz="8" w:color="auto"/>
            </w:tcBorders>
          </w:tcPr>
          <w:p>
            <w:pPr>
              <w:spacing w:after="0"/>
              <w:rPr>
                <w:sz w:val="18"/>
                <w:szCs w:val="18"/>
                <w:color w:val="auto"/>
              </w:rPr>
            </w:pP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 income (expense)</w:t>
            </w:r>
          </w:p>
        </w:tc>
        <w:tc>
          <w:tcPr>
            <w:tcW w:w="74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ind w:left="13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74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E5E5E5"/>
          </w:tcPr>
          <w:p>
            <w:pPr>
              <w:jc w:val="right"/>
              <w:ind w:right="557"/>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30</w:t>
            </w:r>
          </w:p>
        </w:tc>
        <w:tc>
          <w:tcPr>
            <w:tcW w:w="740" w:type="dxa"/>
            <w:vAlign w:val="bottom"/>
            <w:tcBorders>
              <w:bottom w:val="single" w:sz="8" w:color="auto"/>
              <w:right w:val="single" w:sz="8" w:color="auto"/>
            </w:tcBorders>
            <w:shd w:val="clear" w:color="auto" w:fill="E5E5E5"/>
          </w:tcPr>
          <w:p>
            <w:pPr>
              <w:spacing w:after="0"/>
              <w:rPr>
                <w:sz w:val="18"/>
                <w:szCs w:val="18"/>
                <w:color w:val="auto"/>
              </w:rPr>
            </w:pPr>
          </w:p>
        </w:tc>
        <w:tc>
          <w:tcPr>
            <w:tcW w:w="1440" w:type="dxa"/>
            <w:vAlign w:val="bottom"/>
            <w:tcBorders>
              <w:bottom w:val="single" w:sz="8" w:color="auto"/>
            </w:tcBorders>
            <w:gridSpan w:val="2"/>
            <w:shd w:val="clear" w:color="auto" w:fill="E5E5E5"/>
          </w:tcPr>
          <w:p>
            <w:pPr>
              <w:ind w:left="13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22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7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auto"/>
            </w:tcBorders>
            <w:vMerge w:val="continue"/>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2"/>
          </w:tcPr>
          <w:p>
            <w:pPr>
              <w:ind w:left="1220"/>
              <w:spacing w:after="0" w:line="142" w:lineRule="exact"/>
              <w:rPr>
                <w:sz w:val="20"/>
                <w:szCs w:val="20"/>
                <w:color w:val="auto"/>
              </w:rPr>
            </w:pPr>
            <w:r>
              <w:rPr>
                <w:rFonts w:ascii="Arial" w:cs="Arial" w:eastAsia="Arial" w:hAnsi="Arial"/>
                <w:sz w:val="14"/>
                <w:szCs w:val="14"/>
                <w:color w:val="auto"/>
              </w:rPr>
              <w:t>March 31, 2012</w:t>
            </w:r>
          </w:p>
        </w:tc>
        <w:tc>
          <w:tcPr>
            <w:tcW w:w="2000" w:type="dxa"/>
            <w:vAlign w:val="bottom"/>
            <w:tcBorders>
              <w:bottom w:val="single" w:sz="8" w:color="auto"/>
            </w:tcBorders>
            <w:gridSpan w:val="2"/>
          </w:tcPr>
          <w:p>
            <w:pPr>
              <w:ind w:left="88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4240" w:type="dxa"/>
            <w:vAlign w:val="bottom"/>
            <w:gridSpan w:val="2"/>
          </w:tcPr>
          <w:p>
            <w:pPr>
              <w:ind w:left="39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1,440</w:t>
            </w:r>
          </w:p>
        </w:tc>
        <w:tc>
          <w:tcPr>
            <w:tcW w:w="1260" w:type="dxa"/>
            <w:vAlign w:val="bottom"/>
          </w:tcPr>
          <w:p>
            <w:pPr>
              <w:ind w:left="8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328</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1,079</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2,847</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2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1,019</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143</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1,162</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1,998</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0"/>
        </w:trPr>
        <w:tc>
          <w:tcPr>
            <w:tcW w:w="4400" w:type="dxa"/>
            <w:vAlign w:val="bottom"/>
            <w:shd w:val="clear" w:color="auto" w:fill="E5E5E5"/>
          </w:tcPr>
          <w:p>
            <w:pPr>
              <w:spacing w:after="0"/>
              <w:rPr>
                <w:sz w:val="18"/>
                <w:szCs w:val="18"/>
                <w:color w:val="auto"/>
              </w:rPr>
            </w:pPr>
          </w:p>
        </w:tc>
        <w:tc>
          <w:tcPr>
            <w:tcW w:w="2760" w:type="dxa"/>
            <w:vAlign w:val="bottom"/>
            <w:shd w:val="clear" w:color="auto" w:fill="E5E5E5"/>
          </w:tcPr>
          <w:p>
            <w:pPr>
              <w:spacing w:after="0"/>
              <w:rPr>
                <w:sz w:val="18"/>
                <w:szCs w:val="18"/>
                <w:color w:val="auto"/>
              </w:rPr>
            </w:pPr>
          </w:p>
        </w:tc>
        <w:tc>
          <w:tcPr>
            <w:tcW w:w="14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6,007</w:t>
            </w:r>
          </w:p>
        </w:tc>
        <w:tc>
          <w:tcPr>
            <w:tcW w:w="12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2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948</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4240" w:type="dxa"/>
            <w:vAlign w:val="bottom"/>
            <w:tcBorders>
              <w:bottom w:val="single" w:sz="8" w:color="auto"/>
            </w:tcBorders>
            <w:gridSpan w:val="2"/>
            <w:shd w:val="clear" w:color="auto" w:fill="E5E5E5"/>
          </w:tcPr>
          <w:p>
            <w:pPr>
              <w:ind w:left="39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5,059</w:t>
            </w:r>
          </w:p>
        </w:tc>
        <w:tc>
          <w:tcPr>
            <w:tcW w:w="1260" w:type="dxa"/>
            <w:vAlign w:val="bottom"/>
            <w:tcBorders>
              <w:bottom w:val="single" w:sz="8" w:color="auto"/>
            </w:tcBorders>
            <w:shd w:val="clear" w:color="auto" w:fill="E5E5E5"/>
          </w:tcPr>
          <w:p>
            <w:pPr>
              <w:ind w:left="8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5,227</w:t>
            </w:r>
          </w:p>
        </w:tc>
        <w:tc>
          <w:tcPr>
            <w:tcW w:w="0" w:type="dxa"/>
            <w:vAlign w:val="bottom"/>
          </w:tcPr>
          <w:p>
            <w:pPr>
              <w:spacing w:after="0"/>
              <w:rPr>
                <w:sz w:val="1"/>
                <w:szCs w:val="1"/>
                <w:color w:val="auto"/>
              </w:rPr>
            </w:pPr>
          </w:p>
        </w:tc>
      </w:tr>
      <w:tr>
        <w:trPr>
          <w:trHeight w:val="363"/>
        </w:trPr>
        <w:tc>
          <w:tcPr>
            <w:tcW w:w="4400" w:type="dxa"/>
            <w:vAlign w:val="bottom"/>
          </w:tcPr>
          <w:p>
            <w:pPr>
              <w:spacing w:after="0"/>
              <w:rPr>
                <w:sz w:val="24"/>
                <w:szCs w:val="24"/>
                <w:color w:val="auto"/>
              </w:rPr>
            </w:pPr>
          </w:p>
        </w:tc>
        <w:tc>
          <w:tcPr>
            <w:tcW w:w="2760" w:type="dxa"/>
            <w:vAlign w:val="bottom"/>
          </w:tcPr>
          <w:p>
            <w:pPr>
              <w:jc w:val="right"/>
              <w:ind w:right="1312"/>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color w:val="auto"/>
              </w:rPr>
              <w:t>March 31, 2012</w:t>
            </w:r>
          </w:p>
        </w:tc>
        <w:tc>
          <w:tcPr>
            <w:tcW w:w="1940" w:type="dxa"/>
            <w:vAlign w:val="bottom"/>
            <w:tcBorders>
              <w:bottom w:val="single" w:sz="8" w:color="auto"/>
            </w:tcBorders>
            <w:gridSpan w:val="2"/>
          </w:tcPr>
          <w:p>
            <w:pPr>
              <w:ind w:left="82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180" w:type="dxa"/>
            <w:vAlign w:val="bottom"/>
            <w:shd w:val="clear" w:color="auto" w:fill="E5E5E5"/>
          </w:tcPr>
          <w:p>
            <w:pPr>
              <w:ind w:lef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21</w:t>
            </w:r>
          </w:p>
        </w:tc>
        <w:tc>
          <w:tcPr>
            <w:tcW w:w="120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Equity Method:</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2,019</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The Weather Channel</w:t>
            </w:r>
          </w:p>
        </w:tc>
        <w:tc>
          <w:tcPr>
            <w:tcW w:w="11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464</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5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MSNBC.com</w:t>
            </w: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175</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603</w:t>
            </w:r>
          </w:p>
        </w:tc>
        <w:tc>
          <w:tcPr>
            <w:tcW w:w="1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75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3,261</w:t>
            </w:r>
          </w:p>
        </w:tc>
        <w:tc>
          <w:tcPr>
            <w:tcW w:w="120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171</w:t>
            </w:r>
          </w:p>
        </w:tc>
        <w:tc>
          <w:tcPr>
            <w:tcW w:w="1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7"/>
        </w:trPr>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1180" w:type="dxa"/>
            <w:vAlign w:val="bottom"/>
            <w:tcBorders>
              <w:bottom w:val="single" w:sz="8" w:color="auto"/>
            </w:tcBorders>
            <w:shd w:val="clear" w:color="auto" w:fill="E5E5E5"/>
          </w:tcPr>
          <w:p>
            <w:pPr>
              <w:ind w:left="9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3,453</w:t>
            </w:r>
          </w:p>
        </w:tc>
        <w:tc>
          <w:tcPr>
            <w:tcW w:w="1200" w:type="dxa"/>
            <w:vAlign w:val="bottom"/>
            <w:tcBorders>
              <w:bottom w:val="single" w:sz="8" w:color="auto"/>
            </w:tcBorders>
            <w:shd w:val="clear" w:color="auto" w:fill="E5E5E5"/>
          </w:tcPr>
          <w:p>
            <w:pPr>
              <w:ind w:left="8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3,430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26, 2012, we exercised an option that requires A&amp;E Television Networks LLC (“A&amp;E Television Networks”) to redeem a substantial portion of our equity interest in A&amp;E Television Networks. We expect the transaction to close during the second half of 2012, upon agreement by all parties as to the value of our equity interest. Under the terms of our existing shareholder agreement, we are required to provide a last dollar guarantee of indebtedness that A&amp;E Television Networks may incur to finance the purchase of our equity interest.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60" w:type="dxa"/>
            <w:vAlign w:val="bottom"/>
          </w:tcPr>
          <w:p>
            <w:pPr>
              <w:jc w:val="right"/>
              <w:ind w:right="340"/>
              <w:spacing w:after="0"/>
              <w:rPr>
                <w:sz w:val="20"/>
                <w:szCs w:val="20"/>
                <w:color w:val="auto"/>
              </w:rPr>
            </w:pPr>
            <w:r>
              <w:rPr>
                <w:rFonts w:ascii="Arial" w:cs="Arial" w:eastAsia="Arial" w:hAnsi="Arial"/>
                <w:sz w:val="14"/>
                <w:szCs w:val="14"/>
                <w:color w:val="auto"/>
              </w:rPr>
              <w:t>Cable</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Broadcast</w:t>
            </w:r>
          </w:p>
        </w:tc>
        <w:tc>
          <w:tcPr>
            <w:tcW w:w="400" w:type="dxa"/>
            <w:vAlign w:val="bottom"/>
          </w:tcPr>
          <w:p>
            <w:pPr>
              <w:spacing w:after="0"/>
              <w:rPr>
                <w:sz w:val="14"/>
                <w:szCs w:val="14"/>
                <w:color w:val="auto"/>
              </w:rPr>
            </w:pPr>
          </w:p>
        </w:tc>
        <w:tc>
          <w:tcPr>
            <w:tcW w:w="900" w:type="dxa"/>
            <w:vAlign w:val="bottom"/>
          </w:tcPr>
          <w:p>
            <w:pPr>
              <w:jc w:val="right"/>
              <w:ind w:right="377"/>
              <w:spacing w:after="0"/>
              <w:rPr>
                <w:sz w:val="20"/>
                <w:szCs w:val="20"/>
                <w:color w:val="auto"/>
              </w:rPr>
            </w:pPr>
            <w:r>
              <w:rPr>
                <w:rFonts w:ascii="Arial" w:cs="Arial" w:eastAsia="Arial" w:hAnsi="Arial"/>
                <w:sz w:val="14"/>
                <w:szCs w:val="14"/>
                <w:color w:val="auto"/>
                <w:w w:val="99"/>
              </w:rPr>
              <w:t>Filmed</w:t>
            </w:r>
          </w:p>
        </w:tc>
        <w:tc>
          <w:tcPr>
            <w:tcW w:w="1120" w:type="dxa"/>
            <w:vAlign w:val="bottom"/>
          </w:tcPr>
          <w:p>
            <w:pPr>
              <w:jc w:val="right"/>
              <w:ind w:right="320"/>
              <w:spacing w:after="0"/>
              <w:rPr>
                <w:sz w:val="20"/>
                <w:szCs w:val="20"/>
                <w:color w:val="auto"/>
              </w:rPr>
            </w:pPr>
            <w:r>
              <w:rPr>
                <w:rFonts w:ascii="Arial" w:cs="Arial" w:eastAsia="Arial" w:hAnsi="Arial"/>
                <w:sz w:val="14"/>
                <w:szCs w:val="14"/>
                <w:color w:val="auto"/>
              </w:rPr>
              <w:t>Theme</w:t>
            </w:r>
          </w:p>
        </w:tc>
        <w:tc>
          <w:tcPr>
            <w:tcW w:w="940" w:type="dxa"/>
            <w:vAlign w:val="bottom"/>
          </w:tcPr>
          <w:p>
            <w:pPr>
              <w:spacing w:after="0"/>
              <w:rPr>
                <w:sz w:val="14"/>
                <w:szCs w:val="14"/>
                <w:color w:val="auto"/>
              </w:rPr>
            </w:pPr>
          </w:p>
        </w:tc>
      </w:tr>
      <w:tr>
        <w:trPr>
          <w:trHeight w:val="159"/>
        </w:trPr>
        <w:tc>
          <w:tcPr>
            <w:tcW w:w="4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Successor (in millions)</w:t>
            </w:r>
          </w:p>
        </w:tc>
        <w:tc>
          <w:tcPr>
            <w:tcW w:w="2860" w:type="dxa"/>
            <w:vAlign w:val="bottom"/>
            <w:tcBorders>
              <w:bottom w:val="single" w:sz="8" w:color="auto"/>
            </w:tcBorders>
          </w:tcPr>
          <w:p>
            <w:pPr>
              <w:jc w:val="right"/>
              <w:ind w:right="220"/>
              <w:spacing w:after="0" w:line="159" w:lineRule="exact"/>
              <w:rPr>
                <w:sz w:val="20"/>
                <w:szCs w:val="20"/>
                <w:color w:val="auto"/>
              </w:rPr>
            </w:pPr>
            <w:r>
              <w:rPr>
                <w:rFonts w:ascii="Arial" w:cs="Arial" w:eastAsia="Arial" w:hAnsi="Arial"/>
                <w:sz w:val="14"/>
                <w:szCs w:val="14"/>
                <w:color w:val="auto"/>
              </w:rPr>
              <w:t>Networks</w:t>
            </w:r>
          </w:p>
        </w:tc>
        <w:tc>
          <w:tcPr>
            <w:tcW w:w="118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Television</w:t>
            </w:r>
          </w:p>
        </w:tc>
        <w:tc>
          <w:tcPr>
            <w:tcW w:w="130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Entertainment</w:t>
            </w:r>
          </w:p>
        </w:tc>
        <w:tc>
          <w:tcPr>
            <w:tcW w:w="1120" w:type="dxa"/>
            <w:vAlign w:val="bottom"/>
            <w:tcBorders>
              <w:bottom w:val="single" w:sz="8" w:color="auto"/>
            </w:tcBorders>
          </w:tcPr>
          <w:p>
            <w:pPr>
              <w:jc w:val="right"/>
              <w:ind w:right="340"/>
              <w:spacing w:after="0" w:line="159" w:lineRule="exact"/>
              <w:rPr>
                <w:sz w:val="20"/>
                <w:szCs w:val="20"/>
                <w:color w:val="auto"/>
              </w:rPr>
            </w:pPr>
            <w:r>
              <w:rPr>
                <w:rFonts w:ascii="Arial" w:cs="Arial" w:eastAsia="Arial" w:hAnsi="Arial"/>
                <w:sz w:val="14"/>
                <w:szCs w:val="14"/>
                <w:color w:val="auto"/>
              </w:rPr>
              <w:t>Parks</w:t>
            </w:r>
          </w:p>
        </w:tc>
        <w:tc>
          <w:tcPr>
            <w:tcW w:w="94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286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$12,744</w:t>
            </w:r>
          </w:p>
        </w:tc>
        <w:tc>
          <w:tcPr>
            <w:tcW w:w="48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772</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w:t>
            </w:r>
          </w:p>
        </w:tc>
        <w:tc>
          <w:tcPr>
            <w:tcW w:w="112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$1,140</w:t>
            </w:r>
          </w:p>
        </w:tc>
        <w:tc>
          <w:tcPr>
            <w:tcW w:w="9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$14,657</w:t>
            </w:r>
          </w:p>
        </w:tc>
      </w:tr>
      <w:tr>
        <w:trPr>
          <w:trHeight w:val="216"/>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28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(61)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7"/>
        </w:trPr>
        <w:tc>
          <w:tcPr>
            <w:tcW w:w="4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2012</w:t>
            </w:r>
          </w:p>
        </w:tc>
        <w:tc>
          <w:tcPr>
            <w:tcW w:w="286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$12,744</w:t>
            </w:r>
          </w:p>
        </w:tc>
        <w:tc>
          <w:tcPr>
            <w:tcW w:w="4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763</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1</w:t>
            </w:r>
          </w:p>
        </w:tc>
        <w:tc>
          <w:tcPr>
            <w:tcW w:w="1120" w:type="dxa"/>
            <w:vAlign w:val="bottom"/>
            <w:tcBorders>
              <w:bottom w:val="single" w:sz="8" w:color="auto"/>
            </w:tcBorders>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$1,079</w:t>
            </w:r>
          </w:p>
        </w:tc>
        <w:tc>
          <w:tcPr>
            <w:tcW w:w="9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$14,587</w:t>
            </w:r>
          </w:p>
        </w:tc>
      </w:tr>
    </w:tbl>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There have been no significant changes during the three months ended March 31, 2012 to our preliminary allocation of purchase price for the Universal Orlando transaction from what was disclosed in our 2011 Annual Report on Form 10-K. The estimated fair values are not yet final and are subject to change. We will finalize the amounts recognized as we obtain the information necessary to complete the analysis, but no later than June 30, 2012.</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2012, our debt had an estimated fair value of $10.6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our net repayments of commercial paper were $400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use derivative financial instruments to manage our exposure to the risks associated with fluctuations in foreign exchange rates and interest rates.</w:t>
      </w:r>
    </w:p>
    <w:p>
      <w:pPr>
        <w:spacing w:after="0" w:line="10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manage our exposure to fluctuations in foreign exchange rates by using foreign exchange contracts such as forward contracts and currency options and manage our exposure to fluctuations in interest rates primarily by using interest rate exchange agreements (“swaps”).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6" w:right="239" w:bottom="1440" w:gutter="0" w:footer="0" w:header="0"/>
        </w:sectPr>
      </w:pPr>
    </w:p>
    <w:bookmarkStart w:id="203" w:name="page204"/>
    <w:bookmarkEnd w:id="20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March 31, 2012, there were no significant changes in the composition of any of our derivative financial instruments or their classification in our condensed consolidated balance sheet. In addition, the impact of our derivative financial instruments to our condensed consolidated financial statements was not material for the three months ended March 31, 2012 and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on the fair value of our derivative financial instruments as of March 31, 2012 and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Arial" w:cs="Arial" w:eastAsia="Arial" w:hAnsi="Arial"/>
                <w:sz w:val="14"/>
                <w:szCs w:val="14"/>
                <w:color w:val="auto"/>
              </w:rPr>
              <w:t>Successor (in millions)</w:t>
            </w:r>
          </w:p>
        </w:tc>
        <w:tc>
          <w:tcPr>
            <w:tcW w:w="6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w w:val="88"/>
              </w:rPr>
              <w:t>March 31, 2012</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color w:val="auto"/>
              </w:rPr>
              <w:t>Level 1</w:t>
            </w:r>
          </w:p>
        </w:tc>
        <w:tc>
          <w:tcPr>
            <w:tcW w:w="10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Level 2</w:t>
            </w:r>
          </w:p>
        </w:tc>
        <w:tc>
          <w:tcPr>
            <w:tcW w:w="126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Level 3</w:t>
            </w:r>
          </w:p>
        </w:tc>
        <w:tc>
          <w:tcPr>
            <w:tcW w:w="660" w:type="dxa"/>
            <w:vAlign w:val="bottom"/>
            <w:tcBorders>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rPr>
              <w:t>31</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21</w:t>
            </w:r>
          </w:p>
        </w:tc>
        <w:tc>
          <w:tcPr>
            <w:tcW w:w="52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9"/>
        </w:trPr>
        <w:tc>
          <w:tcPr>
            <w:tcW w:w="5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6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6"/>
              </w:rPr>
              <w:t>984</w:t>
            </w:r>
          </w:p>
        </w:tc>
        <w:tc>
          <w:tcPr>
            <w:tcW w:w="5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6"/>
              </w:rPr>
              <w:t>997</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determination of the fair values of the contractual obligations in the table above is primarily based on certain expected future discounted cash flows, which involves the use of significant unobservable inputs. The most significant unobservable input we use is our estimate of the future revenue we expect to generate from certain of our entities. The discount rates used in the measurements of fair value ranged between 11% and 13% and are based on the underlying risk associated with our estimate of future revenue, as well as the terms of the respective contracts. Fair value adjustments to these liabilities are recorded in other income (expense), net in our condensed consolidated statement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3"/>
        </w:trPr>
        <w:tc>
          <w:tcPr>
            <w:tcW w:w="3380" w:type="dxa"/>
            <w:vAlign w:val="bottom"/>
          </w:tcPr>
          <w:p>
            <w:pPr>
              <w:spacing w:after="0"/>
              <w:rPr>
                <w:sz w:val="20"/>
                <w:szCs w:val="20"/>
                <w:color w:val="auto"/>
              </w:rPr>
            </w:pPr>
          </w:p>
        </w:tc>
        <w:tc>
          <w:tcPr>
            <w:tcW w:w="7520" w:type="dxa"/>
            <w:vAlign w:val="bottom"/>
          </w:tcPr>
          <w:p>
            <w:pPr>
              <w:jc w:val="right"/>
              <w:ind w:right="3612"/>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299"/>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 (in millions)</w:t>
            </w: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10"/>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7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8"/>
              </w:rPr>
              <w:t>1,004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7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75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7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3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2012</w:t>
            </w:r>
          </w:p>
        </w:tc>
        <w:tc>
          <w:tcPr>
            <w:tcW w:w="7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984</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(loss) attributable to NBCUniversal and transfers to or from noncontrolling interests.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1"/>
              </w:rPr>
              <w:t>Predecessor</w:t>
            </w: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ind w:left="20"/>
              <w:spacing w:after="0" w:line="131" w:lineRule="exact"/>
              <w:rPr>
                <w:sz w:val="20"/>
                <w:szCs w:val="20"/>
                <w:color w:val="auto"/>
              </w:rPr>
            </w:pPr>
            <w:r>
              <w:rPr>
                <w:rFonts w:ascii="Arial" w:cs="Arial" w:eastAsia="Arial" w:hAnsi="Arial"/>
                <w:sz w:val="14"/>
                <w:szCs w:val="14"/>
                <w:color w:val="auto"/>
              </w:rPr>
              <w:t>For the Period</w:t>
            </w:r>
          </w:p>
        </w:tc>
        <w:tc>
          <w:tcPr>
            <w:tcW w:w="7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2"/>
          </w:tcPr>
          <w:p>
            <w:pPr>
              <w:jc w:val="center"/>
              <w:ind w:left="452"/>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8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85"/>
              </w:rPr>
              <w:t>Three Months Ended</w:t>
            </w:r>
          </w:p>
        </w:tc>
        <w:tc>
          <w:tcPr>
            <w:tcW w:w="280" w:type="dxa"/>
            <w:vAlign w:val="bottom"/>
          </w:tcPr>
          <w:p>
            <w:pPr>
              <w:spacing w:after="0"/>
              <w:rPr>
                <w:sz w:val="12"/>
                <w:szCs w:val="12"/>
                <w:color w:val="auto"/>
              </w:rPr>
            </w:pPr>
          </w:p>
        </w:tc>
        <w:tc>
          <w:tcPr>
            <w:tcW w:w="150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6"/>
              </w:rPr>
              <w:t>January 29, 2011</w:t>
            </w:r>
          </w:p>
        </w:tc>
        <w:tc>
          <w:tcPr>
            <w:tcW w:w="7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2"/>
          </w:tcPr>
          <w:p>
            <w:pPr>
              <w:jc w:val="center"/>
              <w:ind w:left="452"/>
              <w:spacing w:after="0" w:line="149" w:lineRule="exact"/>
              <w:rPr>
                <w:sz w:val="20"/>
                <w:szCs w:val="20"/>
                <w:color w:val="auto"/>
              </w:rPr>
            </w:pPr>
            <w:r>
              <w:rPr>
                <w:rFonts w:ascii="Arial" w:cs="Arial" w:eastAsia="Arial" w:hAnsi="Arial"/>
                <w:sz w:val="14"/>
                <w:szCs w:val="14"/>
                <w:color w:val="auto"/>
                <w:w w:val="83"/>
              </w:rPr>
              <w:t>January 1, 2011</w:t>
            </w:r>
          </w:p>
        </w:tc>
        <w:tc>
          <w:tcPr>
            <w:tcW w:w="0" w:type="dxa"/>
            <w:vAlign w:val="bottom"/>
          </w:tcPr>
          <w:p>
            <w:pPr>
              <w:spacing w:after="0"/>
              <w:rPr>
                <w:sz w:val="1"/>
                <w:szCs w:val="1"/>
                <w:color w:val="auto"/>
              </w:rPr>
            </w:pPr>
          </w:p>
        </w:tc>
      </w:tr>
      <w:tr>
        <w:trPr>
          <w:trHeight w:val="159"/>
        </w:trPr>
        <w:tc>
          <w:tcPr>
            <w:tcW w:w="4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w w:val="90"/>
              </w:rPr>
              <w:t>March 31, 2012</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w w:val="95"/>
              </w:rPr>
              <w:t>to March 31, 2011</w:t>
            </w:r>
          </w:p>
        </w:tc>
        <w:tc>
          <w:tcPr>
            <w:tcW w:w="7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center"/>
              <w:ind w:left="432"/>
              <w:spacing w:after="0" w:line="159" w:lineRule="exact"/>
              <w:rPr>
                <w:sz w:val="20"/>
                <w:szCs w:val="20"/>
                <w:color w:val="auto"/>
              </w:rPr>
            </w:pPr>
            <w:r>
              <w:rPr>
                <w:rFonts w:ascii="Arial" w:cs="Arial" w:eastAsia="Arial" w:hAnsi="Arial"/>
                <w:sz w:val="14"/>
                <w:szCs w:val="14"/>
                <w:color w:val="auto"/>
                <w:w w:val="85"/>
              </w:rPr>
              <w:t>to January 28, 2011</w:t>
            </w:r>
          </w:p>
        </w:tc>
        <w:tc>
          <w:tcPr>
            <w:tcW w:w="0" w:type="dxa"/>
            <w:vAlign w:val="bottom"/>
          </w:tcPr>
          <w:p>
            <w:pPr>
              <w:spacing w:after="0"/>
              <w:rPr>
                <w:sz w:val="1"/>
                <w:szCs w:val="1"/>
                <w:color w:val="auto"/>
              </w:rPr>
            </w:pP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740" w:type="dxa"/>
            <w:vAlign w:val="bottom"/>
            <w:shd w:val="clear" w:color="auto" w:fill="E5E5E5"/>
          </w:tcPr>
          <w:p>
            <w:pPr>
              <w:ind w:left="6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385</w:t>
            </w:r>
          </w:p>
        </w:tc>
        <w:tc>
          <w:tcPr>
            <w:tcW w:w="780" w:type="dxa"/>
            <w:vAlign w:val="bottom"/>
            <w:gridSpan w:val="2"/>
            <w:shd w:val="clear" w:color="auto" w:fill="E5E5E5"/>
          </w:tcPr>
          <w:p>
            <w:pPr>
              <w:ind w:left="6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94</w:t>
            </w:r>
          </w:p>
        </w:tc>
        <w:tc>
          <w:tcPr>
            <w:tcW w:w="760" w:type="dxa"/>
            <w:vAlign w:val="bottom"/>
            <w:tcBorders>
              <w:right w:val="single" w:sz="8" w:color="auto"/>
            </w:tcBorders>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8"/>
              </w:rPr>
              <w:t>Increase in NBCUniversal member’s capital resulting</w:t>
            </w:r>
          </w:p>
        </w:tc>
        <w:tc>
          <w:tcPr>
            <w:tcW w:w="7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w w:val="95"/>
              </w:rPr>
              <w:t>from the purchases of noncontrolling equity interest</w:t>
            </w:r>
          </w:p>
        </w:tc>
        <w:tc>
          <w:tcPr>
            <w:tcW w:w="74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E5E5E5"/>
          </w:tcPr>
          <w:p>
            <w:pPr>
              <w:spacing w:after="0"/>
              <w:rPr>
                <w:sz w:val="19"/>
                <w:szCs w:val="19"/>
                <w:color w:val="auto"/>
              </w:rPr>
            </w:pPr>
          </w:p>
        </w:tc>
        <w:tc>
          <w:tcPr>
            <w:tcW w:w="300" w:type="dxa"/>
            <w:vAlign w:val="bottom"/>
            <w:tcBorders>
              <w:bottom w:val="single" w:sz="8" w:color="auto"/>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580" w:type="dxa"/>
            <w:vAlign w:val="bottom"/>
          </w:tcPr>
          <w:p>
            <w:pPr>
              <w:spacing w:after="0" w:line="197" w:lineRule="exact"/>
              <w:rPr>
                <w:sz w:val="20"/>
                <w:szCs w:val="20"/>
                <w:color w:val="auto"/>
              </w:rPr>
            </w:pPr>
            <w:r>
              <w:rPr>
                <w:rFonts w:ascii="Arial" w:cs="Arial" w:eastAsia="Arial" w:hAnsi="Arial"/>
                <w:sz w:val="18"/>
                <w:szCs w:val="18"/>
                <w:b w:val="1"/>
                <w:bCs w:val="1"/>
                <w:color w:val="auto"/>
              </w:rPr>
              <w:t>Changes in member’s equity from net income (loss)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b w:val="1"/>
                <w:bCs w:val="1"/>
                <w:color w:val="auto"/>
                <w:w w:val="97"/>
              </w:rPr>
              <w:t>attributable to NBCUniversal and transfers from (to)</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noncontrolling interests</w:t>
            </w: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w:t>
            </w:r>
          </w:p>
        </w:tc>
        <w:tc>
          <w:tcPr>
            <w:tcW w:w="7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94</w:t>
            </w:r>
          </w:p>
        </w:tc>
        <w:tc>
          <w:tcPr>
            <w:tcW w:w="7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03"/>
        </w:trPr>
        <w:tc>
          <w:tcPr>
            <w:tcW w:w="8140" w:type="dxa"/>
            <w:vAlign w:val="bottom"/>
            <w:gridSpan w:val="6"/>
          </w:tcPr>
          <w:p>
            <w:pPr>
              <w:ind w:left="4160"/>
              <w:spacing w:after="0"/>
              <w:rPr>
                <w:sz w:val="20"/>
                <w:szCs w:val="20"/>
                <w:color w:val="auto"/>
              </w:rPr>
            </w:pPr>
            <w:r>
              <w:rPr>
                <w:rFonts w:ascii="Arial" w:cs="Arial" w:eastAsia="Arial" w:hAnsi="Arial"/>
                <w:sz w:val="18"/>
                <w:szCs w:val="18"/>
                <w:b w:val="1"/>
                <w:bCs w:val="1"/>
                <w:color w:val="auto"/>
              </w:rPr>
              <w:t>Redeemable Noncontrolling Interests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color w:val="auto"/>
                <w:w w:val="97"/>
              </w:rPr>
              <w:t>Successor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gridSpan w:val="3"/>
            <w:vMerge w:val="restart"/>
          </w:tcPr>
          <w:p>
            <w:pPr>
              <w:ind w:left="72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jc w:val="right"/>
              <w:ind w:right="116"/>
              <w:spacing w:after="0" w:line="131" w:lineRule="exact"/>
              <w:rPr>
                <w:sz w:val="20"/>
                <w:szCs w:val="20"/>
                <w:color w:val="auto"/>
              </w:rPr>
            </w:pPr>
            <w:r>
              <w:rPr>
                <w:rFonts w:ascii="Arial" w:cs="Arial" w:eastAsia="Arial" w:hAnsi="Arial"/>
                <w:sz w:val="14"/>
                <w:szCs w:val="14"/>
                <w:color w:val="auto"/>
                <w:w w:val="87"/>
              </w:rPr>
              <w:t>For the Period</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2"/>
          </w:tcPr>
          <w:p>
            <w:pPr>
              <w:jc w:val="right"/>
              <w:ind w:right="56"/>
              <w:spacing w:after="0" w:line="135" w:lineRule="exact"/>
              <w:rPr>
                <w:sz w:val="20"/>
                <w:szCs w:val="20"/>
                <w:color w:val="auto"/>
              </w:rPr>
            </w:pPr>
            <w:r>
              <w:rPr>
                <w:rFonts w:ascii="Arial" w:cs="Arial" w:eastAsia="Arial" w:hAnsi="Arial"/>
                <w:sz w:val="14"/>
                <w:szCs w:val="14"/>
                <w:color w:val="auto"/>
              </w:rPr>
              <w:t>January 29, 2011</w:t>
            </w: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March 31, 2012</w:t>
            </w: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w w:val="95"/>
              </w:rPr>
              <w:t>to March 31, 2011</w:t>
            </w:r>
          </w:p>
        </w:tc>
        <w:tc>
          <w:tcPr>
            <w:tcW w:w="0" w:type="dxa"/>
            <w:vAlign w:val="bottom"/>
          </w:tcPr>
          <w:p>
            <w:pPr>
              <w:spacing w:after="0"/>
              <w:rPr>
                <w:sz w:val="1"/>
                <w:szCs w:val="1"/>
                <w:color w:val="auto"/>
              </w:rPr>
            </w:pP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184</w:t>
            </w:r>
          </w:p>
        </w:tc>
        <w:tc>
          <w:tcPr>
            <w:tcW w:w="1220" w:type="dxa"/>
            <w:vAlign w:val="bottom"/>
            <w:gridSpan w:val="2"/>
            <w:shd w:val="clear" w:color="auto" w:fill="E5E5E5"/>
          </w:tcPr>
          <w:p>
            <w:pPr>
              <w:ind w:left="11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Distributions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Purchases</w:t>
            </w:r>
          </w:p>
        </w:tc>
        <w:tc>
          <w:tcPr>
            <w:tcW w:w="7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Ending Balance</w:t>
            </w:r>
          </w:p>
        </w:tc>
        <w:tc>
          <w:tcPr>
            <w:tcW w:w="74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135</w:t>
            </w:r>
          </w:p>
        </w:tc>
        <w:tc>
          <w:tcPr>
            <w:tcW w:w="1220" w:type="dxa"/>
            <w:vAlign w:val="bottom"/>
            <w:tcBorders>
              <w:bottom w:val="single" w:sz="8" w:color="auto"/>
            </w:tcBorders>
            <w:gridSpan w:val="2"/>
            <w:shd w:val="clear" w:color="auto" w:fill="E5E5E5"/>
          </w:tcPr>
          <w:p>
            <w:pPr>
              <w:ind w:left="11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any redeemable noncontrolling interests during the period January 1, 2011 through January 28, 2011.</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10: Pension Plans and Postretirement Benefits</w:t>
      </w:r>
    </w:p>
    <w:p>
      <w:pPr>
        <w:spacing w:after="0" w:line="8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table below presents the components of net periodic benefit expense related to our pension plans and postretirement benefit plans that we established following the close of the Joint Venture transaction.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Successor</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31"/>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47"/>
              <w:spacing w:after="0" w:line="131" w:lineRule="exact"/>
              <w:rPr>
                <w:sz w:val="20"/>
                <w:szCs w:val="20"/>
                <w:color w:val="auto"/>
              </w:rPr>
            </w:pPr>
            <w:r>
              <w:rPr>
                <w:rFonts w:ascii="Arial" w:cs="Arial" w:eastAsia="Arial" w:hAnsi="Arial"/>
                <w:sz w:val="14"/>
                <w:szCs w:val="14"/>
                <w:color w:val="auto"/>
                <w:w w:val="87"/>
              </w:rPr>
              <w:t>For the Period</w:t>
            </w:r>
          </w:p>
        </w:tc>
        <w:tc>
          <w:tcPr>
            <w:tcW w:w="460" w:type="dxa"/>
            <w:vAlign w:val="bottom"/>
          </w:tcPr>
          <w:p>
            <w:pPr>
              <w:spacing w:after="0"/>
              <w:rPr>
                <w:sz w:val="11"/>
                <w:szCs w:val="11"/>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80" w:type="dxa"/>
            <w:vAlign w:val="bottom"/>
            <w:gridSpan w:val="2"/>
          </w:tcPr>
          <w:p>
            <w:pPr>
              <w:jc w:val="center"/>
              <w:ind w:left="36"/>
              <w:spacing w:after="0" w:line="149" w:lineRule="exact"/>
              <w:rPr>
                <w:sz w:val="20"/>
                <w:szCs w:val="20"/>
                <w:color w:val="auto"/>
              </w:rPr>
            </w:pPr>
            <w:r>
              <w:rPr>
                <w:rFonts w:ascii="Arial" w:cs="Arial" w:eastAsia="Arial" w:hAnsi="Arial"/>
                <w:sz w:val="14"/>
                <w:szCs w:val="14"/>
                <w:color w:val="auto"/>
                <w:w w:val="87"/>
              </w:rPr>
              <w:t>Three Months Ended</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right="67"/>
              <w:spacing w:after="0" w:line="149" w:lineRule="exact"/>
              <w:rPr>
                <w:sz w:val="20"/>
                <w:szCs w:val="20"/>
                <w:color w:val="auto"/>
              </w:rPr>
            </w:pPr>
            <w:r>
              <w:rPr>
                <w:rFonts w:ascii="Arial" w:cs="Arial" w:eastAsia="Arial" w:hAnsi="Arial"/>
                <w:sz w:val="14"/>
                <w:szCs w:val="14"/>
                <w:color w:val="auto"/>
                <w:w w:val="85"/>
              </w:rPr>
              <w:t>January 29, 2011</w:t>
            </w:r>
          </w:p>
        </w:tc>
        <w:tc>
          <w:tcPr>
            <w:tcW w:w="460" w:type="dxa"/>
            <w:vAlign w:val="bottom"/>
          </w:tcPr>
          <w:p>
            <w:pPr>
              <w:spacing w:after="0"/>
              <w:rPr>
                <w:sz w:val="12"/>
                <w:szCs w:val="12"/>
                <w:color w:val="auto"/>
              </w:rPr>
            </w:pPr>
          </w:p>
        </w:tc>
      </w:tr>
      <w:tr>
        <w:trPr>
          <w:trHeight w:val="173"/>
        </w:trPr>
        <w:tc>
          <w:tcPr>
            <w:tcW w:w="5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color w:val="auto"/>
                <w:w w:val="88"/>
              </w:rPr>
              <w:t>March 31, 2012</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color w:val="auto"/>
                <w:w w:val="88"/>
              </w:rPr>
              <w:t>to March 31, 2011</w:t>
            </w:r>
          </w:p>
        </w:tc>
        <w:tc>
          <w:tcPr>
            <w:tcW w:w="460" w:type="dxa"/>
            <w:vAlign w:val="bottom"/>
            <w:tcBorders>
              <w:bottom w:val="single" w:sz="8" w:color="auto"/>
            </w:tcBorders>
          </w:tcPr>
          <w:p>
            <w:pPr>
              <w:spacing w:after="0"/>
              <w:rPr>
                <w:sz w:val="15"/>
                <w:szCs w:val="15"/>
                <w:color w:val="auto"/>
              </w:rPr>
            </w:pPr>
          </w:p>
        </w:tc>
      </w:tr>
      <w:tr>
        <w:trPr>
          <w:trHeight w:val="131"/>
        </w:trPr>
        <w:tc>
          <w:tcPr>
            <w:tcW w:w="5640" w:type="dxa"/>
            <w:vAlign w:val="bottom"/>
          </w:tcPr>
          <w:p>
            <w:pPr>
              <w:spacing w:after="0"/>
              <w:rPr>
                <w:sz w:val="11"/>
                <w:szCs w:val="11"/>
                <w:color w:val="auto"/>
              </w:rPr>
            </w:pPr>
          </w:p>
        </w:tc>
        <w:tc>
          <w:tcPr>
            <w:tcW w:w="1280" w:type="dxa"/>
            <w:vAlign w:val="bottom"/>
            <w:gridSpan w:val="2"/>
          </w:tcPr>
          <w:p>
            <w:pPr>
              <w:ind w:left="740"/>
              <w:spacing w:after="0" w:line="131" w:lineRule="exact"/>
              <w:rPr>
                <w:sz w:val="20"/>
                <w:szCs w:val="20"/>
                <w:color w:val="auto"/>
              </w:rPr>
            </w:pPr>
            <w:r>
              <w:rPr>
                <w:rFonts w:ascii="Arial" w:cs="Arial" w:eastAsia="Arial" w:hAnsi="Arial"/>
                <w:sz w:val="14"/>
                <w:szCs w:val="14"/>
                <w:color w:val="auto"/>
              </w:rPr>
              <w:t>Pension</w:t>
            </w:r>
          </w:p>
        </w:tc>
        <w:tc>
          <w:tcPr>
            <w:tcW w:w="1580" w:type="dxa"/>
            <w:vAlign w:val="bottom"/>
            <w:gridSpan w:val="2"/>
          </w:tcPr>
          <w:p>
            <w:pPr>
              <w:ind w:left="720"/>
              <w:spacing w:after="0" w:line="131" w:lineRule="exact"/>
              <w:rPr>
                <w:sz w:val="20"/>
                <w:szCs w:val="20"/>
                <w:color w:val="auto"/>
              </w:rPr>
            </w:pPr>
            <w:r>
              <w:rPr>
                <w:rFonts w:ascii="Arial" w:cs="Arial" w:eastAsia="Arial" w:hAnsi="Arial"/>
                <w:sz w:val="14"/>
                <w:szCs w:val="14"/>
                <w:color w:val="auto"/>
                <w:w w:val="92"/>
              </w:rPr>
              <w:t>Postretirement</w:t>
            </w:r>
          </w:p>
        </w:tc>
        <w:tc>
          <w:tcPr>
            <w:tcW w:w="124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90"/>
              </w:rPr>
              <w:t>Pension</w:t>
            </w:r>
          </w:p>
        </w:tc>
        <w:tc>
          <w:tcPr>
            <w:tcW w:w="1680" w:type="dxa"/>
            <w:vAlign w:val="bottom"/>
            <w:gridSpan w:val="2"/>
          </w:tcPr>
          <w:p>
            <w:pPr>
              <w:ind w:left="800"/>
              <w:spacing w:after="0" w:line="131" w:lineRule="exact"/>
              <w:rPr>
                <w:sz w:val="20"/>
                <w:szCs w:val="20"/>
                <w:color w:val="auto"/>
              </w:rPr>
            </w:pPr>
            <w:r>
              <w:rPr>
                <w:rFonts w:ascii="Arial" w:cs="Arial" w:eastAsia="Arial" w:hAnsi="Arial"/>
                <w:sz w:val="14"/>
                <w:szCs w:val="14"/>
                <w:color w:val="auto"/>
                <w:w w:val="94"/>
              </w:rPr>
              <w:t>Postretirement</w:t>
            </w:r>
          </w:p>
        </w:tc>
      </w:tr>
      <w:tr>
        <w:trPr>
          <w:trHeight w:val="173"/>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Benefits</w:t>
            </w:r>
          </w:p>
        </w:tc>
        <w:tc>
          <w:tcPr>
            <w:tcW w:w="15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Benefits</w:t>
            </w:r>
          </w:p>
        </w:tc>
        <w:tc>
          <w:tcPr>
            <w:tcW w:w="12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90"/>
              </w:rPr>
              <w:t>Benefits</w:t>
            </w:r>
          </w:p>
        </w:tc>
        <w:tc>
          <w:tcPr>
            <w:tcW w:w="16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32</w:t>
            </w:r>
          </w:p>
        </w:tc>
        <w:tc>
          <w:tcPr>
            <w:tcW w:w="12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1220" w:type="dxa"/>
            <w:vAlign w:val="bottom"/>
            <w:shd w:val="clear" w:color="auto" w:fill="E5E5E5"/>
          </w:tcPr>
          <w:p>
            <w:pPr>
              <w:ind w:left="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w:t>
            </w:r>
          </w:p>
        </w:tc>
        <w:tc>
          <w:tcPr>
            <w:tcW w:w="12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 April 2012, we provided initial funding to our qualified defined benefit plan of $76 million. The expected return on the plan assets of this plan is 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Certain of our employees and executive officers receive awards of stock options and restricted share units (“RSUs”) under Comcast equity plans and participate in employee stock purchase plans. The expense associated with participation in these plans, including the expense associated with awards to former Comcast employees who had non-vested equity awards as of the closing date, is settled in cash with Comcast. In addition, while the majority of GE granted stock options and RSUs vested in conjunction with the Joint Venture transaction, some of our employees continue to vest in GE equity plans.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 – Comcast and GE Equity Awards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w:t>
            </w:r>
          </w:p>
        </w:tc>
        <w:tc>
          <w:tcPr>
            <w:tcW w:w="9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81"/>
              </w:rPr>
              <w:t>Predecessor</w:t>
            </w:r>
          </w:p>
        </w:tc>
      </w:tr>
      <w:tr>
        <w:trPr>
          <w:trHeight w:val="131"/>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jc w:val="right"/>
              <w:ind w:right="115"/>
              <w:spacing w:after="0" w:line="131" w:lineRule="exact"/>
              <w:rPr>
                <w:sz w:val="20"/>
                <w:szCs w:val="20"/>
                <w:color w:val="auto"/>
              </w:rPr>
            </w:pPr>
            <w:r>
              <w:rPr>
                <w:rFonts w:ascii="Arial" w:cs="Arial" w:eastAsia="Arial" w:hAnsi="Arial"/>
                <w:sz w:val="14"/>
                <w:szCs w:val="14"/>
                <w:color w:val="auto"/>
                <w:w w:val="85"/>
              </w:rPr>
              <w:t>For the Period</w:t>
            </w:r>
          </w:p>
        </w:tc>
        <w:tc>
          <w:tcPr>
            <w:tcW w:w="7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right="119"/>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580" w:type="dxa"/>
            <w:vAlign w:val="bottom"/>
          </w:tcPr>
          <w:p>
            <w:pPr>
              <w:spacing w:after="0"/>
              <w:rPr>
                <w:sz w:val="12"/>
                <w:szCs w:val="12"/>
                <w:color w:val="auto"/>
              </w:rPr>
            </w:pPr>
          </w:p>
        </w:tc>
        <w:tc>
          <w:tcPr>
            <w:tcW w:w="176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85"/>
              </w:rPr>
              <w:t>Three Months Ended</w:t>
            </w:r>
          </w:p>
        </w:tc>
        <w:tc>
          <w:tcPr>
            <w:tcW w:w="2540" w:type="dxa"/>
            <w:vAlign w:val="bottom"/>
            <w:tcBorders>
              <w:right w:val="single" w:sz="8" w:color="auto"/>
            </w:tcBorders>
            <w:gridSpan w:val="3"/>
          </w:tcPr>
          <w:p>
            <w:pPr>
              <w:ind w:left="720"/>
              <w:spacing w:after="0" w:line="149" w:lineRule="exact"/>
              <w:rPr>
                <w:sz w:val="20"/>
                <w:szCs w:val="20"/>
                <w:color w:val="auto"/>
              </w:rPr>
            </w:pPr>
            <w:r>
              <w:rPr>
                <w:rFonts w:ascii="Arial" w:cs="Arial" w:eastAsia="Arial" w:hAnsi="Arial"/>
                <w:sz w:val="14"/>
                <w:szCs w:val="14"/>
                <w:color w:val="auto"/>
              </w:rPr>
              <w:t>January 29, 2011</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5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w w:val="88"/>
              </w:rPr>
              <w:t>March 31, 2012</w:t>
            </w:r>
          </w:p>
        </w:tc>
        <w:tc>
          <w:tcPr>
            <w:tcW w:w="2540" w:type="dxa"/>
            <w:vAlign w:val="bottom"/>
            <w:tcBorders>
              <w:bottom w:val="single" w:sz="8" w:color="auto"/>
              <w:right w:val="single" w:sz="8" w:color="auto"/>
            </w:tcBorders>
            <w:gridSpan w:val="3"/>
          </w:tcPr>
          <w:p>
            <w:pPr>
              <w:ind w:left="700"/>
              <w:spacing w:after="0" w:line="159" w:lineRule="exact"/>
              <w:rPr>
                <w:sz w:val="20"/>
                <w:szCs w:val="20"/>
                <w:color w:val="auto"/>
              </w:rPr>
            </w:pPr>
            <w:r>
              <w:rPr>
                <w:rFonts w:ascii="Arial" w:cs="Arial" w:eastAsia="Arial" w:hAnsi="Arial"/>
                <w:sz w:val="14"/>
                <w:szCs w:val="14"/>
                <w:color w:val="auto"/>
              </w:rPr>
              <w:t>to March 31, 2011</w:t>
            </w:r>
          </w:p>
        </w:tc>
        <w:tc>
          <w:tcPr>
            <w:tcW w:w="7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620"/>
              <w:spacing w:after="0" w:line="159" w:lineRule="exact"/>
              <w:rPr>
                <w:sz w:val="20"/>
                <w:szCs w:val="20"/>
                <w:color w:val="auto"/>
              </w:rPr>
            </w:pPr>
            <w:r>
              <w:rPr>
                <w:rFonts w:ascii="Arial" w:cs="Arial" w:eastAsia="Arial" w:hAnsi="Arial"/>
                <w:sz w:val="14"/>
                <w:szCs w:val="14"/>
                <w:color w:val="auto"/>
                <w:w w:val="93"/>
              </w:rPr>
              <w:t>to January 28, 2011</w:t>
            </w: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Comcast equity awards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74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Borders>
              <w:right w:val="single" w:sz="8" w:color="auto"/>
            </w:tcBorders>
          </w:tcPr>
          <w:p>
            <w:pPr>
              <w:spacing w:after="0"/>
              <w:rPr>
                <w:sz w:val="18"/>
                <w:szCs w:val="18"/>
                <w:color w:val="auto"/>
              </w:rPr>
            </w:pP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Employee stock purchase plan</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GE equity awards</w:t>
            </w:r>
          </w:p>
        </w:tc>
        <w:tc>
          <w:tcPr>
            <w:tcW w:w="7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74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ind w:left="7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Borders>
              <w:right w:val="single" w:sz="8" w:color="auto"/>
            </w:tcBorders>
          </w:tcPr>
          <w:p>
            <w:pPr>
              <w:spacing w:after="0"/>
              <w:rPr>
                <w:sz w:val="18"/>
                <w:szCs w:val="18"/>
                <w:color w:val="auto"/>
              </w:rPr>
            </w:pP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32</w:t>
            </w:r>
          </w:p>
        </w:tc>
      </w:tr>
      <w:tr>
        <w:trPr>
          <w:trHeight w:val="216"/>
        </w:trPr>
        <w:tc>
          <w:tcPr>
            <w:tcW w:w="45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7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760" w:type="dxa"/>
            <w:vAlign w:val="bottom"/>
            <w:tcBorders>
              <w:bottom w:val="single" w:sz="8" w:color="auto"/>
              <w:right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8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7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8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vMerge w:val="continue"/>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color w:val="auto"/>
              </w:rPr>
              <w:t>March 31, 2012</w:t>
            </w:r>
          </w:p>
        </w:tc>
        <w:tc>
          <w:tcPr>
            <w:tcW w:w="1940" w:type="dxa"/>
            <w:vAlign w:val="bottom"/>
            <w:tcBorders>
              <w:bottom w:val="single" w:sz="8" w:color="auto"/>
            </w:tcBorders>
            <w:gridSpan w:val="2"/>
          </w:tcPr>
          <w:p>
            <w:pPr>
              <w:ind w:left="82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4080" w:type="dxa"/>
            <w:vAlign w:val="bottom"/>
            <w:gridSpan w:val="2"/>
            <w:shd w:val="clear" w:color="auto" w:fill="E5E5E5"/>
          </w:tcPr>
          <w:p>
            <w:pPr>
              <w:ind w:left="3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4,180</w:t>
            </w:r>
          </w:p>
        </w:tc>
        <w:tc>
          <w:tcPr>
            <w:tcW w:w="120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333</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288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35</w:t>
            </w:r>
          </w:p>
        </w:tc>
        <w:tc>
          <w:tcPr>
            <w:tcW w:w="12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4080" w:type="dxa"/>
            <w:vAlign w:val="bottom"/>
            <w:tcBorders>
              <w:bottom w:val="single" w:sz="8" w:color="auto"/>
            </w:tcBorders>
            <w:gridSpan w:val="2"/>
          </w:tcPr>
          <w:p>
            <w:pPr>
              <w:ind w:left="38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3,812</w:t>
            </w: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w:t>
            </w:r>
          </w:p>
        </w:tc>
        <w:tc>
          <w:tcPr>
            <w:tcW w:w="0" w:type="dxa"/>
            <w:vAlign w:val="bottom"/>
          </w:tcPr>
          <w:p>
            <w:pPr>
              <w:spacing w:after="0"/>
              <w:rPr>
                <w:sz w:val="1"/>
                <w:szCs w:val="1"/>
                <w:color w:val="auto"/>
              </w:rPr>
            </w:pPr>
          </w:p>
        </w:tc>
      </w:tr>
      <w:tr>
        <w:trPr>
          <w:trHeight w:val="363"/>
        </w:trPr>
        <w:tc>
          <w:tcPr>
            <w:tcW w:w="4660" w:type="dxa"/>
            <w:vAlign w:val="bottom"/>
          </w:tcPr>
          <w:p>
            <w:pPr>
              <w:spacing w:after="0"/>
              <w:rPr>
                <w:sz w:val="24"/>
                <w:szCs w:val="24"/>
                <w:color w:val="auto"/>
              </w:rPr>
            </w:pPr>
          </w:p>
        </w:tc>
        <w:tc>
          <w:tcPr>
            <w:tcW w:w="2880" w:type="dxa"/>
            <w:vAlign w:val="bottom"/>
          </w:tcPr>
          <w:p>
            <w:pPr>
              <w:jc w:val="right"/>
              <w:ind w:right="1632"/>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Accumulated Other Comprehensive Income (Loss)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3"/>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80"/>
              <w:spacing w:after="0" w:line="142" w:lineRule="exact"/>
              <w:rPr>
                <w:sz w:val="20"/>
                <w:szCs w:val="20"/>
                <w:color w:val="auto"/>
              </w:rPr>
            </w:pPr>
            <w:r>
              <w:rPr>
                <w:rFonts w:ascii="Arial" w:cs="Arial" w:eastAsia="Arial" w:hAnsi="Arial"/>
                <w:sz w:val="14"/>
                <w:szCs w:val="14"/>
                <w:color w:val="auto"/>
              </w:rPr>
              <w:t>March 31, 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700"/>
              <w:spacing w:after="0" w:line="142" w:lineRule="exact"/>
              <w:rPr>
                <w:sz w:val="20"/>
                <w:szCs w:val="20"/>
                <w:color w:val="auto"/>
              </w:rPr>
            </w:pPr>
            <w:r>
              <w:rPr>
                <w:rFonts w:ascii="Arial" w:cs="Arial" w:eastAsia="Arial" w:hAnsi="Arial"/>
                <w:sz w:val="14"/>
                <w:szCs w:val="14"/>
                <w:color w:val="auto"/>
                <w:w w:val="96"/>
              </w:rPr>
              <w:t>March 31,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400" w:type="dxa"/>
            <w:vAlign w:val="bottom"/>
            <w:tcBorders>
              <w:right w:val="single" w:sz="8" w:color="E5E5E5"/>
            </w:tcBorders>
            <w:gridSpan w:val="3"/>
            <w:shd w:val="clear" w:color="auto" w:fill="E5E5E5"/>
          </w:tcPr>
          <w:p>
            <w:pPr>
              <w:ind w:left="9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w:t>
            </w:r>
          </w:p>
        </w:tc>
        <w:tc>
          <w:tcPr>
            <w:tcW w:w="1220" w:type="dxa"/>
            <w:vAlign w:val="bottom"/>
            <w:gridSpan w:val="3"/>
            <w:shd w:val="clear" w:color="auto" w:fill="E5E5E5"/>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center"/>
              <w:ind w:left="1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center"/>
              <w:ind w:left="19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5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Accumulated other comprehensive income (loss), net of deferred taxes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(77)</w:t>
            </w:r>
          </w:p>
        </w:tc>
        <w:tc>
          <w:tcPr>
            <w:tcW w:w="12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03"/>
        </w:trPr>
        <w:tc>
          <w:tcPr>
            <w:tcW w:w="7120" w:type="dxa"/>
            <w:vAlign w:val="bottom"/>
            <w:gridSpan w:val="5"/>
          </w:tcPr>
          <w:p>
            <w:pPr>
              <w:jc w:val="center"/>
              <w:ind w:left="4234"/>
              <w:spacing w:after="0"/>
              <w:rPr>
                <w:sz w:val="20"/>
                <w:szCs w:val="20"/>
                <w:color w:val="auto"/>
              </w:rPr>
            </w:pPr>
            <w:r>
              <w:rPr>
                <w:rFonts w:ascii="Arial" w:cs="Arial" w:eastAsia="Arial" w:hAnsi="Arial"/>
                <w:sz w:val="18"/>
                <w:szCs w:val="18"/>
                <w:b w:val="1"/>
                <w:bCs w:val="1"/>
                <w:color w:val="auto"/>
                <w:w w:val="97"/>
              </w:rPr>
              <w:t>Operating Costs and Expenses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gridSpan w:val="3"/>
          </w:tcPr>
          <w:p>
            <w:pPr>
              <w:ind w:left="180"/>
              <w:spacing w:after="0" w:line="131" w:lineRule="exact"/>
              <w:rPr>
                <w:sz w:val="20"/>
                <w:szCs w:val="20"/>
                <w:color w:val="auto"/>
              </w:rPr>
            </w:pPr>
            <w:r>
              <w:rPr>
                <w:rFonts w:ascii="Arial" w:cs="Arial" w:eastAsia="Arial" w:hAnsi="Arial"/>
                <w:sz w:val="14"/>
                <w:szCs w:val="14"/>
                <w:color w:val="auto"/>
              </w:rPr>
              <w:t>For the Period</w:t>
            </w:r>
          </w:p>
        </w:tc>
        <w:tc>
          <w:tcPr>
            <w:tcW w:w="3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ind w:left="680"/>
              <w:spacing w:after="0" w:line="131"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Three Months Ended</w:t>
            </w:r>
          </w:p>
        </w:tc>
        <w:tc>
          <w:tcPr>
            <w:tcW w:w="1860" w:type="dxa"/>
            <w:vAlign w:val="bottom"/>
            <w:tcBorders>
              <w:right w:val="single" w:sz="8" w:color="auto"/>
            </w:tcBorders>
            <w:gridSpan w:val="5"/>
          </w:tcPr>
          <w:p>
            <w:pPr>
              <w:ind w:left="120"/>
              <w:spacing w:after="0" w:line="149" w:lineRule="exact"/>
              <w:rPr>
                <w:sz w:val="20"/>
                <w:szCs w:val="20"/>
                <w:color w:val="auto"/>
              </w:rPr>
            </w:pPr>
            <w:r>
              <w:rPr>
                <w:rFonts w:ascii="Arial" w:cs="Arial" w:eastAsia="Arial" w:hAnsi="Arial"/>
                <w:sz w:val="14"/>
                <w:szCs w:val="14"/>
                <w:color w:val="auto"/>
              </w:rPr>
              <w:t>January 29, 2011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January 1, 2011</w:t>
            </w:r>
          </w:p>
        </w:tc>
        <w:tc>
          <w:tcPr>
            <w:tcW w:w="0" w:type="dxa"/>
            <w:vAlign w:val="bottom"/>
          </w:tcPr>
          <w:p>
            <w:pPr>
              <w:spacing w:after="0"/>
              <w:rPr>
                <w:sz w:val="1"/>
                <w:szCs w:val="1"/>
                <w:color w:val="auto"/>
              </w:rPr>
            </w:pPr>
          </w:p>
        </w:tc>
      </w:tr>
      <w:tr>
        <w:trPr>
          <w:trHeight w:val="159"/>
        </w:trPr>
        <w:tc>
          <w:tcPr>
            <w:tcW w:w="532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gridSpan w:val="2"/>
          </w:tcPr>
          <w:p>
            <w:pPr>
              <w:jc w:val="right"/>
              <w:ind w:right="655"/>
              <w:spacing w:after="0" w:line="159" w:lineRule="exact"/>
              <w:rPr>
                <w:sz w:val="20"/>
                <w:szCs w:val="20"/>
                <w:color w:val="auto"/>
              </w:rPr>
            </w:pPr>
            <w:r>
              <w:rPr>
                <w:rFonts w:ascii="Arial" w:cs="Arial" w:eastAsia="Arial" w:hAnsi="Arial"/>
                <w:sz w:val="14"/>
                <w:szCs w:val="14"/>
                <w:color w:val="auto"/>
              </w:rPr>
              <w:t>March 31, 2012</w:t>
            </w:r>
          </w:p>
        </w:tc>
        <w:tc>
          <w:tcPr>
            <w:tcW w:w="1860" w:type="dxa"/>
            <w:vAlign w:val="bottom"/>
            <w:tcBorders>
              <w:bottom w:val="single" w:sz="8" w:color="auto"/>
              <w:right w:val="single" w:sz="8" w:color="auto"/>
            </w:tcBorders>
            <w:gridSpan w:val="5"/>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540"/>
              <w:spacing w:after="0" w:line="159" w:lineRule="exact"/>
              <w:rPr>
                <w:sz w:val="20"/>
                <w:szCs w:val="20"/>
                <w:color w:val="auto"/>
              </w:rPr>
            </w:pPr>
            <w:r>
              <w:rPr>
                <w:rFonts w:ascii="Arial" w:cs="Arial" w:eastAsia="Arial" w:hAnsi="Arial"/>
                <w:sz w:val="14"/>
                <w:szCs w:val="14"/>
                <w:color w:val="auto"/>
                <w:w w:val="88"/>
              </w:rPr>
              <w:t>to January 28,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54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495"/>
              <w:spacing w:after="0"/>
              <w:rPr>
                <w:sz w:val="20"/>
                <w:szCs w:val="20"/>
                <w:color w:val="auto"/>
              </w:rPr>
            </w:pPr>
            <w:r>
              <w:rPr>
                <w:rFonts w:ascii="Arial" w:cs="Arial" w:eastAsia="Arial" w:hAnsi="Arial"/>
                <w:sz w:val="18"/>
                <w:szCs w:val="18"/>
                <w:color w:val="auto"/>
              </w:rPr>
              <w:t>2,950</w:t>
            </w:r>
          </w:p>
        </w:tc>
        <w:tc>
          <w:tcPr>
            <w:tcW w:w="42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1,426</w:t>
            </w:r>
          </w:p>
        </w:tc>
        <w:tc>
          <w:tcPr>
            <w:tcW w:w="340" w:type="dxa"/>
            <w:vAlign w:val="bottom"/>
            <w:shd w:val="clear" w:color="auto" w:fill="E5E5E5"/>
          </w:tcPr>
          <w:p>
            <w:pPr>
              <w:spacing w:after="0"/>
              <w:rPr>
                <w:sz w:val="18"/>
                <w:szCs w:val="18"/>
                <w:color w:val="auto"/>
              </w:rPr>
            </w:pPr>
          </w:p>
        </w:tc>
        <w:tc>
          <w:tcPr>
            <w:tcW w:w="400" w:type="dxa"/>
            <w:vAlign w:val="bottom"/>
            <w:tcBorders>
              <w:right w:val="single" w:sz="8" w:color="auto"/>
            </w:tcBorders>
            <w:shd w:val="clear" w:color="auto" w:fill="E5E5E5"/>
          </w:tcPr>
          <w:p>
            <w:pPr>
              <w:spacing w:after="0"/>
              <w:rPr>
                <w:sz w:val="18"/>
                <w:szCs w:val="18"/>
                <w:color w:val="auto"/>
              </w:rPr>
            </w:pPr>
          </w:p>
        </w:tc>
        <w:tc>
          <w:tcPr>
            <w:tcW w:w="20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20" w:type="dxa"/>
            <w:vAlign w:val="bottom"/>
            <w:gridSpan w:val="3"/>
            <w:shd w:val="clear" w:color="auto" w:fill="E5E5E5"/>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center"/>
              <w:ind w:left="192"/>
              <w:spacing w:after="0"/>
              <w:rPr>
                <w:sz w:val="20"/>
                <w:szCs w:val="20"/>
                <w:color w:val="auto"/>
              </w:rPr>
            </w:pPr>
            <w:r>
              <w:rPr>
                <w:rFonts w:ascii="Arial" w:cs="Arial" w:eastAsia="Arial" w:hAnsi="Arial"/>
                <w:sz w:val="18"/>
                <w:szCs w:val="18"/>
                <w:color w:val="auto"/>
                <w:w w:val="86"/>
              </w:rPr>
              <w:t>711</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8"/>
                <w:szCs w:val="18"/>
                <w:color w:val="auto"/>
              </w:rPr>
              <w:t>599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center"/>
              <w:ind w:left="192"/>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495"/>
              <w:spacing w:after="0"/>
              <w:rPr>
                <w:sz w:val="20"/>
                <w:szCs w:val="20"/>
                <w:color w:val="auto"/>
              </w:rPr>
            </w:pPr>
            <w:r>
              <w:rPr>
                <w:rFonts w:ascii="Arial" w:cs="Arial" w:eastAsia="Arial" w:hAnsi="Arial"/>
                <w:sz w:val="18"/>
                <w:szCs w:val="18"/>
                <w:color w:val="auto"/>
              </w:rPr>
              <w:t>1,110</w:t>
            </w: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702</w:t>
            </w: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right w:val="single" w:sz="8" w:color="auto"/>
            </w:tcBorders>
            <w:shd w:val="clear" w:color="auto" w:fill="E5E5E5"/>
          </w:tcPr>
          <w:p>
            <w:pPr>
              <w:spacing w:after="0"/>
              <w:rPr>
                <w:sz w:val="18"/>
                <w:szCs w:val="18"/>
                <w:color w:val="auto"/>
              </w:rPr>
            </w:pPr>
          </w:p>
        </w:tc>
        <w:tc>
          <w:tcPr>
            <w:tcW w:w="20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center"/>
              <w:ind w:left="192"/>
              <w:spacing w:after="0"/>
              <w:rPr>
                <w:sz w:val="20"/>
                <w:szCs w:val="20"/>
                <w:color w:val="auto"/>
              </w:rPr>
            </w:pPr>
            <w:r>
              <w:rPr>
                <w:rFonts w:ascii="Arial" w:cs="Arial" w:eastAsia="Arial" w:hAnsi="Arial"/>
                <w:sz w:val="18"/>
                <w:szCs w:val="18"/>
                <w:color w:val="auto"/>
                <w:w w:val="86"/>
              </w:rPr>
              <w:t>307</w:t>
            </w:r>
          </w:p>
        </w:tc>
        <w:tc>
          <w:tcPr>
            <w:tcW w:w="0" w:type="dxa"/>
            <w:vAlign w:val="bottom"/>
          </w:tcPr>
          <w:p>
            <w:pPr>
              <w:spacing w:after="0"/>
              <w:rPr>
                <w:sz w:val="1"/>
                <w:szCs w:val="1"/>
                <w:color w:val="auto"/>
              </w:rPr>
            </w:pPr>
          </w:p>
        </w:tc>
      </w:tr>
      <w:tr>
        <w:trPr>
          <w:trHeight w:val="195"/>
        </w:trPr>
        <w:tc>
          <w:tcPr>
            <w:tcW w:w="5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 and</w:t>
            </w: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amortization)</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4,659</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2,519</w:t>
            </w: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r>
        <w:trPr>
          <w:trHeight w:val="403"/>
        </w:trPr>
        <w:tc>
          <w:tcPr>
            <w:tcW w:w="7580" w:type="dxa"/>
            <w:vAlign w:val="bottom"/>
            <w:gridSpan w:val="7"/>
          </w:tcPr>
          <w:p>
            <w:pPr>
              <w:jc w:val="center"/>
              <w:ind w:left="377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jc w:val="right"/>
              <w:ind w:right="152"/>
              <w:spacing w:after="0" w:line="131" w:lineRule="exact"/>
              <w:rPr>
                <w:sz w:val="20"/>
                <w:szCs w:val="20"/>
                <w:color w:val="auto"/>
              </w:rPr>
            </w:pPr>
            <w:r>
              <w:rPr>
                <w:rFonts w:ascii="Arial" w:cs="Arial" w:eastAsia="Arial" w:hAnsi="Arial"/>
                <w:sz w:val="14"/>
                <w:szCs w:val="14"/>
                <w:color w:val="auto"/>
                <w:w w:val="85"/>
              </w:rPr>
              <w:t>For the Period</w:t>
            </w:r>
          </w:p>
        </w:tc>
        <w:tc>
          <w:tcPr>
            <w:tcW w:w="4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right"/>
              <w:ind w:right="172"/>
              <w:spacing w:after="0" w:line="131"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Three Months Ended</w:t>
            </w:r>
          </w:p>
        </w:tc>
        <w:tc>
          <w:tcPr>
            <w:tcW w:w="186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January 29, 2011</w:t>
            </w:r>
          </w:p>
        </w:tc>
        <w:tc>
          <w:tcPr>
            <w:tcW w:w="2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January 1, 2011</w:t>
            </w:r>
          </w:p>
        </w:tc>
        <w:tc>
          <w:tcPr>
            <w:tcW w:w="0" w:type="dxa"/>
            <w:vAlign w:val="bottom"/>
          </w:tcPr>
          <w:p>
            <w:pPr>
              <w:spacing w:after="0"/>
              <w:rPr>
                <w:sz w:val="1"/>
                <w:szCs w:val="1"/>
                <w:color w:val="auto"/>
              </w:rPr>
            </w:pPr>
          </w:p>
        </w:tc>
      </w:tr>
      <w:tr>
        <w:trPr>
          <w:trHeight w:val="159"/>
        </w:trPr>
        <w:tc>
          <w:tcPr>
            <w:tcW w:w="532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w w:val="90"/>
              </w:rPr>
              <w:t>March 31, 2012</w:t>
            </w:r>
          </w:p>
        </w:tc>
        <w:tc>
          <w:tcPr>
            <w:tcW w:w="1860" w:type="dxa"/>
            <w:vAlign w:val="bottom"/>
            <w:tcBorders>
              <w:bottom w:val="single" w:sz="8" w:color="auto"/>
            </w:tcBorders>
            <w:gridSpan w:val="5"/>
          </w:tcPr>
          <w:p>
            <w:pPr>
              <w:ind w:left="360"/>
              <w:spacing w:after="0" w:line="159" w:lineRule="exact"/>
              <w:rPr>
                <w:sz w:val="20"/>
                <w:szCs w:val="20"/>
                <w:color w:val="auto"/>
              </w:rPr>
            </w:pPr>
            <w:r>
              <w:rPr>
                <w:rFonts w:ascii="Arial" w:cs="Arial" w:eastAsia="Arial" w:hAnsi="Arial"/>
                <w:sz w:val="14"/>
                <w:szCs w:val="14"/>
                <w:color w:val="auto"/>
              </w:rPr>
              <w:t>to March 31, 2011</w:t>
            </w:r>
          </w:p>
        </w:tc>
        <w:tc>
          <w:tcPr>
            <w:tcW w:w="2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480"/>
              <w:spacing w:after="0" w:line="159" w:lineRule="exact"/>
              <w:rPr>
                <w:sz w:val="20"/>
                <w:szCs w:val="20"/>
                <w:color w:val="auto"/>
              </w:rPr>
            </w:pPr>
            <w:r>
              <w:rPr>
                <w:rFonts w:ascii="Arial" w:cs="Arial" w:eastAsia="Arial" w:hAnsi="Arial"/>
                <w:sz w:val="14"/>
                <w:szCs w:val="14"/>
                <w:color w:val="auto"/>
                <w:w w:val="93"/>
              </w:rPr>
              <w:t>to January 28, 2011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417</w:t>
            </w:r>
          </w:p>
        </w:tc>
        <w:tc>
          <w:tcPr>
            <w:tcW w:w="460" w:type="dxa"/>
            <w:vAlign w:val="bottom"/>
            <w:gridSpan w:val="2"/>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138</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20" w:type="dxa"/>
            <w:vAlign w:val="bottom"/>
            <w:gridSpan w:val="3"/>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5320" w:type="dxa"/>
            <w:vAlign w:val="bottom"/>
            <w:gridSpan w:val="3"/>
          </w:tcPr>
          <w:p>
            <w:pPr>
              <w:spacing w:after="0"/>
              <w:rPr>
                <w:sz w:val="20"/>
                <w:szCs w:val="20"/>
                <w:color w:val="auto"/>
              </w:rPr>
            </w:pPr>
            <w:r>
              <w:rPr>
                <w:rFonts w:ascii="Arial" w:cs="Arial" w:eastAsia="Arial" w:hAnsi="Arial"/>
                <w:sz w:val="18"/>
                <w:szCs w:val="18"/>
                <w:color w:val="auto"/>
                <w:w w:val="95"/>
              </w:rPr>
              <w:t>Adjustments to reconcile net income to net cash provided by (used in)</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187</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40" w:type="dxa"/>
            <w:vAlign w:val="bottom"/>
          </w:tcPr>
          <w:p>
            <w:pPr>
              <w:spacing w:after="0"/>
              <w:rPr>
                <w:sz w:val="18"/>
                <w:szCs w:val="18"/>
                <w:color w:val="auto"/>
              </w:rPr>
            </w:pP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2,146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1,163</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8</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Equity in net income of investees, net</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72</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91</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8"/>
        </w:trPr>
        <w:tc>
          <w:tcPr>
            <w:tcW w:w="5320" w:type="dxa"/>
            <w:vAlign w:val="bottom"/>
            <w:gridSpan w:val="3"/>
          </w:tcPr>
          <w:p>
            <w:pPr>
              <w:spacing w:after="0"/>
              <w:rPr>
                <w:sz w:val="20"/>
                <w:szCs w:val="20"/>
                <w:color w:val="auto"/>
              </w:rPr>
            </w:pPr>
            <w:r>
              <w:rPr>
                <w:rFonts w:ascii="Arial" w:cs="Arial" w:eastAsia="Arial" w:hAnsi="Arial"/>
                <w:sz w:val="18"/>
                <w:szCs w:val="18"/>
                <w:color w:val="auto"/>
                <w:w w:val="93"/>
              </w:rPr>
              <w:t>Changes in operating assets and liabilities, net of effects of acquisitions</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and divestitures:</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Change in receivables, net</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596</w:t>
            </w: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Change in film and television costs</w:t>
            </w:r>
          </w:p>
        </w:tc>
        <w:tc>
          <w:tcPr>
            <w:tcW w:w="54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(1,941)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8"/>
        </w:trPr>
        <w:tc>
          <w:tcPr>
            <w:tcW w:w="532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w w:val="90"/>
              </w:rPr>
              <w:t>Change in accounts payable and accrued expenses related to trade</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tcBorders>
              <w:right w:val="single" w:sz="8" w:color="E5E5E5"/>
            </w:tcBorders>
            <w:shd w:val="clear" w:color="auto" w:fill="E5E5E5"/>
          </w:tcPr>
          <w:p>
            <w:pPr>
              <w:spacing w:after="0"/>
              <w:rPr>
                <w:sz w:val="18"/>
                <w:szCs w:val="18"/>
                <w:color w:val="auto"/>
              </w:rPr>
            </w:pPr>
          </w:p>
        </w:tc>
        <w:tc>
          <w:tcPr>
            <w:tcW w:w="20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gridSpan w:val="3"/>
            <w:shd w:val="clear" w:color="auto" w:fill="E5E5E5"/>
          </w:tcPr>
          <w:p>
            <w:pPr>
              <w:ind w:left="660"/>
              <w:spacing w:after="0"/>
              <w:rPr>
                <w:sz w:val="20"/>
                <w:szCs w:val="20"/>
                <w:color w:val="auto"/>
              </w:rPr>
            </w:pPr>
            <w:r>
              <w:rPr>
                <w:rFonts w:ascii="Arial" w:cs="Arial" w:eastAsia="Arial" w:hAnsi="Arial"/>
                <w:sz w:val="18"/>
                <w:szCs w:val="18"/>
                <w:color w:val="auto"/>
              </w:rPr>
              <w:t>creditors</w:t>
            </w:r>
          </w:p>
        </w:tc>
        <w:tc>
          <w:tcPr>
            <w:tcW w:w="540" w:type="dxa"/>
            <w:vAlign w:val="bottom"/>
            <w:shd w:val="clear" w:color="auto" w:fill="E5E5E5"/>
          </w:tcPr>
          <w:p>
            <w:pPr>
              <w:spacing w:after="0"/>
              <w:rPr>
                <w:sz w:val="19"/>
                <w:szCs w:val="19"/>
                <w:color w:val="auto"/>
              </w:rPr>
            </w:pPr>
          </w:p>
        </w:tc>
        <w:tc>
          <w:tcPr>
            <w:tcW w:w="12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88</w:t>
            </w:r>
          </w:p>
        </w:tc>
        <w:tc>
          <w:tcPr>
            <w:tcW w:w="4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37</w:t>
            </w:r>
          </w:p>
        </w:tc>
        <w:tc>
          <w:tcPr>
            <w:tcW w:w="400" w:type="dxa"/>
            <w:vAlign w:val="bottom"/>
            <w:tcBorders>
              <w:right w:val="single" w:sz="8" w:color="E5E5E5"/>
            </w:tcBorders>
            <w:shd w:val="clear" w:color="auto" w:fill="E5E5E5"/>
          </w:tcPr>
          <w:p>
            <w:pPr>
              <w:spacing w:after="0"/>
              <w:rPr>
                <w:sz w:val="19"/>
                <w:szCs w:val="19"/>
                <w:color w:val="auto"/>
              </w:rPr>
            </w:pPr>
          </w:p>
        </w:tc>
        <w:tc>
          <w:tcPr>
            <w:tcW w:w="200" w:type="dxa"/>
            <w:vAlign w:val="bottom"/>
            <w:tcBorders>
              <w:right w:val="single" w:sz="8" w:color="auto"/>
            </w:tcBorders>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8"/>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Change in accrued participations and residuals, program</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660"/>
              <w:spacing w:after="0"/>
              <w:rPr>
                <w:sz w:val="20"/>
                <w:szCs w:val="20"/>
                <w:color w:val="auto"/>
              </w:rPr>
            </w:pPr>
            <w:r>
              <w:rPr>
                <w:rFonts w:ascii="Arial" w:cs="Arial" w:eastAsia="Arial" w:hAnsi="Arial"/>
                <w:sz w:val="18"/>
                <w:szCs w:val="18"/>
                <w:color w:val="auto"/>
              </w:rPr>
              <w:t>obligations and deferred revenue</w:t>
            </w:r>
          </w:p>
        </w:tc>
        <w:tc>
          <w:tcPr>
            <w:tcW w:w="54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4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Borders>
              <w:bottom w:val="single" w:sz="8" w:color="auto"/>
              <w:right w:val="single" w:sz="8" w:color="E5E5E5"/>
            </w:tcBorders>
            <w:shd w:val="clear" w:color="auto" w:fill="E5E5E5"/>
          </w:tcPr>
          <w:p>
            <w:pPr>
              <w:spacing w:after="0"/>
              <w:rPr>
                <w:sz w:val="18"/>
                <w:szCs w:val="18"/>
                <w:color w:val="auto"/>
              </w:rPr>
            </w:pPr>
          </w:p>
        </w:tc>
        <w:tc>
          <w:tcPr>
            <w:tcW w:w="20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1,037</w:t>
            </w:r>
          </w:p>
        </w:tc>
        <w:tc>
          <w:tcPr>
            <w:tcW w:w="4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523</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363"/>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center"/>
              <w:ind w:left="180"/>
              <w:spacing w:after="0"/>
              <w:rPr>
                <w:sz w:val="20"/>
                <w:szCs w:val="20"/>
                <w:color w:val="auto"/>
              </w:rPr>
            </w:pPr>
            <w:r>
              <w:rPr>
                <w:rFonts w:ascii="Arial" w:cs="Arial" w:eastAsia="Arial" w:hAnsi="Arial"/>
                <w:sz w:val="18"/>
                <w:szCs w:val="18"/>
                <w:color w:val="auto"/>
                <w:w w:val="99"/>
              </w:rPr>
              <w:t>12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Payments for Interest and Income Taxes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Successor</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Borders>
              <w:bottom w:val="single" w:sz="8" w:color="auto"/>
            </w:tcBorders>
            <w:gridSpan w:val="2"/>
          </w:tcPr>
          <w:p>
            <w:pPr>
              <w:jc w:val="center"/>
              <w:ind w:left="572"/>
              <w:spacing w:after="0"/>
              <w:rPr>
                <w:sz w:val="20"/>
                <w:szCs w:val="20"/>
                <w:color w:val="auto"/>
              </w:rPr>
            </w:pPr>
            <w:r>
              <w:rPr>
                <w:rFonts w:ascii="Arial" w:cs="Arial" w:eastAsia="Arial" w:hAnsi="Arial"/>
                <w:sz w:val="14"/>
                <w:szCs w:val="14"/>
                <w:color w:val="auto"/>
                <w:w w:val="81"/>
              </w:rPr>
              <w:t>Predecessor</w:t>
            </w:r>
          </w:p>
        </w:tc>
      </w:tr>
      <w:tr>
        <w:trPr>
          <w:trHeight w:val="131"/>
        </w:trPr>
        <w:tc>
          <w:tcPr>
            <w:tcW w:w="4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99"/>
              <w:spacing w:after="0" w:line="131" w:lineRule="exact"/>
              <w:rPr>
                <w:sz w:val="20"/>
                <w:szCs w:val="20"/>
                <w:color w:val="auto"/>
              </w:rPr>
            </w:pPr>
            <w:r>
              <w:rPr>
                <w:rFonts w:ascii="Arial" w:cs="Arial" w:eastAsia="Arial" w:hAnsi="Arial"/>
                <w:sz w:val="14"/>
                <w:szCs w:val="14"/>
                <w:color w:val="auto"/>
                <w:w w:val="85"/>
              </w:rPr>
              <w:t>For the Period</w:t>
            </w:r>
          </w:p>
        </w:tc>
        <w:tc>
          <w:tcPr>
            <w:tcW w:w="78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2"/>
          </w:tcPr>
          <w:p>
            <w:pPr>
              <w:jc w:val="center"/>
              <w:ind w:left="552"/>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4500" w:type="dxa"/>
            <w:vAlign w:val="bottom"/>
          </w:tcPr>
          <w:p>
            <w:pPr>
              <w:spacing w:after="0"/>
              <w:rPr>
                <w:sz w:val="12"/>
                <w:szCs w:val="12"/>
                <w:color w:val="auto"/>
              </w:rPr>
            </w:pPr>
          </w:p>
        </w:tc>
        <w:tc>
          <w:tcPr>
            <w:tcW w:w="24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Three Months Ended</w:t>
            </w:r>
          </w:p>
        </w:tc>
        <w:tc>
          <w:tcPr>
            <w:tcW w:w="190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January 29, 2011</w:t>
            </w:r>
          </w:p>
        </w:tc>
        <w:tc>
          <w:tcPr>
            <w:tcW w:w="760" w:type="dxa"/>
            <w:vAlign w:val="bottom"/>
          </w:tcPr>
          <w:p>
            <w:pPr>
              <w:spacing w:after="0"/>
              <w:rPr>
                <w:sz w:val="12"/>
                <w:szCs w:val="12"/>
                <w:color w:val="auto"/>
              </w:rPr>
            </w:pPr>
          </w:p>
        </w:tc>
        <w:tc>
          <w:tcPr>
            <w:tcW w:w="1800" w:type="dxa"/>
            <w:vAlign w:val="bottom"/>
            <w:gridSpan w:val="2"/>
          </w:tcPr>
          <w:p>
            <w:pPr>
              <w:jc w:val="center"/>
              <w:ind w:left="552"/>
              <w:spacing w:after="0" w:line="149" w:lineRule="exact"/>
              <w:rPr>
                <w:sz w:val="20"/>
                <w:szCs w:val="20"/>
                <w:color w:val="auto"/>
              </w:rPr>
            </w:pPr>
            <w:r>
              <w:rPr>
                <w:rFonts w:ascii="Arial" w:cs="Arial" w:eastAsia="Arial" w:hAnsi="Arial"/>
                <w:sz w:val="14"/>
                <w:szCs w:val="14"/>
                <w:color w:val="auto"/>
                <w:w w:val="85"/>
              </w:rPr>
              <w:t>January 1, 2011</w:t>
            </w:r>
          </w:p>
        </w:tc>
      </w:tr>
      <w:tr>
        <w:trPr>
          <w:trHeight w:val="159"/>
        </w:trPr>
        <w:tc>
          <w:tcPr>
            <w:tcW w:w="4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722"/>
              <w:spacing w:after="0" w:line="159" w:lineRule="exact"/>
              <w:rPr>
                <w:sz w:val="20"/>
                <w:szCs w:val="20"/>
                <w:color w:val="auto"/>
              </w:rPr>
            </w:pPr>
            <w:r>
              <w:rPr>
                <w:rFonts w:ascii="Arial" w:cs="Arial" w:eastAsia="Arial" w:hAnsi="Arial"/>
                <w:sz w:val="14"/>
                <w:szCs w:val="14"/>
                <w:color w:val="auto"/>
                <w:w w:val="90"/>
              </w:rPr>
              <w:t>March 31, 2012</w:t>
            </w:r>
          </w:p>
        </w:tc>
        <w:tc>
          <w:tcPr>
            <w:tcW w:w="1900" w:type="dxa"/>
            <w:vAlign w:val="bottom"/>
            <w:tcBorders>
              <w:bottom w:val="single" w:sz="8" w:color="auto"/>
              <w:right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rPr>
              <w:t>to March 31, 2011</w:t>
            </w:r>
          </w:p>
        </w:tc>
        <w:tc>
          <w:tcPr>
            <w:tcW w:w="7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center"/>
              <w:ind w:left="55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760" w:type="dxa"/>
            <w:vAlign w:val="bottom"/>
            <w:shd w:val="clear" w:color="auto" w:fill="E5E5E5"/>
          </w:tcPr>
          <w:p>
            <w:pPr>
              <w:ind w:left="66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E5E5E5"/>
          </w:tcPr>
          <w:p>
            <w:pPr>
              <w:jc w:val="right"/>
              <w:ind w:right="582"/>
              <w:spacing w:after="0"/>
              <w:rPr>
                <w:sz w:val="20"/>
                <w:szCs w:val="20"/>
                <w:color w:val="auto"/>
              </w:rPr>
            </w:pPr>
            <w:r>
              <w:rPr>
                <w:rFonts w:ascii="Arial" w:cs="Arial" w:eastAsia="Arial" w:hAnsi="Arial"/>
                <w:sz w:val="18"/>
                <w:szCs w:val="18"/>
                <w:color w:val="auto"/>
              </w:rPr>
              <w:t>5</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auto"/>
            </w:tcBorders>
            <w:shd w:val="clear" w:color="auto" w:fill="E5E5E5"/>
          </w:tcPr>
          <w:p>
            <w:pPr>
              <w:spacing w:after="0"/>
              <w:rPr>
                <w:sz w:val="18"/>
                <w:szCs w:val="18"/>
                <w:color w:val="auto"/>
              </w:rPr>
            </w:pPr>
          </w:p>
        </w:tc>
        <w:tc>
          <w:tcPr>
            <w:tcW w:w="2240" w:type="dxa"/>
            <w:vAlign w:val="bottom"/>
            <w:gridSpan w:val="2"/>
            <w:shd w:val="clear" w:color="auto" w:fill="E5E5E5"/>
          </w:tcPr>
          <w:p>
            <w:pPr>
              <w:jc w:val="right"/>
              <w:ind w:right="6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493</w:t>
            </w:r>
          </w:p>
        </w:tc>
      </w:tr>
      <w:tr>
        <w:trPr>
          <w:trHeight w:val="397"/>
        </w:trPr>
        <w:tc>
          <w:tcPr>
            <w:tcW w:w="450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Other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99"/>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January 28, 2011 (in millions)</w:t>
            </w:r>
          </w:p>
        </w:tc>
        <w:tc>
          <w:tcPr>
            <w:tcW w:w="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10"/>
        </w:trPr>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w w:val="99"/>
              </w:rPr>
              <w:t>Cash and cash equivalents at end of Predecessor period</w:t>
            </w:r>
          </w:p>
        </w:tc>
        <w:tc>
          <w:tcPr>
            <w:tcW w:w="760" w:type="dxa"/>
            <w:vAlign w:val="bottom"/>
            <w:shd w:val="clear" w:color="auto" w:fill="E5E5E5"/>
          </w:tcPr>
          <w:p>
            <w:pPr>
              <w:spacing w:after="0"/>
              <w:rPr>
                <w:sz w:val="18"/>
                <w:szCs w:val="18"/>
                <w:color w:val="auto"/>
              </w:rPr>
            </w:pPr>
          </w:p>
        </w:tc>
        <w:tc>
          <w:tcPr>
            <w:tcW w:w="17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780" w:type="dxa"/>
            <w:vAlign w:val="bottom"/>
            <w:tcBorders>
              <w:right w:val="single" w:sz="8" w:color="E5E5E5"/>
            </w:tcBorders>
            <w:shd w:val="clear" w:color="auto" w:fill="E5E5E5"/>
          </w:tcPr>
          <w:p>
            <w:pPr>
              <w:spacing w:after="0"/>
              <w:rPr>
                <w:sz w:val="18"/>
                <w:szCs w:val="18"/>
                <w:color w:val="auto"/>
              </w:rPr>
            </w:pPr>
          </w:p>
        </w:tc>
        <w:tc>
          <w:tcPr>
            <w:tcW w:w="2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470</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Content Business contributed cash balances</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4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Cash and cash equivalents at beginning of Successor period</w:t>
            </w:r>
          </w:p>
        </w:tc>
        <w:tc>
          <w:tcPr>
            <w:tcW w:w="760" w:type="dxa"/>
            <w:vAlign w:val="bottom"/>
            <w:tcBorders>
              <w:bottom w:val="single" w:sz="8" w:color="auto"/>
            </w:tcBorders>
            <w:shd w:val="clear" w:color="auto" w:fill="E5E5E5"/>
          </w:tcPr>
          <w:p>
            <w:pPr>
              <w:spacing w:after="0"/>
              <w:rPr>
                <w:sz w:val="18"/>
                <w:szCs w:val="18"/>
                <w:color w:val="auto"/>
              </w:rPr>
            </w:pPr>
          </w:p>
        </w:tc>
        <w:tc>
          <w:tcPr>
            <w:tcW w:w="17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E5E5E5"/>
            </w:tcBorders>
            <w:shd w:val="clear" w:color="auto" w:fill="E5E5E5"/>
          </w:tcPr>
          <w:p>
            <w:pPr>
              <w:spacing w:after="0"/>
              <w:rPr>
                <w:sz w:val="18"/>
                <w:szCs w:val="18"/>
                <w:color w:val="auto"/>
              </w:rPr>
            </w:pPr>
          </w:p>
        </w:tc>
        <w:tc>
          <w:tcPr>
            <w:tcW w:w="22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508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following unaudited pro forma information has been presented as if both the Joint Venture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ind w:right="237"/>
              <w:spacing w:after="0"/>
              <w:rPr>
                <w:sz w:val="20"/>
                <w:szCs w:val="20"/>
                <w:color w:val="auto"/>
              </w:rPr>
            </w:pPr>
            <w:r>
              <w:rPr>
                <w:rFonts w:ascii="Arial" w:cs="Arial" w:eastAsia="Arial" w:hAnsi="Arial"/>
                <w:sz w:val="14"/>
                <w:szCs w:val="14"/>
                <w:color w:val="auto"/>
                <w:w w:val="97"/>
              </w:rPr>
              <w:t>Three Months Ended</w:t>
            </w:r>
          </w:p>
        </w:tc>
      </w:tr>
      <w:tr>
        <w:trPr>
          <w:trHeight w:val="173"/>
        </w:trPr>
        <w:tc>
          <w:tcPr>
            <w:tcW w:w="9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March 31</w:t>
            </w:r>
          </w:p>
        </w:tc>
        <w:tc>
          <w:tcPr>
            <w:tcW w:w="520" w:type="dxa"/>
            <w:vAlign w:val="bottom"/>
            <w:tcBorders>
              <w:bottom w:val="single" w:sz="8" w:color="auto"/>
            </w:tcBorders>
          </w:tcPr>
          <w:p>
            <w:pPr>
              <w:spacing w:after="0"/>
              <w:rPr>
                <w:sz w:val="15"/>
                <w:szCs w:val="15"/>
                <w:color w:val="auto"/>
              </w:rPr>
            </w:pPr>
          </w:p>
        </w:tc>
      </w:tr>
      <w:tr>
        <w:trPr>
          <w:trHeight w:val="237"/>
        </w:trPr>
        <w:tc>
          <w:tcPr>
            <w:tcW w:w="948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Actual</w:t>
            </w:r>
          </w:p>
        </w:tc>
        <w:tc>
          <w:tcPr>
            <w:tcW w:w="11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w w:val="93"/>
              </w:rPr>
              <w:t>Pro Forma</w:t>
            </w:r>
          </w:p>
        </w:tc>
      </w:tr>
      <w:tr>
        <w:trPr>
          <w:trHeight w:val="237"/>
        </w:trPr>
        <w:tc>
          <w:tcPr>
            <w:tcW w:w="9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83"/>
              </w:rPr>
              <w:t>2012</w:t>
            </w: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w w:val="89"/>
              </w:rPr>
              <w:t>2011</w:t>
            </w:r>
          </w:p>
        </w:tc>
      </w:tr>
      <w:tr>
        <w:trPr>
          <w:trHeight w:val="210"/>
        </w:trPr>
        <w:tc>
          <w:tcPr>
            <w:tcW w:w="94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5,472</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4,639</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417</w:t>
            </w:r>
          </w:p>
        </w:tc>
        <w:tc>
          <w:tcPr>
            <w:tcW w:w="66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385</w:t>
            </w:r>
          </w:p>
        </w:tc>
        <w:tc>
          <w:tcPr>
            <w:tcW w:w="66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 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March 31, 2012.</w:t>
      </w:r>
    </w:p>
    <w:p>
      <w:pPr>
        <w:spacing w:after="0" w:line="4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in our condensed consolidated balance sheet as of March 31, 2012. The servicing fees are a component of net loss (gain) on sale, which is presented in the table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on Income from Receivables Monetization and Cash Flows on Transfers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1"/>
              </w:rPr>
              <w:t>Predecessor</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2460" w:type="dxa"/>
            <w:vAlign w:val="bottom"/>
            <w:gridSpan w:val="2"/>
            <w:vMerge w:val="restart"/>
          </w:tcPr>
          <w:p>
            <w:pPr>
              <w:ind w:left="64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1"/>
                <w:szCs w:val="11"/>
                <w:color w:val="auto"/>
              </w:rPr>
            </w:pPr>
          </w:p>
        </w:tc>
        <w:tc>
          <w:tcPr>
            <w:tcW w:w="1020" w:type="dxa"/>
            <w:vAlign w:val="bottom"/>
          </w:tcPr>
          <w:p>
            <w:pPr>
              <w:jc w:val="right"/>
              <w:ind w:right="157"/>
              <w:spacing w:after="0" w:line="131" w:lineRule="exact"/>
              <w:rPr>
                <w:sz w:val="20"/>
                <w:szCs w:val="20"/>
                <w:color w:val="auto"/>
              </w:rPr>
            </w:pPr>
            <w:r>
              <w:rPr>
                <w:rFonts w:ascii="Arial" w:cs="Arial" w:eastAsia="Arial" w:hAnsi="Arial"/>
                <w:sz w:val="14"/>
                <w:szCs w:val="14"/>
                <w:color w:val="auto"/>
                <w:w w:val="85"/>
              </w:rPr>
              <w:t>For the Period</w:t>
            </w:r>
          </w:p>
        </w:tc>
        <w:tc>
          <w:tcPr>
            <w:tcW w:w="7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center"/>
              <w:ind w:right="122"/>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3"/>
          </w:tcPr>
          <w:p>
            <w:pPr>
              <w:ind w:left="120"/>
              <w:spacing w:after="0" w:line="135" w:lineRule="exact"/>
              <w:rPr>
                <w:sz w:val="20"/>
                <w:szCs w:val="20"/>
                <w:color w:val="auto"/>
              </w:rPr>
            </w:pPr>
            <w:r>
              <w:rPr>
                <w:rFonts w:ascii="Arial" w:cs="Arial" w:eastAsia="Arial" w:hAnsi="Arial"/>
                <w:sz w:val="14"/>
                <w:szCs w:val="14"/>
                <w:color w:val="auto"/>
              </w:rPr>
              <w:t>January 29, 2011</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center"/>
              <w:ind w:right="122"/>
              <w:spacing w:after="0" w:line="135" w:lineRule="exact"/>
              <w:rPr>
                <w:sz w:val="20"/>
                <w:szCs w:val="20"/>
                <w:color w:val="auto"/>
              </w:rPr>
            </w:pPr>
            <w:r>
              <w:rPr>
                <w:rFonts w:ascii="Arial" w:cs="Arial" w:eastAsia="Arial" w:hAnsi="Arial"/>
                <w:sz w:val="14"/>
                <w:szCs w:val="14"/>
                <w:color w:val="auto"/>
                <w:w w:val="83"/>
              </w:rPr>
              <w:t>January 1, 2011</w:t>
            </w: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color w:val="auto"/>
                <w:w w:val="88"/>
              </w:rPr>
              <w:t>March 31, 2012</w:t>
            </w:r>
          </w:p>
        </w:tc>
        <w:tc>
          <w:tcPr>
            <w:tcW w:w="19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4"/>
                <w:szCs w:val="14"/>
                <w:color w:val="auto"/>
              </w:rPr>
              <w:t>to March 31, 2011</w:t>
            </w: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w w:val="93"/>
              </w:rPr>
              <w:t>to January 28, 2011</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E5E5E5"/>
          </w:tcPr>
          <w:p>
            <w:pPr>
              <w:ind w:left="64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E5E5E5"/>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auto"/>
            </w:tcBorders>
            <w:gridSpan w:val="2"/>
            <w:shd w:val="clear" w:color="auto" w:fill="E5E5E5"/>
          </w:tcPr>
          <w:p>
            <w:pPr>
              <w:jc w:val="right"/>
              <w:ind w:right="8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E5E5"/>
          </w:tcPr>
          <w:p>
            <w:pPr>
              <w:ind w:left="14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76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Borders>
              <w:right w:val="single" w:sz="8" w:color="auto"/>
            </w:tcBorders>
          </w:tcPr>
          <w:p>
            <w:pPr>
              <w:spacing w:after="0"/>
              <w:rPr>
                <w:sz w:val="18"/>
                <w:szCs w:val="18"/>
                <w:color w:val="auto"/>
              </w:rPr>
            </w:pP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76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E5E5E5"/>
          </w:tcPr>
          <w:p>
            <w:pPr>
              <w:jc w:val="right"/>
              <w:ind w:right="54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(424)</w:t>
            </w:r>
          </w:p>
        </w:tc>
        <w:tc>
          <w:tcPr>
            <w:tcW w:w="760" w:type="dxa"/>
            <w:vAlign w:val="bottom"/>
            <w:tcBorders>
              <w:bottom w:val="single" w:sz="8" w:color="auto"/>
              <w:right w:val="single" w:sz="8" w:color="auto"/>
            </w:tcBorders>
            <w:shd w:val="clear" w:color="auto" w:fill="E5E5E5"/>
          </w:tcPr>
          <w:p>
            <w:pPr>
              <w:spacing w:after="0"/>
              <w:rPr>
                <w:sz w:val="18"/>
                <w:szCs w:val="18"/>
                <w:color w:val="auto"/>
              </w:rPr>
            </w:pPr>
          </w:p>
        </w:tc>
        <w:tc>
          <w:tcPr>
            <w:tcW w:w="1500" w:type="dxa"/>
            <w:vAlign w:val="bottom"/>
            <w:tcBorders>
              <w:bottom w:val="single" w:sz="8" w:color="auto"/>
            </w:tcBorders>
            <w:gridSpan w:val="2"/>
            <w:shd w:val="clear" w:color="auto" w:fill="E5E5E5"/>
          </w:tcPr>
          <w:p>
            <w:pPr>
              <w:ind w:left="140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gridSpan w:val="2"/>
          </w:tcPr>
          <w:p>
            <w:pPr>
              <w:ind w:left="1000"/>
              <w:spacing w:after="0" w:line="142" w:lineRule="exact"/>
              <w:rPr>
                <w:sz w:val="20"/>
                <w:szCs w:val="20"/>
                <w:color w:val="auto"/>
              </w:rPr>
            </w:pPr>
            <w:r>
              <w:rPr>
                <w:rFonts w:ascii="Arial" w:cs="Arial" w:eastAsia="Arial" w:hAnsi="Arial"/>
                <w:sz w:val="14"/>
                <w:szCs w:val="14"/>
                <w:color w:val="auto"/>
              </w:rPr>
              <w:t>March 31, 2012</w:t>
            </w:r>
          </w:p>
        </w:tc>
        <w:tc>
          <w:tcPr>
            <w:tcW w:w="1980" w:type="dxa"/>
            <w:vAlign w:val="bottom"/>
            <w:tcBorders>
              <w:bottom w:val="single" w:sz="8" w:color="auto"/>
            </w:tcBorders>
            <w:gridSpan w:val="2"/>
          </w:tcPr>
          <w:p>
            <w:pPr>
              <w:ind w:left="86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134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808</w:t>
            </w:r>
          </w:p>
        </w:tc>
        <w:tc>
          <w:tcPr>
            <w:tcW w:w="1300" w:type="dxa"/>
            <w:vAlign w:val="bottom"/>
            <w:shd w:val="clear" w:color="auto" w:fill="E5E5E5"/>
          </w:tcPr>
          <w:p>
            <w:pPr>
              <w:ind w:left="8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13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278</w:t>
            </w:r>
          </w:p>
        </w:tc>
        <w:tc>
          <w:tcPr>
            <w:tcW w:w="13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amounts presented above, we had $855 million and $781 million payable to our monetization programs as of March 31,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780" w:hanging="215"/>
        <w:spacing w:after="0" w:line="325"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300" w:hanging="215"/>
        <w:spacing w:after="0" w:line="325"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our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700" w:hanging="215"/>
        <w:spacing w:after="0" w:line="275"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18"/>
              <w:spacing w:after="0" w:line="160" w:lineRule="exact"/>
              <w:rPr>
                <w:sz w:val="20"/>
                <w:szCs w:val="20"/>
                <w:color w:val="auto"/>
              </w:rPr>
            </w:pPr>
            <w:r>
              <w:rPr>
                <w:rFonts w:ascii="Arial" w:cs="Arial" w:eastAsia="Arial" w:hAnsi="Arial"/>
                <w:sz w:val="14"/>
                <w:szCs w:val="14"/>
                <w:color w:val="auto"/>
                <w:w w:val="81"/>
              </w:rPr>
              <w:t>Predecessor</w:t>
            </w:r>
          </w:p>
        </w:tc>
      </w:tr>
      <w:tr>
        <w:trPr>
          <w:trHeight w:val="131"/>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34"/>
              <w:spacing w:after="0" w:line="131" w:lineRule="exact"/>
              <w:rPr>
                <w:sz w:val="20"/>
                <w:szCs w:val="20"/>
                <w:color w:val="auto"/>
              </w:rPr>
            </w:pPr>
            <w:r>
              <w:rPr>
                <w:rFonts w:ascii="Arial" w:cs="Arial" w:eastAsia="Arial" w:hAnsi="Arial"/>
                <w:sz w:val="14"/>
                <w:szCs w:val="14"/>
                <w:color w:val="auto"/>
                <w:w w:val="87"/>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18"/>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Three Months Ended</w:t>
            </w:r>
          </w:p>
        </w:tc>
        <w:tc>
          <w:tcPr>
            <w:tcW w:w="190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3"/>
                <w:szCs w:val="13"/>
                <w:color w:val="auto"/>
              </w:rPr>
            </w:pPr>
          </w:p>
        </w:tc>
        <w:tc>
          <w:tcPr>
            <w:tcW w:w="1640" w:type="dxa"/>
            <w:vAlign w:val="bottom"/>
          </w:tcPr>
          <w:p>
            <w:pPr>
              <w:jc w:val="right"/>
              <w:ind w:right="676"/>
              <w:spacing w:after="0" w:line="159" w:lineRule="exact"/>
              <w:rPr>
                <w:sz w:val="20"/>
                <w:szCs w:val="20"/>
                <w:color w:val="auto"/>
              </w:rPr>
            </w:pPr>
            <w:r>
              <w:rPr>
                <w:rFonts w:ascii="Arial" w:cs="Arial" w:eastAsia="Arial" w:hAnsi="Arial"/>
                <w:sz w:val="14"/>
                <w:szCs w:val="14"/>
                <w:color w:val="auto"/>
                <w:w w:val="88"/>
              </w:rPr>
              <w:t>March 31, 2012</w:t>
            </w:r>
          </w:p>
        </w:tc>
        <w:tc>
          <w:tcPr>
            <w:tcW w:w="1900" w:type="dxa"/>
            <w:vAlign w:val="bottom"/>
            <w:tcBorders>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700" w:type="dxa"/>
            <w:vAlign w:val="bottom"/>
          </w:tcPr>
          <w:p>
            <w:pPr>
              <w:spacing w:after="0"/>
              <w:rPr>
                <w:sz w:val="13"/>
                <w:szCs w:val="13"/>
                <w:color w:val="auto"/>
              </w:rPr>
            </w:pPr>
          </w:p>
        </w:tc>
        <w:tc>
          <w:tcPr>
            <w:tcW w:w="17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tcBorders>
              <w:top w:val="single" w:sz="8" w:color="auto"/>
            </w:tcBorders>
            <w:shd w:val="clear" w:color="auto" w:fill="E5E5E5"/>
          </w:tcPr>
          <w:p>
            <w:pPr>
              <w:spacing w:after="0"/>
              <w:rPr>
                <w:sz w:val="18"/>
                <w:szCs w:val="18"/>
                <w:color w:val="auto"/>
              </w:rPr>
            </w:pPr>
          </w:p>
        </w:tc>
        <w:tc>
          <w:tcPr>
            <w:tcW w:w="164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36"/>
              <w:spacing w:after="0"/>
              <w:rPr>
                <w:sz w:val="20"/>
                <w:szCs w:val="20"/>
                <w:color w:val="auto"/>
              </w:rPr>
            </w:pPr>
            <w:r>
              <w:rPr>
                <w:rFonts w:ascii="Arial" w:cs="Arial" w:eastAsia="Arial" w:hAnsi="Arial"/>
                <w:sz w:val="18"/>
                <w:szCs w:val="18"/>
                <w:color w:val="auto"/>
              </w:rPr>
              <w:t>2,138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1,400</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1,851</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888</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Filmed Entertainment</w:t>
            </w:r>
          </w:p>
        </w:tc>
        <w:tc>
          <w:tcPr>
            <w:tcW w:w="720" w:type="dxa"/>
            <w:vAlign w:val="bottom"/>
          </w:tcPr>
          <w:p>
            <w:pPr>
              <w:spacing w:after="0"/>
              <w:rPr>
                <w:sz w:val="18"/>
                <w:szCs w:val="18"/>
                <w:color w:val="auto"/>
              </w:rPr>
            </w:pPr>
          </w:p>
        </w:tc>
        <w:tc>
          <w:tcPr>
            <w:tcW w:w="1640" w:type="dxa"/>
            <w:vAlign w:val="bottom"/>
          </w:tcPr>
          <w:p>
            <w:pPr>
              <w:jc w:val="right"/>
              <w:ind w:right="536"/>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622</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353</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720" w:type="dxa"/>
            <w:vAlign w:val="bottom"/>
            <w:tcBorders>
              <w:bottom w:val="single" w:sz="8" w:color="auto"/>
            </w:tcBorders>
            <w:shd w:val="clear" w:color="auto" w:fill="E5E5E5"/>
          </w:tcPr>
          <w:p>
            <w:pPr>
              <w:spacing w:after="0"/>
              <w:rPr>
                <w:sz w:val="18"/>
                <w:szCs w:val="18"/>
                <w:color w:val="auto"/>
              </w:rPr>
            </w:pPr>
          </w:p>
        </w:tc>
        <w:tc>
          <w:tcPr>
            <w:tcW w:w="1640" w:type="dxa"/>
            <w:vAlign w:val="bottom"/>
            <w:tcBorders>
              <w:bottom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275</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segment revenue</w:t>
            </w:r>
          </w:p>
        </w:tc>
        <w:tc>
          <w:tcPr>
            <w:tcW w:w="720" w:type="dxa"/>
            <w:vAlign w:val="bottom"/>
          </w:tcPr>
          <w:p>
            <w:pPr>
              <w:spacing w:after="0"/>
              <w:rPr>
                <w:sz w:val="18"/>
                <w:szCs w:val="18"/>
                <w:color w:val="auto"/>
              </w:rPr>
            </w:pPr>
          </w:p>
        </w:tc>
        <w:tc>
          <w:tcPr>
            <w:tcW w:w="1640" w:type="dxa"/>
            <w:vAlign w:val="bottom"/>
          </w:tcPr>
          <w:p>
            <w:pPr>
              <w:jc w:val="right"/>
              <w:ind w:right="536"/>
              <w:spacing w:after="0"/>
              <w:rPr>
                <w:sz w:val="20"/>
                <w:szCs w:val="20"/>
                <w:color w:val="auto"/>
              </w:rPr>
            </w:pPr>
            <w:r>
              <w:rPr>
                <w:rFonts w:ascii="Arial" w:cs="Arial" w:eastAsia="Arial" w:hAnsi="Arial"/>
                <w:sz w:val="18"/>
                <w:szCs w:val="18"/>
                <w:color w:val="auto"/>
              </w:rPr>
              <w:t>5,593</w:t>
            </w:r>
          </w:p>
        </w:tc>
        <w:tc>
          <w:tcPr>
            <w:tcW w:w="1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3,185</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p>
        </w:tc>
        <w:tc>
          <w:tcPr>
            <w:tcW w:w="720" w:type="dxa"/>
            <w:vAlign w:val="bottom"/>
            <w:shd w:val="clear" w:color="auto" w:fill="E5E5E5"/>
          </w:tcPr>
          <w:p>
            <w:pPr>
              <w:spacing w:after="0"/>
              <w:rPr>
                <w:sz w:val="18"/>
                <w:szCs w:val="18"/>
                <w:color w:val="auto"/>
              </w:rPr>
            </w:pPr>
          </w:p>
        </w:tc>
        <w:tc>
          <w:tcPr>
            <w:tcW w:w="164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11</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7"/>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1"/>
                <w:szCs w:val="11"/>
                <w:b w:val="1"/>
                <w:bCs w:val="1"/>
                <w:color w:val="auto"/>
              </w:rPr>
              <w:t>(e)</w:t>
            </w:r>
          </w:p>
        </w:tc>
        <w:tc>
          <w:tcPr>
            <w:tcW w:w="72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b w:val="1"/>
                <w:bCs w:val="1"/>
                <w:color w:val="auto"/>
              </w:rPr>
              <w:t>5,472</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b w:val="1"/>
                <w:bCs w:val="1"/>
                <w:color w:val="auto"/>
              </w:rPr>
              <w:t>2,911</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1,206</w:t>
            </w: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right"/>
              <w:ind w:right="1136"/>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Successor</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3"/>
              </w:rPr>
              <w:t>Predecessor</w:t>
            </w: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4"/>
              <w:spacing w:after="0" w:line="131" w:lineRule="exact"/>
              <w:rPr>
                <w:sz w:val="20"/>
                <w:szCs w:val="20"/>
                <w:color w:val="auto"/>
              </w:rPr>
            </w:pPr>
            <w:r>
              <w:rPr>
                <w:rFonts w:ascii="Arial" w:cs="Arial" w:eastAsia="Arial" w:hAnsi="Arial"/>
                <w:sz w:val="14"/>
                <w:szCs w:val="14"/>
                <w:color w:val="auto"/>
                <w:w w:val="85"/>
              </w:rPr>
              <w:t>For the Period</w:t>
            </w:r>
          </w:p>
        </w:tc>
        <w:tc>
          <w:tcPr>
            <w:tcW w:w="6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Pr>
          <w:p>
            <w:pPr>
              <w:jc w:val="center"/>
              <w:ind w:right="136"/>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jc w:val="right"/>
              <w:ind w:right="736"/>
              <w:spacing w:after="0" w:line="149" w:lineRule="exact"/>
              <w:rPr>
                <w:sz w:val="20"/>
                <w:szCs w:val="20"/>
                <w:color w:val="auto"/>
              </w:rPr>
            </w:pPr>
            <w:r>
              <w:rPr>
                <w:rFonts w:ascii="Arial" w:cs="Arial" w:eastAsia="Arial" w:hAnsi="Arial"/>
                <w:sz w:val="14"/>
                <w:szCs w:val="14"/>
                <w:color w:val="auto"/>
                <w:w w:val="94"/>
              </w:rPr>
              <w:t>Three Months</w:t>
            </w:r>
          </w:p>
        </w:tc>
        <w:tc>
          <w:tcPr>
            <w:tcW w:w="1860" w:type="dxa"/>
            <w:vAlign w:val="bottom"/>
            <w:tcBorders>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January 29, 2011</w:t>
            </w:r>
          </w:p>
        </w:tc>
        <w:tc>
          <w:tcPr>
            <w:tcW w:w="640" w:type="dxa"/>
            <w:vAlign w:val="bottom"/>
          </w:tcPr>
          <w:p>
            <w:pPr>
              <w:spacing w:after="0"/>
              <w:rPr>
                <w:sz w:val="12"/>
                <w:szCs w:val="12"/>
                <w:color w:val="auto"/>
              </w:rPr>
            </w:pPr>
          </w:p>
        </w:tc>
        <w:tc>
          <w:tcPr>
            <w:tcW w:w="166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4"/>
              </w:rPr>
              <w:t>January 1, 2011 to</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38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Ended March 31, 2012</w:t>
            </w:r>
          </w:p>
        </w:tc>
        <w:tc>
          <w:tcPr>
            <w:tcW w:w="1860" w:type="dxa"/>
            <w:vAlign w:val="bottom"/>
            <w:tcBorders>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March 31, 2011</w:t>
            </w:r>
          </w:p>
        </w:tc>
        <w:tc>
          <w:tcPr>
            <w:tcW w:w="640" w:type="dxa"/>
            <w:vAlign w:val="bottom"/>
          </w:tcPr>
          <w:p>
            <w:pPr>
              <w:spacing w:after="0"/>
              <w:rPr>
                <w:sz w:val="13"/>
                <w:szCs w:val="13"/>
                <w:color w:val="auto"/>
              </w:rPr>
            </w:pPr>
          </w:p>
        </w:tc>
        <w:tc>
          <w:tcPr>
            <w:tcW w:w="1660" w:type="dxa"/>
            <w:vAlign w:val="bottom"/>
            <w:gridSpan w:val="2"/>
          </w:tcPr>
          <w:p>
            <w:pPr>
              <w:jc w:val="center"/>
              <w:ind w:left="392"/>
              <w:spacing w:after="0" w:line="159" w:lineRule="exact"/>
              <w:rPr>
                <w:sz w:val="20"/>
                <w:szCs w:val="20"/>
                <w:color w:val="auto"/>
              </w:rPr>
            </w:pPr>
            <w:r>
              <w:rPr>
                <w:rFonts w:ascii="Arial" w:cs="Arial" w:eastAsia="Arial" w:hAnsi="Arial"/>
                <w:sz w:val="14"/>
                <w:szCs w:val="14"/>
                <w:color w:val="auto"/>
                <w:w w:val="85"/>
              </w:rPr>
              <w:t>January 28, 2011</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Operating Income (Loss) Before Depreciation and Amortization</w:t>
            </w:r>
          </w:p>
        </w:tc>
        <w:tc>
          <w:tcPr>
            <w:tcW w:w="720" w:type="dxa"/>
            <w:vAlign w:val="bottom"/>
            <w:tcBorders>
              <w:top w:val="single" w:sz="8" w:color="auto"/>
            </w:tcBorders>
            <w:shd w:val="clear" w:color="auto" w:fill="E5E5E5"/>
          </w:tcPr>
          <w:p>
            <w:pPr>
              <w:spacing w:after="0"/>
              <w:rPr>
                <w:sz w:val="18"/>
                <w:szCs w:val="18"/>
                <w:color w:val="auto"/>
              </w:rPr>
            </w:pPr>
          </w:p>
        </w:tc>
        <w:tc>
          <w:tcPr>
            <w:tcW w:w="166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right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96"/>
              <w:spacing w:after="0"/>
              <w:rPr>
                <w:sz w:val="20"/>
                <w:szCs w:val="20"/>
                <w:color w:val="auto"/>
              </w:rPr>
            </w:pPr>
            <w:r>
              <w:rPr>
                <w:rFonts w:ascii="Arial" w:cs="Arial" w:eastAsia="Arial" w:hAnsi="Arial"/>
                <w:sz w:val="18"/>
                <w:szCs w:val="18"/>
                <w:color w:val="auto"/>
              </w:rPr>
              <w:t>805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599</w:t>
            </w:r>
          </w:p>
        </w:tc>
        <w:tc>
          <w:tcPr>
            <w:tcW w:w="680" w:type="dxa"/>
            <w:vAlign w:val="bottom"/>
            <w:tcBorders>
              <w:right w:val="single" w:sz="8" w:color="auto"/>
            </w:tcBorders>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143</w:t>
            </w:r>
          </w:p>
        </w:tc>
      </w:tr>
      <w:tr>
        <w:trPr>
          <w:trHeight w:val="232"/>
        </w:trPr>
        <w:tc>
          <w:tcPr>
            <w:tcW w:w="20" w:type="dxa"/>
            <w:vAlign w:val="bottom"/>
          </w:tcPr>
          <w:p>
            <w:pPr>
              <w:spacing w:after="0"/>
              <w:rPr>
                <w:sz w:val="20"/>
                <w:szCs w:val="20"/>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720" w:type="dxa"/>
            <w:vAlign w:val="bottom"/>
            <w:shd w:val="clear" w:color="auto" w:fill="E5E5E5"/>
          </w:tcPr>
          <w:p>
            <w:pPr>
              <w:spacing w:after="0"/>
              <w:rPr>
                <w:sz w:val="20"/>
                <w:szCs w:val="20"/>
                <w:color w:val="auto"/>
              </w:rPr>
            </w:pPr>
          </w:p>
        </w:tc>
        <w:tc>
          <w:tcPr>
            <w:tcW w:w="166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w:t>
            </w:r>
          </w:p>
        </w:tc>
        <w:tc>
          <w:tcPr>
            <w:tcW w:w="680" w:type="dxa"/>
            <w:vAlign w:val="bottom"/>
            <w:tcBorders>
              <w:right w:val="single" w:sz="8" w:color="auto"/>
            </w:tcBorders>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Filmed Entertainment</w:t>
            </w:r>
          </w:p>
        </w:tc>
        <w:tc>
          <w:tcPr>
            <w:tcW w:w="720" w:type="dxa"/>
            <w:vAlign w:val="bottom"/>
          </w:tcPr>
          <w:p>
            <w:pPr>
              <w:spacing w:after="0"/>
              <w:rPr>
                <w:sz w:val="19"/>
                <w:szCs w:val="19"/>
                <w:color w:val="auto"/>
              </w:rPr>
            </w:pPr>
          </w:p>
        </w:tc>
        <w:tc>
          <w:tcPr>
            <w:tcW w:w="1660" w:type="dxa"/>
            <w:vAlign w:val="bottom"/>
          </w:tcPr>
          <w:p>
            <w:pPr>
              <w:jc w:val="right"/>
              <w:ind w:right="496"/>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68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32"/>
        </w:trPr>
        <w:tc>
          <w:tcPr>
            <w:tcW w:w="20" w:type="dxa"/>
            <w:vAlign w:val="bottom"/>
          </w:tcPr>
          <w:p>
            <w:pPr>
              <w:spacing w:after="0"/>
              <w:rPr>
                <w:sz w:val="20"/>
                <w:szCs w:val="20"/>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720" w:type="dxa"/>
            <w:vAlign w:val="bottom"/>
            <w:shd w:val="clear" w:color="auto" w:fill="E5E5E5"/>
          </w:tcPr>
          <w:p>
            <w:pPr>
              <w:spacing w:after="0"/>
              <w:rPr>
                <w:sz w:val="20"/>
                <w:szCs w:val="20"/>
                <w:color w:val="auto"/>
              </w:rPr>
            </w:pPr>
          </w:p>
        </w:tc>
        <w:tc>
          <w:tcPr>
            <w:tcW w:w="166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97</w:t>
            </w:r>
          </w:p>
        </w:tc>
        <w:tc>
          <w:tcPr>
            <w:tcW w:w="680" w:type="dxa"/>
            <w:vAlign w:val="bottom"/>
            <w:tcBorders>
              <w:right w:val="single" w:sz="8" w:color="auto"/>
            </w:tcBorders>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37</w:t>
            </w: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720" w:type="dxa"/>
            <w:vAlign w:val="bottom"/>
          </w:tcPr>
          <w:p>
            <w:pPr>
              <w:spacing w:after="0"/>
              <w:rPr>
                <w:sz w:val="19"/>
                <w:szCs w:val="19"/>
                <w:color w:val="auto"/>
              </w:rPr>
            </w:pPr>
          </w:p>
        </w:tc>
        <w:tc>
          <w:tcPr>
            <w:tcW w:w="1660" w:type="dxa"/>
            <w:vAlign w:val="bottom"/>
          </w:tcPr>
          <w:p>
            <w:pPr>
              <w:jc w:val="right"/>
              <w:ind w:right="436"/>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68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1"/>
        </w:trPr>
        <w:tc>
          <w:tcPr>
            <w:tcW w:w="20" w:type="dxa"/>
            <w:vAlign w:val="bottom"/>
          </w:tcPr>
          <w:p>
            <w:pPr>
              <w:spacing w:after="0"/>
              <w:rPr>
                <w:sz w:val="20"/>
                <w:szCs w:val="20"/>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720" w:type="dxa"/>
            <w:vAlign w:val="bottom"/>
            <w:tcBorders>
              <w:bottom w:val="single" w:sz="8" w:color="auto"/>
            </w:tcBorders>
            <w:shd w:val="clear" w:color="auto" w:fill="E5E5E5"/>
          </w:tcPr>
          <w:p>
            <w:pPr>
              <w:spacing w:after="0"/>
              <w:rPr>
                <w:sz w:val="20"/>
                <w:szCs w:val="20"/>
                <w:color w:val="auto"/>
              </w:rPr>
            </w:pPr>
          </w:p>
        </w:tc>
        <w:tc>
          <w:tcPr>
            <w:tcW w:w="166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E5E5E5"/>
          </w:tcPr>
          <w:p>
            <w:pPr>
              <w:spacing w:after="0"/>
              <w:rPr>
                <w:sz w:val="20"/>
                <w:szCs w:val="20"/>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Borders>
              <w:bottom w:val="single" w:sz="8" w:color="auto"/>
              <w:right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spacing w:after="0"/>
              <w:rPr>
                <w:sz w:val="20"/>
                <w:szCs w:val="20"/>
                <w:color w:val="auto"/>
              </w:rPr>
            </w:pPr>
          </w:p>
        </w:tc>
        <w:tc>
          <w:tcPr>
            <w:tcW w:w="660" w:type="dxa"/>
            <w:vAlign w:val="bottom"/>
            <w:tcBorders>
              <w:bottom w:val="single" w:sz="8" w:color="auto"/>
            </w:tcBorders>
            <w:shd w:val="clear" w:color="auto" w:fill="E5E5E5"/>
          </w:tcPr>
          <w:p>
            <w:pPr>
              <w:spacing w:after="0"/>
              <w:rPr>
                <w:sz w:val="20"/>
                <w:szCs w:val="20"/>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w:t>
            </w:r>
          </w:p>
        </w:tc>
      </w:tr>
      <w:tr>
        <w:trPr>
          <w:trHeight w:val="211"/>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Total operating income (loss) before depreciation and amortization</w:t>
            </w:r>
            <w:r>
              <w:rPr>
                <w:rFonts w:ascii="Arial" w:cs="Arial" w:eastAsia="Arial" w:hAnsi="Arial"/>
                <w:sz w:val="11"/>
                <w:szCs w:val="11"/>
                <w:color w:val="auto"/>
                <w:w w:val="89"/>
              </w:rPr>
              <w:t>(f)</w:t>
            </w: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813</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392</w:t>
            </w:r>
          </w:p>
        </w:tc>
        <w:tc>
          <w:tcPr>
            <w:tcW w:w="6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w:t>
            </w:r>
          </w:p>
        </w:tc>
        <w:tc>
          <w:tcPr>
            <w:tcW w:w="680" w:type="dxa"/>
            <w:vAlign w:val="bottom"/>
            <w:tcBorders>
              <w:right w:val="single" w:sz="8" w:color="auto"/>
            </w:tcBorders>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7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140</w:t>
            </w:r>
          </w:p>
        </w:tc>
        <w:tc>
          <w:tcPr>
            <w:tcW w:w="6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w:t>
            </w: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income</w:t>
            </w:r>
          </w:p>
        </w:tc>
        <w:tc>
          <w:tcPr>
            <w:tcW w:w="72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b w:val="1"/>
                <w:bCs w:val="1"/>
                <w:color w:val="auto"/>
              </w:rPr>
              <w:t>501</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205</w:t>
            </w:r>
          </w:p>
        </w:tc>
        <w:tc>
          <w:tcPr>
            <w:tcW w:w="680" w:type="dxa"/>
            <w:vAlign w:val="bottom"/>
            <w:tcBorders>
              <w:bottom w:val="single" w:sz="8" w:color="auto"/>
              <w:right w:val="single" w:sz="8" w:color="auto"/>
            </w:tcBorders>
            <w:shd w:val="clear" w:color="auto" w:fill="E5E5E5"/>
          </w:tcPr>
          <w:p>
            <w:pPr>
              <w:spacing w:after="0"/>
              <w:rPr>
                <w:sz w:val="18"/>
                <w:szCs w:val="18"/>
                <w:color w:val="auto"/>
              </w:rPr>
            </w:pPr>
          </w:p>
        </w:tc>
        <w:tc>
          <w:tcPr>
            <w:tcW w:w="13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8</w:t>
            </w:r>
          </w:p>
        </w:tc>
      </w:tr>
    </w:tbl>
    <w:p>
      <w:pPr>
        <w:spacing w:after="0" w:line="57"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For the three months ended March 31, 2012 and the period January 29 through March 31, 2011, our Cable Networks segment included the results of operations of the Comcast Content Business.</w:t>
      </w:r>
    </w:p>
    <w:p>
      <w:pPr>
        <w:spacing w:after="0" w:line="78" w:lineRule="exact"/>
        <w:rPr>
          <w:rFonts w:ascii="Arial" w:cs="Arial" w:eastAsia="Arial" w:hAnsi="Arial"/>
          <w:sz w:val="12"/>
          <w:szCs w:val="12"/>
          <w:color w:val="auto"/>
        </w:rPr>
      </w:pPr>
    </w:p>
    <w:p>
      <w:pPr>
        <w:ind w:left="340" w:right="180" w:hanging="332"/>
        <w:spacing w:after="0" w:line="239"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the periods January 1, 2011 through January 28, 2011 and January 29, 2011 through March 31, 2011, our Theme Parks segment included the results of operations for Universal Orlando to reflect our measure of operating performance for our Theme Parks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Headquarters and Other included operating costs and expenses associated with corporate overhead, employee benefits and corporate initiatives.</w:t>
      </w:r>
    </w:p>
    <w:p>
      <w:pPr>
        <w:spacing w:after="0" w:line="55" w:lineRule="exact"/>
        <w:rPr>
          <w:rFonts w:ascii="Arial" w:cs="Arial" w:eastAsia="Arial" w:hAnsi="Arial"/>
          <w:sz w:val="14"/>
          <w:szCs w:val="14"/>
          <w:color w:val="auto"/>
        </w:rPr>
      </w:pPr>
    </w:p>
    <w:p>
      <w:pPr>
        <w:ind w:left="340" w:right="200" w:hanging="332"/>
        <w:spacing w:after="0" w:line="317"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Eliminations for the periods January 1, 2011 through January 28, 2011 and January 29, 2011 through March 31, 2011 included the elimination of the results of operations for Universal Orlando for these periods. These results were not included in our consolidated results of operations because we recorded Universal Orlando as an equity method investment during those periods.</w:t>
      </w:r>
    </w:p>
    <w:p>
      <w:pPr>
        <w:ind w:left="340" w:right="320"/>
        <w:spacing w:after="0" w:line="239" w:lineRule="auto"/>
        <w:rPr>
          <w:rFonts w:ascii="Arial" w:cs="Arial" w:eastAsia="Arial" w:hAnsi="Arial"/>
          <w:sz w:val="12"/>
          <w:szCs w:val="12"/>
          <w:color w:val="auto"/>
        </w:rPr>
      </w:pPr>
      <w:r>
        <w:rPr>
          <w:rFonts w:ascii="Arial" w:cs="Arial" w:eastAsia="Arial" w:hAnsi="Arial"/>
          <w:sz w:val="14"/>
          <w:szCs w:val="14"/>
          <w:color w:val="auto"/>
        </w:rPr>
        <w:t>Also included in Eliminations are transactions that our segments enter into with one another, which consist primarily of the licensing of film and television content from our Filmed Entertainment and Broadcast Television segment to our Cable Networks segment.</w:t>
      </w:r>
    </w:p>
    <w:p>
      <w:pPr>
        <w:spacing w:after="0" w:line="43" w:lineRule="exact"/>
        <w:rPr>
          <w:rFonts w:ascii="Arial" w:cs="Arial" w:eastAsia="Arial" w:hAnsi="Arial"/>
          <w:sz w:val="12"/>
          <w:szCs w:val="12"/>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our revenue in any period.</w:t>
      </w:r>
    </w:p>
    <w:p>
      <w:pPr>
        <w:spacing w:after="0" w:line="55" w:lineRule="exact"/>
        <w:rPr>
          <w:rFonts w:ascii="Arial" w:cs="Arial" w:eastAsia="Arial" w:hAnsi="Arial"/>
          <w:sz w:val="14"/>
          <w:szCs w:val="14"/>
          <w:color w:val="auto"/>
        </w:rPr>
      </w:pPr>
    </w:p>
    <w:p>
      <w:pPr>
        <w:ind w:left="340" w:right="20" w:hanging="332"/>
        <w:spacing w:after="0" w:line="268" w:lineRule="auto"/>
        <w:tabs>
          <w:tab w:leader="none" w:pos="3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15: Condensed Consolidating Financial Information</w:t>
      </w:r>
    </w:p>
    <w:p>
      <w:pPr>
        <w:spacing w:after="0" w:line="8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October 2011, NBCUniversal Media, LLC fully and unconditionally guaranteed Universal Orlando’s senior and senior subordinated notes in exchange for amendments that conform the notes’ covenants and events of default to those contained in our $9.1 billion of outstanding public debt securities. The guarantee includes the payment of principal, premium, if any, and interest. NBCUniversal Media, LLC is referred to as “Parent” in the tables presented below.</w:t>
      </w:r>
    </w:p>
    <w:p>
      <w:pPr>
        <w:spacing w:after="0" w:line="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Universal Orlando’s senior and senior subordinated notes were co-issued by Universal City Development Partners, Ltd. and UCDP Finance (collectively, “Issuers”) and continue also to be fully and unconditionally guaranteed by Universal City Travel Partners and Universal Orlando Online Merchandise Store (collectively, “Guarantor Subsidiaries”).</w:t>
      </w:r>
    </w:p>
    <w:p>
      <w:pPr>
        <w:spacing w:after="0" w:line="4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Our condensed consolidating financial information is presented in the tables below and includes the operating results of the Universal Orlando entities from July 1, 2011, the date we acquired the remaining 50% equity interest in Universal Orlando that we did not already own.</w:t>
      </w:r>
    </w:p>
    <w:p>
      <w:pPr>
        <w:spacing w:after="0" w:line="8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256" w:right="51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841</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34</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3,756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111</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1,226</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328</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179</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65</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5,823</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5,059</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2,934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942</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39,753</w:t>
            </w:r>
          </w:p>
        </w:tc>
        <w:tc>
          <w:tcPr>
            <w:tcW w:w="50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12</w:t>
            </w:r>
          </w:p>
        </w:tc>
        <w:tc>
          <w:tcPr>
            <w:tcW w:w="5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(39,765)</w:t>
            </w: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1,648</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3,307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14,587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391</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15,166</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40,741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2,272</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65</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47,865</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(39,827)</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51,116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2,085</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1,394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2,357</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249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5,838</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813</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(410)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264</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2,202</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30,113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946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38,402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(39,355)</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314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30,113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946</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0"/>
              </w:rPr>
              <w:t>38,716</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(39,355)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30,427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40,741</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2,272</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65</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47,865</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(39,827)</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51,116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24</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513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3,536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1,200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5,249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5,227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2,914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39,744</w:t>
            </w:r>
          </w:p>
        </w:tc>
        <w:tc>
          <w:tcPr>
            <w:tcW w:w="50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(39,755)</w:t>
            </w: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1,644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14,657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392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15,303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1,992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1,255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2,371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5,622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262</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2,127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38,394</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0"/>
              </w:rPr>
              <w:t>38,755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w:t>
            </w:r>
          </w:p>
        </w:tc>
        <w:tc>
          <w:tcPr>
            <w:tcW w:w="46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w w:val="86"/>
              </w:rPr>
              <w:t>296</w:t>
            </w:r>
          </w:p>
        </w:tc>
        <w:tc>
          <w:tcPr>
            <w:tcW w:w="5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29</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5,154</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(13)</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5,472</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253</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86"/>
              </w:rPr>
              <w:t>175</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29</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4,215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4,659</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179</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182</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253</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6"/>
              </w:rPr>
              <w:t>208</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4,494</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4,971</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(247)</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88</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660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733</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(733)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(103)</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99"/>
              </w:rPr>
              <w:t>(17)</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634</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9"/>
              </w:rPr>
              <w:t>(17)</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(733)</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387</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732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(733)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385</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694</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(733)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385</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71</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662</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(733)</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385</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9"/>
              </w:rPr>
              <w:t>386</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71</w:t>
            </w:r>
          </w:p>
        </w:tc>
        <w:tc>
          <w:tcPr>
            <w:tcW w:w="5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662</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(733)</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386</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2,910</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2,911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151</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2,368</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2,519</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140</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151</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2,555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2,706</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(150)</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322</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(336)</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245</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(336)</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(336)</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94</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336</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(336)</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94</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339</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(336)</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97</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60" w:type="dxa"/>
            <w:vAlign w:val="bottom"/>
            <w:gridSpan w:val="2"/>
          </w:tcPr>
          <w:p>
            <w:pPr>
              <w:spacing w:after="0"/>
              <w:rPr>
                <w:sz w:val="20"/>
                <w:szCs w:val="20"/>
                <w:color w:val="auto"/>
              </w:rPr>
            </w:pPr>
            <w:r>
              <w:rPr>
                <w:rFonts w:ascii="Arial" w:cs="Arial" w:eastAsia="Arial" w:hAnsi="Arial"/>
                <w:sz w:val="14"/>
                <w:szCs w:val="14"/>
                <w:color w:val="auto"/>
              </w:rPr>
              <w:t>Predecessor (in millions)</w:t>
            </w:r>
          </w:p>
        </w:tc>
        <w:tc>
          <w:tcPr>
            <w:tcW w:w="1000" w:type="dxa"/>
            <w:vAlign w:val="bottom"/>
          </w:tcPr>
          <w:p>
            <w:pPr>
              <w:jc w:val="right"/>
              <w:ind w:right="113"/>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1,206</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1,206</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1,133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1,198</w:t>
            </w:r>
          </w:p>
        </w:tc>
      </w:tr>
      <w:tr>
        <w:trPr>
          <w:trHeight w:val="210"/>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1000" w:type="dxa"/>
            <w:vAlign w:val="bottom"/>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(65)</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8</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 (23)</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54</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10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 (27)</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4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620" w:type="dxa"/>
            <w:vAlign w:val="bottom"/>
            <w:gridSpan w:val="2"/>
          </w:tcPr>
          <w:p>
            <w:pPr>
              <w:spacing w:after="0"/>
              <w:rPr>
                <w:sz w:val="20"/>
                <w:szCs w:val="20"/>
                <w:color w:val="auto"/>
              </w:rPr>
            </w:pPr>
            <w:r>
              <w:rPr>
                <w:rFonts w:ascii="Arial" w:cs="Arial" w:eastAsia="Arial" w:hAnsi="Arial"/>
                <w:sz w:val="14"/>
                <w:szCs w:val="14"/>
                <w:color w:val="auto"/>
              </w:rPr>
              <w:t>Successor (in millions)</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86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$(291)</w:t>
            </w:r>
          </w:p>
        </w:tc>
        <w:tc>
          <w:tcPr>
            <w:tcW w:w="460" w:type="dxa"/>
            <w:vAlign w:val="bottom"/>
            <w:tcBorders>
              <w:top w:val="single" w:sz="8" w:color="auto"/>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w w:val="86"/>
              </w:rPr>
              <w:t>107</w:t>
            </w:r>
          </w:p>
        </w:tc>
        <w:tc>
          <w:tcPr>
            <w:tcW w:w="54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1,210</w:t>
            </w:r>
          </w:p>
        </w:tc>
        <w:tc>
          <w:tcPr>
            <w:tcW w:w="4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1,037</w:t>
            </w: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99"/>
              </w:rPr>
              <w:t>(31)</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(18)</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642</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(31)</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(783)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6"/>
              </w:rPr>
              <w:t>Proceeds from (repayments of) short-term borrowings,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net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9"/>
                <w:szCs w:val="19"/>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7"/>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4"/>
              </w:rPr>
              <w:t>Repurchases and repayments of third-party borrowings</w:t>
            </w: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08"/>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4"/>
              </w:rPr>
              <w:t>Repayments of borrowings from subsidiaries eliminated</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upon consolidation</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99"/>
              </w:rPr>
              <w:t>(75)</w:t>
            </w:r>
          </w:p>
        </w:tc>
        <w:tc>
          <w:tcPr>
            <w:tcW w:w="5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6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(98)</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(325)</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(75)</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(99)</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366</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238</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513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808</w:t>
            </w:r>
          </w:p>
        </w:tc>
      </w:tr>
      <w:tr>
        <w:trPr>
          <w:trHeight w:val="195"/>
        </w:trPr>
        <w:tc>
          <w:tcPr>
            <w:tcW w:w="20" w:type="dxa"/>
            <w:vAlign w:val="bottom"/>
          </w:tcPr>
          <w:p>
            <w:pPr>
              <w:spacing w:after="0"/>
              <w:rPr>
                <w:sz w:val="16"/>
                <w:szCs w:val="16"/>
                <w:color w:val="auto"/>
              </w:rPr>
            </w:pPr>
          </w:p>
        </w:tc>
        <w:tc>
          <w:tcPr>
            <w:tcW w:w="46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Cash and cash equivalents, end of</w:t>
            </w:r>
          </w:p>
        </w:tc>
        <w:tc>
          <w:tcPr>
            <w:tcW w:w="8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r>
      <w:tr>
        <w:trPr>
          <w:trHeight w:val="251"/>
        </w:trPr>
        <w:tc>
          <w:tcPr>
            <w:tcW w:w="20" w:type="dxa"/>
            <w:vAlign w:val="bottom"/>
          </w:tcPr>
          <w:p>
            <w:pPr>
              <w:spacing w:after="0"/>
              <w:rPr>
                <w:sz w:val="21"/>
                <w:szCs w:val="21"/>
                <w:color w:val="auto"/>
              </w:rPr>
            </w:pPr>
          </w:p>
        </w:tc>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period</w:t>
            </w: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$ 264</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34</w:t>
            </w:r>
          </w:p>
        </w:tc>
        <w:tc>
          <w:tcPr>
            <w:tcW w:w="54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35</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841</w:t>
            </w:r>
          </w:p>
        </w:tc>
        <w:tc>
          <w:tcPr>
            <w:tcW w:w="44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1,174</w:t>
            </w: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8"/>
              </w:rPr>
              <w:t>Non-</w:t>
            </w:r>
          </w:p>
        </w:tc>
        <w:tc>
          <w:tcPr>
            <w:tcW w:w="480" w:type="dxa"/>
            <w:vAlign w:val="bottom"/>
          </w:tcPr>
          <w:p>
            <w:pPr>
              <w:spacing w:after="0"/>
              <w:rPr>
                <w:sz w:val="12"/>
                <w:szCs w:val="12"/>
                <w:color w:val="auto"/>
              </w:rPr>
            </w:pPr>
          </w:p>
        </w:tc>
        <w:tc>
          <w:tcPr>
            <w:tcW w:w="880" w:type="dxa"/>
            <w:vAlign w:val="bottom"/>
          </w:tcPr>
          <w:p>
            <w:pPr>
              <w:jc w:val="center"/>
              <w:ind w:right="414"/>
              <w:spacing w:after="0" w:line="149" w:lineRule="exact"/>
              <w:rPr>
                <w:sz w:val="20"/>
                <w:szCs w:val="20"/>
                <w:color w:val="auto"/>
              </w:rPr>
            </w:pPr>
            <w:r>
              <w:rPr>
                <w:rFonts w:ascii="Arial" w:cs="Arial" w:eastAsia="Arial" w:hAnsi="Arial"/>
                <w:sz w:val="14"/>
                <w:szCs w:val="14"/>
                <w:color w:val="auto"/>
                <w:w w:val="76"/>
              </w:rPr>
              <w:t>and</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294"/>
              <w:spacing w:after="0" w:line="149" w:lineRule="exact"/>
              <w:rPr>
                <w:sz w:val="20"/>
                <w:szCs w:val="20"/>
                <w:color w:val="auto"/>
              </w:rPr>
            </w:pPr>
            <w:r>
              <w:rPr>
                <w:rFonts w:ascii="Arial" w:cs="Arial" w:eastAsia="Arial" w:hAnsi="Arial"/>
                <w:sz w:val="14"/>
                <w:szCs w:val="14"/>
                <w:color w:val="auto"/>
              </w:rPr>
              <w:t>Guarantor</w:t>
            </w:r>
          </w:p>
        </w:tc>
        <w:tc>
          <w:tcPr>
            <w:tcW w:w="1360" w:type="dxa"/>
            <w:vAlign w:val="bottom"/>
            <w:gridSpan w:val="2"/>
          </w:tcPr>
          <w:p>
            <w:pPr>
              <w:jc w:val="right"/>
              <w:ind w:right="234"/>
              <w:spacing w:after="0" w:line="149" w:lineRule="exact"/>
              <w:rPr>
                <w:sz w:val="20"/>
                <w:szCs w:val="20"/>
                <w:color w:val="auto"/>
              </w:rPr>
            </w:pPr>
            <w:r>
              <w:rPr>
                <w:rFonts w:ascii="Arial" w:cs="Arial" w:eastAsia="Arial" w:hAnsi="Arial"/>
                <w:sz w:val="14"/>
                <w:szCs w:val="14"/>
                <w:color w:val="auto"/>
              </w:rPr>
              <w:t>Consolidation</w:t>
            </w:r>
          </w:p>
        </w:tc>
        <w:tc>
          <w:tcPr>
            <w:tcW w:w="12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100" w:type="dxa"/>
            <w:vAlign w:val="bottom"/>
            <w:gridSpan w:val="2"/>
          </w:tcPr>
          <w:p>
            <w:pPr>
              <w:spacing w:after="0"/>
              <w:rPr>
                <w:sz w:val="20"/>
                <w:szCs w:val="20"/>
                <w:color w:val="auto"/>
              </w:rPr>
            </w:pPr>
            <w:r>
              <w:rPr>
                <w:rFonts w:ascii="Arial" w:cs="Arial" w:eastAsia="Arial" w:hAnsi="Arial"/>
                <w:sz w:val="14"/>
                <w:szCs w:val="14"/>
                <w:color w:val="auto"/>
              </w:rPr>
              <w:t>Successor (in millions)</w:t>
            </w: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ind w:left="280"/>
              <w:spacing w:after="0"/>
              <w:rPr>
                <w:sz w:val="20"/>
                <w:szCs w:val="20"/>
                <w:color w:val="auto"/>
              </w:rPr>
            </w:pPr>
            <w:r>
              <w:rPr>
                <w:rFonts w:ascii="Arial" w:cs="Arial" w:eastAsia="Arial" w:hAnsi="Arial"/>
                <w:sz w:val="14"/>
                <w:szCs w:val="14"/>
                <w:color w:val="auto"/>
              </w:rPr>
              <w:t>Issuers</w:t>
            </w:r>
          </w:p>
        </w:tc>
        <w:tc>
          <w:tcPr>
            <w:tcW w:w="1260" w:type="dxa"/>
            <w:vAlign w:val="bottom"/>
            <w:gridSpan w:val="2"/>
          </w:tcPr>
          <w:p>
            <w:pPr>
              <w:jc w:val="right"/>
              <w:ind w:right="212"/>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ind w:left="300"/>
              <w:spacing w:after="0"/>
              <w:rPr>
                <w:sz w:val="20"/>
                <w:szCs w:val="20"/>
                <w:color w:val="auto"/>
              </w:rPr>
            </w:pPr>
            <w:r>
              <w:rPr>
                <w:rFonts w:ascii="Arial" w:cs="Arial" w:eastAsia="Arial" w:hAnsi="Arial"/>
                <w:sz w:val="14"/>
                <w:szCs w:val="14"/>
                <w:color w:val="auto"/>
              </w:rPr>
              <w:t>Subsidiaries</w:t>
            </w: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220" w:type="dxa"/>
            <w:vAlign w:val="bottom"/>
            <w:gridSpan w:val="2"/>
          </w:tcPr>
          <w:p>
            <w:pPr>
              <w:ind w:left="30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tcBorders>
              <w:top w:val="single" w:sz="8" w:color="auto"/>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 (44)</w:t>
            </w:r>
          </w:p>
        </w:tc>
        <w:tc>
          <w:tcPr>
            <w:tcW w:w="48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567</w:t>
            </w:r>
          </w:p>
        </w:tc>
        <w:tc>
          <w:tcPr>
            <w:tcW w:w="4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523</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12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135</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(184)</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234"/>
              <w:spacing w:after="0"/>
              <w:rPr>
                <w:sz w:val="20"/>
                <w:szCs w:val="20"/>
                <w:color w:val="auto"/>
              </w:rPr>
            </w:pPr>
            <w:r>
              <w:rPr>
                <w:rFonts w:ascii="Arial" w:cs="Arial" w:eastAsia="Arial" w:hAnsi="Arial"/>
                <w:sz w:val="18"/>
                <w:szCs w:val="18"/>
                <w:color w:val="auto"/>
              </w:rPr>
              <w:t>346</w:t>
            </w:r>
          </w:p>
        </w:tc>
        <w:tc>
          <w:tcPr>
            <w:tcW w:w="48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2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295</w:t>
            </w:r>
          </w:p>
        </w:tc>
        <w:tc>
          <w:tcPr>
            <w:tcW w:w="4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213</w:t>
            </w:r>
          </w:p>
        </w:tc>
        <w:tc>
          <w:tcPr>
            <w:tcW w:w="4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508</w:t>
            </w:r>
          </w:p>
        </w:tc>
      </w:tr>
      <w:tr>
        <w:trPr>
          <w:trHeight w:val="217"/>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$386</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559</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945</w:t>
            </w: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w w:val="89"/>
              </w:rPr>
              <w:t>23</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18" w:name="page219"/>
    <w:bookmarkEnd w:id="218"/>
    <w:p>
      <w:pPr>
        <w:ind w:left="3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Cash Flows</w:t>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4"/>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4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76"/>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274"/>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94"/>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color w:val="auto"/>
              </w:rPr>
              <w:t>Predecessor (in millions)</w:t>
            </w:r>
          </w:p>
        </w:tc>
        <w:tc>
          <w:tcPr>
            <w:tcW w:w="5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020" w:type="dxa"/>
            <w:vAlign w:val="bottom"/>
            <w:gridSpan w:val="2"/>
          </w:tcPr>
          <w:p>
            <w:pPr>
              <w:jc w:val="right"/>
              <w:ind w:right="172"/>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(292)</w:t>
            </w:r>
          </w:p>
        </w:tc>
        <w:tc>
          <w:tcPr>
            <w:tcW w:w="4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(629)</w:t>
            </w: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6"/>
              </w:rPr>
              <w:t>Proceeds from sale of businesses and investments</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331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(8,041)</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(Increase) decrease in short-term loans to GE, net</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97"/>
              </w:rPr>
              <w:t>8,072</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8,072</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Repurchase of preferred stock interest</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(332)</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59</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848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1,084</w:t>
            </w:r>
          </w:p>
        </w:tc>
      </w:tr>
      <w:tr>
        <w:trPr>
          <w:trHeight w:val="230"/>
        </w:trPr>
        <w:tc>
          <w:tcPr>
            <w:tcW w:w="20" w:type="dxa"/>
            <w:vAlign w:val="bottom"/>
          </w:tcPr>
          <w:p>
            <w:pPr>
              <w:spacing w:after="0"/>
              <w:rPr>
                <w:sz w:val="20"/>
                <w:szCs w:val="20"/>
                <w:color w:val="auto"/>
              </w:rPr>
            </w:pPr>
          </w:p>
        </w:tc>
        <w:tc>
          <w:tcPr>
            <w:tcW w:w="4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rPr>
              <w:t>295</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175</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470</w:t>
            </w: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ind w:right="157"/>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19" w:name="page220"/>
    <w:bookmarkEnd w:id="219"/>
    <w:p>
      <w:pPr>
        <w:ind w:right="940"/>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January 28, 2011, Comcast closed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For a more complete discussion of these transactions, refer to our consolidated financial statements included in our 2011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other business interests primarily include equity method investments, such as A&amp;E Television Networks LLC, which owns and operates, among other channels, A&amp;E, The History Channel, The Biography Channel and Lifetime (“A&amp;E Television Networks”), The Weather Channel Holding Corp. (“The Weather Channel”) and MSNBC Interactive News, LLC (“MSNBC.com”). The performance of our equity method investments is discussed below under the heading “Consolidated Other Income (Expense) Items—Equity in Net Income of Investees, Net.”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Headquarters and Other includes operating costs and expenses associated with corporate overhead, employee benefits and corporate initiatives.</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6"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Operating Results</w:t>
      </w:r>
    </w:p>
    <w:p>
      <w:pPr>
        <w:spacing w:after="0" w:line="8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following tables set forth our results of operations as reported in our condensed consolidated financial statements in accordance with generally accepted accounting principles in the United States (“GAAP”). GAAP requires that we separately present our results for the periods from January 1, 2011 to January 28, 2011 (the “Predecessor period”) and from January 29, 2011 to March 31, 2011 (the “Successor period”). Management believes reviewing our operating results for the three months ended March 31,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condensed consolidated financial statements in accordance with GAAP, the table below presents the non-GAAP combined results for the three months ended March 31,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color w:val="auto"/>
                <w:w w:val="81"/>
              </w:rPr>
              <w:t>Predecessor</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87"/>
              </w:rPr>
              <w:t>Combined</w:t>
            </w:r>
          </w:p>
        </w:tc>
        <w:tc>
          <w:tcPr>
            <w:tcW w:w="118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00" w:type="dxa"/>
            <w:vAlign w:val="bottom"/>
            <w:gridSpan w:val="2"/>
          </w:tcPr>
          <w:p>
            <w:pPr>
              <w:jc w:val="right"/>
              <w:ind w:right="255"/>
              <w:spacing w:after="0" w:line="131" w:lineRule="exact"/>
              <w:rPr>
                <w:sz w:val="20"/>
                <w:szCs w:val="20"/>
                <w:color w:val="auto"/>
              </w:rPr>
            </w:pPr>
            <w:r>
              <w:rPr>
                <w:rFonts w:ascii="Arial" w:cs="Arial" w:eastAsia="Arial" w:hAnsi="Arial"/>
                <w:sz w:val="14"/>
                <w:szCs w:val="14"/>
                <w:color w:val="auto"/>
              </w:rPr>
              <w:t>Three Months</w:t>
            </w:r>
          </w:p>
        </w:tc>
        <w:tc>
          <w:tcPr>
            <w:tcW w:w="320" w:type="dxa"/>
            <w:vAlign w:val="bottom"/>
          </w:tcPr>
          <w:p>
            <w:pPr>
              <w:spacing w:after="0"/>
              <w:rPr>
                <w:sz w:val="11"/>
                <w:szCs w:val="11"/>
                <w:color w:val="auto"/>
              </w:rPr>
            </w:pPr>
          </w:p>
        </w:tc>
        <w:tc>
          <w:tcPr>
            <w:tcW w:w="1520" w:type="dxa"/>
            <w:vAlign w:val="bottom"/>
            <w:tcBorders>
              <w:right w:val="single" w:sz="8" w:color="auto"/>
            </w:tcBorders>
            <w:gridSpan w:val="2"/>
          </w:tcPr>
          <w:p>
            <w:pPr>
              <w:jc w:val="center"/>
              <w:ind w:right="720"/>
              <w:spacing w:after="0" w:line="131" w:lineRule="exact"/>
              <w:rPr>
                <w:sz w:val="20"/>
                <w:szCs w:val="20"/>
                <w:color w:val="auto"/>
              </w:rPr>
            </w:pPr>
            <w:r>
              <w:rPr>
                <w:rFonts w:ascii="Arial" w:cs="Arial" w:eastAsia="Arial" w:hAnsi="Arial"/>
                <w:sz w:val="14"/>
                <w:szCs w:val="14"/>
                <w:color w:val="auto"/>
                <w:w w:val="85"/>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right="277"/>
              <w:spacing w:after="0" w:line="131" w:lineRule="exact"/>
              <w:rPr>
                <w:sz w:val="20"/>
                <w:szCs w:val="20"/>
                <w:color w:val="auto"/>
              </w:rPr>
            </w:pPr>
            <w:r>
              <w:rPr>
                <w:rFonts w:ascii="Arial" w:cs="Arial" w:eastAsia="Arial" w:hAnsi="Arial"/>
                <w:sz w:val="14"/>
                <w:szCs w:val="14"/>
                <w:color w:val="auto"/>
                <w:w w:val="87"/>
              </w:rPr>
              <w:t>For the Period</w:t>
            </w:r>
          </w:p>
        </w:tc>
        <w:tc>
          <w:tcPr>
            <w:tcW w:w="1200" w:type="dxa"/>
            <w:vAlign w:val="bottom"/>
            <w:gridSpan w:val="2"/>
          </w:tcPr>
          <w:p>
            <w:pPr>
              <w:jc w:val="center"/>
              <w:ind w:left="42"/>
              <w:spacing w:after="0" w:line="131" w:lineRule="exact"/>
              <w:rPr>
                <w:sz w:val="20"/>
                <w:szCs w:val="20"/>
                <w:color w:val="auto"/>
              </w:rPr>
            </w:pPr>
            <w:r>
              <w:rPr>
                <w:rFonts w:ascii="Arial" w:cs="Arial" w:eastAsia="Arial" w:hAnsi="Arial"/>
                <w:sz w:val="14"/>
                <w:szCs w:val="14"/>
                <w:color w:val="auto"/>
                <w:w w:val="87"/>
              </w:rPr>
              <w:t>Three Months</w:t>
            </w:r>
          </w:p>
        </w:tc>
        <w:tc>
          <w:tcPr>
            <w:tcW w:w="1180" w:type="dxa"/>
            <w:vAlign w:val="bottom"/>
          </w:tcPr>
          <w:p>
            <w:pPr>
              <w:jc w:val="center"/>
              <w:ind w:left="57"/>
              <w:spacing w:after="0" w:line="131" w:lineRule="exact"/>
              <w:rPr>
                <w:sz w:val="20"/>
                <w:szCs w:val="20"/>
                <w:color w:val="auto"/>
              </w:rPr>
            </w:pPr>
            <w:r>
              <w:rPr>
                <w:rFonts w:ascii="Arial" w:cs="Arial" w:eastAsia="Arial" w:hAnsi="Arial"/>
                <w:sz w:val="14"/>
                <w:szCs w:val="14"/>
                <w:color w:val="auto"/>
                <w:w w:val="85"/>
              </w:rPr>
              <w:t>% Change</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ind w:right="455"/>
              <w:spacing w:after="0" w:line="149" w:lineRule="exact"/>
              <w:rPr>
                <w:sz w:val="20"/>
                <w:szCs w:val="20"/>
                <w:color w:val="auto"/>
              </w:rPr>
            </w:pPr>
            <w:r>
              <w:rPr>
                <w:rFonts w:ascii="Arial" w:cs="Arial" w:eastAsia="Arial" w:hAnsi="Arial"/>
                <w:sz w:val="14"/>
                <w:szCs w:val="14"/>
                <w:color w:val="auto"/>
                <w:w w:val="98"/>
              </w:rPr>
              <w:t>Ended</w:t>
            </w:r>
          </w:p>
        </w:tc>
        <w:tc>
          <w:tcPr>
            <w:tcW w:w="184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color w:val="auto"/>
                <w:w w:val="85"/>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right="277"/>
              <w:spacing w:after="0" w:line="149" w:lineRule="exact"/>
              <w:rPr>
                <w:sz w:val="20"/>
                <w:szCs w:val="20"/>
                <w:color w:val="auto"/>
              </w:rPr>
            </w:pPr>
            <w:r>
              <w:rPr>
                <w:rFonts w:ascii="Arial" w:cs="Arial" w:eastAsia="Arial" w:hAnsi="Arial"/>
                <w:sz w:val="14"/>
                <w:szCs w:val="14"/>
                <w:color w:val="auto"/>
                <w:w w:val="85"/>
              </w:rPr>
              <w:t>January 1, 2011</w:t>
            </w:r>
          </w:p>
        </w:tc>
        <w:tc>
          <w:tcPr>
            <w:tcW w:w="3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83"/>
              </w:rPr>
              <w:t>Ended</w:t>
            </w:r>
          </w:p>
        </w:tc>
        <w:tc>
          <w:tcPr>
            <w:tcW w:w="1180" w:type="dxa"/>
            <w:vAlign w:val="bottom"/>
          </w:tcPr>
          <w:p>
            <w:pPr>
              <w:jc w:val="center"/>
              <w:ind w:left="57"/>
              <w:spacing w:after="0" w:line="149" w:lineRule="exact"/>
              <w:rPr>
                <w:sz w:val="20"/>
                <w:szCs w:val="20"/>
                <w:color w:val="auto"/>
              </w:rPr>
            </w:pPr>
            <w:r>
              <w:rPr>
                <w:rFonts w:ascii="Arial" w:cs="Arial" w:eastAsia="Arial" w:hAnsi="Arial"/>
                <w:sz w:val="14"/>
                <w:szCs w:val="14"/>
                <w:color w:val="auto"/>
                <w:w w:val="85"/>
              </w:rPr>
              <w:t>2011 to</w:t>
            </w:r>
          </w:p>
        </w:tc>
      </w:tr>
      <w:tr>
        <w:trPr>
          <w:trHeight w:val="173"/>
        </w:trPr>
        <w:tc>
          <w:tcPr>
            <w:tcW w:w="3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00" w:type="dxa"/>
            <w:vAlign w:val="bottom"/>
            <w:gridSpan w:val="2"/>
          </w:tcPr>
          <w:p>
            <w:pPr>
              <w:ind w:left="560"/>
              <w:spacing w:after="0"/>
              <w:rPr>
                <w:sz w:val="20"/>
                <w:szCs w:val="20"/>
                <w:color w:val="auto"/>
              </w:rPr>
            </w:pPr>
            <w:r>
              <w:rPr>
                <w:rFonts w:ascii="Arial" w:cs="Arial" w:eastAsia="Arial" w:hAnsi="Arial"/>
                <w:sz w:val="14"/>
                <w:szCs w:val="14"/>
                <w:color w:val="auto"/>
              </w:rPr>
              <w:t>March 31, 2012</w:t>
            </w:r>
          </w:p>
        </w:tc>
        <w:tc>
          <w:tcPr>
            <w:tcW w:w="184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88"/>
              </w:rPr>
              <w:t>to March 31, 2011</w:t>
            </w:r>
          </w:p>
        </w:tc>
        <w:tc>
          <w:tcPr>
            <w:tcW w:w="480" w:type="dxa"/>
            <w:vAlign w:val="bottom"/>
          </w:tcPr>
          <w:p>
            <w:pPr>
              <w:spacing w:after="0"/>
              <w:rPr>
                <w:sz w:val="15"/>
                <w:szCs w:val="15"/>
                <w:color w:val="auto"/>
              </w:rPr>
            </w:pPr>
          </w:p>
        </w:tc>
        <w:tc>
          <w:tcPr>
            <w:tcW w:w="1760" w:type="dxa"/>
            <w:vAlign w:val="bottom"/>
            <w:gridSpan w:val="2"/>
          </w:tcPr>
          <w:p>
            <w:pPr>
              <w:jc w:val="center"/>
              <w:ind w:left="72"/>
              <w:spacing w:after="0"/>
              <w:rPr>
                <w:sz w:val="20"/>
                <w:szCs w:val="20"/>
                <w:color w:val="auto"/>
              </w:rPr>
            </w:pPr>
            <w:r>
              <w:rPr>
                <w:rFonts w:ascii="Arial" w:cs="Arial" w:eastAsia="Arial" w:hAnsi="Arial"/>
                <w:sz w:val="14"/>
                <w:szCs w:val="14"/>
                <w:color w:val="auto"/>
                <w:w w:val="85"/>
              </w:rPr>
              <w:t>to January 28, 2011</w:t>
            </w:r>
          </w:p>
        </w:tc>
        <w:tc>
          <w:tcPr>
            <w:tcW w:w="1200" w:type="dxa"/>
            <w:vAlign w:val="bottom"/>
            <w:gridSpan w:val="2"/>
          </w:tcPr>
          <w:p>
            <w:pPr>
              <w:jc w:val="center"/>
              <w:ind w:left="22"/>
              <w:spacing w:after="0"/>
              <w:rPr>
                <w:sz w:val="20"/>
                <w:szCs w:val="20"/>
                <w:color w:val="auto"/>
              </w:rPr>
            </w:pPr>
            <w:r>
              <w:rPr>
                <w:rFonts w:ascii="Arial" w:cs="Arial" w:eastAsia="Arial" w:hAnsi="Arial"/>
                <w:sz w:val="14"/>
                <w:szCs w:val="14"/>
                <w:color w:val="auto"/>
                <w:w w:val="88"/>
              </w:rPr>
              <w:t>March 31, 2011</w:t>
            </w:r>
          </w:p>
        </w:tc>
        <w:tc>
          <w:tcPr>
            <w:tcW w:w="1180" w:type="dxa"/>
            <w:vAlign w:val="bottom"/>
          </w:tcPr>
          <w:p>
            <w:pPr>
              <w:jc w:val="center"/>
              <w:ind w:left="77"/>
              <w:spacing w:after="0"/>
              <w:rPr>
                <w:sz w:val="20"/>
                <w:szCs w:val="20"/>
                <w:color w:val="auto"/>
              </w:rPr>
            </w:pPr>
            <w:r>
              <w:rPr>
                <w:rFonts w:ascii="Arial" w:cs="Arial" w:eastAsia="Arial" w:hAnsi="Arial"/>
                <w:sz w:val="14"/>
                <w:szCs w:val="14"/>
                <w:color w:val="auto"/>
                <w:w w:val="83"/>
              </w:rPr>
              <w:t>2012</w:t>
            </w: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top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5,472</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2,911</w:t>
            </w:r>
          </w:p>
        </w:tc>
        <w:tc>
          <w:tcPr>
            <w:tcW w:w="520" w:type="dxa"/>
            <w:vAlign w:val="bottom"/>
            <w:tcBorders>
              <w:top w:val="single" w:sz="8" w:color="auto"/>
              <w:right w:val="single" w:sz="8" w:color="auto"/>
            </w:tcBorders>
            <w:shd w:val="clear" w:color="auto" w:fill="E5E5E5"/>
          </w:tcPr>
          <w:p>
            <w:pPr>
              <w:spacing w:after="0"/>
              <w:rPr>
                <w:sz w:val="18"/>
                <w:szCs w:val="18"/>
                <w:color w:val="auto"/>
              </w:rPr>
            </w:pPr>
          </w:p>
        </w:tc>
        <w:tc>
          <w:tcPr>
            <w:tcW w:w="9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1,206</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4,117</w:t>
            </w:r>
          </w:p>
        </w:tc>
        <w:tc>
          <w:tcPr>
            <w:tcW w:w="1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32.9 %</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Costs and Expenses: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4,659</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2,519</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1,171</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3,690</w:t>
            </w:r>
          </w:p>
        </w:tc>
        <w:tc>
          <w:tcPr>
            <w:tcW w:w="11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97.2</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182</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140</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148</w:t>
            </w:r>
          </w:p>
        </w:tc>
        <w:tc>
          <w:tcPr>
            <w:tcW w:w="11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22.5</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205</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213</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135.8</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118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(45.3)</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132</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247.7</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11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108.0</w:t>
            </w: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271.5</w:t>
            </w:r>
          </w:p>
        </w:tc>
      </w:tr>
      <w:tr>
        <w:trPr>
          <w:trHeight w:val="208"/>
        </w:trPr>
        <w:tc>
          <w:tcPr>
            <w:tcW w:w="20" w:type="dxa"/>
            <w:vAlign w:val="bottom"/>
          </w:tcPr>
          <w:p>
            <w:pPr>
              <w:spacing w:after="0"/>
              <w:rPr>
                <w:sz w:val="18"/>
                <w:szCs w:val="18"/>
                <w:color w:val="auto"/>
              </w:rPr>
            </w:pPr>
          </w:p>
        </w:tc>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w:t>
            </w:r>
          </w:p>
        </w:tc>
        <w:tc>
          <w:tcPr>
            <w:tcW w:w="7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noncontrolling interests</w:t>
            </w:r>
          </w:p>
        </w:tc>
        <w:tc>
          <w:tcPr>
            <w:tcW w:w="74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right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spacing w:after="0"/>
              <w:rPr>
                <w:sz w:val="19"/>
                <w:szCs w:val="19"/>
                <w:color w:val="auto"/>
              </w:rPr>
            </w:pP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18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(23.5)</w:t>
            </w:r>
          </w:p>
        </w:tc>
      </w:tr>
      <w:tr>
        <w:trPr>
          <w:trHeight w:val="197"/>
        </w:trPr>
        <w:tc>
          <w:tcPr>
            <w:tcW w:w="20" w:type="dxa"/>
            <w:vAlign w:val="bottom"/>
          </w:tcPr>
          <w:p>
            <w:pPr>
              <w:spacing w:after="0"/>
              <w:rPr>
                <w:sz w:val="17"/>
                <w:szCs w:val="17"/>
                <w:color w:val="auto"/>
              </w:rPr>
            </w:pPr>
          </w:p>
        </w:tc>
        <w:tc>
          <w:tcPr>
            <w:tcW w:w="3240" w:type="dxa"/>
            <w:vAlign w:val="bottom"/>
          </w:tcPr>
          <w:p>
            <w:pPr>
              <w:spacing w:after="0" w:line="197" w:lineRule="exact"/>
              <w:rPr>
                <w:sz w:val="20"/>
                <w:szCs w:val="20"/>
                <w:color w:val="auto"/>
              </w:rPr>
            </w:pPr>
            <w:r>
              <w:rPr>
                <w:rFonts w:ascii="Arial" w:cs="Arial" w:eastAsia="Arial" w:hAnsi="Arial"/>
                <w:sz w:val="18"/>
                <w:szCs w:val="18"/>
                <w:b w:val="1"/>
                <w:bCs w:val="1"/>
                <w:color w:val="auto"/>
              </w:rPr>
              <w:t>Net income (loss) attributable to</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NBCUniversal</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385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w:t>
            </w:r>
          </w:p>
        </w:tc>
        <w:tc>
          <w:tcPr>
            <w:tcW w:w="5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445.5%</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comparability of our consolidated operating results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During the three months ended March 31, 2012, we broadcast the 2012 Super Bowl. Our advertising revenue increased as a result of increased demand for advertising time and our operating costs and expenses also increased as a result of our production costs and amortization of the related rights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Consolidated revenue increased for the three months ended March 31, 2012 compared to the same period in 2011 primarily due to increases in revenue in our Theme Parks and Cable Networks segments resulting from the impact of the Universal Orlando and Joint Venture transactions, respectively, as well as increases in our Broadcast Television and Filmed Entertainment segments. Revenue for our segments is discussed separately under the heading “Segment Operating Results.”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6"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Operating Costs and Expenses</w:t>
      </w:r>
    </w:p>
    <w:p>
      <w:pPr>
        <w:spacing w:after="0" w:line="7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Consolidated operating costs and expenses increased for the three months ended March 31, 2012 compared to the same period in 2011 primarily due to increases in operating costs and expenses in our Theme Parks and Cable Networks segments resulting from the impact of the Universal Orlando and Joint Venture transactions, respectively, as well as increases in our Broadcast Television and Filmed Entertainment segments. Operating costs and expenses for our segments are discussed separately under the heading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Depreciation expense for the three months ended March 31, 2012 increased compared with the same period in 2011 primarily due to the impact of consolidating Universal Orlando in the current period. Amortization expense for the three months ended March 31, 2012 increased compared with the same period in 2011 primarily due to the amortization of the intangible assets recorded as a result of the Joint Venture and Universal Orlando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14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Successor</w:t>
            </w: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w w:val="81"/>
              </w:rPr>
              <w:t>Predecessor</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87"/>
              </w:rPr>
              <w:t>Combined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20" w:type="dxa"/>
            <w:vAlign w:val="bottom"/>
            <w:gridSpan w:val="2"/>
          </w:tcPr>
          <w:p>
            <w:pPr>
              <w:jc w:val="right"/>
              <w:ind w:right="255"/>
              <w:spacing w:after="0" w:line="131" w:lineRule="exact"/>
              <w:rPr>
                <w:sz w:val="20"/>
                <w:szCs w:val="20"/>
                <w:color w:val="auto"/>
              </w:rPr>
            </w:pPr>
            <w:r>
              <w:rPr>
                <w:rFonts w:ascii="Arial" w:cs="Arial" w:eastAsia="Arial" w:hAnsi="Arial"/>
                <w:sz w:val="14"/>
                <w:szCs w:val="14"/>
                <w:color w:val="auto"/>
              </w:rPr>
              <w:t>Three Months</w:t>
            </w:r>
          </w:p>
        </w:tc>
        <w:tc>
          <w:tcPr>
            <w:tcW w:w="320" w:type="dxa"/>
            <w:vAlign w:val="bottom"/>
          </w:tcPr>
          <w:p>
            <w:pPr>
              <w:spacing w:after="0"/>
              <w:rPr>
                <w:sz w:val="11"/>
                <w:szCs w:val="11"/>
                <w:color w:val="auto"/>
              </w:rPr>
            </w:pPr>
          </w:p>
        </w:tc>
        <w:tc>
          <w:tcPr>
            <w:tcW w:w="1520" w:type="dxa"/>
            <w:vAlign w:val="bottom"/>
            <w:tcBorders>
              <w:right w:val="single" w:sz="8" w:color="auto"/>
            </w:tcBorders>
            <w:gridSpan w:val="2"/>
          </w:tcPr>
          <w:p>
            <w:pPr>
              <w:jc w:val="center"/>
              <w:ind w:right="720"/>
              <w:spacing w:after="0" w:line="131" w:lineRule="exact"/>
              <w:rPr>
                <w:sz w:val="20"/>
                <w:szCs w:val="20"/>
                <w:color w:val="auto"/>
              </w:rPr>
            </w:pPr>
            <w:r>
              <w:rPr>
                <w:rFonts w:ascii="Arial" w:cs="Arial" w:eastAsia="Arial" w:hAnsi="Arial"/>
                <w:sz w:val="14"/>
                <w:szCs w:val="14"/>
                <w:color w:val="auto"/>
                <w:w w:val="85"/>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right="276"/>
              <w:spacing w:after="0" w:line="131" w:lineRule="exact"/>
              <w:rPr>
                <w:sz w:val="20"/>
                <w:szCs w:val="20"/>
                <w:color w:val="auto"/>
              </w:rPr>
            </w:pPr>
            <w:r>
              <w:rPr>
                <w:rFonts w:ascii="Arial" w:cs="Arial" w:eastAsia="Arial" w:hAnsi="Arial"/>
                <w:sz w:val="14"/>
                <w:szCs w:val="14"/>
                <w:color w:val="auto"/>
                <w:w w:val="87"/>
              </w:rPr>
              <w:t>For the Period</w:t>
            </w:r>
          </w:p>
        </w:tc>
        <w:tc>
          <w:tcPr>
            <w:tcW w:w="1200" w:type="dxa"/>
            <w:vAlign w:val="bottom"/>
            <w:gridSpan w:val="2"/>
          </w:tcPr>
          <w:p>
            <w:pPr>
              <w:jc w:val="center"/>
              <w:ind w:left="39"/>
              <w:spacing w:after="0" w:line="131" w:lineRule="exact"/>
              <w:rPr>
                <w:sz w:val="20"/>
                <w:szCs w:val="20"/>
                <w:color w:val="auto"/>
              </w:rPr>
            </w:pPr>
            <w:r>
              <w:rPr>
                <w:rFonts w:ascii="Arial" w:cs="Arial" w:eastAsia="Arial" w:hAnsi="Arial"/>
                <w:sz w:val="14"/>
                <w:szCs w:val="14"/>
                <w:color w:val="auto"/>
                <w:w w:val="87"/>
              </w:rPr>
              <w:t>Three Months</w:t>
            </w:r>
          </w:p>
        </w:tc>
        <w:tc>
          <w:tcPr>
            <w:tcW w:w="1180" w:type="dxa"/>
            <w:vAlign w:val="bottom"/>
          </w:tcPr>
          <w:p>
            <w:pPr>
              <w:jc w:val="center"/>
              <w:ind w:left="56"/>
              <w:spacing w:after="0" w:line="131" w:lineRule="exact"/>
              <w:rPr>
                <w:sz w:val="20"/>
                <w:szCs w:val="20"/>
                <w:color w:val="auto"/>
              </w:rPr>
            </w:pPr>
            <w:r>
              <w:rPr>
                <w:rFonts w:ascii="Arial" w:cs="Arial" w:eastAsia="Arial" w:hAnsi="Arial"/>
                <w:sz w:val="14"/>
                <w:szCs w:val="14"/>
                <w:color w:val="auto"/>
                <w:w w:val="85"/>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455"/>
              <w:spacing w:after="0" w:line="149" w:lineRule="exact"/>
              <w:rPr>
                <w:sz w:val="20"/>
                <w:szCs w:val="20"/>
                <w:color w:val="auto"/>
              </w:rPr>
            </w:pPr>
            <w:r>
              <w:rPr>
                <w:rFonts w:ascii="Arial" w:cs="Arial" w:eastAsia="Arial" w:hAnsi="Arial"/>
                <w:sz w:val="14"/>
                <w:szCs w:val="14"/>
                <w:color w:val="auto"/>
                <w:w w:val="98"/>
              </w:rPr>
              <w:t>Ended</w:t>
            </w:r>
          </w:p>
        </w:tc>
        <w:tc>
          <w:tcPr>
            <w:tcW w:w="184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color w:val="auto"/>
                <w:w w:val="85"/>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right="276"/>
              <w:spacing w:after="0" w:line="149" w:lineRule="exact"/>
              <w:rPr>
                <w:sz w:val="20"/>
                <w:szCs w:val="20"/>
                <w:color w:val="auto"/>
              </w:rPr>
            </w:pPr>
            <w:r>
              <w:rPr>
                <w:rFonts w:ascii="Arial" w:cs="Arial" w:eastAsia="Arial" w:hAnsi="Arial"/>
                <w:sz w:val="14"/>
                <w:szCs w:val="14"/>
                <w:color w:val="auto"/>
                <w:w w:val="85"/>
              </w:rPr>
              <w:t>January 1, 2011</w:t>
            </w:r>
          </w:p>
        </w:tc>
        <w:tc>
          <w:tcPr>
            <w:tcW w:w="34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Arial" w:cs="Arial" w:eastAsia="Arial" w:hAnsi="Arial"/>
                <w:sz w:val="14"/>
                <w:szCs w:val="14"/>
                <w:color w:val="auto"/>
                <w:w w:val="83"/>
              </w:rPr>
              <w:t>Ended</w:t>
            </w:r>
          </w:p>
        </w:tc>
        <w:tc>
          <w:tcPr>
            <w:tcW w:w="1180" w:type="dxa"/>
            <w:vAlign w:val="bottom"/>
          </w:tcPr>
          <w:p>
            <w:pPr>
              <w:jc w:val="center"/>
              <w:ind w:left="56"/>
              <w:spacing w:after="0" w:line="149" w:lineRule="exact"/>
              <w:rPr>
                <w:sz w:val="20"/>
                <w:szCs w:val="20"/>
                <w:color w:val="auto"/>
              </w:rPr>
            </w:pPr>
            <w:r>
              <w:rPr>
                <w:rFonts w:ascii="Arial" w:cs="Arial" w:eastAsia="Arial" w:hAnsi="Arial"/>
                <w:sz w:val="14"/>
                <w:szCs w:val="14"/>
                <w:color w:val="auto"/>
                <w:w w:val="85"/>
              </w:rPr>
              <w:t>2011 to</w:t>
            </w:r>
          </w:p>
        </w:tc>
        <w:tc>
          <w:tcPr>
            <w:tcW w:w="0" w:type="dxa"/>
            <w:vAlign w:val="bottom"/>
          </w:tcPr>
          <w:p>
            <w:pPr>
              <w:spacing w:after="0"/>
              <w:rPr>
                <w:sz w:val="1"/>
                <w:szCs w:val="1"/>
                <w:color w:val="auto"/>
              </w:rPr>
            </w:pPr>
          </w:p>
        </w:tc>
      </w:tr>
      <w:tr>
        <w:trPr>
          <w:trHeight w:val="173"/>
        </w:trPr>
        <w:tc>
          <w:tcPr>
            <w:tcW w:w="3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20" w:type="dxa"/>
            <w:vAlign w:val="bottom"/>
            <w:gridSpan w:val="2"/>
          </w:tcPr>
          <w:p>
            <w:pPr>
              <w:ind w:left="380"/>
              <w:spacing w:after="0"/>
              <w:rPr>
                <w:sz w:val="20"/>
                <w:szCs w:val="20"/>
                <w:color w:val="auto"/>
              </w:rPr>
            </w:pPr>
            <w:r>
              <w:rPr>
                <w:rFonts w:ascii="Arial" w:cs="Arial" w:eastAsia="Arial" w:hAnsi="Arial"/>
                <w:sz w:val="14"/>
                <w:szCs w:val="14"/>
                <w:color w:val="auto"/>
              </w:rPr>
              <w:t>March 31, 2012</w:t>
            </w:r>
          </w:p>
        </w:tc>
        <w:tc>
          <w:tcPr>
            <w:tcW w:w="184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88"/>
              </w:rPr>
              <w:t>to March 31, 2011</w:t>
            </w:r>
          </w:p>
        </w:tc>
        <w:tc>
          <w:tcPr>
            <w:tcW w:w="480" w:type="dxa"/>
            <w:vAlign w:val="bottom"/>
          </w:tcPr>
          <w:p>
            <w:pPr>
              <w:spacing w:after="0"/>
              <w:rPr>
                <w:sz w:val="15"/>
                <w:szCs w:val="15"/>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color w:val="auto"/>
              </w:rPr>
              <w:t>to January 28, 2011</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w w:val="98"/>
              </w:rPr>
              <w:t>March 31, 2011</w:t>
            </w:r>
          </w:p>
        </w:tc>
        <w:tc>
          <w:tcPr>
            <w:tcW w:w="1180" w:type="dxa"/>
            <w:vAlign w:val="bottom"/>
          </w:tcPr>
          <w:p>
            <w:pPr>
              <w:jc w:val="center"/>
              <w:ind w:left="76"/>
              <w:spacing w:after="0"/>
              <w:rPr>
                <w:sz w:val="20"/>
                <w:szCs w:val="20"/>
                <w:color w:val="auto"/>
              </w:rPr>
            </w:pPr>
            <w:r>
              <w:rPr>
                <w:rFonts w:ascii="Arial" w:cs="Arial" w:eastAsia="Arial" w:hAnsi="Arial"/>
                <w:sz w:val="14"/>
                <w:szCs w:val="14"/>
                <w:color w:val="auto"/>
                <w:w w:val="83"/>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right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12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2,138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1,400</w:t>
            </w:r>
          </w:p>
        </w:tc>
        <w:tc>
          <w:tcPr>
            <w:tcW w:w="520" w:type="dxa"/>
            <w:vAlign w:val="bottom"/>
            <w:tcBorders>
              <w:right w:val="single" w:sz="8" w:color="auto"/>
            </w:tcBorders>
          </w:tcPr>
          <w:p>
            <w:pPr>
              <w:spacing w:after="0"/>
              <w:rPr>
                <w:sz w:val="18"/>
                <w:szCs w:val="18"/>
                <w:color w:val="auto"/>
              </w:rPr>
            </w:pP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389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1,789</w:t>
            </w: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Broadcast Television</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1,851</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888</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1,352</w:t>
            </w:r>
          </w:p>
        </w:tc>
        <w:tc>
          <w:tcPr>
            <w:tcW w:w="11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975</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Theme Parks</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275</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390</w:t>
            </w:r>
          </w:p>
        </w:tc>
        <w:tc>
          <w:tcPr>
            <w:tcW w:w="11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Headquarters and Other</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Eliminations</w:t>
            </w:r>
          </w:p>
        </w:tc>
        <w:tc>
          <w:tcPr>
            <w:tcW w:w="5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(285)</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(405)</w:t>
            </w:r>
          </w:p>
        </w:tc>
        <w:tc>
          <w:tcPr>
            <w:tcW w:w="11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5,472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2,911</w:t>
            </w:r>
          </w:p>
        </w:tc>
        <w:tc>
          <w:tcPr>
            <w:tcW w:w="5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gridSpan w:val="2"/>
          </w:tcPr>
          <w:p>
            <w:pPr>
              <w:ind w:left="900"/>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1,206</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4,117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w w:val="87"/>
              </w:rPr>
              <w:t>Operating Income (Loss) Before Depreciation</w:t>
            </w:r>
          </w:p>
        </w:tc>
        <w:tc>
          <w:tcPr>
            <w:tcW w:w="5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20" w:type="dxa"/>
            <w:vAlign w:val="bottom"/>
            <w:tcBorders>
              <w:right w:val="single" w:sz="8" w:color="auto"/>
            </w:tcBorders>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and Amortization</w:t>
            </w:r>
          </w:p>
        </w:tc>
        <w:tc>
          <w:tcPr>
            <w:tcW w:w="5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520" w:type="dxa"/>
            <w:vAlign w:val="bottom"/>
            <w:tcBorders>
              <w:right w:val="single" w:sz="8" w:color="auto"/>
            </w:tcBorders>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1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805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599</w:t>
            </w:r>
          </w:p>
        </w:tc>
        <w:tc>
          <w:tcPr>
            <w:tcW w:w="520" w:type="dxa"/>
            <w:vAlign w:val="bottom"/>
            <w:tcBorders>
              <w:right w:val="single" w:sz="8" w:color="auto"/>
            </w:tcBorders>
          </w:tcPr>
          <w:p>
            <w:pPr>
              <w:spacing w:after="0"/>
              <w:rPr>
                <w:sz w:val="18"/>
                <w:szCs w:val="18"/>
                <w:color w:val="auto"/>
              </w:rPr>
            </w:pP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143</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742</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Broadcast Television</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56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5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Theme Parks</w:t>
            </w: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97</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134</w:t>
            </w:r>
          </w:p>
        </w:tc>
        <w:tc>
          <w:tcPr>
            <w:tcW w:w="11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813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392</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980" w:type="dxa"/>
            <w:vAlign w:val="bottom"/>
            <w:tcBorders>
              <w:bottom w:val="single" w:sz="8" w:color="auto"/>
            </w:tcBorders>
            <w:gridSpan w:val="2"/>
            <w:shd w:val="clear" w:color="auto" w:fill="E5E5E5"/>
          </w:tcPr>
          <w:p>
            <w:pPr>
              <w:ind w:left="900"/>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35</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427</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374"/>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Cable Networks Segment —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color w:val="auto"/>
                <w:w w:val="81"/>
              </w:rPr>
              <w:t>Predecessor</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w w:val="87"/>
              </w:rPr>
              <w:t>Combined</w:t>
            </w:r>
          </w:p>
        </w:tc>
        <w:tc>
          <w:tcPr>
            <w:tcW w:w="110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99"/>
              <w:spacing w:after="0" w:line="138" w:lineRule="exact"/>
              <w:rPr>
                <w:sz w:val="20"/>
                <w:szCs w:val="20"/>
                <w:color w:val="auto"/>
              </w:rPr>
            </w:pPr>
            <w:r>
              <w:rPr>
                <w:rFonts w:ascii="Arial" w:cs="Arial" w:eastAsia="Arial" w:hAnsi="Arial"/>
                <w:sz w:val="14"/>
                <w:szCs w:val="14"/>
                <w:color w:val="auto"/>
                <w:w w:val="87"/>
              </w:rPr>
              <w:t>For the Period</w:t>
            </w:r>
          </w:p>
        </w:tc>
        <w:tc>
          <w:tcPr>
            <w:tcW w:w="5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jc w:val="center"/>
              <w:ind w:right="260"/>
              <w:spacing w:after="0" w:line="138" w:lineRule="exact"/>
              <w:rPr>
                <w:sz w:val="20"/>
                <w:szCs w:val="20"/>
                <w:color w:val="auto"/>
              </w:rPr>
            </w:pPr>
            <w:r>
              <w:rPr>
                <w:rFonts w:ascii="Arial" w:cs="Arial" w:eastAsia="Arial" w:hAnsi="Arial"/>
                <w:sz w:val="14"/>
                <w:szCs w:val="14"/>
                <w:color w:val="auto"/>
                <w:w w:val="87"/>
              </w:rPr>
              <w:t>For the Period</w:t>
            </w: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6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color w:val="auto"/>
                <w:w w:val="85"/>
              </w:rPr>
              <w:t>January 29, 2011 to</w:t>
            </w:r>
          </w:p>
        </w:tc>
        <w:tc>
          <w:tcPr>
            <w:tcW w:w="420" w:type="dxa"/>
            <w:vAlign w:val="bottom"/>
          </w:tcPr>
          <w:p>
            <w:pPr>
              <w:spacing w:after="0"/>
              <w:rPr>
                <w:sz w:val="12"/>
                <w:szCs w:val="12"/>
                <w:color w:val="auto"/>
              </w:rPr>
            </w:pPr>
          </w:p>
        </w:tc>
        <w:tc>
          <w:tcPr>
            <w:tcW w:w="1780" w:type="dxa"/>
            <w:vAlign w:val="bottom"/>
            <w:gridSpan w:val="2"/>
          </w:tcPr>
          <w:p>
            <w:pPr>
              <w:jc w:val="center"/>
              <w:ind w:left="179"/>
              <w:spacing w:after="0" w:line="149" w:lineRule="exact"/>
              <w:rPr>
                <w:sz w:val="20"/>
                <w:szCs w:val="20"/>
                <w:color w:val="auto"/>
              </w:rPr>
            </w:pPr>
            <w:r>
              <w:rPr>
                <w:rFonts w:ascii="Arial" w:cs="Arial" w:eastAsia="Arial" w:hAnsi="Arial"/>
                <w:sz w:val="14"/>
                <w:szCs w:val="14"/>
                <w:color w:val="auto"/>
                <w:w w:val="86"/>
              </w:rPr>
              <w:t>January 1, 2011 to</w:t>
            </w:r>
          </w:p>
        </w:tc>
        <w:tc>
          <w:tcPr>
            <w:tcW w:w="1440" w:type="dxa"/>
            <w:vAlign w:val="bottom"/>
            <w:gridSpan w:val="2"/>
          </w:tcPr>
          <w:p>
            <w:pPr>
              <w:jc w:val="center"/>
              <w:ind w:left="99"/>
              <w:spacing w:after="0" w:line="149" w:lineRule="exact"/>
              <w:rPr>
                <w:sz w:val="20"/>
                <w:szCs w:val="20"/>
                <w:color w:val="auto"/>
              </w:rPr>
            </w:pPr>
            <w:r>
              <w:rPr>
                <w:rFonts w:ascii="Arial" w:cs="Arial" w:eastAsia="Arial" w:hAnsi="Arial"/>
                <w:sz w:val="14"/>
                <w:szCs w:val="14"/>
                <w:color w:val="auto"/>
                <w:w w:val="87"/>
              </w:rPr>
              <w:t>Three Months Ended</w:t>
            </w:r>
          </w:p>
        </w:tc>
        <w:tc>
          <w:tcPr>
            <w:tcW w:w="110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720"/>
              <w:spacing w:after="0" w:line="149" w:lineRule="exact"/>
              <w:rPr>
                <w:sz w:val="20"/>
                <w:szCs w:val="20"/>
                <w:color w:val="auto"/>
              </w:rPr>
            </w:pPr>
            <w:r>
              <w:rPr>
                <w:rFonts w:ascii="Arial" w:cs="Arial" w:eastAsia="Arial" w:hAnsi="Arial"/>
                <w:sz w:val="14"/>
                <w:szCs w:val="14"/>
                <w:color w:val="auto"/>
                <w:w w:val="86"/>
              </w:rPr>
              <w:t>March 31,</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84"/>
              </w:rPr>
              <w:t>January 28,</w:t>
            </w:r>
          </w:p>
        </w:tc>
        <w:tc>
          <w:tcPr>
            <w:tcW w:w="440" w:type="dxa"/>
            <w:vAlign w:val="bottom"/>
          </w:tcPr>
          <w:p>
            <w:pPr>
              <w:spacing w:after="0"/>
              <w:rPr>
                <w:sz w:val="12"/>
                <w:szCs w:val="12"/>
                <w:color w:val="auto"/>
              </w:rPr>
            </w:pPr>
          </w:p>
        </w:tc>
        <w:tc>
          <w:tcPr>
            <w:tcW w:w="100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89"/>
              </w:rPr>
              <w:t>March 31,</w:t>
            </w:r>
          </w:p>
        </w:tc>
        <w:tc>
          <w:tcPr>
            <w:tcW w:w="110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2011 to</w:t>
            </w:r>
          </w:p>
        </w:tc>
        <w:tc>
          <w:tcPr>
            <w:tcW w:w="0" w:type="dxa"/>
            <w:vAlign w:val="bottom"/>
          </w:tcPr>
          <w:p>
            <w:pPr>
              <w:spacing w:after="0"/>
              <w:rPr>
                <w:sz w:val="1"/>
                <w:szCs w:val="1"/>
                <w:color w:val="auto"/>
              </w:rPr>
            </w:pPr>
          </w:p>
        </w:tc>
      </w:tr>
      <w:tr>
        <w:trPr>
          <w:trHeight w:val="159"/>
        </w:trPr>
        <w:tc>
          <w:tcPr>
            <w:tcW w:w="2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557"/>
              <w:spacing w:after="0" w:line="159" w:lineRule="exact"/>
              <w:rPr>
                <w:sz w:val="20"/>
                <w:szCs w:val="20"/>
                <w:color w:val="auto"/>
              </w:rPr>
            </w:pPr>
            <w:r>
              <w:rPr>
                <w:rFonts w:ascii="Arial" w:cs="Arial" w:eastAsia="Arial" w:hAnsi="Arial"/>
                <w:sz w:val="14"/>
                <w:szCs w:val="14"/>
                <w:color w:val="auto"/>
                <w:w w:val="88"/>
              </w:rPr>
              <w:t>March 31, 2012</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line="159" w:lineRule="exact"/>
              <w:rPr>
                <w:sz w:val="20"/>
                <w:szCs w:val="20"/>
                <w:color w:val="auto"/>
              </w:rPr>
            </w:pPr>
            <w:r>
              <w:rPr>
                <w:rFonts w:ascii="Arial" w:cs="Arial" w:eastAsia="Arial" w:hAnsi="Arial"/>
                <w:sz w:val="14"/>
                <w:szCs w:val="14"/>
                <w:color w:val="auto"/>
                <w:w w:val="83"/>
              </w:rPr>
              <w:t>2011</w:t>
            </w:r>
          </w:p>
        </w:tc>
        <w:tc>
          <w:tcPr>
            <w:tcW w:w="54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60"/>
              <w:spacing w:after="0" w:line="159" w:lineRule="exact"/>
              <w:rPr>
                <w:sz w:val="20"/>
                <w:szCs w:val="20"/>
                <w:color w:val="auto"/>
              </w:rPr>
            </w:pPr>
            <w:r>
              <w:rPr>
                <w:rFonts w:ascii="Arial" w:cs="Arial" w:eastAsia="Arial" w:hAnsi="Arial"/>
                <w:sz w:val="14"/>
                <w:szCs w:val="14"/>
                <w:color w:val="auto"/>
                <w:w w:val="83"/>
              </w:rPr>
              <w:t>2011</w:t>
            </w: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59"/>
              <w:spacing w:after="0" w:line="159" w:lineRule="exact"/>
              <w:rPr>
                <w:sz w:val="20"/>
                <w:szCs w:val="20"/>
                <w:color w:val="auto"/>
              </w:rPr>
            </w:pPr>
            <w:r>
              <w:rPr>
                <w:rFonts w:ascii="Arial" w:cs="Arial" w:eastAsia="Arial" w:hAnsi="Arial"/>
                <w:sz w:val="14"/>
                <w:szCs w:val="14"/>
                <w:color w:val="auto"/>
                <w:w w:val="89"/>
              </w:rPr>
              <w:t>2011</w:t>
            </w:r>
          </w:p>
        </w:tc>
        <w:tc>
          <w:tcPr>
            <w:tcW w:w="1100" w:type="dxa"/>
            <w:vAlign w:val="bottom"/>
            <w:tcBorders>
              <w:bottom w:val="single" w:sz="8" w:color="auto"/>
            </w:tcBorders>
          </w:tcPr>
          <w:p>
            <w:pPr>
              <w:ind w:left="520"/>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40" w:type="dxa"/>
            <w:vAlign w:val="bottom"/>
          </w:tcPr>
          <w:p>
            <w:pPr>
              <w:ind w:left="42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97"/>
              <w:spacing w:after="0"/>
              <w:rPr>
                <w:sz w:val="20"/>
                <w:szCs w:val="20"/>
                <w:color w:val="auto"/>
              </w:rPr>
            </w:pPr>
            <w:r>
              <w:rPr>
                <w:rFonts w:ascii="Arial" w:cs="Arial" w:eastAsia="Arial" w:hAnsi="Arial"/>
                <w:sz w:val="18"/>
                <w:szCs w:val="18"/>
                <w:color w:val="auto"/>
              </w:rPr>
              <w:t>1,143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766</w:t>
            </w:r>
          </w:p>
        </w:tc>
        <w:tc>
          <w:tcPr>
            <w:tcW w:w="5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0"/>
              <w:spacing w:after="0"/>
              <w:rPr>
                <w:sz w:val="20"/>
                <w:szCs w:val="20"/>
                <w:color w:val="auto"/>
              </w:rPr>
            </w:pPr>
            <w:r>
              <w:rPr>
                <w:rFonts w:ascii="Arial" w:cs="Arial" w:eastAsia="Arial" w:hAnsi="Arial"/>
                <w:sz w:val="18"/>
                <w:szCs w:val="18"/>
                <w:color w:val="auto"/>
              </w:rPr>
              <w:t>188</w:t>
            </w: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1100" w:type="dxa"/>
            <w:vAlign w:val="bottom"/>
          </w:tcPr>
          <w:p>
            <w:pPr>
              <w:ind w:left="520"/>
              <w:spacing w:after="0"/>
              <w:rPr>
                <w:sz w:val="20"/>
                <w:szCs w:val="20"/>
                <w:color w:val="auto"/>
              </w:rPr>
            </w:pPr>
            <w:r>
              <w:rPr>
                <w:rFonts w:ascii="Arial" w:cs="Arial" w:eastAsia="Arial" w:hAnsi="Arial"/>
                <w:sz w:val="18"/>
                <w:szCs w:val="18"/>
                <w:color w:val="auto"/>
                <w:w w:val="99"/>
              </w:rPr>
              <w:t>19.8 %</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538</w:t>
            </w: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700</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0"/>
        </w:trPr>
        <w:tc>
          <w:tcPr>
            <w:tcW w:w="2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1,400</w:t>
            </w:r>
          </w:p>
        </w:tc>
        <w:tc>
          <w:tcPr>
            <w:tcW w:w="540" w:type="dxa"/>
            <w:vAlign w:val="bottom"/>
            <w:tcBorders>
              <w:righ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1,789</w:t>
            </w:r>
          </w:p>
        </w:tc>
        <w:tc>
          <w:tcPr>
            <w:tcW w:w="11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54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246</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95"/>
        </w:trPr>
        <w:tc>
          <w:tcPr>
            <w:tcW w:w="296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Operating income before depreciation</w:t>
            </w:r>
          </w:p>
        </w:tc>
        <w:tc>
          <w:tcPr>
            <w:tcW w:w="540" w:type="dxa"/>
            <w:vAlign w:val="bottom"/>
            <w:shd w:val="clear" w:color="auto" w:fill="E5E5E5"/>
          </w:tcPr>
          <w:p>
            <w:pPr>
              <w:spacing w:after="0"/>
              <w:rPr>
                <w:sz w:val="16"/>
                <w:szCs w:val="16"/>
                <w:color w:val="auto"/>
              </w:rPr>
            </w:pPr>
          </w:p>
        </w:tc>
        <w:tc>
          <w:tcPr>
            <w:tcW w:w="1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40" w:type="dxa"/>
            <w:vAlign w:val="bottom"/>
            <w:tcBorders>
              <w:right w:val="single" w:sz="8" w:color="auto"/>
            </w:tcBorders>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and amortization</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805</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599</w:t>
            </w:r>
          </w:p>
        </w:tc>
        <w:tc>
          <w:tcPr>
            <w:tcW w:w="540" w:type="dxa"/>
            <w:vAlign w:val="bottom"/>
            <w:tcBorders>
              <w:bottom w:val="single" w:sz="8" w:color="auto"/>
              <w:right w:val="single" w:sz="8" w:color="auto"/>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143</w:t>
            </w:r>
          </w:p>
        </w:tc>
        <w:tc>
          <w:tcPr>
            <w:tcW w:w="4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742</w:t>
            </w:r>
          </w:p>
        </w:tc>
        <w:tc>
          <w:tcPr>
            <w:tcW w:w="11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Cable Networks revenue for the three months ended March 31, 2012 included three months of operating results of the Comcast Content Business, compared to two months of operating results for the same period in 2011, which accounted for $231 million of the increase in revenue in the current period. The remaining increase is due to increases in distribution, advertising and other revenue. The increase in distribution revenue was primarily due to rate increases, and the increase in advertising revenue was primarily due to an increase in the price of advertising units sold. Other revenue increased primarily due to an increase in the licensing of our owned content from our cable production studio.</w:t>
      </w:r>
    </w:p>
    <w:p>
      <w:pPr>
        <w:spacing w:after="0" w:line="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months ended March 31, 2012 and 2011, 13% and 14%, respectively, of our total Cable Networks segment revenue was generated from transactions with Comcast.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operating costs and expenses for the three months ended March 31, 2012 included three months of operating expenses of the Comcast Content Business, compared to two months of operating expenses for the same period in 2011, which accounted for $168 million of the increase in operating expenses in the current period. The remaining increase is primarily due to higher programming and production expenses, including an increase in rights costs associated with additional NBA games in the current period compared to the prior year period, resulting from the condensed NBA schedule following the lockout at the beginning of the 2011-12 season.</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Broadcast Television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color w:val="auto"/>
                <w:w w:val="83"/>
              </w:rPr>
              <w:t>Predecessor</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w w:val="87"/>
              </w:rPr>
              <w:t>Combined</w:t>
            </w:r>
          </w:p>
        </w:tc>
        <w:tc>
          <w:tcPr>
            <w:tcW w:w="1220" w:type="dxa"/>
            <w:vAlign w:val="bottom"/>
            <w:vMerge w:val="restart"/>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9"/>
              <w:spacing w:after="0" w:line="131" w:lineRule="exact"/>
              <w:rPr>
                <w:sz w:val="20"/>
                <w:szCs w:val="20"/>
                <w:color w:val="auto"/>
              </w:rPr>
            </w:pPr>
            <w:r>
              <w:rPr>
                <w:rFonts w:ascii="Arial" w:cs="Arial" w:eastAsia="Arial" w:hAnsi="Arial"/>
                <w:sz w:val="14"/>
                <w:szCs w:val="14"/>
                <w:color w:val="auto"/>
                <w:w w:val="87"/>
              </w:rPr>
              <w:t>For the Period</w:t>
            </w:r>
          </w:p>
        </w:tc>
        <w:tc>
          <w:tcPr>
            <w:tcW w:w="5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jc w:val="center"/>
              <w:ind w:right="320"/>
              <w:spacing w:after="0" w:line="131" w:lineRule="exact"/>
              <w:rPr>
                <w:sz w:val="20"/>
                <w:szCs w:val="20"/>
                <w:color w:val="auto"/>
              </w:rPr>
            </w:pPr>
            <w:r>
              <w:rPr>
                <w:rFonts w:ascii="Arial" w:cs="Arial" w:eastAsia="Arial" w:hAnsi="Arial"/>
                <w:sz w:val="14"/>
                <w:szCs w:val="14"/>
                <w:color w:val="auto"/>
                <w:w w:val="87"/>
              </w:rPr>
              <w:t>For the Period</w:t>
            </w: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Three Months Ended</w:t>
            </w:r>
          </w:p>
        </w:tc>
        <w:tc>
          <w:tcPr>
            <w:tcW w:w="1660" w:type="dxa"/>
            <w:vAlign w:val="bottom"/>
            <w:tcBorders>
              <w:right w:val="single" w:sz="8" w:color="auto"/>
            </w:tcBorders>
            <w:gridSpan w:val="3"/>
          </w:tcPr>
          <w:p>
            <w:pPr>
              <w:jc w:val="center"/>
              <w:ind w:right="560"/>
              <w:spacing w:after="0" w:line="149" w:lineRule="exact"/>
              <w:rPr>
                <w:sz w:val="20"/>
                <w:szCs w:val="20"/>
                <w:color w:val="auto"/>
              </w:rPr>
            </w:pPr>
            <w:r>
              <w:rPr>
                <w:rFonts w:ascii="Arial" w:cs="Arial" w:eastAsia="Arial" w:hAnsi="Arial"/>
                <w:sz w:val="14"/>
                <w:szCs w:val="14"/>
                <w:color w:val="auto"/>
                <w:w w:val="85"/>
              </w:rPr>
              <w:t>January 29, 2011 to</w:t>
            </w:r>
          </w:p>
        </w:tc>
        <w:tc>
          <w:tcPr>
            <w:tcW w:w="500" w:type="dxa"/>
            <w:vAlign w:val="bottom"/>
          </w:tcPr>
          <w:p>
            <w:pPr>
              <w:spacing w:after="0"/>
              <w:rPr>
                <w:sz w:val="12"/>
                <w:szCs w:val="12"/>
                <w:color w:val="auto"/>
              </w:rPr>
            </w:pPr>
          </w:p>
        </w:tc>
        <w:tc>
          <w:tcPr>
            <w:tcW w:w="170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4"/>
              </w:rPr>
              <w:t>January 1, 2011 to</w:t>
            </w:r>
          </w:p>
        </w:tc>
        <w:tc>
          <w:tcPr>
            <w:tcW w:w="1420" w:type="dxa"/>
            <w:vAlign w:val="bottom"/>
            <w:gridSpan w:val="2"/>
          </w:tcPr>
          <w:p>
            <w:pPr>
              <w:jc w:val="center"/>
              <w:ind w:left="79"/>
              <w:spacing w:after="0" w:line="149" w:lineRule="exact"/>
              <w:rPr>
                <w:sz w:val="20"/>
                <w:szCs w:val="20"/>
                <w:color w:val="auto"/>
              </w:rPr>
            </w:pPr>
            <w:r>
              <w:rPr>
                <w:rFonts w:ascii="Arial" w:cs="Arial" w:eastAsia="Arial" w:hAnsi="Arial"/>
                <w:sz w:val="14"/>
                <w:szCs w:val="14"/>
                <w:color w:val="auto"/>
                <w:w w:val="87"/>
              </w:rPr>
              <w:t>Three Months Ended</w:t>
            </w:r>
          </w:p>
        </w:tc>
        <w:tc>
          <w:tcPr>
            <w:tcW w:w="1220" w:type="dxa"/>
            <w:vAlign w:val="bottom"/>
          </w:tcPr>
          <w:p>
            <w:pPr>
              <w:jc w:val="right"/>
              <w:ind w:right="260"/>
              <w:spacing w:after="0" w:line="14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jc w:val="right"/>
              <w:ind w:right="719"/>
              <w:spacing w:after="0" w:line="149" w:lineRule="exact"/>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700"/>
              <w:spacing w:after="0" w:line="149" w:lineRule="exact"/>
              <w:rPr>
                <w:sz w:val="20"/>
                <w:szCs w:val="20"/>
                <w:color w:val="auto"/>
              </w:rPr>
            </w:pPr>
            <w:r>
              <w:rPr>
                <w:rFonts w:ascii="Arial" w:cs="Arial" w:eastAsia="Arial" w:hAnsi="Arial"/>
                <w:sz w:val="14"/>
                <w:szCs w:val="14"/>
                <w:color w:val="auto"/>
                <w:w w:val="86"/>
              </w:rPr>
              <w:t>March 31,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center"/>
              <w:ind w:right="320"/>
              <w:spacing w:after="0" w:line="149" w:lineRule="exact"/>
              <w:rPr>
                <w:sz w:val="20"/>
                <w:szCs w:val="20"/>
                <w:color w:val="auto"/>
              </w:rPr>
            </w:pPr>
            <w:r>
              <w:rPr>
                <w:rFonts w:ascii="Arial" w:cs="Arial" w:eastAsia="Arial" w:hAnsi="Arial"/>
                <w:sz w:val="14"/>
                <w:szCs w:val="14"/>
                <w:color w:val="auto"/>
                <w:w w:val="84"/>
              </w:rPr>
              <w:t>January 28,</w:t>
            </w:r>
          </w:p>
        </w:tc>
        <w:tc>
          <w:tcPr>
            <w:tcW w:w="420" w:type="dxa"/>
            <w:vAlign w:val="bottom"/>
          </w:tcPr>
          <w:p>
            <w:pPr>
              <w:spacing w:after="0"/>
              <w:rPr>
                <w:sz w:val="12"/>
                <w:szCs w:val="12"/>
                <w:color w:val="auto"/>
              </w:rPr>
            </w:pPr>
          </w:p>
        </w:tc>
        <w:tc>
          <w:tcPr>
            <w:tcW w:w="100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89"/>
              </w:rPr>
              <w:t>March 31,</w:t>
            </w:r>
          </w:p>
        </w:tc>
        <w:tc>
          <w:tcPr>
            <w:tcW w:w="1220" w:type="dxa"/>
            <w:vAlign w:val="bottom"/>
          </w:tcPr>
          <w:p>
            <w:pPr>
              <w:jc w:val="right"/>
              <w:ind w:right="260"/>
              <w:spacing w:after="0" w:line="149" w:lineRule="exact"/>
              <w:rPr>
                <w:sz w:val="20"/>
                <w:szCs w:val="20"/>
                <w:color w:val="auto"/>
              </w:rPr>
            </w:pPr>
            <w:r>
              <w:rPr>
                <w:rFonts w:ascii="Arial" w:cs="Arial" w:eastAsia="Arial" w:hAnsi="Arial"/>
                <w:sz w:val="14"/>
                <w:szCs w:val="14"/>
                <w:color w:val="auto"/>
              </w:rPr>
              <w:t>2011 to</w:t>
            </w:r>
          </w:p>
        </w:tc>
        <w:tc>
          <w:tcPr>
            <w:tcW w:w="0" w:type="dxa"/>
            <w:vAlign w:val="bottom"/>
          </w:tcPr>
          <w:p>
            <w:pPr>
              <w:spacing w:after="0"/>
              <w:rPr>
                <w:sz w:val="1"/>
                <w:szCs w:val="1"/>
                <w:color w:val="auto"/>
              </w:rPr>
            </w:pPr>
          </w:p>
        </w:tc>
      </w:tr>
      <w:tr>
        <w:trPr>
          <w:trHeight w:val="159"/>
        </w:trPr>
        <w:tc>
          <w:tcPr>
            <w:tcW w:w="2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59"/>
              <w:spacing w:after="0" w:line="159"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99"/>
              <w:spacing w:after="0" w:line="159" w:lineRule="exact"/>
              <w:rPr>
                <w:sz w:val="20"/>
                <w:szCs w:val="20"/>
                <w:color w:val="auto"/>
              </w:rPr>
            </w:pPr>
            <w:r>
              <w:rPr>
                <w:rFonts w:ascii="Arial" w:cs="Arial" w:eastAsia="Arial" w:hAnsi="Arial"/>
                <w:sz w:val="14"/>
                <w:szCs w:val="14"/>
                <w:color w:val="auto"/>
                <w:w w:val="83"/>
              </w:rPr>
              <w:t>2011</w:t>
            </w:r>
          </w:p>
        </w:tc>
        <w:tc>
          <w:tcPr>
            <w:tcW w:w="5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320"/>
              <w:spacing w:after="0" w:line="159"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9"/>
              <w:spacing w:after="0" w:line="159" w:lineRule="exact"/>
              <w:rPr>
                <w:sz w:val="20"/>
                <w:szCs w:val="20"/>
                <w:color w:val="auto"/>
              </w:rPr>
            </w:pPr>
            <w:r>
              <w:rPr>
                <w:rFonts w:ascii="Arial" w:cs="Arial" w:eastAsia="Arial" w:hAnsi="Arial"/>
                <w:sz w:val="14"/>
                <w:szCs w:val="14"/>
                <w:color w:val="auto"/>
                <w:w w:val="83"/>
              </w:rPr>
              <w:t>2011</w:t>
            </w:r>
          </w:p>
        </w:tc>
        <w:tc>
          <w:tcPr>
            <w:tcW w:w="1220" w:type="dxa"/>
            <w:vAlign w:val="bottom"/>
            <w:tcBorders>
              <w:bottom w:val="single" w:sz="8" w:color="auto"/>
            </w:tcBorders>
          </w:tcPr>
          <w:p>
            <w:pPr>
              <w:jc w:val="right"/>
              <w:ind w:right="320"/>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9"/>
              <w:spacing w:after="0"/>
              <w:rPr>
                <w:sz w:val="20"/>
                <w:szCs w:val="20"/>
                <w:color w:val="auto"/>
              </w:rPr>
            </w:pPr>
            <w:r>
              <w:rPr>
                <w:rFonts w:ascii="Arial" w:cs="Arial" w:eastAsia="Arial" w:hAnsi="Arial"/>
                <w:sz w:val="18"/>
                <w:szCs w:val="18"/>
                <w:color w:val="auto"/>
              </w:rPr>
              <w:t>1,266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20"/>
              <w:spacing w:after="0"/>
              <w:rPr>
                <w:sz w:val="20"/>
                <w:szCs w:val="20"/>
                <w:color w:val="auto"/>
              </w:rPr>
            </w:pPr>
            <w:r>
              <w:rPr>
                <w:rFonts w:ascii="Arial" w:cs="Arial" w:eastAsia="Arial" w:hAnsi="Arial"/>
                <w:sz w:val="18"/>
                <w:szCs w:val="18"/>
                <w:color w:val="auto"/>
              </w:rPr>
              <w:t>315</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1220" w:type="dxa"/>
            <w:vAlign w:val="bottom"/>
          </w:tcPr>
          <w:p>
            <w:pPr>
              <w:jc w:val="right"/>
              <w:ind w:right="60"/>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w:t>
            </w:r>
          </w:p>
        </w:tc>
        <w:tc>
          <w:tcPr>
            <w:tcW w:w="122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38</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888</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20"/>
              <w:spacing w:after="0"/>
              <w:rPr>
                <w:sz w:val="20"/>
                <w:szCs w:val="20"/>
                <w:color w:val="auto"/>
              </w:rPr>
            </w:pPr>
            <w:r>
              <w:rPr>
                <w:rFonts w:ascii="Arial" w:cs="Arial" w:eastAsia="Arial" w:hAnsi="Arial"/>
                <w:sz w:val="18"/>
                <w:szCs w:val="18"/>
                <w:color w:val="auto"/>
              </w:rPr>
              <w:t>464</w:t>
            </w:r>
          </w:p>
        </w:tc>
        <w:tc>
          <w:tcPr>
            <w:tcW w:w="42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1,352</w:t>
            </w:r>
          </w:p>
        </w:tc>
        <w:tc>
          <w:tcPr>
            <w:tcW w:w="122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19"/>
              <w:spacing w:after="0"/>
              <w:rPr>
                <w:sz w:val="20"/>
                <w:szCs w:val="20"/>
                <w:color w:val="auto"/>
              </w:rPr>
            </w:pPr>
            <w:r>
              <w:rPr>
                <w:rFonts w:ascii="Arial" w:cs="Arial" w:eastAsia="Arial" w:hAnsi="Arial"/>
                <w:sz w:val="18"/>
                <w:szCs w:val="18"/>
                <w:color w:val="auto"/>
              </w:rPr>
              <w:t>1,861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480</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95"/>
        </w:trPr>
        <w:tc>
          <w:tcPr>
            <w:tcW w:w="288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(loss) before</w:t>
            </w:r>
          </w:p>
        </w:tc>
        <w:tc>
          <w:tcPr>
            <w:tcW w:w="58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5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E5E5E5"/>
          </w:tcPr>
          <w:p>
            <w:pPr>
              <w:jc w:val="right"/>
              <w:ind w:right="359"/>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35</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(16)</w:t>
            </w:r>
          </w:p>
        </w:tc>
        <w:tc>
          <w:tcPr>
            <w:tcW w:w="4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(151.7)%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Broadcast Television revenue increased for the three months ended March 31, 2012 compared to the same period in 2011 primarily due to increases in both advertising and content licensing revenue. The increase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6" w:right="239" w:bottom="1440" w:gutter="0" w:footer="0" w:header="0"/>
        </w:sectPr>
      </w:pPr>
    </w:p>
    <w:bookmarkStart w:id="223" w:name="page224"/>
    <w:bookmarkEnd w:id="2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 revenue was primarily due to $259 million associated with the broadcast of the 2012 Super Bowl, as well as increases in the price of advertising units sold and increases in primetime ratings</w:t>
      </w:r>
      <w:r>
        <w:rPr>
          <w:rFonts w:ascii="Arial" w:cs="Arial" w:eastAsia="Arial" w:hAnsi="Arial"/>
          <w:sz w:val="18"/>
          <w:szCs w:val="18"/>
          <w:i w:val="1"/>
          <w:iCs w:val="1"/>
          <w:color w:val="auto"/>
        </w:rPr>
        <w:t>.</w:t>
      </w:r>
      <w:r>
        <w:rPr>
          <w:rFonts w:ascii="Arial" w:cs="Arial" w:eastAsia="Arial" w:hAnsi="Arial"/>
          <w:sz w:val="18"/>
          <w:szCs w:val="18"/>
          <w:color w:val="auto"/>
        </w:rPr>
        <w:t xml:space="preserve"> The increase in content licensing revenue was primarily due to content made available under licensing agreements that were not in effect in the prior year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operating costs and expenses increased for the three months ended March 31, 2012 compared to the same period in 2011 primarily due to higher programming and production expenses associated with our broadcast of the 2012 Super Bowl. We also incurred higher programming, production and advertising costs associated with our mid-season primetime schedule.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Filmed Entertainment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w w:val="81"/>
              </w:rPr>
              <w:t>Predecessor</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color w:val="auto"/>
                <w:w w:val="87"/>
              </w:rPr>
              <w:t>Combined</w:t>
            </w:r>
          </w:p>
        </w:tc>
        <w:tc>
          <w:tcPr>
            <w:tcW w:w="1120" w:type="dxa"/>
            <w:vAlign w:val="bottom"/>
            <w:vMerge w:val="restart"/>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58"/>
              <w:spacing w:after="0" w:line="131" w:lineRule="exact"/>
              <w:rPr>
                <w:sz w:val="20"/>
                <w:szCs w:val="20"/>
                <w:color w:val="auto"/>
              </w:rPr>
            </w:pPr>
            <w:r>
              <w:rPr>
                <w:rFonts w:ascii="Arial" w:cs="Arial" w:eastAsia="Arial" w:hAnsi="Arial"/>
                <w:sz w:val="14"/>
                <w:szCs w:val="14"/>
                <w:color w:val="auto"/>
                <w:w w:val="87"/>
              </w:rPr>
              <w:t>For the Period</w:t>
            </w:r>
          </w:p>
        </w:tc>
        <w:tc>
          <w:tcPr>
            <w:tcW w:w="5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jc w:val="center"/>
              <w:ind w:right="240"/>
              <w:spacing w:after="0" w:line="131" w:lineRule="exact"/>
              <w:rPr>
                <w:sz w:val="20"/>
                <w:szCs w:val="20"/>
                <w:color w:val="auto"/>
              </w:rPr>
            </w:pPr>
            <w:r>
              <w:rPr>
                <w:rFonts w:ascii="Arial" w:cs="Arial" w:eastAsia="Arial" w:hAnsi="Arial"/>
                <w:sz w:val="14"/>
                <w:szCs w:val="14"/>
                <w:color w:val="auto"/>
                <w:w w:val="87"/>
              </w:rPr>
              <w:t>For the Period</w:t>
            </w: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0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Three Months Ended</w:t>
            </w:r>
          </w:p>
        </w:tc>
        <w:tc>
          <w:tcPr>
            <w:tcW w:w="1680" w:type="dxa"/>
            <w:vAlign w:val="bottom"/>
            <w:tcBorders>
              <w:right w:val="single" w:sz="8" w:color="auto"/>
            </w:tcBorders>
            <w:gridSpan w:val="3"/>
          </w:tcPr>
          <w:p>
            <w:pPr>
              <w:jc w:val="center"/>
              <w:ind w:right="620"/>
              <w:spacing w:after="0" w:line="149" w:lineRule="exact"/>
              <w:rPr>
                <w:sz w:val="20"/>
                <w:szCs w:val="20"/>
                <w:color w:val="auto"/>
              </w:rPr>
            </w:pPr>
            <w:r>
              <w:rPr>
                <w:rFonts w:ascii="Arial" w:cs="Arial" w:eastAsia="Arial" w:hAnsi="Arial"/>
                <w:sz w:val="14"/>
                <w:szCs w:val="14"/>
                <w:color w:val="auto"/>
                <w:w w:val="85"/>
              </w:rPr>
              <w:t>January 29, 2011 to</w:t>
            </w:r>
          </w:p>
        </w:tc>
        <w:tc>
          <w:tcPr>
            <w:tcW w:w="500" w:type="dxa"/>
            <w:vAlign w:val="bottom"/>
          </w:tcPr>
          <w:p>
            <w:pPr>
              <w:spacing w:after="0"/>
              <w:rPr>
                <w:sz w:val="12"/>
                <w:szCs w:val="12"/>
                <w:color w:val="auto"/>
              </w:rPr>
            </w:pPr>
          </w:p>
        </w:tc>
        <w:tc>
          <w:tcPr>
            <w:tcW w:w="16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January 1, 2011 to</w:t>
            </w:r>
          </w:p>
        </w:tc>
        <w:tc>
          <w:tcPr>
            <w:tcW w:w="1480" w:type="dxa"/>
            <w:vAlign w:val="bottom"/>
            <w:gridSpan w:val="2"/>
          </w:tcPr>
          <w:p>
            <w:pPr>
              <w:jc w:val="center"/>
              <w:ind w:left="19"/>
              <w:spacing w:after="0" w:line="149" w:lineRule="exact"/>
              <w:rPr>
                <w:sz w:val="20"/>
                <w:szCs w:val="20"/>
                <w:color w:val="auto"/>
              </w:rPr>
            </w:pPr>
            <w:r>
              <w:rPr>
                <w:rFonts w:ascii="Arial" w:cs="Arial" w:eastAsia="Arial" w:hAnsi="Arial"/>
                <w:sz w:val="14"/>
                <w:szCs w:val="14"/>
                <w:color w:val="auto"/>
                <w:w w:val="87"/>
              </w:rPr>
              <w:t>Three Months Ended</w:t>
            </w:r>
          </w:p>
        </w:tc>
        <w:tc>
          <w:tcPr>
            <w:tcW w:w="112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jc w:val="right"/>
              <w:ind w:right="678"/>
              <w:spacing w:after="0" w:line="149" w:lineRule="exact"/>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740"/>
              <w:spacing w:after="0" w:line="149" w:lineRule="exact"/>
              <w:rPr>
                <w:sz w:val="20"/>
                <w:szCs w:val="20"/>
                <w:color w:val="auto"/>
              </w:rPr>
            </w:pPr>
            <w:r>
              <w:rPr>
                <w:rFonts w:ascii="Arial" w:cs="Arial" w:eastAsia="Arial" w:hAnsi="Arial"/>
                <w:sz w:val="14"/>
                <w:szCs w:val="14"/>
                <w:color w:val="auto"/>
                <w:w w:val="86"/>
              </w:rPr>
              <w:t>March 31,</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84"/>
              </w:rPr>
              <w:t>January 28,</w:t>
            </w:r>
          </w:p>
        </w:tc>
        <w:tc>
          <w:tcPr>
            <w:tcW w:w="420" w:type="dxa"/>
            <w:vAlign w:val="bottom"/>
          </w:tcPr>
          <w:p>
            <w:pPr>
              <w:spacing w:after="0"/>
              <w:rPr>
                <w:sz w:val="12"/>
                <w:szCs w:val="12"/>
                <w:color w:val="auto"/>
              </w:rPr>
            </w:pPr>
          </w:p>
        </w:tc>
        <w:tc>
          <w:tcPr>
            <w:tcW w:w="106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9"/>
              </w:rPr>
              <w:t>March 31,</w:t>
            </w:r>
          </w:p>
        </w:tc>
        <w:tc>
          <w:tcPr>
            <w:tcW w:w="112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2011 to</w:t>
            </w:r>
          </w:p>
        </w:tc>
        <w:tc>
          <w:tcPr>
            <w:tcW w:w="0" w:type="dxa"/>
            <w:vAlign w:val="bottom"/>
          </w:tcPr>
          <w:p>
            <w:pPr>
              <w:spacing w:after="0"/>
              <w:rPr>
                <w:sz w:val="1"/>
                <w:szCs w:val="1"/>
                <w:color w:val="auto"/>
              </w:rPr>
            </w:pPr>
          </w:p>
        </w:tc>
      </w:tr>
      <w:tr>
        <w:trPr>
          <w:trHeight w:val="159"/>
        </w:trPr>
        <w:tc>
          <w:tcPr>
            <w:tcW w:w="3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18"/>
              <w:spacing w:after="0" w:line="159"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58"/>
              <w:spacing w:after="0" w:line="159" w:lineRule="exact"/>
              <w:rPr>
                <w:sz w:val="20"/>
                <w:szCs w:val="20"/>
                <w:color w:val="auto"/>
              </w:rPr>
            </w:pPr>
            <w:r>
              <w:rPr>
                <w:rFonts w:ascii="Arial" w:cs="Arial" w:eastAsia="Arial" w:hAnsi="Arial"/>
                <w:sz w:val="14"/>
                <w:szCs w:val="14"/>
                <w:color w:val="auto"/>
                <w:w w:val="83"/>
              </w:rPr>
              <w:t>2011</w:t>
            </w:r>
          </w:p>
        </w:tc>
        <w:tc>
          <w:tcPr>
            <w:tcW w:w="50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40"/>
              <w:spacing w:after="0" w:line="159"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38"/>
              <w:spacing w:after="0" w:line="159" w:lineRule="exact"/>
              <w:rPr>
                <w:sz w:val="20"/>
                <w:szCs w:val="20"/>
                <w:color w:val="auto"/>
              </w:rPr>
            </w:pPr>
            <w:r>
              <w:rPr>
                <w:rFonts w:ascii="Arial" w:cs="Arial" w:eastAsia="Arial" w:hAnsi="Arial"/>
                <w:sz w:val="14"/>
                <w:szCs w:val="14"/>
                <w:color w:val="auto"/>
                <w:w w:val="83"/>
              </w:rPr>
              <w:t>2011</w:t>
            </w:r>
          </w:p>
        </w:tc>
        <w:tc>
          <w:tcPr>
            <w:tcW w:w="1120" w:type="dxa"/>
            <w:vAlign w:val="bottom"/>
            <w:tcBorders>
              <w:bottom w:val="single" w:sz="8" w:color="auto"/>
            </w:tcBorders>
          </w:tcPr>
          <w:p>
            <w:pPr>
              <w:jc w:val="right"/>
              <w:ind w:right="260"/>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3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5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8"/>
              <w:spacing w:after="0"/>
              <w:rPr>
                <w:sz w:val="20"/>
                <w:szCs w:val="20"/>
                <w:color w:val="auto"/>
              </w:rPr>
            </w:pPr>
            <w:r>
              <w:rPr>
                <w:rFonts w:ascii="Arial" w:cs="Arial" w:eastAsia="Arial" w:hAnsi="Arial"/>
                <w:sz w:val="18"/>
                <w:szCs w:val="18"/>
                <w:color w:val="auto"/>
              </w:rPr>
              <w:t>301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119</w:t>
            </w:r>
          </w:p>
        </w:tc>
        <w:tc>
          <w:tcPr>
            <w:tcW w:w="500" w:type="dxa"/>
            <w:vAlign w:val="bottom"/>
            <w:tcBorders>
              <w:right w:val="single" w:sz="8" w:color="auto"/>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0"/>
              <w:spacing w:after="0"/>
              <w:rPr>
                <w:sz w:val="20"/>
                <w:szCs w:val="20"/>
                <w:color w:val="auto"/>
              </w:rPr>
            </w:pPr>
            <w:r>
              <w:rPr>
                <w:rFonts w:ascii="Arial" w:cs="Arial" w:eastAsia="Arial" w:hAnsi="Arial"/>
                <w:sz w:val="18"/>
                <w:szCs w:val="18"/>
                <w:color w:val="auto"/>
              </w:rPr>
              <w:t>58</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177</w:t>
            </w:r>
          </w:p>
        </w:tc>
        <w:tc>
          <w:tcPr>
            <w:tcW w:w="1120" w:type="dxa"/>
            <w:vAlign w:val="bottom"/>
          </w:tcPr>
          <w:p>
            <w:pPr>
              <w:jc w:val="right"/>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16"/>
        </w:trPr>
        <w:tc>
          <w:tcPr>
            <w:tcW w:w="3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218</w:t>
            </w:r>
          </w:p>
        </w:tc>
        <w:tc>
          <w:tcPr>
            <w:tcW w:w="50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389</w:t>
            </w:r>
          </w:p>
        </w:tc>
        <w:tc>
          <w:tcPr>
            <w:tcW w:w="112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80" w:type="dxa"/>
            <w:vAlign w:val="bottom"/>
          </w:tcPr>
          <w:p>
            <w:pPr>
              <w:spacing w:after="0"/>
              <w:rPr>
                <w:sz w:val="18"/>
                <w:szCs w:val="18"/>
                <w:color w:val="auto"/>
              </w:rPr>
            </w:pPr>
          </w:p>
        </w:tc>
        <w:tc>
          <w:tcPr>
            <w:tcW w:w="1420" w:type="dxa"/>
            <w:vAlign w:val="bottom"/>
          </w:tcPr>
          <w:p>
            <w:pPr>
              <w:jc w:val="right"/>
              <w:ind w:right="378"/>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207</w:t>
            </w:r>
          </w:p>
        </w:tc>
        <w:tc>
          <w:tcPr>
            <w:tcW w:w="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6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303</w:t>
            </w:r>
          </w:p>
        </w:tc>
        <w:tc>
          <w:tcPr>
            <w:tcW w:w="1120" w:type="dxa"/>
            <w:vAlign w:val="bottom"/>
          </w:tcPr>
          <w:p>
            <w:pPr>
              <w:jc w:val="right"/>
              <w:ind w:right="1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378"/>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78</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106</w:t>
            </w:r>
          </w:p>
        </w:tc>
        <w:tc>
          <w:tcPr>
            <w:tcW w:w="11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tcPr>
          <w:p>
            <w:pPr>
              <w:spacing w:after="0"/>
              <w:rPr>
                <w:sz w:val="18"/>
                <w:szCs w:val="18"/>
                <w:color w:val="auto"/>
              </w:rPr>
            </w:pPr>
          </w:p>
        </w:tc>
        <w:tc>
          <w:tcPr>
            <w:tcW w:w="1420" w:type="dxa"/>
            <w:vAlign w:val="bottom"/>
          </w:tcPr>
          <w:p>
            <w:pPr>
              <w:jc w:val="right"/>
              <w:ind w:right="378"/>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622</w:t>
            </w:r>
          </w:p>
        </w:tc>
        <w:tc>
          <w:tcPr>
            <w:tcW w:w="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160"/>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975</w:t>
            </w:r>
          </w:p>
        </w:tc>
        <w:tc>
          <w:tcPr>
            <w:tcW w:w="1120" w:type="dxa"/>
            <w:vAlign w:val="bottom"/>
          </w:tcPr>
          <w:p>
            <w:pPr>
              <w:jc w:val="right"/>
              <w:ind w:right="1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378"/>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765</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color w:val="auto"/>
              </w:rPr>
              <w:t>1,117</w:t>
            </w:r>
          </w:p>
        </w:tc>
        <w:tc>
          <w:tcPr>
            <w:tcW w:w="11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5"/>
        </w:trPr>
        <w:tc>
          <w:tcPr>
            <w:tcW w:w="302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(loss) before</w:t>
            </w: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5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104.4 %</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74" w:lineRule="exact"/>
        <w:rPr>
          <w:sz w:val="20"/>
          <w:szCs w:val="20"/>
          <w:color w:val="auto"/>
        </w:rPr>
      </w:pPr>
    </w:p>
    <w:p>
      <w:pPr>
        <w:jc w:val="both"/>
        <w:ind w:right="460"/>
        <w:spacing w:after="0" w:line="335" w:lineRule="auto"/>
        <w:rPr>
          <w:sz w:val="20"/>
          <w:szCs w:val="20"/>
          <w:color w:val="auto"/>
        </w:rPr>
      </w:pPr>
      <w:r>
        <w:rPr>
          <w:rFonts w:ascii="Arial" w:cs="Arial" w:eastAsia="Arial" w:hAnsi="Arial"/>
          <w:sz w:val="15"/>
          <w:szCs w:val="15"/>
          <w:color w:val="auto"/>
        </w:rPr>
        <w:t xml:space="preserve">Our Filmed Entertainment revenue increased for the three months ended March 31, 2012 compared to the same period in 2011 primarily due to increases in theatrical and home entertainment revenue. The increase in theatrical revenue was primarily due to the release of </w:t>
      </w:r>
      <w:r>
        <w:rPr>
          <w:rFonts w:ascii="Arial" w:cs="Arial" w:eastAsia="Arial" w:hAnsi="Arial"/>
          <w:sz w:val="15"/>
          <w:szCs w:val="15"/>
          <w:i w:val="1"/>
          <w:iCs w:val="1"/>
          <w:color w:val="auto"/>
        </w:rPr>
        <w:t>Dr. Seuss’ The Lorax</w:t>
      </w:r>
      <w:r>
        <w:rPr>
          <w:rFonts w:ascii="Arial" w:cs="Arial" w:eastAsia="Arial" w:hAnsi="Arial"/>
          <w:sz w:val="15"/>
          <w:szCs w:val="15"/>
          <w:color w:val="auto"/>
        </w:rPr>
        <w:t xml:space="preserve"> and </w:t>
      </w:r>
      <w:r>
        <w:rPr>
          <w:rFonts w:ascii="Arial" w:cs="Arial" w:eastAsia="Arial" w:hAnsi="Arial"/>
          <w:sz w:val="15"/>
          <w:szCs w:val="15"/>
          <w:i w:val="1"/>
          <w:iCs w:val="1"/>
          <w:color w:val="auto"/>
        </w:rPr>
        <w:t>Safe House</w:t>
      </w:r>
      <w:r>
        <w:rPr>
          <w:rFonts w:ascii="Arial" w:cs="Arial" w:eastAsia="Arial" w:hAnsi="Arial"/>
          <w:sz w:val="15"/>
          <w:szCs w:val="15"/>
          <w:color w:val="auto"/>
        </w:rPr>
        <w:t xml:space="preserve">. The increase in home entertainment revenue was primarily due to an increase in the number of titles released, which included </w:t>
      </w:r>
      <w:r>
        <w:rPr>
          <w:rFonts w:ascii="Arial" w:cs="Arial" w:eastAsia="Arial" w:hAnsi="Arial"/>
          <w:sz w:val="15"/>
          <w:szCs w:val="15"/>
          <w:i w:val="1"/>
          <w:iCs w:val="1"/>
          <w:color w:val="auto"/>
        </w:rPr>
        <w:t>Hop</w:t>
      </w:r>
      <w:r>
        <w:rPr>
          <w:rFonts w:ascii="Arial" w:cs="Arial" w:eastAsia="Arial" w:hAnsi="Arial"/>
          <w:sz w:val="15"/>
          <w:szCs w:val="15"/>
          <w:color w:val="auto"/>
        </w:rPr>
        <w:t xml:space="preserve"> and </w:t>
      </w:r>
      <w:r>
        <w:rPr>
          <w:rFonts w:ascii="Arial" w:cs="Arial" w:eastAsia="Arial" w:hAnsi="Arial"/>
          <w:sz w:val="15"/>
          <w:szCs w:val="15"/>
          <w:i w:val="1"/>
          <w:iCs w:val="1"/>
          <w:color w:val="auto"/>
        </w:rPr>
        <w:t>Tower Heist</w:t>
      </w:r>
      <w:r>
        <w:rPr>
          <w:rFonts w:ascii="Arial" w:cs="Arial" w:eastAsia="Arial" w:hAnsi="Arial"/>
          <w:sz w:val="15"/>
          <w:szCs w:val="15"/>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operating costs and expenses increased for the three months ended March 31, 2012 compared to the same period in 2011 primarily due to higher amortization of film costs resulting from the corresponding increase in theatrical revenue.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 Results of Operations</w:t>
      </w:r>
    </w:p>
    <w:p>
      <w:pPr>
        <w:spacing w:after="0" w:line="8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table below includes 100% of the results of operations for Universal Orlando for all amounts presented in order to reflect our measure of operating income (loss) before depreciation and amortization for our Theme Parks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color w:val="auto"/>
              </w:rPr>
              <w:t>Successor</w:t>
            </w:r>
          </w:p>
        </w:tc>
        <w:tc>
          <w:tcPr>
            <w:tcW w:w="8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w w:val="83"/>
              </w:rPr>
              <w:t>Predecessor</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87"/>
              </w:rPr>
              <w:t>Combined</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2"/>
          </w:tcPr>
          <w:p>
            <w:pPr>
              <w:jc w:val="center"/>
              <w:ind w:left="102"/>
              <w:spacing w:after="0" w:line="131" w:lineRule="exact"/>
              <w:rPr>
                <w:sz w:val="20"/>
                <w:szCs w:val="20"/>
                <w:color w:val="auto"/>
              </w:rPr>
            </w:pPr>
            <w:r>
              <w:rPr>
                <w:rFonts w:ascii="Arial" w:cs="Arial" w:eastAsia="Arial" w:hAnsi="Arial"/>
                <w:sz w:val="14"/>
                <w:szCs w:val="14"/>
                <w:color w:val="auto"/>
                <w:w w:val="85"/>
              </w:rPr>
              <w:t>For the Period</w:t>
            </w:r>
          </w:p>
        </w:tc>
        <w:tc>
          <w:tcPr>
            <w:tcW w:w="5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2"/>
          </w:tcPr>
          <w:p>
            <w:pPr>
              <w:jc w:val="center"/>
              <w:ind w:left="92"/>
              <w:spacing w:after="0" w:line="131" w:lineRule="exact"/>
              <w:rPr>
                <w:sz w:val="20"/>
                <w:szCs w:val="20"/>
                <w:color w:val="auto"/>
              </w:rPr>
            </w:pPr>
            <w:r>
              <w:rPr>
                <w:rFonts w:ascii="Arial" w:cs="Arial" w:eastAsia="Arial" w:hAnsi="Arial"/>
                <w:sz w:val="14"/>
                <w:szCs w:val="14"/>
                <w:color w:val="auto"/>
                <w:w w:val="87"/>
              </w:rPr>
              <w:t>For the Period</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262"/>
              <w:spacing w:after="0" w:line="149" w:lineRule="exact"/>
              <w:rPr>
                <w:sz w:val="20"/>
                <w:szCs w:val="20"/>
                <w:color w:val="auto"/>
              </w:rPr>
            </w:pPr>
            <w:r>
              <w:rPr>
                <w:rFonts w:ascii="Arial" w:cs="Arial" w:eastAsia="Arial" w:hAnsi="Arial"/>
                <w:sz w:val="14"/>
                <w:szCs w:val="14"/>
                <w:color w:val="auto"/>
                <w:w w:val="85"/>
              </w:rPr>
              <w:t>Three Months</w:t>
            </w:r>
          </w:p>
        </w:tc>
        <w:tc>
          <w:tcPr>
            <w:tcW w:w="1740" w:type="dxa"/>
            <w:vAlign w:val="bottom"/>
            <w:tcBorders>
              <w:right w:val="single" w:sz="8" w:color="auto"/>
            </w:tcBorders>
            <w:gridSpan w:val="3"/>
          </w:tcPr>
          <w:p>
            <w:pPr>
              <w:jc w:val="center"/>
              <w:ind w:right="340"/>
              <w:spacing w:after="0" w:line="149" w:lineRule="exact"/>
              <w:rPr>
                <w:sz w:val="20"/>
                <w:szCs w:val="20"/>
                <w:color w:val="auto"/>
              </w:rPr>
            </w:pPr>
            <w:r>
              <w:rPr>
                <w:rFonts w:ascii="Arial" w:cs="Arial" w:eastAsia="Arial" w:hAnsi="Arial"/>
                <w:sz w:val="14"/>
                <w:szCs w:val="14"/>
                <w:color w:val="auto"/>
                <w:w w:val="85"/>
              </w:rPr>
              <w:t>January 29, 2011</w:t>
            </w:r>
          </w:p>
        </w:tc>
        <w:tc>
          <w:tcPr>
            <w:tcW w:w="500" w:type="dxa"/>
            <w:vAlign w:val="bottom"/>
          </w:tcPr>
          <w:p>
            <w:pPr>
              <w:spacing w:after="0"/>
              <w:rPr>
                <w:sz w:val="12"/>
                <w:szCs w:val="12"/>
                <w:color w:val="auto"/>
              </w:rPr>
            </w:pPr>
          </w:p>
        </w:tc>
        <w:tc>
          <w:tcPr>
            <w:tcW w:w="150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January 1, 2011</w:t>
            </w:r>
          </w:p>
        </w:tc>
        <w:tc>
          <w:tcPr>
            <w:tcW w:w="32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7"/>
              </w:rPr>
              <w:t>Three Months</w:t>
            </w:r>
          </w:p>
        </w:tc>
        <w:tc>
          <w:tcPr>
            <w:tcW w:w="1060" w:type="dxa"/>
            <w:vAlign w:val="bottom"/>
          </w:tcPr>
          <w:p>
            <w:pPr>
              <w:ind w:left="420"/>
              <w:spacing w:after="0" w:line="14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Ended March 31,</w:t>
            </w:r>
          </w:p>
        </w:tc>
        <w:tc>
          <w:tcPr>
            <w:tcW w:w="34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680"/>
              <w:spacing w:after="0" w:line="149" w:lineRule="exact"/>
              <w:rPr>
                <w:sz w:val="20"/>
                <w:szCs w:val="20"/>
                <w:color w:val="auto"/>
              </w:rPr>
            </w:pPr>
            <w:r>
              <w:rPr>
                <w:rFonts w:ascii="Arial" w:cs="Arial" w:eastAsia="Arial" w:hAnsi="Arial"/>
                <w:sz w:val="14"/>
                <w:szCs w:val="14"/>
                <w:color w:val="auto"/>
                <w:w w:val="87"/>
              </w:rPr>
              <w:t>to March 31,</w:t>
            </w:r>
          </w:p>
        </w:tc>
        <w:tc>
          <w:tcPr>
            <w:tcW w:w="500" w:type="dxa"/>
            <w:vAlign w:val="bottom"/>
          </w:tcPr>
          <w:p>
            <w:pPr>
              <w:spacing w:after="0"/>
              <w:rPr>
                <w:sz w:val="12"/>
                <w:szCs w:val="12"/>
                <w:color w:val="auto"/>
              </w:rPr>
            </w:pPr>
          </w:p>
        </w:tc>
        <w:tc>
          <w:tcPr>
            <w:tcW w:w="15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to January 28,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Ended March 31,</w:t>
            </w:r>
          </w:p>
        </w:tc>
        <w:tc>
          <w:tcPr>
            <w:tcW w:w="1060" w:type="dxa"/>
            <w:vAlign w:val="bottom"/>
          </w:tcPr>
          <w:p>
            <w:pPr>
              <w:ind w:left="420"/>
              <w:spacing w:after="0" w:line="149" w:lineRule="exact"/>
              <w:rPr>
                <w:sz w:val="20"/>
                <w:szCs w:val="20"/>
                <w:color w:val="auto"/>
              </w:rPr>
            </w:pPr>
            <w:r>
              <w:rPr>
                <w:rFonts w:ascii="Arial" w:cs="Arial" w:eastAsia="Arial" w:hAnsi="Arial"/>
                <w:sz w:val="14"/>
                <w:szCs w:val="14"/>
                <w:color w:val="auto"/>
              </w:rPr>
              <w:t>2011 to</w:t>
            </w:r>
          </w:p>
        </w:tc>
        <w:tc>
          <w:tcPr>
            <w:tcW w:w="0" w:type="dxa"/>
            <w:vAlign w:val="bottom"/>
          </w:tcPr>
          <w:p>
            <w:pPr>
              <w:spacing w:after="0"/>
              <w:rPr>
                <w:sz w:val="1"/>
                <w:szCs w:val="1"/>
                <w:color w:val="auto"/>
              </w:rPr>
            </w:pPr>
          </w:p>
        </w:tc>
      </w:tr>
      <w:tr>
        <w:trPr>
          <w:trHeight w:val="159"/>
        </w:trPr>
        <w:tc>
          <w:tcPr>
            <w:tcW w:w="37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2"/>
              <w:spacing w:after="0" w:line="159"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0"/>
              <w:spacing w:after="0" w:line="159" w:lineRule="exact"/>
              <w:rPr>
                <w:sz w:val="20"/>
                <w:szCs w:val="20"/>
                <w:color w:val="auto"/>
              </w:rPr>
            </w:pPr>
            <w:r>
              <w:rPr>
                <w:rFonts w:ascii="Arial" w:cs="Arial" w:eastAsia="Arial" w:hAnsi="Arial"/>
                <w:sz w:val="14"/>
                <w:szCs w:val="14"/>
                <w:color w:val="auto"/>
                <w:w w:val="89"/>
              </w:rPr>
              <w:t>2011</w:t>
            </w:r>
          </w:p>
        </w:tc>
        <w:tc>
          <w:tcPr>
            <w:tcW w:w="52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60"/>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2"/>
              <w:spacing w:after="0" w:line="159" w:lineRule="exact"/>
              <w:rPr>
                <w:sz w:val="20"/>
                <w:szCs w:val="20"/>
                <w:color w:val="auto"/>
              </w:rPr>
            </w:pPr>
            <w:r>
              <w:rPr>
                <w:rFonts w:ascii="Arial" w:cs="Arial" w:eastAsia="Arial" w:hAnsi="Arial"/>
                <w:sz w:val="14"/>
                <w:szCs w:val="14"/>
                <w:color w:val="auto"/>
                <w:w w:val="83"/>
              </w:rPr>
              <w:t>2011</w:t>
            </w:r>
          </w:p>
        </w:tc>
        <w:tc>
          <w:tcPr>
            <w:tcW w:w="1060" w:type="dxa"/>
            <w:vAlign w:val="bottom"/>
            <w:tcBorders>
              <w:bottom w:val="single" w:sz="8" w:color="auto"/>
            </w:tcBorders>
          </w:tcPr>
          <w:p>
            <w:pPr>
              <w:ind w:left="480"/>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3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412</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275</w:t>
            </w:r>
          </w:p>
        </w:tc>
        <w:tc>
          <w:tcPr>
            <w:tcW w:w="520" w:type="dxa"/>
            <w:vAlign w:val="bottom"/>
            <w:tcBorders>
              <w:right w:val="single" w:sz="8" w:color="auto"/>
            </w:tcBorders>
            <w:shd w:val="clear" w:color="auto" w:fill="E5E5E5"/>
          </w:tcPr>
          <w:p>
            <w:pPr>
              <w:spacing w:after="0"/>
              <w:rPr>
                <w:sz w:val="18"/>
                <w:szCs w:val="18"/>
                <w:color w:val="auto"/>
              </w:rPr>
            </w:pP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390</w:t>
            </w:r>
          </w:p>
        </w:tc>
        <w:tc>
          <w:tcPr>
            <w:tcW w:w="1060" w:type="dxa"/>
            <w:vAlign w:val="bottom"/>
            <w:shd w:val="clear" w:color="auto" w:fill="E5E5E5"/>
          </w:tcPr>
          <w:p>
            <w:pPr>
              <w:ind w:left="56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5"/>
        </w:trPr>
        <w:tc>
          <w:tcPr>
            <w:tcW w:w="378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5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157</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97</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134</w:t>
            </w:r>
          </w:p>
        </w:tc>
        <w:tc>
          <w:tcPr>
            <w:tcW w:w="106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b w:val="1"/>
                <w:bCs w:val="1"/>
                <w:color w:val="auto"/>
                <w:w w:val="99"/>
              </w:rPr>
              <w:t>17.1 %</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Theme Parks Segment — Revenue</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Theme Parks segment revenue increased for the three months ended March 31, 2012 compared to the same period in 2011 primarily due to increases in per capita spending and international guest attendance at our Universal theme parks.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Our Theme Parks segment operating costs and expenses remained relatively flat for the three months ended March 31, 2012 compared to the same period in 2011.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Headquarters and other operating costs and expenses decreased for the three months ended March 31, 2012 compared to the same period in 2011 primarily due to $104 million of transaction-related costs associated with the Joint Venture transaction, including severance and other compensation-related costs, included in the prior year period.</w:t>
      </w:r>
    </w:p>
    <w:p>
      <w:pPr>
        <w:spacing w:after="0" w:line="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three months ended March 31, 2011. Our Theme Parks segment includes the results of operations of Universal Orlando for this period because these amounts reflect our segment performance measure. These amounts are not included when we measure our consolidated results of operations because we recorded Universal Orlando as an equity method investment for the three months ended March 31, 2011.</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Successor</w:t>
            </w:r>
          </w:p>
        </w:tc>
        <w:tc>
          <w:tcPr>
            <w:tcW w:w="10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color w:val="auto"/>
                <w:w w:val="81"/>
              </w:rPr>
              <w:t>Predecessor</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87"/>
              </w:rPr>
              <w:t>Combined</w:t>
            </w:r>
          </w:p>
        </w:tc>
      </w:tr>
      <w:tr>
        <w:trPr>
          <w:trHeight w:val="131"/>
        </w:trPr>
        <w:tc>
          <w:tcPr>
            <w:tcW w:w="4280" w:type="dxa"/>
            <w:vAlign w:val="bottom"/>
          </w:tcPr>
          <w:p>
            <w:pPr>
              <w:spacing w:after="0"/>
              <w:rPr>
                <w:sz w:val="11"/>
                <w:szCs w:val="11"/>
                <w:color w:val="auto"/>
              </w:rPr>
            </w:pPr>
          </w:p>
        </w:tc>
        <w:tc>
          <w:tcPr>
            <w:tcW w:w="1360" w:type="dxa"/>
            <w:vAlign w:val="bottom"/>
            <w:gridSpan w:val="2"/>
          </w:tcPr>
          <w:p>
            <w:pPr>
              <w:jc w:val="center"/>
              <w:ind w:left="319"/>
              <w:spacing w:after="0" w:line="131" w:lineRule="exact"/>
              <w:rPr>
                <w:sz w:val="20"/>
                <w:szCs w:val="20"/>
                <w:color w:val="auto"/>
              </w:rPr>
            </w:pPr>
            <w:r>
              <w:rPr>
                <w:rFonts w:ascii="Arial" w:cs="Arial" w:eastAsia="Arial" w:hAnsi="Arial"/>
                <w:sz w:val="14"/>
                <w:szCs w:val="14"/>
                <w:color w:val="auto"/>
                <w:w w:val="87"/>
              </w:rPr>
              <w:t>Three Months</w:t>
            </w: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2"/>
          </w:tcPr>
          <w:p>
            <w:pPr>
              <w:jc w:val="center"/>
              <w:ind w:left="79"/>
              <w:spacing w:after="0" w:line="131" w:lineRule="exact"/>
              <w:rPr>
                <w:sz w:val="20"/>
                <w:szCs w:val="20"/>
                <w:color w:val="auto"/>
              </w:rPr>
            </w:pPr>
            <w:r>
              <w:rPr>
                <w:rFonts w:ascii="Arial" w:cs="Arial" w:eastAsia="Arial" w:hAnsi="Arial"/>
                <w:sz w:val="14"/>
                <w:szCs w:val="14"/>
                <w:color w:val="auto"/>
                <w:w w:val="87"/>
              </w:rPr>
              <w:t>Three Months</w:t>
            </w:r>
          </w:p>
        </w:tc>
      </w:t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88"/>
              </w:rPr>
              <w:t>Ended</w:t>
            </w:r>
          </w:p>
        </w:tc>
        <w:tc>
          <w:tcPr>
            <w:tcW w:w="60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color w:val="auto"/>
                <w:w w:val="85"/>
              </w:rPr>
              <w:t>For the Period</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center"/>
              <w:ind w:right="358"/>
              <w:spacing w:after="0" w:line="149" w:lineRule="exact"/>
              <w:rPr>
                <w:sz w:val="20"/>
                <w:szCs w:val="20"/>
                <w:color w:val="auto"/>
              </w:rPr>
            </w:pPr>
            <w:r>
              <w:rPr>
                <w:rFonts w:ascii="Arial" w:cs="Arial" w:eastAsia="Arial" w:hAnsi="Arial"/>
                <w:sz w:val="14"/>
                <w:szCs w:val="14"/>
                <w:color w:val="auto"/>
                <w:w w:val="87"/>
              </w:rPr>
              <w:t>For the Period</w:t>
            </w:r>
          </w:p>
        </w:tc>
        <w:tc>
          <w:tcPr>
            <w:tcW w:w="380" w:type="dxa"/>
            <w:vAlign w:val="bottom"/>
          </w:tcPr>
          <w:p>
            <w:pPr>
              <w:spacing w:after="0"/>
              <w:rPr>
                <w:sz w:val="12"/>
                <w:szCs w:val="12"/>
                <w:color w:val="auto"/>
              </w:rPr>
            </w:pPr>
          </w:p>
        </w:tc>
        <w:tc>
          <w:tcPr>
            <w:tcW w:w="78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83"/>
              </w:rPr>
              <w:t>Ended</w:t>
            </w:r>
          </w:p>
        </w:tc>
      </w:t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89"/>
              </w:rPr>
              <w:t>March 31,</w:t>
            </w:r>
          </w:p>
        </w:tc>
        <w:tc>
          <w:tcPr>
            <w:tcW w:w="2220" w:type="dxa"/>
            <w:vAlign w:val="bottom"/>
            <w:tcBorders>
              <w:right w:val="single" w:sz="8" w:color="auto"/>
            </w:tcBorders>
            <w:gridSpan w:val="3"/>
          </w:tcPr>
          <w:p>
            <w:pPr>
              <w:jc w:val="center"/>
              <w:ind w:right="220"/>
              <w:spacing w:after="0" w:line="149" w:lineRule="exact"/>
              <w:rPr>
                <w:sz w:val="20"/>
                <w:szCs w:val="20"/>
                <w:color w:val="auto"/>
              </w:rPr>
            </w:pPr>
            <w:r>
              <w:rPr>
                <w:rFonts w:ascii="Arial" w:cs="Arial" w:eastAsia="Arial" w:hAnsi="Arial"/>
                <w:sz w:val="14"/>
                <w:szCs w:val="14"/>
                <w:color w:val="auto"/>
                <w:w w:val="85"/>
              </w:rPr>
              <w:t>January 29, 2011</w:t>
            </w:r>
          </w:p>
        </w:tc>
        <w:tc>
          <w:tcPr>
            <w:tcW w:w="580" w:type="dxa"/>
            <w:vAlign w:val="bottom"/>
          </w:tcPr>
          <w:p>
            <w:pPr>
              <w:spacing w:after="0"/>
              <w:rPr>
                <w:sz w:val="12"/>
                <w:szCs w:val="12"/>
                <w:color w:val="auto"/>
              </w:rPr>
            </w:pPr>
          </w:p>
        </w:tc>
        <w:tc>
          <w:tcPr>
            <w:tcW w:w="182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6"/>
              </w:rPr>
              <w:t>January 1, 2011 to</w:t>
            </w:r>
          </w:p>
        </w:tc>
        <w:tc>
          <w:tcPr>
            <w:tcW w:w="38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color w:val="auto"/>
                <w:w w:val="89"/>
              </w:rPr>
              <w:t>March 31,</w:t>
            </w:r>
          </w:p>
        </w:tc>
      </w:tr>
      <w:tr>
        <w:trPr>
          <w:trHeight w:val="159"/>
        </w:trPr>
        <w:tc>
          <w:tcPr>
            <w:tcW w:w="4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20"/>
              <w:spacing w:after="0" w:line="159" w:lineRule="exact"/>
              <w:rPr>
                <w:sz w:val="20"/>
                <w:szCs w:val="20"/>
                <w:color w:val="auto"/>
              </w:rPr>
            </w:pPr>
            <w:r>
              <w:rPr>
                <w:rFonts w:ascii="Arial" w:cs="Arial" w:eastAsia="Arial" w:hAnsi="Arial"/>
                <w:sz w:val="14"/>
                <w:szCs w:val="14"/>
                <w:color w:val="auto"/>
                <w:w w:val="89"/>
              </w:rPr>
              <w:t>2012</w:t>
            </w:r>
          </w:p>
        </w:tc>
        <w:tc>
          <w:tcPr>
            <w:tcW w:w="2220" w:type="dxa"/>
            <w:vAlign w:val="bottom"/>
            <w:tcBorders>
              <w:bottom w:val="single" w:sz="8" w:color="auto"/>
              <w:right w:val="single" w:sz="8" w:color="auto"/>
            </w:tcBorders>
            <w:gridSpan w:val="3"/>
          </w:tcPr>
          <w:p>
            <w:pPr>
              <w:jc w:val="center"/>
              <w:ind w:right="220"/>
              <w:spacing w:after="0" w:line="159" w:lineRule="exact"/>
              <w:rPr>
                <w:sz w:val="20"/>
                <w:szCs w:val="20"/>
                <w:color w:val="auto"/>
              </w:rPr>
            </w:pPr>
            <w:r>
              <w:rPr>
                <w:rFonts w:ascii="Arial" w:cs="Arial" w:eastAsia="Arial" w:hAnsi="Arial"/>
                <w:sz w:val="14"/>
                <w:szCs w:val="14"/>
                <w:color w:val="auto"/>
                <w:w w:val="88"/>
              </w:rPr>
              <w:t>to March 31, 2011</w:t>
            </w:r>
          </w:p>
        </w:tc>
        <w:tc>
          <w:tcPr>
            <w:tcW w:w="5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left="112"/>
              <w:spacing w:after="0" w:line="159" w:lineRule="exact"/>
              <w:rPr>
                <w:sz w:val="20"/>
                <w:szCs w:val="20"/>
                <w:color w:val="auto"/>
              </w:rPr>
            </w:pPr>
            <w:r>
              <w:rPr>
                <w:rFonts w:ascii="Arial" w:cs="Arial" w:eastAsia="Arial" w:hAnsi="Arial"/>
                <w:sz w:val="14"/>
                <w:szCs w:val="14"/>
                <w:color w:val="auto"/>
                <w:w w:val="85"/>
              </w:rPr>
              <w:t>January 28, 2011</w:t>
            </w: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21"/>
              <w:spacing w:after="0" w:line="159" w:lineRule="exact"/>
              <w:rPr>
                <w:sz w:val="20"/>
                <w:szCs w:val="20"/>
                <w:color w:val="auto"/>
              </w:rPr>
            </w:pPr>
            <w:r>
              <w:rPr>
                <w:rFonts w:ascii="Arial" w:cs="Arial" w:eastAsia="Arial" w:hAnsi="Arial"/>
                <w:sz w:val="14"/>
                <w:szCs w:val="14"/>
                <w:color w:val="auto"/>
                <w:w w:val="83"/>
              </w:rPr>
              <w:t>2011</w:t>
            </w:r>
          </w:p>
        </w:tc>
      </w:tr>
      <w:tr>
        <w:trPr>
          <w:trHeight w:val="210"/>
        </w:trPr>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73</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36</w:t>
            </w:r>
          </w:p>
        </w:tc>
        <w:tc>
          <w:tcPr>
            <w:tcW w:w="620" w:type="dxa"/>
            <w:vAlign w:val="bottom"/>
            <w:tcBorders>
              <w:right w:val="single" w:sz="8" w:color="auto"/>
            </w:tcBorders>
            <w:shd w:val="clear" w:color="auto" w:fill="E5E5E5"/>
          </w:tcPr>
          <w:p>
            <w:pPr>
              <w:spacing w:after="0"/>
              <w:rPr>
                <w:sz w:val="18"/>
                <w:szCs w:val="18"/>
                <w:color w:val="auto"/>
              </w:rPr>
            </w:pPr>
          </w:p>
        </w:tc>
        <w:tc>
          <w:tcPr>
            <w:tcW w:w="11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25</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61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6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ind w:right="178"/>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28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w:t>
            </w:r>
          </w:p>
        </w:tc>
        <w:tc>
          <w:tcPr>
            <w:tcW w:w="620" w:type="dxa"/>
            <w:vAlign w:val="bottom"/>
            <w:tcBorders>
              <w:right w:val="single" w:sz="8" w:color="auto"/>
            </w:tcBorders>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7"/>
        </w:trPr>
        <w:tc>
          <w:tcPr>
            <w:tcW w:w="4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1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b w:val="1"/>
                <w:bCs w:val="1"/>
                <w:color w:val="auto"/>
              </w:rPr>
              <w:t>(37)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(81)</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equity in net income of investees, net for the three months ended March 31, 2012 compared to the same period in 2011 primarily relates to improvements in the operating results of A&amp;E Television Networks and The Weather Channel, partially offset by the impact from the consolidation of Universal Orlando, which was accounted for as an equity method investment in the same period in 2011.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Interest expense increased for the three months ended March 31, 2012 compared to the same period in 2011 primarily due to the impact of consolidating Universal Orlando’s debt following the close of the Universal Orlando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(Income) Loss Attributable to Noncontrolling Interests</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(income) loss attributable to noncontrolling interests decreased for the three months ended March 31, 2012 primarily due to lower income generated by our regional sports networks.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9" w:right="239" w:bottom="1440" w:gutter="0" w:footer="0" w:header="0"/>
        </w:sectPr>
      </w:pPr>
    </w:p>
    <w:bookmarkStart w:id="225" w:name="page226"/>
    <w:bookmarkEnd w:id="225"/>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maintain significant availability under our lines of credit and our commercial paper program to meet our short-term liquidity requirements. As of March 31, 2012 amounts available under our credit facility totaled approximately $1.3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83"/>
              </w:rPr>
              <w:t>Predecessor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Combined</w:t>
            </w:r>
          </w:p>
        </w:tc>
      </w:tr>
      <w:tr>
        <w:trPr>
          <w:trHeight w:val="131"/>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136"/>
              <w:spacing w:after="0" w:line="131" w:lineRule="exact"/>
              <w:rPr>
                <w:sz w:val="20"/>
                <w:szCs w:val="20"/>
                <w:color w:val="auto"/>
              </w:rPr>
            </w:pPr>
            <w:r>
              <w:rPr>
                <w:rFonts w:ascii="Arial" w:cs="Arial" w:eastAsia="Arial" w:hAnsi="Arial"/>
                <w:sz w:val="14"/>
                <w:szCs w:val="14"/>
                <w:color w:val="auto"/>
                <w:w w:val="87"/>
              </w:rPr>
              <w:t>For the Period</w:t>
            </w:r>
          </w:p>
        </w:tc>
        <w:tc>
          <w:tcPr>
            <w:tcW w:w="5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jc w:val="center"/>
              <w:ind w:right="336"/>
              <w:spacing w:after="0" w:line="131" w:lineRule="exact"/>
              <w:rPr>
                <w:sz w:val="20"/>
                <w:szCs w:val="20"/>
                <w:color w:val="auto"/>
              </w:rPr>
            </w:pPr>
            <w:r>
              <w:rPr>
                <w:rFonts w:ascii="Arial" w:cs="Arial" w:eastAsia="Arial" w:hAnsi="Arial"/>
                <w:sz w:val="14"/>
                <w:szCs w:val="14"/>
                <w:color w:val="auto"/>
                <w:w w:val="87"/>
              </w:rPr>
              <w:t>For the Period</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9"/>
        </w:trPr>
        <w:tc>
          <w:tcPr>
            <w:tcW w:w="3240" w:type="dxa"/>
            <w:vAlign w:val="bottom"/>
          </w:tcPr>
          <w:p>
            <w:pPr>
              <w:spacing w:after="0"/>
              <w:rPr>
                <w:sz w:val="12"/>
                <w:szCs w:val="12"/>
                <w:color w:val="auto"/>
              </w:rPr>
            </w:pPr>
          </w:p>
        </w:tc>
        <w:tc>
          <w:tcPr>
            <w:tcW w:w="264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Three Months Ended</w:t>
            </w:r>
          </w:p>
        </w:tc>
        <w:tc>
          <w:tcPr>
            <w:tcW w:w="174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color w:val="auto"/>
              </w:rPr>
              <w:t>January 29, 2011 to</w:t>
            </w:r>
          </w:p>
        </w:tc>
        <w:tc>
          <w:tcPr>
            <w:tcW w:w="540" w:type="dxa"/>
            <w:vAlign w:val="bottom"/>
          </w:tcPr>
          <w:p>
            <w:pPr>
              <w:spacing w:after="0"/>
              <w:rPr>
                <w:sz w:val="12"/>
                <w:szCs w:val="12"/>
                <w:color w:val="auto"/>
              </w:rPr>
            </w:pPr>
          </w:p>
        </w:tc>
        <w:tc>
          <w:tcPr>
            <w:tcW w:w="17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4"/>
              </w:rPr>
              <w:t>January 1, 2011 to</w:t>
            </w:r>
          </w:p>
        </w:tc>
        <w:tc>
          <w:tcPr>
            <w:tcW w:w="150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4"/>
              </w:rPr>
              <w:t>Three Months Ended</w:t>
            </w:r>
          </w:p>
        </w:tc>
      </w:tr>
      <w:tr>
        <w:trPr>
          <w:trHeight w:val="159"/>
        </w:trPr>
        <w:tc>
          <w:tcPr>
            <w:tcW w:w="3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76"/>
              <w:spacing w:after="0" w:line="159" w:lineRule="exact"/>
              <w:rPr>
                <w:sz w:val="20"/>
                <w:szCs w:val="20"/>
                <w:color w:val="auto"/>
              </w:rPr>
            </w:pPr>
            <w:r>
              <w:rPr>
                <w:rFonts w:ascii="Arial" w:cs="Arial" w:eastAsia="Arial" w:hAnsi="Arial"/>
                <w:sz w:val="14"/>
                <w:szCs w:val="14"/>
                <w:color w:val="auto"/>
                <w:w w:val="90"/>
              </w:rPr>
              <w:t>March 31, 2012</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right w:val="single" w:sz="8" w:color="auto"/>
            </w:tcBorders>
            <w:gridSpan w:val="2"/>
          </w:tcPr>
          <w:p>
            <w:pPr>
              <w:jc w:val="center"/>
              <w:ind w:right="760"/>
              <w:spacing w:after="0" w:line="159" w:lineRule="exact"/>
              <w:rPr>
                <w:sz w:val="20"/>
                <w:szCs w:val="20"/>
                <w:color w:val="auto"/>
              </w:rPr>
            </w:pPr>
            <w:r>
              <w:rPr>
                <w:rFonts w:ascii="Arial" w:cs="Arial" w:eastAsia="Arial" w:hAnsi="Arial"/>
                <w:sz w:val="14"/>
                <w:szCs w:val="14"/>
                <w:color w:val="auto"/>
                <w:w w:val="88"/>
              </w:rPr>
              <w:t>March 31, 2011</w:t>
            </w:r>
          </w:p>
        </w:tc>
        <w:tc>
          <w:tcPr>
            <w:tcW w:w="5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ind w:left="92"/>
              <w:spacing w:after="0" w:line="159" w:lineRule="exact"/>
              <w:rPr>
                <w:sz w:val="20"/>
                <w:szCs w:val="20"/>
                <w:color w:val="auto"/>
              </w:rPr>
            </w:pPr>
            <w:r>
              <w:rPr>
                <w:rFonts w:ascii="Arial" w:cs="Arial" w:eastAsia="Arial" w:hAnsi="Arial"/>
                <w:sz w:val="14"/>
                <w:szCs w:val="14"/>
                <w:color w:val="auto"/>
                <w:w w:val="85"/>
              </w:rPr>
              <w:t>January 28, 2011</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88"/>
              </w:rPr>
              <w:t>March 31, 2011</w:t>
            </w:r>
          </w:p>
        </w:tc>
      </w:tr>
      <w:tr>
        <w:trPr>
          <w:trHeight w:val="210"/>
        </w:trPr>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E5E5E5"/>
          </w:tcPr>
          <w:p>
            <w:pPr>
              <w:ind w:left="96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E5E5E5"/>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205</w:t>
            </w:r>
          </w:p>
        </w:tc>
        <w:tc>
          <w:tcPr>
            <w:tcW w:w="540" w:type="dxa"/>
            <w:vAlign w:val="bottom"/>
            <w:tcBorders>
              <w:right w:val="single" w:sz="8" w:color="auto"/>
            </w:tcBorders>
            <w:shd w:val="clear" w:color="auto" w:fill="E5E5E5"/>
          </w:tcPr>
          <w:p>
            <w:pPr>
              <w:spacing w:after="0"/>
              <w:rPr>
                <w:sz w:val="18"/>
                <w:szCs w:val="18"/>
                <w:color w:val="auto"/>
              </w:rPr>
            </w:pP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8</w:t>
            </w:r>
          </w:p>
        </w:tc>
        <w:tc>
          <w:tcPr>
            <w:tcW w:w="360" w:type="dxa"/>
            <w:vAlign w:val="bottom"/>
            <w:shd w:val="clear" w:color="auto" w:fill="E5E5E5"/>
          </w:tcPr>
          <w:p>
            <w:pPr>
              <w:ind w:left="2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213</w:t>
            </w:r>
          </w:p>
        </w:tc>
      </w:tr>
      <w:tr>
        <w:trPr>
          <w:trHeight w:val="21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187</w:t>
            </w:r>
          </w:p>
        </w:tc>
        <w:tc>
          <w:tcPr>
            <w:tcW w:w="5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214</w:t>
            </w:r>
          </w:p>
        </w:tc>
      </w:tr>
      <w:tr>
        <w:trPr>
          <w:trHeight w:val="201"/>
        </w:trPr>
        <w:tc>
          <w:tcPr>
            <w:tcW w:w="3240" w:type="dxa"/>
            <w:vAlign w:val="bottom"/>
            <w:shd w:val="clear" w:color="auto" w:fill="E5E5E5"/>
          </w:tcPr>
          <w:p>
            <w:pPr>
              <w:ind w:left="220"/>
              <w:spacing w:after="0" w:line="201" w:lineRule="exact"/>
              <w:rPr>
                <w:sz w:val="20"/>
                <w:szCs w:val="20"/>
                <w:color w:val="auto"/>
              </w:rPr>
            </w:pPr>
            <w:r>
              <w:rPr>
                <w:rFonts w:ascii="Arial" w:cs="Arial" w:eastAsia="Arial" w:hAnsi="Arial"/>
                <w:sz w:val="18"/>
                <w:szCs w:val="18"/>
                <w:color w:val="auto"/>
                <w:w w:val="89"/>
              </w:rPr>
              <w:t>Operating income before depreciation and</w:t>
            </w:r>
          </w:p>
        </w:tc>
        <w:tc>
          <w:tcPr>
            <w:tcW w:w="10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540" w:type="dxa"/>
            <w:vAlign w:val="bottom"/>
            <w:tcBorders>
              <w:right w:val="single" w:sz="8" w:color="auto"/>
            </w:tcBorders>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r>
      <w:tr>
        <w:trPr>
          <w:trHeight w:val="224"/>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436"/>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E5E5E5"/>
          </w:tcPr>
          <w:p>
            <w:pPr>
              <w:spacing w:after="0"/>
              <w:rPr>
                <w:sz w:val="19"/>
                <w:szCs w:val="19"/>
                <w:color w:val="auto"/>
              </w:rPr>
            </w:pPr>
          </w:p>
        </w:tc>
        <w:tc>
          <w:tcPr>
            <w:tcW w:w="10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392</w:t>
            </w:r>
          </w:p>
        </w:tc>
        <w:tc>
          <w:tcPr>
            <w:tcW w:w="540" w:type="dxa"/>
            <w:vAlign w:val="bottom"/>
            <w:tcBorders>
              <w:right w:val="single" w:sz="8" w:color="auto"/>
            </w:tcBorders>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20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427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Noncash compensation</w:t>
            </w:r>
          </w:p>
        </w:tc>
        <w:tc>
          <w:tcPr>
            <w:tcW w:w="1080" w:type="dxa"/>
            <w:vAlign w:val="bottom"/>
          </w:tcPr>
          <w:p>
            <w:pPr>
              <w:spacing w:after="0"/>
              <w:rPr>
                <w:sz w:val="18"/>
                <w:szCs w:val="18"/>
                <w:color w:val="auto"/>
              </w:rPr>
            </w:pPr>
          </w:p>
        </w:tc>
        <w:tc>
          <w:tcPr>
            <w:tcW w:w="1560" w:type="dxa"/>
            <w:vAlign w:val="bottom"/>
          </w:tcPr>
          <w:p>
            <w:pPr>
              <w:jc w:val="right"/>
              <w:ind w:right="43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56</w:t>
            </w:r>
          </w:p>
        </w:tc>
      </w:tr>
      <w:tr>
        <w:trPr>
          <w:trHeight w:val="216"/>
        </w:trPr>
        <w:tc>
          <w:tcPr>
            <w:tcW w:w="3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5"/>
              </w:rPr>
              <w:t>Changes in operating assets and liabilities</w:t>
            </w:r>
          </w:p>
        </w:tc>
        <w:tc>
          <w:tcPr>
            <w:tcW w:w="10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auto"/>
              <w:right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3240" w:type="dxa"/>
            <w:vAlign w:val="bottom"/>
          </w:tcPr>
          <w:p>
            <w:pPr>
              <w:ind w:left="220"/>
              <w:spacing w:after="0"/>
              <w:rPr>
                <w:sz w:val="20"/>
                <w:szCs w:val="20"/>
                <w:color w:val="auto"/>
              </w:rPr>
            </w:pPr>
            <w:r>
              <w:rPr>
                <w:rFonts w:ascii="Arial" w:cs="Arial" w:eastAsia="Arial" w:hAnsi="Arial"/>
                <w:sz w:val="18"/>
                <w:szCs w:val="18"/>
                <w:color w:val="auto"/>
              </w:rPr>
              <w:t>Cash basis operating income</w:t>
            </w:r>
          </w:p>
        </w:tc>
        <w:tc>
          <w:tcPr>
            <w:tcW w:w="1080" w:type="dxa"/>
            <w:vAlign w:val="bottom"/>
          </w:tcPr>
          <w:p>
            <w:pPr>
              <w:spacing w:after="0"/>
              <w:rPr>
                <w:sz w:val="18"/>
                <w:szCs w:val="18"/>
                <w:color w:val="auto"/>
              </w:rPr>
            </w:pPr>
          </w:p>
        </w:tc>
        <w:tc>
          <w:tcPr>
            <w:tcW w:w="1560" w:type="dxa"/>
            <w:vAlign w:val="bottom"/>
          </w:tcPr>
          <w:p>
            <w:pPr>
              <w:jc w:val="right"/>
              <w:ind w:right="436"/>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470</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76"/>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333</w:t>
            </w:r>
          </w:p>
        </w:tc>
      </w:tr>
      <w:tr>
        <w:trPr>
          <w:trHeight w:val="216"/>
        </w:trPr>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(5)</w:t>
            </w: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right w:val="single" w:sz="8" w:color="auto"/>
            </w:tcBorders>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80" w:type="dxa"/>
            <w:vAlign w:val="bottom"/>
          </w:tcPr>
          <w:p>
            <w:pPr>
              <w:spacing w:after="0"/>
              <w:rPr>
                <w:sz w:val="18"/>
                <w:szCs w:val="18"/>
                <w:color w:val="auto"/>
              </w:rPr>
            </w:pPr>
          </w:p>
        </w:tc>
        <w:tc>
          <w:tcPr>
            <w:tcW w:w="1560" w:type="dxa"/>
            <w:vAlign w:val="bottom"/>
          </w:tcPr>
          <w:p>
            <w:pPr>
              <w:jc w:val="right"/>
              <w:ind w:right="37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ind w:right="176"/>
              <w:spacing w:after="0"/>
              <w:rPr>
                <w:sz w:val="20"/>
                <w:szCs w:val="20"/>
                <w:color w:val="auto"/>
              </w:rPr>
            </w:pPr>
            <w:r>
              <w:rPr>
                <w:rFonts w:ascii="Arial" w:cs="Arial" w:eastAsia="Arial" w:hAnsi="Arial"/>
                <w:sz w:val="18"/>
                <w:szCs w:val="18"/>
                <w:color w:val="auto"/>
              </w:rPr>
              <w:t>(493)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08"/>
        </w:trPr>
        <w:tc>
          <w:tcPr>
            <w:tcW w:w="3240" w:type="dxa"/>
            <w:vAlign w:val="bottom"/>
            <w:shd w:val="clear" w:color="auto" w:fill="E5E5E5"/>
          </w:tcPr>
          <w:p>
            <w:pPr>
              <w:spacing w:after="0"/>
              <w:rPr>
                <w:sz w:val="20"/>
                <w:szCs w:val="20"/>
                <w:color w:val="auto"/>
              </w:rPr>
            </w:pPr>
            <w:r>
              <w:rPr>
                <w:rFonts w:ascii="Arial" w:cs="Arial" w:eastAsia="Arial" w:hAnsi="Arial"/>
                <w:sz w:val="18"/>
                <w:szCs w:val="18"/>
                <w:color w:val="auto"/>
                <w:w w:val="92"/>
              </w:rPr>
              <w:t>Proceeds from interest, dividends and other</w:t>
            </w:r>
          </w:p>
        </w:tc>
        <w:tc>
          <w:tcPr>
            <w:tcW w:w="108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r>
      <w:tr>
        <w:trPr>
          <w:trHeight w:val="222"/>
        </w:trPr>
        <w:tc>
          <w:tcPr>
            <w:tcW w:w="32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nonoperating items</w:t>
            </w:r>
          </w:p>
        </w:tc>
        <w:tc>
          <w:tcPr>
            <w:tcW w:w="1080" w:type="dxa"/>
            <w:vAlign w:val="bottom"/>
            <w:tcBorders>
              <w:bottom w:val="single" w:sz="8" w:color="auto"/>
            </w:tcBorders>
            <w:shd w:val="clear" w:color="auto" w:fill="E5E5E5"/>
          </w:tcPr>
          <w:p>
            <w:pPr>
              <w:spacing w:after="0"/>
              <w:rPr>
                <w:sz w:val="19"/>
                <w:szCs w:val="19"/>
                <w:color w:val="auto"/>
              </w:rPr>
            </w:pPr>
          </w:p>
        </w:tc>
        <w:tc>
          <w:tcPr>
            <w:tcW w:w="1560" w:type="dxa"/>
            <w:vAlign w:val="bottom"/>
            <w:tcBorders>
              <w:bottom w:val="single" w:sz="8" w:color="auto"/>
            </w:tcBorders>
            <w:shd w:val="clear" w:color="auto" w:fill="E5E5E5"/>
          </w:tcPr>
          <w:p>
            <w:pPr>
              <w:jc w:val="right"/>
              <w:ind w:right="436"/>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82</w:t>
            </w:r>
          </w:p>
        </w:tc>
        <w:tc>
          <w:tcPr>
            <w:tcW w:w="540" w:type="dxa"/>
            <w:vAlign w:val="bottom"/>
            <w:tcBorders>
              <w:bottom w:val="single" w:sz="8" w:color="auto"/>
              <w:right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84</w:t>
            </w:r>
          </w:p>
        </w:tc>
      </w:tr>
      <w:tr>
        <w:trPr>
          <w:trHeight w:val="197"/>
        </w:trPr>
        <w:tc>
          <w:tcPr>
            <w:tcW w:w="3240" w:type="dxa"/>
            <w:vAlign w:val="bottom"/>
          </w:tcPr>
          <w:p>
            <w:pPr>
              <w:spacing w:after="0" w:line="197" w:lineRule="exact"/>
              <w:rPr>
                <w:sz w:val="20"/>
                <w:szCs w:val="20"/>
                <w:color w:val="auto"/>
              </w:rPr>
            </w:pPr>
            <w:r>
              <w:rPr>
                <w:rFonts w:ascii="Arial" w:cs="Arial" w:eastAsia="Arial" w:hAnsi="Arial"/>
                <w:sz w:val="18"/>
                <w:szCs w:val="18"/>
                <w:b w:val="1"/>
                <w:bCs w:val="1"/>
                <w:color w:val="auto"/>
                <w:w w:val="92"/>
              </w:rPr>
              <w:t>Net cash provided by (used in) operating</w:t>
            </w: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3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activities</w:t>
            </w:r>
          </w:p>
        </w:tc>
        <w:tc>
          <w:tcPr>
            <w:tcW w:w="10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1,037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523</w:t>
            </w:r>
          </w:p>
        </w:tc>
        <w:tc>
          <w:tcPr>
            <w:tcW w:w="5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(629)</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r>
    </w:tbl>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changes in operating assets and liabilities for the three months ended March 31, 2012 compared to the same period in 2011 primarily relate to a decrease in film and television costs and the timing of payments of operating items, including participations and residuals.</w:t>
      </w:r>
    </w:p>
    <w:p>
      <w:pPr>
        <w:spacing w:after="0" w:line="9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decrease in income tax payments for the three months ended March 31, 2012 is primarily due to amounts paid in the prior year in preparation for the closing of the Joint Venture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three months ended March 31, 2012 consisted primarily of capital expenditures and purchases of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2012 consisted primarily of $400 million of net repayments of our outstanding commercial paper and our purchase of certain noncontrolling interests of $41 million.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liabilities.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26" w:name="page227"/>
    <w:bookmarkEnd w:id="2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purposes of filing this Report as an Exhibit to the Registrant’s Registration Statement on Form S-3.</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0"/>
          <w:szCs w:val="20"/>
          <w:color w:val="auto"/>
        </w:rPr>
      </w:pPr>
    </w:p>
    <w:p>
      <w:pPr>
        <w:ind w:left="4020" w:right="4000" w:hanging="4012"/>
        <w:spacing w:after="0" w:line="411" w:lineRule="auto"/>
        <w:tabs>
          <w:tab w:leader="none" w:pos="457" w:val="left"/>
        </w:tabs>
        <w:numPr>
          <w:ilvl w:val="0"/>
          <w:numId w:val="8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2012</w:t>
      </w:r>
    </w:p>
    <w:p>
      <w:pPr>
        <w:spacing w:after="0" w:line="208" w:lineRule="exact"/>
        <w:rPr>
          <w:sz w:val="20"/>
          <w:szCs w:val="20"/>
          <w:color w:val="auto"/>
        </w:rPr>
      </w:pPr>
    </w:p>
    <w:p>
      <w:pPr>
        <w:ind w:left="460" w:hanging="452"/>
        <w:spacing w:after="0"/>
        <w:tabs>
          <w:tab w:leader="none" w:pos="460" w:val="left"/>
        </w:tabs>
        <w:numPr>
          <w:ilvl w:val="0"/>
          <w:numId w:val="83"/>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0"/>
          <w:szCs w:val="20"/>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333-174175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r>
              <w:t>DELAWARE</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incorporation or organization)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30 Rockefeller Plaza,</w:t>
            </w:r>
          </w:p>
        </w:tc>
        <w:tc>
          <w:tcPr>
            <w:tcW w:w="3200" w:type="dxa"/>
            <w:vAlign w:val="bottom"/>
          </w:tcPr>
          <w:p>
            <w:pPr>
              <w:spacing w:after="0"/>
              <w:rPr>
                <w:sz w:val="24"/>
                <w:szCs w:val="24"/>
                <w:color w:val="auto"/>
              </w:rPr>
            </w:pPr>
          </w:p>
        </w:tc>
      </w:tr>
      <w:tr>
        <w:trPr>
          <w:trHeight w:val="236"/>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2"/>
              </w:rPr>
              <w:t>New York, NY</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0"/>
          <w:szCs w:val="20"/>
          <w:color w:val="auto"/>
        </w:rPr>
      </w:pPr>
    </w:p>
    <w:p>
      <w:pPr>
        <w:ind w:right="35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0"/>
          <w:szCs w:val="20"/>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ectPr>
          <w:pgSz w:w="11900" w:h="16838" w:orient="portrait"/>
          <w:cols w:equalWidth="0" w:num="1">
            <w:col w:w="11420"/>
          </w:cols>
          <w:pgMar w:left="240" w:top="125" w:right="239" w:bottom="1440" w:gutter="0" w:footer="0" w:header="0"/>
        </w:sectPr>
      </w:pPr>
    </w:p>
    <w:bookmarkStart w:id="228" w:name="page229"/>
    <w:bookmarkEnd w:id="228"/>
    <w:p>
      <w:pPr>
        <w:ind w:left="5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8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80" w:type="dxa"/>
            <w:vAlign w:val="bottom"/>
          </w:tcPr>
          <w:p>
            <w:pPr>
              <w:ind w:left="800"/>
              <w:spacing w:after="0" w:line="151" w:lineRule="exact"/>
              <w:rPr>
                <w:sz w:val="20"/>
                <w:szCs w:val="20"/>
                <w:color w:val="auto"/>
              </w:rPr>
            </w:pPr>
            <w:r>
              <w:rPr>
                <w:rFonts w:ascii="Arial" w:cs="Arial" w:eastAsia="Arial" w:hAnsi="Arial"/>
                <w:sz w:val="14"/>
                <w:szCs w:val="14"/>
                <w:b w:val="1"/>
                <w:bCs w:val="1"/>
                <w:color w:val="auto"/>
              </w:rPr>
              <w:t>Item 1.</w:t>
            </w:r>
          </w:p>
        </w:tc>
        <w:tc>
          <w:tcPr>
            <w:tcW w:w="8580" w:type="dxa"/>
            <w:vAlign w:val="bottom"/>
          </w:tcPr>
          <w:p>
            <w:pPr>
              <w:ind w:left="20"/>
              <w:spacing w:after="0" w:line="151" w:lineRule="exact"/>
              <w:rPr>
                <w:sz w:val="20"/>
                <w:szCs w:val="20"/>
                <w:color w:val="auto"/>
              </w:rPr>
            </w:pPr>
            <w:r>
              <w:rPr>
                <w:rFonts w:ascii="Arial" w:cs="Arial" w:eastAsia="Arial" w:hAnsi="Arial"/>
                <w:sz w:val="14"/>
                <w:szCs w:val="14"/>
                <w:color w:val="auto"/>
              </w:rPr>
              <w:t>Financial Statements</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Condensed Consolidated Balance Sheet as of June 30, 2012 and December 31, 2011 (Unaudited)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Condensed Consolidated Statement of Income for the Three Months Ended June 30, 2012 and 2011 (Unaudited)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w w:val="92"/>
              </w:rPr>
              <w:t>Condensed Consolidated Statement of Income for the Six Months Ended June 30, 2012 and the Periods Ended June 30, 2011 and January 28, 2011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w w:val="88"/>
              </w:rPr>
              <w:t>Condensed Consolidated Statement of Comprehensive Income for the Three Months Ended June 30, 2012 and 2011, the Six Months Ended June 30, 2012</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and the Periods Ended June 30, 2011 and January 28, 2011 (Unaudited)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w w:val="89"/>
              </w:rPr>
              <w:t>Condensed Consolidated Statement of Cash Flows for the Six Months Ended June 30, 2012 and the Periods Ended June 30, 2011 and January 28, 2011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w w:val="89"/>
              </w:rPr>
              <w:t>Condensed Consolidated Statement of Changes in Equity for the Six Months Ended June 30, 2012 and the Periods Ended June 30, 2011 and January 28,</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2011 (Unaudited)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Notes to Condensed Consolidated Financial Statements (Unaudited)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8580" w:type="dxa"/>
            <w:vAlign w:val="bottom"/>
          </w:tcPr>
          <w:p>
            <w:pPr>
              <w:ind w:left="20"/>
              <w:spacing w:after="0" w:line="147" w:lineRule="exact"/>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4.</w:t>
            </w: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Controls and Procedures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PART II. OTHER INFORMATION</w:t>
            </w:r>
          </w:p>
        </w:tc>
        <w:tc>
          <w:tcPr>
            <w:tcW w:w="8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1.</w:t>
            </w: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Legal Proceedings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800"/>
              <w:spacing w:after="0" w:line="149" w:lineRule="exact"/>
              <w:rPr>
                <w:sz w:val="20"/>
                <w:szCs w:val="20"/>
                <w:color w:val="auto"/>
              </w:rPr>
            </w:pPr>
            <w:r>
              <w:rPr>
                <w:rFonts w:ascii="Arial" w:cs="Arial" w:eastAsia="Arial" w:hAnsi="Arial"/>
                <w:sz w:val="14"/>
                <w:szCs w:val="14"/>
                <w:b w:val="1"/>
                <w:bCs w:val="1"/>
                <w:color w:val="auto"/>
              </w:rPr>
              <w:t>Item 1A.</w:t>
            </w:r>
          </w:p>
        </w:tc>
        <w:tc>
          <w:tcPr>
            <w:tcW w:w="8580" w:type="dxa"/>
            <w:vAlign w:val="bottom"/>
          </w:tcPr>
          <w:p>
            <w:pPr>
              <w:ind w:left="20"/>
              <w:spacing w:after="0" w:line="149" w:lineRule="exact"/>
              <w:rPr>
                <w:sz w:val="20"/>
                <w:szCs w:val="20"/>
                <w:color w:val="auto"/>
              </w:rPr>
            </w:pPr>
            <w:r>
              <w:rPr>
                <w:rFonts w:ascii="Arial" w:cs="Arial" w:eastAsia="Arial" w:hAnsi="Arial"/>
                <w:sz w:val="14"/>
                <w:szCs w:val="14"/>
                <w:color w:val="auto"/>
              </w:rPr>
              <w:t>Risk Factors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tcPr>
          <w:p>
            <w:pPr>
              <w:ind w:left="800"/>
              <w:spacing w:after="0"/>
              <w:rPr>
                <w:sz w:val="20"/>
                <w:szCs w:val="20"/>
                <w:color w:val="auto"/>
              </w:rPr>
            </w:pPr>
            <w:r>
              <w:rPr>
                <w:rFonts w:ascii="Arial" w:cs="Arial" w:eastAsia="Arial" w:hAnsi="Arial"/>
                <w:sz w:val="14"/>
                <w:szCs w:val="14"/>
                <w:b w:val="1"/>
                <w:bCs w:val="1"/>
                <w:color w:val="auto"/>
              </w:rPr>
              <w:t>Item 6.</w:t>
            </w:r>
          </w:p>
        </w:tc>
        <w:tc>
          <w:tcPr>
            <w:tcW w:w="8580" w:type="dxa"/>
            <w:vAlign w:val="bottom"/>
          </w:tcPr>
          <w:p>
            <w:pPr>
              <w:ind w:left="20"/>
              <w:spacing w:after="0"/>
              <w:rPr>
                <w:sz w:val="20"/>
                <w:szCs w:val="20"/>
                <w:color w:val="auto"/>
              </w:rPr>
            </w:pPr>
            <w:r>
              <w:rPr>
                <w:rFonts w:ascii="Arial" w:cs="Arial" w:eastAsia="Arial" w:hAnsi="Arial"/>
                <w:sz w:val="14"/>
                <w:szCs w:val="14"/>
                <w:color w:val="auto"/>
              </w:rPr>
              <w:t>Exhibits</w:t>
            </w: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8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400"/>
        <w:spacing w:after="0" w:line="273" w:lineRule="auto"/>
        <w:rPr>
          <w:sz w:val="20"/>
          <w:szCs w:val="20"/>
          <w:color w:val="auto"/>
        </w:rPr>
      </w:pPr>
      <w:r>
        <w:rPr>
          <w:rFonts w:ascii="Arial" w:cs="Arial" w:eastAsia="Arial" w:hAnsi="Arial"/>
          <w:sz w:val="12"/>
          <w:szCs w:val="12"/>
          <w:color w:val="auto"/>
        </w:rPr>
        <w:t>This Quarterly Report on Form 10-Q is for the three and six months ended June 30,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55" w:lineRule="exact"/>
        <w:rPr>
          <w:rFonts w:ascii="Arial" w:cs="Arial" w:eastAsia="Arial" w:hAnsi="Arial"/>
          <w:sz w:val="14"/>
          <w:szCs w:val="14"/>
          <w:color w:val="auto"/>
        </w:rPr>
      </w:pPr>
    </w:p>
    <w:p>
      <w:pPr>
        <w:ind w:left="1020" w:right="1400" w:hanging="215"/>
        <w:spacing w:after="0" w:line="239" w:lineRule="auto"/>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43" w:lineRule="exact"/>
        <w:rPr>
          <w:rFonts w:ascii="Arial" w:cs="Arial" w:eastAsia="Arial" w:hAnsi="Arial"/>
          <w:sz w:val="14"/>
          <w:szCs w:val="14"/>
          <w:color w:val="auto"/>
        </w:rPr>
      </w:pPr>
    </w:p>
    <w:p>
      <w:pPr>
        <w:ind w:left="1020" w:right="1500" w:hanging="215"/>
        <w:spacing w:after="0" w:line="239" w:lineRule="auto"/>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right="1480" w:hanging="215"/>
        <w:spacing w:after="0" w:line="239" w:lineRule="auto"/>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we are controlled by Comcast, and GE has certain approval rights</w:t>
      </w:r>
    </w:p>
    <w:p>
      <w:pPr>
        <w:spacing w:after="0" w:line="55" w:lineRule="exact"/>
        <w:rPr>
          <w:rFonts w:ascii="Arial" w:cs="Arial" w:eastAsia="Arial" w:hAnsi="Arial"/>
          <w:sz w:val="14"/>
          <w:szCs w:val="14"/>
          <w:color w:val="auto"/>
        </w:rPr>
      </w:pPr>
    </w:p>
    <w:p>
      <w:pPr>
        <w:ind w:left="1020" w:right="1500" w:hanging="215"/>
        <w:spacing w:after="0" w:line="239" w:lineRule="auto"/>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NBCUniversal Holdings may be required to purchase all or part of GE’s interests in NBCUniversal Holdings and may cause us to make distributions or loans to it to fund these purchases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Comcast and GE may compete with us in certain cases and have the ability on their own to pursue opportunities that might be attractive to us</w:t>
      </w:r>
    </w:p>
    <w:p>
      <w:pPr>
        <w:sectPr>
          <w:pgSz w:w="11900" w:h="16838" w:orient="portrait"/>
          <w:cols w:equalWidth="0" w:num="1">
            <w:col w:w="11420"/>
          </w:cols>
          <w:pgMar w:left="240" w:top="256"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Successor</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1980" w:type="dxa"/>
            <w:vAlign w:val="bottom"/>
            <w:gridSpan w:val="2"/>
          </w:tcPr>
          <w:p>
            <w:pPr>
              <w:ind w:left="1020"/>
              <w:spacing w:after="0" w:line="142" w:lineRule="exact"/>
              <w:rPr>
                <w:sz w:val="20"/>
                <w:szCs w:val="20"/>
                <w:color w:val="auto"/>
              </w:rPr>
            </w:pPr>
            <w:r>
              <w:rPr>
                <w:rFonts w:ascii="Arial" w:cs="Arial" w:eastAsia="Arial" w:hAnsi="Arial"/>
                <w:sz w:val="14"/>
                <w:szCs w:val="14"/>
                <w:color w:val="auto"/>
              </w:rPr>
              <w:t>June 30, 2012</w:t>
            </w:r>
          </w:p>
        </w:tc>
        <w:tc>
          <w:tcPr>
            <w:tcW w:w="1900" w:type="dxa"/>
            <w:vAlign w:val="bottom"/>
            <w:gridSpan w:val="2"/>
          </w:tcPr>
          <w:p>
            <w:pPr>
              <w:ind w:left="74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1,240</w:t>
            </w:r>
          </w:p>
        </w:tc>
        <w:tc>
          <w:tcPr>
            <w:tcW w:w="106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2,006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3,587</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1,049</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378</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8,260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5,079</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1,349</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Noncurrent receivables, net</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970</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$868 and $637</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5,101</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14,794</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$2,840 and $2,462</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15,384</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173</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51,110</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20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2,067</w:t>
            </w:r>
          </w:p>
        </w:tc>
        <w:tc>
          <w:tcPr>
            <w:tcW w:w="106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1,300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545</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972</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1,296</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6,188</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9,686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868</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370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163</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2,916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Member’s capital</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30,462</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(95)</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30,367</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421</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30,788</w:t>
            </w: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1200" w:type="dxa"/>
            <w:vAlign w:val="bottom"/>
            <w:tcBorders>
              <w:bottom w:val="single" w:sz="8" w:color="auto"/>
            </w:tcBorders>
            <w:shd w:val="clear" w:color="auto" w:fill="E5E5E5"/>
          </w:tcPr>
          <w:p>
            <w:pPr>
              <w:ind w:left="10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51,110</w:t>
            </w:r>
          </w:p>
        </w:tc>
        <w:tc>
          <w:tcPr>
            <w:tcW w:w="106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6"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82"/>
              </w:rPr>
              <w:t>Successor</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jc w:val="center"/>
              <w:ind w:right="93"/>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1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2"/>
              <w:spacing w:after="0" w:line="159" w:lineRule="exact"/>
              <w:rPr>
                <w:sz w:val="20"/>
                <w:szCs w:val="20"/>
                <w:color w:val="auto"/>
              </w:rPr>
            </w:pPr>
            <w:r>
              <w:rPr>
                <w:rFonts w:ascii="Arial" w:cs="Arial" w:eastAsia="Arial" w:hAnsi="Arial"/>
                <w:sz w:val="14"/>
                <w:szCs w:val="14"/>
                <w:color w:val="auto"/>
                <w:w w:val="80"/>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color w:val="auto"/>
                <w:w w:val="89"/>
              </w:rPr>
              <w:t>2012</w:t>
            </w:r>
          </w:p>
        </w:tc>
        <w:tc>
          <w:tcPr>
            <w:tcW w:w="68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5,504</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8"/>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4,522</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189</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4,842</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4,432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662</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626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1"/>
              </w:rPr>
              <w:t>Predecessor</w:t>
            </w: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gridSpan w:val="2"/>
          </w:tcPr>
          <w:p>
            <w:pPr>
              <w:jc w:val="right"/>
              <w:ind w:right="112"/>
              <w:spacing w:after="0" w:line="131" w:lineRule="exact"/>
              <w:rPr>
                <w:sz w:val="20"/>
                <w:szCs w:val="20"/>
                <w:color w:val="auto"/>
              </w:rPr>
            </w:pPr>
            <w:r>
              <w:rPr>
                <w:rFonts w:ascii="Arial" w:cs="Arial" w:eastAsia="Arial" w:hAnsi="Arial"/>
                <w:sz w:val="14"/>
                <w:szCs w:val="14"/>
                <w:color w:val="auto"/>
                <w:w w:val="96"/>
              </w:rPr>
              <w:t>For the Period</w:t>
            </w:r>
          </w:p>
        </w:tc>
        <w:tc>
          <w:tcPr>
            <w:tcW w:w="6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center"/>
              <w:ind w:right="115"/>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72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color w:val="auto"/>
              </w:rPr>
              <w:t>January 29, 2011</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83"/>
              </w:rPr>
              <w:t>January 1, 2011</w:t>
            </w:r>
          </w:p>
        </w:tc>
      </w:tr>
      <w:tr>
        <w:trPr>
          <w:trHeight w:val="173"/>
        </w:trPr>
        <w:tc>
          <w:tcPr>
            <w:tcW w:w="5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1500" w:type="dxa"/>
            <w:vAlign w:val="bottom"/>
          </w:tcPr>
          <w:p>
            <w:pPr>
              <w:jc w:val="right"/>
              <w:ind w:right="634"/>
              <w:spacing w:after="0"/>
              <w:rPr>
                <w:sz w:val="20"/>
                <w:szCs w:val="20"/>
                <w:color w:val="auto"/>
              </w:rPr>
            </w:pPr>
            <w:r>
              <w:rPr>
                <w:rFonts w:ascii="Arial" w:cs="Arial" w:eastAsia="Arial" w:hAnsi="Arial"/>
                <w:sz w:val="14"/>
                <w:szCs w:val="14"/>
                <w:color w:val="auto"/>
                <w:w w:val="85"/>
              </w:rPr>
              <w:t>June 30, 2012</w:t>
            </w:r>
          </w:p>
        </w:tc>
        <w:tc>
          <w:tcPr>
            <w:tcW w:w="1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to June 30, 2011</w:t>
            </w:r>
          </w:p>
        </w:tc>
        <w:tc>
          <w:tcPr>
            <w:tcW w:w="620" w:type="dxa"/>
            <w:vAlign w:val="bottom"/>
          </w:tcPr>
          <w:p>
            <w:pPr>
              <w:spacing w:after="0"/>
              <w:rPr>
                <w:sz w:val="15"/>
                <w:szCs w:val="15"/>
                <w:color w:val="auto"/>
              </w:rPr>
            </w:pPr>
          </w:p>
        </w:tc>
        <w:tc>
          <w:tcPr>
            <w:tcW w:w="1720" w:type="dxa"/>
            <w:vAlign w:val="bottom"/>
            <w:gridSpan w:val="2"/>
          </w:tcPr>
          <w:p>
            <w:pPr>
              <w:jc w:val="center"/>
              <w:ind w:left="352"/>
              <w:spacing w:after="0"/>
              <w:rPr>
                <w:sz w:val="20"/>
                <w:szCs w:val="20"/>
                <w:color w:val="auto"/>
              </w:rPr>
            </w:pPr>
            <w:r>
              <w:rPr>
                <w:rFonts w:ascii="Arial" w:cs="Arial" w:eastAsia="Arial" w:hAnsi="Arial"/>
                <w:sz w:val="14"/>
                <w:szCs w:val="14"/>
                <w:color w:val="auto"/>
                <w:w w:val="85"/>
              </w:rPr>
              <w:t>to January 28, 2011</w:t>
            </w: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10,976</w:t>
            </w:r>
          </w:p>
        </w:tc>
        <w:tc>
          <w:tcPr>
            <w:tcW w:w="34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8,090</w:t>
            </w:r>
          </w:p>
        </w:tc>
        <w:tc>
          <w:tcPr>
            <w:tcW w:w="640" w:type="dxa"/>
            <w:vAlign w:val="bottom"/>
            <w:tcBorders>
              <w:top w:val="single" w:sz="8" w:color="auto"/>
              <w:right w:val="single" w:sz="8" w:color="auto"/>
            </w:tcBorders>
            <w:shd w:val="clear" w:color="auto" w:fill="E5E5E5"/>
          </w:tcPr>
          <w:p>
            <w:pPr>
              <w:spacing w:after="0"/>
              <w:rPr>
                <w:sz w:val="18"/>
                <w:szCs w:val="18"/>
                <w:color w:val="auto"/>
              </w:rPr>
            </w:pPr>
          </w:p>
        </w:tc>
        <w:tc>
          <w:tcPr>
            <w:tcW w:w="12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1,206</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9,181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6,697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323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9,813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7,138</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1,198</w:t>
            </w:r>
          </w:p>
        </w:tc>
      </w:tr>
      <w:tr>
        <w:trPr>
          <w:trHeight w:val="210"/>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1,163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952</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500" w:type="dxa"/>
            <w:vAlign w:val="bottom"/>
          </w:tcPr>
          <w:p>
            <w:pPr>
              <w:jc w:val="right"/>
              <w:ind w:right="454"/>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1,048</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899</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898</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720</w:t>
            </w:r>
          </w:p>
        </w:tc>
        <w:tc>
          <w:tcPr>
            <w:tcW w:w="6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82"/>
              </w:rPr>
              <w:t>Successor</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jc w:val="center"/>
              <w:ind w:right="174"/>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5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169"/>
              <w:spacing w:after="0" w:line="159" w:lineRule="exact"/>
              <w:rPr>
                <w:sz w:val="20"/>
                <w:szCs w:val="20"/>
                <w:color w:val="auto"/>
              </w:rPr>
            </w:pPr>
            <w:r>
              <w:rPr>
                <w:rFonts w:ascii="Arial" w:cs="Arial" w:eastAsia="Arial" w:hAnsi="Arial"/>
                <w:sz w:val="14"/>
                <w:szCs w:val="14"/>
                <w:color w:val="auto"/>
                <w:w w:val="80"/>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9"/>
              <w:spacing w:after="0" w:line="142" w:lineRule="exact"/>
              <w:rPr>
                <w:sz w:val="20"/>
                <w:szCs w:val="20"/>
                <w:color w:val="auto"/>
              </w:rPr>
            </w:pPr>
            <w:r>
              <w:rPr>
                <w:rFonts w:ascii="Arial" w:cs="Arial" w:eastAsia="Arial" w:hAnsi="Arial"/>
                <w:sz w:val="14"/>
                <w:szCs w:val="14"/>
                <w:color w:val="auto"/>
                <w:w w:val="83"/>
              </w:rPr>
              <w:t>2012</w:t>
            </w: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309"/>
              <w:spacing w:after="0"/>
              <w:rPr>
                <w:sz w:val="20"/>
                <w:szCs w:val="20"/>
                <w:color w:val="auto"/>
              </w:rPr>
            </w:pPr>
            <w:r>
              <w:rPr>
                <w:rFonts w:ascii="Arial" w:cs="Arial" w:eastAsia="Arial" w:hAnsi="Arial"/>
                <w:sz w:val="18"/>
                <w:szCs w:val="18"/>
                <w:color w:val="auto"/>
              </w:rPr>
              <w:t>549</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49"/>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249"/>
              <w:spacing w:after="0"/>
              <w:rPr>
                <w:sz w:val="20"/>
                <w:szCs w:val="20"/>
                <w:color w:val="auto"/>
              </w:rPr>
            </w:pPr>
            <w:r>
              <w:rPr>
                <w:rFonts w:ascii="Arial" w:cs="Arial" w:eastAsia="Arial" w:hAnsi="Arial"/>
                <w:sz w:val="18"/>
                <w:szCs w:val="18"/>
                <w:color w:val="auto"/>
              </w:rPr>
              <w:t>(12)</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309"/>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5"/>
        </w:trPr>
        <w:tc>
          <w:tcPr>
            <w:tcW w:w="50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Comprehensive income (loss) attributable to</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280" w:type="dxa"/>
            <w:vAlign w:val="bottom"/>
            <w:tcBorders>
              <w:right w:val="single" w:sz="8" w:color="E5E5E5"/>
            </w:tcBorders>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NBCUniversal</w:t>
            </w:r>
          </w:p>
        </w:tc>
        <w:tc>
          <w:tcPr>
            <w:tcW w:w="66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spacing w:after="0"/>
              <w:rPr>
                <w:sz w:val="20"/>
                <w:szCs w:val="20"/>
                <w:color w:val="auto"/>
              </w:rPr>
            </w:pPr>
          </w:p>
        </w:tc>
        <w:tc>
          <w:tcPr>
            <w:tcW w:w="70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spacing w:after="0"/>
              <w:rPr>
                <w:sz w:val="20"/>
                <w:szCs w:val="20"/>
                <w:color w:val="auto"/>
              </w:rPr>
            </w:pPr>
          </w:p>
        </w:tc>
        <w:tc>
          <w:tcPr>
            <w:tcW w:w="400" w:type="dxa"/>
            <w:vAlign w:val="bottom"/>
            <w:tcBorders>
              <w:bottom w:val="single" w:sz="8" w:color="auto"/>
            </w:tcBorders>
            <w:shd w:val="clear" w:color="auto" w:fill="E5E5E5"/>
          </w:tcPr>
          <w:p>
            <w:pPr>
              <w:spacing w:after="0"/>
              <w:rPr>
                <w:sz w:val="20"/>
                <w:szCs w:val="20"/>
                <w:color w:val="auto"/>
              </w:rPr>
            </w:pPr>
          </w:p>
        </w:tc>
        <w:tc>
          <w:tcPr>
            <w:tcW w:w="8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2"/>
            <w:shd w:val="clear" w:color="auto" w:fill="E5E5E5"/>
          </w:tcPr>
          <w:p>
            <w:pPr>
              <w:jc w:val="right"/>
              <w:ind w:right="309"/>
              <w:spacing w:after="0"/>
              <w:rPr>
                <w:sz w:val="20"/>
                <w:szCs w:val="20"/>
                <w:color w:val="auto"/>
              </w:rPr>
            </w:pPr>
            <w:r>
              <w:rPr>
                <w:rFonts w:ascii="Arial" w:cs="Arial" w:eastAsia="Arial" w:hAnsi="Arial"/>
                <w:sz w:val="18"/>
                <w:szCs w:val="18"/>
                <w:b w:val="1"/>
                <w:bCs w:val="1"/>
                <w:color w:val="auto"/>
              </w:rPr>
              <w:t>495</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622</w:t>
            </w: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color w:val="auto"/>
                <w:w w:val="83"/>
              </w:rPr>
              <w:t>Predecessor</w:t>
            </w: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ind w:left="40"/>
              <w:spacing w:after="0" w:line="131" w:lineRule="exact"/>
              <w:rPr>
                <w:sz w:val="20"/>
                <w:szCs w:val="20"/>
                <w:color w:val="auto"/>
              </w:rPr>
            </w:pPr>
            <w:r>
              <w:rPr>
                <w:rFonts w:ascii="Arial" w:cs="Arial" w:eastAsia="Arial" w:hAnsi="Arial"/>
                <w:sz w:val="14"/>
                <w:szCs w:val="14"/>
                <w:color w:val="auto"/>
              </w:rPr>
              <w:t>For the Period</w:t>
            </w:r>
          </w:p>
        </w:tc>
        <w:tc>
          <w:tcPr>
            <w:tcW w:w="4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jc w:val="center"/>
              <w:ind w:right="134"/>
              <w:spacing w:after="0" w:line="131" w:lineRule="exact"/>
              <w:rPr>
                <w:sz w:val="20"/>
                <w:szCs w:val="20"/>
                <w:color w:val="auto"/>
              </w:rPr>
            </w:pPr>
            <w:r>
              <w:rPr>
                <w:rFonts w:ascii="Arial" w:cs="Arial" w:eastAsia="Arial" w:hAnsi="Arial"/>
                <w:sz w:val="14"/>
                <w:szCs w:val="14"/>
                <w:color w:val="auto"/>
                <w:w w:val="87"/>
              </w:rPr>
              <w:t>For the Period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3"/>
              </w:rPr>
              <w:t>Six Months Ended</w:t>
            </w:r>
          </w:p>
        </w:tc>
        <w:tc>
          <w:tcPr>
            <w:tcW w:w="2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January 29, 2011 to</w:t>
            </w:r>
          </w:p>
        </w:tc>
        <w:tc>
          <w:tcPr>
            <w:tcW w:w="2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left="389"/>
              <w:spacing w:after="0" w:line="149" w:lineRule="exact"/>
              <w:rPr>
                <w:sz w:val="20"/>
                <w:szCs w:val="20"/>
                <w:color w:val="auto"/>
              </w:rPr>
            </w:pPr>
            <w:r>
              <w:rPr>
                <w:rFonts w:ascii="Arial" w:cs="Arial" w:eastAsia="Arial" w:hAnsi="Arial"/>
                <w:sz w:val="14"/>
                <w:szCs w:val="14"/>
                <w:color w:val="auto"/>
                <w:w w:val="84"/>
              </w:rPr>
              <w:t>January 1, 2011 to</w:t>
            </w: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June 30, 2011</w:t>
            </w:r>
          </w:p>
        </w:tc>
        <w:tc>
          <w:tcPr>
            <w:tcW w:w="28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4"/>
                <w:szCs w:val="14"/>
                <w:color w:val="auto"/>
                <w:w w:val="85"/>
              </w:rPr>
              <w:t>January 28, 2011</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w:t>
            </w:r>
          </w:p>
        </w:tc>
        <w:tc>
          <w:tcPr>
            <w:tcW w:w="700" w:type="dxa"/>
            <w:vAlign w:val="bottom"/>
            <w:shd w:val="clear" w:color="auto" w:fill="E5E5E5"/>
          </w:tcPr>
          <w:p>
            <w:pPr>
              <w:ind w:left="5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806</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949</w:t>
            </w: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805</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8"/>
              </w:rPr>
              <w:t>Comprehensive income (loss) attributable to NBCUniversal</w:t>
            </w:r>
          </w:p>
        </w:tc>
        <w:tc>
          <w:tcPr>
            <w:tcW w:w="66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881</w:t>
            </w:r>
          </w:p>
        </w:tc>
        <w:tc>
          <w:tcPr>
            <w:tcW w:w="700" w:type="dxa"/>
            <w:vAlign w:val="bottom"/>
            <w:tcBorders>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719</w:t>
            </w:r>
          </w:p>
        </w:tc>
        <w:tc>
          <w:tcPr>
            <w:tcW w:w="4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10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3"/>
              </w:rPr>
              <w:t>Predecessor</w:t>
            </w: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ind w:left="40"/>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center"/>
              <w:ind w:right="134"/>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80" w:type="dxa"/>
            <w:vAlign w:val="bottom"/>
            <w:gridSpan w:val="2"/>
          </w:tcPr>
          <w:p>
            <w:pPr>
              <w:ind w:left="580"/>
              <w:spacing w:after="0" w:line="149" w:lineRule="exact"/>
              <w:rPr>
                <w:sz w:val="20"/>
                <w:szCs w:val="20"/>
                <w:color w:val="auto"/>
              </w:rPr>
            </w:pPr>
            <w:r>
              <w:rPr>
                <w:rFonts w:ascii="Arial" w:cs="Arial" w:eastAsia="Arial" w:hAnsi="Arial"/>
                <w:sz w:val="14"/>
                <w:szCs w:val="14"/>
                <w:color w:val="auto"/>
                <w:w w:val="95"/>
              </w:rPr>
              <w:t>Six Months Ended</w:t>
            </w:r>
          </w:p>
        </w:tc>
        <w:tc>
          <w:tcPr>
            <w:tcW w:w="2480" w:type="dxa"/>
            <w:vAlign w:val="bottom"/>
            <w:tcBorders>
              <w:right w:val="single" w:sz="8" w:color="auto"/>
            </w:tcBorders>
            <w:gridSpan w:val="3"/>
          </w:tcPr>
          <w:p>
            <w:pPr>
              <w:ind w:left="600"/>
              <w:spacing w:after="0" w:line="149" w:lineRule="exact"/>
              <w:rPr>
                <w:sz w:val="20"/>
                <w:szCs w:val="20"/>
                <w:color w:val="auto"/>
              </w:rPr>
            </w:pPr>
            <w:r>
              <w:rPr>
                <w:rFonts w:ascii="Arial" w:cs="Arial" w:eastAsia="Arial" w:hAnsi="Arial"/>
                <w:sz w:val="14"/>
                <w:szCs w:val="14"/>
                <w:color w:val="auto"/>
              </w:rPr>
              <w:t>January 29, 2011 to</w:t>
            </w:r>
          </w:p>
        </w:tc>
        <w:tc>
          <w:tcPr>
            <w:tcW w:w="680" w:type="dxa"/>
            <w:vAlign w:val="bottom"/>
          </w:tcPr>
          <w:p>
            <w:pPr>
              <w:spacing w:after="0"/>
              <w:rPr>
                <w:sz w:val="12"/>
                <w:szCs w:val="12"/>
                <w:color w:val="auto"/>
              </w:rPr>
            </w:pPr>
          </w:p>
        </w:tc>
        <w:tc>
          <w:tcPr>
            <w:tcW w:w="170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4"/>
              </w:rPr>
              <w:t>January 1, 2011 to</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98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3"/>
              </w:rPr>
              <w:t>June 30, 2012</w:t>
            </w:r>
          </w:p>
        </w:tc>
        <w:tc>
          <w:tcPr>
            <w:tcW w:w="720" w:type="dxa"/>
            <w:vAlign w:val="bottom"/>
          </w:tcPr>
          <w:p>
            <w:pPr>
              <w:spacing w:after="0"/>
              <w:rPr>
                <w:sz w:val="13"/>
                <w:szCs w:val="13"/>
                <w:color w:val="auto"/>
              </w:rPr>
            </w:pPr>
          </w:p>
        </w:tc>
        <w:tc>
          <w:tcPr>
            <w:tcW w:w="1760" w:type="dxa"/>
            <w:vAlign w:val="bottom"/>
            <w:tcBorders>
              <w:right w:val="single" w:sz="8" w:color="auto"/>
            </w:tcBorders>
            <w:gridSpan w:val="2"/>
          </w:tcPr>
          <w:p>
            <w:pPr>
              <w:ind w:left="40"/>
              <w:spacing w:after="0" w:line="159" w:lineRule="exact"/>
              <w:rPr>
                <w:sz w:val="20"/>
                <w:szCs w:val="20"/>
                <w:color w:val="auto"/>
              </w:rPr>
            </w:pPr>
            <w:r>
              <w:rPr>
                <w:rFonts w:ascii="Arial" w:cs="Arial" w:eastAsia="Arial" w:hAnsi="Arial"/>
                <w:sz w:val="14"/>
                <w:szCs w:val="14"/>
                <w:color w:val="auto"/>
              </w:rPr>
              <w:t>June 30, 2011</w:t>
            </w:r>
          </w:p>
        </w:tc>
        <w:tc>
          <w:tcPr>
            <w:tcW w:w="680" w:type="dxa"/>
            <w:vAlign w:val="bottom"/>
          </w:tcPr>
          <w:p>
            <w:pPr>
              <w:spacing w:after="0"/>
              <w:rPr>
                <w:sz w:val="13"/>
                <w:szCs w:val="13"/>
                <w:color w:val="auto"/>
              </w:rPr>
            </w:pPr>
          </w:p>
        </w:tc>
        <w:tc>
          <w:tcPr>
            <w:tcW w:w="1700" w:type="dxa"/>
            <w:vAlign w:val="bottom"/>
            <w:gridSpan w:val="2"/>
          </w:tcPr>
          <w:p>
            <w:pPr>
              <w:jc w:val="center"/>
              <w:ind w:left="432"/>
              <w:spacing w:after="0" w:line="159" w:lineRule="exact"/>
              <w:rPr>
                <w:sz w:val="20"/>
                <w:szCs w:val="20"/>
                <w:color w:val="auto"/>
              </w:rPr>
            </w:pPr>
            <w:r>
              <w:rPr>
                <w:rFonts w:ascii="Arial" w:cs="Arial" w:eastAsia="Arial" w:hAnsi="Arial"/>
                <w:sz w:val="14"/>
                <w:szCs w:val="14"/>
                <w:color w:val="auto"/>
                <w:w w:val="85"/>
              </w:rPr>
              <w:t>January 28, 2011</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00" w:type="dxa"/>
            <w:vAlign w:val="bottom"/>
            <w:tcBorders>
              <w:top w:val="single" w:sz="8" w:color="auto"/>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1,730</w:t>
            </w:r>
          </w:p>
        </w:tc>
        <w:tc>
          <w:tcPr>
            <w:tcW w:w="720" w:type="dxa"/>
            <w:vAlign w:val="bottom"/>
            <w:tcBorders>
              <w:top w:val="single" w:sz="8" w:color="auto"/>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1,020</w:t>
            </w:r>
          </w:p>
        </w:tc>
        <w:tc>
          <w:tcPr>
            <w:tcW w:w="700" w:type="dxa"/>
            <w:vAlign w:val="bottom"/>
            <w:tcBorders>
              <w:top w:val="single" w:sz="8" w:color="auto"/>
              <w:bottom w:val="single" w:sz="8" w:color="auto"/>
              <w:right w:val="single" w:sz="8" w:color="auto"/>
            </w:tcBorders>
            <w:shd w:val="clear" w:color="auto" w:fill="E5E5E5"/>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(629)</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(130)</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 of businesses and investments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86</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315</w:t>
            </w: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5"/>
              </w:rPr>
              <w:t>Proceeds from (repayments of) short-term borrowings, net</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w:t>
            </w:r>
          </w:p>
        </w:tc>
        <w:tc>
          <w:tcPr>
            <w:tcW w:w="72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(Increase) decrease in short-term loans to GE, net</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8,072</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 of preferred stock interest</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760" w:type="dxa"/>
            <w:vAlign w:val="bottom"/>
            <w:tcBorders>
              <w:right w:val="single" w:sz="8" w:color="auto"/>
            </w:tcBorders>
            <w:gridSpan w:val="2"/>
            <w:shd w:val="clear" w:color="auto" w:fill="E5E5E5"/>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Contributions from noncontrolling interests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(113)</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Purchases of noncontrolling interests</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(944)</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(324)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72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808</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508</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1,084</w:t>
            </w:r>
          </w:p>
        </w:tc>
      </w:tr>
      <w:tr>
        <w:trPr>
          <w:trHeight w:val="217"/>
        </w:trPr>
        <w:tc>
          <w:tcPr>
            <w:tcW w:w="2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1,121</w:t>
            </w:r>
          </w:p>
        </w:tc>
        <w:tc>
          <w:tcPr>
            <w:tcW w:w="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center"/>
              <w:ind w:left="23"/>
              <w:spacing w:after="0"/>
              <w:rPr>
                <w:sz w:val="20"/>
                <w:szCs w:val="20"/>
                <w:color w:val="auto"/>
              </w:rPr>
            </w:pPr>
            <w:r>
              <w:rPr>
                <w:rFonts w:ascii="Arial" w:cs="Arial" w:eastAsia="Arial" w:hAnsi="Arial"/>
                <w:sz w:val="14"/>
                <w:szCs w:val="14"/>
                <w:color w:val="auto"/>
                <w:w w:val="88"/>
              </w:rPr>
              <w:t>Accumulated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ind w:left="80"/>
              <w:spacing w:after="0" w:line="149" w:lineRule="exact"/>
              <w:rPr>
                <w:sz w:val="20"/>
                <w:szCs w:val="20"/>
                <w:color w:val="auto"/>
              </w:rPr>
            </w:pPr>
            <w:r>
              <w:rPr>
                <w:rFonts w:ascii="Arial" w:cs="Arial" w:eastAsia="Arial" w:hAnsi="Arial"/>
                <w:sz w:val="14"/>
                <w:szCs w:val="14"/>
                <w:color w:val="auto"/>
                <w:w w:val="94"/>
              </w:rPr>
              <w:t>Additional</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center"/>
              <w:ind w:right="354"/>
              <w:spacing w:after="0" w:line="149" w:lineRule="exact"/>
              <w:rPr>
                <w:sz w:val="20"/>
                <w:szCs w:val="20"/>
                <w:color w:val="auto"/>
              </w:rPr>
            </w:pPr>
            <w:r>
              <w:rPr>
                <w:rFonts w:ascii="Arial" w:cs="Arial" w:eastAsia="Arial" w:hAnsi="Arial"/>
                <w:sz w:val="14"/>
                <w:szCs w:val="14"/>
                <w:color w:val="auto"/>
                <w:w w:val="91"/>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4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Common</w:t>
            </w:r>
          </w:p>
        </w:tc>
        <w:tc>
          <w:tcPr>
            <w:tcW w:w="940" w:type="dxa"/>
            <w:vAlign w:val="bottom"/>
          </w:tcPr>
          <w:p>
            <w:pPr>
              <w:jc w:val="center"/>
              <w:ind w:left="80"/>
              <w:spacing w:after="0" w:line="149" w:lineRule="exact"/>
              <w:rPr>
                <w:sz w:val="20"/>
                <w:szCs w:val="20"/>
                <w:color w:val="auto"/>
              </w:rPr>
            </w:pPr>
            <w:r>
              <w:rPr>
                <w:rFonts w:ascii="Arial" w:cs="Arial" w:eastAsia="Arial" w:hAnsi="Arial"/>
                <w:sz w:val="14"/>
                <w:szCs w:val="14"/>
                <w:color w:val="auto"/>
                <w:w w:val="91"/>
              </w:rPr>
              <w:t>Paid-</w:t>
            </w:r>
          </w:p>
        </w:tc>
        <w:tc>
          <w:tcPr>
            <w:tcW w:w="11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Retained</w:t>
            </w:r>
          </w:p>
        </w:tc>
        <w:tc>
          <w:tcPr>
            <w:tcW w:w="1460" w:type="dxa"/>
            <w:vAlign w:val="bottom"/>
            <w:gridSpan w:val="2"/>
          </w:tcPr>
          <w:p>
            <w:pPr>
              <w:jc w:val="center"/>
              <w:ind w:left="23"/>
              <w:spacing w:after="0" w:line="149" w:lineRule="exact"/>
              <w:rPr>
                <w:sz w:val="20"/>
                <w:szCs w:val="20"/>
                <w:color w:val="auto"/>
              </w:rPr>
            </w:pPr>
            <w:r>
              <w:rPr>
                <w:rFonts w:ascii="Arial" w:cs="Arial" w:eastAsia="Arial" w:hAnsi="Arial"/>
                <w:sz w:val="14"/>
                <w:szCs w:val="14"/>
                <w:color w:val="auto"/>
                <w:w w:val="85"/>
              </w:rPr>
              <w:t>Comprehensive</w:t>
            </w:r>
          </w:p>
        </w:tc>
        <w:tc>
          <w:tcPr>
            <w:tcW w:w="14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Arial" w:cs="Arial" w:eastAsia="Arial" w:hAnsi="Arial"/>
                <w:sz w:val="14"/>
                <w:szCs w:val="14"/>
                <w:color w:val="auto"/>
                <w:w w:val="89"/>
              </w:rPr>
              <w:t>Total</w:t>
            </w:r>
          </w:p>
        </w:tc>
      </w:tr>
      <w:tr>
        <w:trPr>
          <w:trHeight w:val="173"/>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w:t>
            </w:r>
          </w:p>
        </w:tc>
        <w:tc>
          <w:tcPr>
            <w:tcW w:w="94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color w:val="auto"/>
                <w:w w:val="91"/>
              </w:rPr>
              <w:t>In Capital</w:t>
            </w:r>
          </w:p>
        </w:tc>
        <w:tc>
          <w:tcPr>
            <w:tcW w:w="11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Earnings</w:t>
            </w:r>
          </w:p>
        </w:tc>
        <w:tc>
          <w:tcPr>
            <w:tcW w:w="146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4"/>
                <w:szCs w:val="14"/>
                <w:color w:val="auto"/>
                <w:w w:val="90"/>
              </w:rPr>
              <w:t>Income (Loss)</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w w:val="89"/>
              </w:rPr>
              <w:t>Interests</w:t>
            </w:r>
          </w:p>
        </w:tc>
        <w:tc>
          <w:tcPr>
            <w:tcW w:w="9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color w:val="auto"/>
                <w:w w:val="92"/>
              </w:rPr>
              <w:t>Equity</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$23,592</w:t>
            </w:r>
          </w:p>
        </w:tc>
        <w:tc>
          <w:tcPr>
            <w:tcW w:w="68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79"/>
              </w:rPr>
              <w:t>320</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(13)</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(82)</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$23,817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48</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(7,846)</w:t>
            </w:r>
          </w:p>
        </w:tc>
        <w:tc>
          <w:tcPr>
            <w:tcW w:w="114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(297)</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(8,143)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(23)</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January 28, 2011</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$15,463</w:t>
            </w:r>
          </w:p>
        </w:tc>
        <w:tc>
          <w:tcPr>
            <w:tcW w:w="68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(10)</w:t>
            </w:r>
          </w:p>
        </w:tc>
        <w:tc>
          <w:tcPr>
            <w:tcW w:w="44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(82)</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$15,371</w:t>
            </w:r>
          </w:p>
        </w:tc>
      </w:tr>
      <w:tr>
        <w:trPr>
          <w:trHeight w:val="502"/>
        </w:trPr>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gridSpan w:val="2"/>
          </w:tcPr>
          <w:p>
            <w:pPr>
              <w:jc w:val="center"/>
              <w:ind w:right="254"/>
              <w:spacing w:after="0"/>
              <w:rPr>
                <w:sz w:val="20"/>
                <w:szCs w:val="20"/>
                <w:color w:val="auto"/>
              </w:rPr>
            </w:pPr>
            <w:r>
              <w:rPr>
                <w:rFonts w:ascii="Arial" w:cs="Arial" w:eastAsia="Arial" w:hAnsi="Arial"/>
                <w:sz w:val="14"/>
                <w:szCs w:val="14"/>
                <w:color w:val="auto"/>
                <w:w w:val="88"/>
              </w:rPr>
              <w:t>Accumulated</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center"/>
              <w:ind w:right="234"/>
              <w:spacing w:after="0" w:line="149" w:lineRule="exact"/>
              <w:rPr>
                <w:sz w:val="20"/>
                <w:szCs w:val="20"/>
                <w:color w:val="auto"/>
              </w:rPr>
            </w:pPr>
            <w:r>
              <w:rPr>
                <w:rFonts w:ascii="Arial" w:cs="Arial" w:eastAsia="Arial" w:hAnsi="Arial"/>
                <w:sz w:val="14"/>
                <w:szCs w:val="14"/>
                <w:color w:val="auto"/>
                <w:w w:val="85"/>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Member’s</w:t>
            </w:r>
          </w:p>
        </w:tc>
        <w:tc>
          <w:tcPr>
            <w:tcW w:w="46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Comprehensive</w:t>
            </w: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Arial" w:cs="Arial" w:eastAsia="Arial" w:hAnsi="Arial"/>
                <w:sz w:val="14"/>
                <w:szCs w:val="14"/>
                <w:color w:val="auto"/>
                <w:w w:val="89"/>
              </w:rPr>
              <w:t>Total</w:t>
            </w:r>
          </w:p>
        </w:tc>
      </w:tr>
      <w:tr>
        <w:trPr>
          <w:trHeight w:val="173"/>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Capital</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34"/>
              <w:spacing w:after="0"/>
              <w:rPr>
                <w:sz w:val="20"/>
                <w:szCs w:val="20"/>
                <w:color w:val="auto"/>
              </w:rPr>
            </w:pPr>
            <w:r>
              <w:rPr>
                <w:rFonts w:ascii="Arial" w:cs="Arial" w:eastAsia="Arial" w:hAnsi="Arial"/>
                <w:sz w:val="14"/>
                <w:szCs w:val="14"/>
                <w:color w:val="auto"/>
                <w:w w:val="87"/>
              </w:rPr>
              <w:t>Income (Loss)</w:t>
            </w:r>
          </w:p>
        </w:tc>
        <w:tc>
          <w:tcPr>
            <w:tcW w:w="144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4"/>
                <w:szCs w:val="14"/>
                <w:color w:val="auto"/>
              </w:rPr>
              <w:t>Interests</w:t>
            </w:r>
          </w:p>
        </w:tc>
        <w:tc>
          <w:tcPr>
            <w:tcW w:w="9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color w:val="auto"/>
                <w:w w:val="92"/>
              </w:rPr>
              <w:t>Equity</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Member’s equity, remeasured at January 28, 2011</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$24,089</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262</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$24,351</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Contribution of Comcast Content Business</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4,401</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Total member’s equity at January 28, 2011</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28,433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319</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28,752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noncontrolling interests, net</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1</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8"/>
                <w:szCs w:val="18"/>
                <w:color w:val="auto"/>
              </w:rPr>
              <w:t>78</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798</w:t>
            </w:r>
          </w:p>
        </w:tc>
      </w:tr>
      <w:tr>
        <w:trPr>
          <w:trHeight w:val="21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2011</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$28,834</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305</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$29,138</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$29,798</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(78)</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361</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$30,081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noncontrolling interests, net</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94</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898</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8"/>
                <w:szCs w:val="18"/>
                <w:color w:val="auto"/>
              </w:rPr>
              <w:t>59</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957</w:t>
            </w:r>
          </w:p>
        </w:tc>
      </w:tr>
      <w:tr>
        <w:trPr>
          <w:trHeight w:val="21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2012</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$30,462</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(95)</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421</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$30,788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235" w:name="page236"/>
    <w:bookmarkEnd w:id="235"/>
    <w:p>
      <w:pPr>
        <w:ind w:right="4360"/>
        <w:spacing w:after="0" w:line="325"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CONDENSED CONSOLIDATED FINANCIAL STATEMENTS (Unaudited)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The results of operations of the businesses contributed by Comcast to NBCUniversal (the “Comcast Content Business”) and the results of operations of Universal Orlando have been consolidated with our results following their respective transaction dates. For a more complete discussion of the Joint Venture and Universal Orlando transactions, refer to our consolidated financial statements included in our 2011 Annual Report on Form 10-K.</w:t>
      </w:r>
    </w:p>
    <w:p>
      <w:pPr>
        <w:spacing w:after="0" w:line="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the change in control of our company on January 28, 2011, Comcast has applied the acquisition method of accounting with respect to the assets and liabilities of the NBCUniversal businesses it acquired (the “NBCUniversal contributed businesses”), which have been remeasured to fair value as of the date of the Joint Venture transaction. Our condensed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to and following the Joint Venture transaction are not comparable.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affiliates primarily from the sale of advertising and incur expenses primarily related to leased assets and our monetization program held with GE and its affiliates. In addition, we are required to make distributions to NBCUniversal Holdings on a quarterly basis to enable its indirect owners (Comcast and GE) to meet their obligations to pay taxes on taxable income generated by our businesses.</w:t>
      </w:r>
    </w:p>
    <w:p>
      <w:pPr>
        <w:spacing w:after="0" w:line="5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six months ended June 30, 2012, NBCUniversal made tax distributions to NBCUniversal Holdings of $243 million, of which $124 million was attributable to Comcast and $119 million was attributable to GE. During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56" w:right="259" w:bottom="1440" w:gutter="0" w:footer="0" w:header="0"/>
        </w:sectPr>
      </w:pPr>
    </w:p>
    <w:bookmarkStart w:id="236" w:name="page237"/>
    <w:bookmarkEnd w:id="23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period January 29, 2011 through June 30, 2011, NBCUniversal made tax distributions to NBCUniversal Holdings of $151 million, of which $77 million was attributable to Comcast and $74 million was attributable to GE.</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also provide management services to, and receive license fees from, certain of our equity method investees.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related party transactions included in our condensed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June 30, 2012</w:t>
            </w: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203</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w w:val="90"/>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8"/>
                <w:szCs w:val="18"/>
                <w:color w:val="auto"/>
              </w:rPr>
              <w:t>36</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12</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w w:val="90"/>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1</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8"/>
                <w:szCs w:val="18"/>
                <w:color w:val="auto"/>
              </w:rPr>
              <w:t>80</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59</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3</w:t>
            </w:r>
          </w:p>
        </w:tc>
        <w:tc>
          <w:tcPr>
            <w:tcW w:w="880" w:type="dxa"/>
            <w:vAlign w:val="bottom"/>
            <w:tcBorders>
              <w:bottom w:val="single" w:sz="8" w:color="auto"/>
            </w:tcBorders>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7"/>
        </w:trPr>
        <w:tc>
          <w:tcPr>
            <w:tcW w:w="8380" w:type="dxa"/>
            <w:vAlign w:val="bottom"/>
            <w:gridSpan w:val="8"/>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2"/>
              </w:rPr>
              <w:t>Successor</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5"/>
              </w:rPr>
              <w:t>Three Months Ended June 30</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22"/>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2"/>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2"/>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62"/>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62"/>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58"/>
        </w:trPr>
        <w:tc>
          <w:tcPr>
            <w:tcW w:w="4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Successor</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color w:val="auto"/>
                <w:w w:val="93"/>
              </w:rPr>
              <w:t>Six Months Ended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jc w:val="right"/>
              <w:ind w:right="260"/>
              <w:spacing w:after="0" w:line="131" w:lineRule="exact"/>
              <w:rPr>
                <w:sz w:val="20"/>
                <w:szCs w:val="20"/>
                <w:color w:val="auto"/>
              </w:rPr>
            </w:pPr>
            <w:r>
              <w:rPr>
                <w:rFonts w:ascii="Arial" w:cs="Arial" w:eastAsia="Arial" w:hAnsi="Arial"/>
                <w:sz w:val="14"/>
                <w:szCs w:val="14"/>
                <w:color w:val="auto"/>
                <w:w w:val="87"/>
              </w:rPr>
              <w:t>For the Period</w:t>
            </w:r>
          </w:p>
        </w:tc>
        <w:tc>
          <w:tcPr>
            <w:tcW w:w="4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jc w:val="right"/>
              <w:ind w:right="133"/>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780" w:type="dxa"/>
            <w:vAlign w:val="bottom"/>
            <w:gridSpan w:val="4"/>
          </w:tcPr>
          <w:p>
            <w:pPr>
              <w:ind w:left="600"/>
              <w:spacing w:after="0" w:line="135" w:lineRule="exact"/>
              <w:rPr>
                <w:sz w:val="20"/>
                <w:szCs w:val="20"/>
                <w:color w:val="auto"/>
              </w:rPr>
            </w:pPr>
            <w:r>
              <w:rPr>
                <w:rFonts w:ascii="Arial" w:cs="Arial" w:eastAsia="Arial" w:hAnsi="Arial"/>
                <w:sz w:val="14"/>
                <w:szCs w:val="14"/>
                <w:color w:val="auto"/>
                <w:w w:val="93"/>
              </w:rPr>
              <w:t>January 29, 2011 to</w:t>
            </w:r>
          </w:p>
        </w:tc>
        <w:tc>
          <w:tcPr>
            <w:tcW w:w="4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3"/>
          </w:tcPr>
          <w:p>
            <w:pPr>
              <w:ind w:left="580"/>
              <w:spacing w:after="0" w:line="135" w:lineRule="exact"/>
              <w:rPr>
                <w:sz w:val="20"/>
                <w:szCs w:val="20"/>
                <w:color w:val="auto"/>
              </w:rPr>
            </w:pPr>
            <w:r>
              <w:rPr>
                <w:rFonts w:ascii="Arial" w:cs="Arial" w:eastAsia="Arial" w:hAnsi="Arial"/>
                <w:sz w:val="14"/>
                <w:szCs w:val="14"/>
                <w:color w:val="auto"/>
                <w:w w:val="93"/>
              </w:rPr>
              <w:t>January 1, 2011 to</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5"/>
              </w:rPr>
              <w:t>June 30, 2012</w:t>
            </w: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87"/>
              </w:rPr>
              <w:t>June 30, 2011</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January 28, 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80" w:type="dxa"/>
            <w:vAlign w:val="bottom"/>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6"/>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755"/>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Film and Television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tcBorders>
            <w:gridSpan w:val="2"/>
          </w:tcPr>
          <w:p>
            <w:pPr>
              <w:ind w:left="1140"/>
              <w:spacing w:after="0" w:line="142" w:lineRule="exact"/>
              <w:rPr>
                <w:sz w:val="20"/>
                <w:szCs w:val="20"/>
                <w:color w:val="auto"/>
              </w:rPr>
            </w:pPr>
            <w:r>
              <w:rPr>
                <w:rFonts w:ascii="Arial" w:cs="Arial" w:eastAsia="Arial" w:hAnsi="Arial"/>
                <w:sz w:val="14"/>
                <w:szCs w:val="14"/>
                <w:color w:val="auto"/>
              </w:rPr>
              <w:t>June 30, 2012</w:t>
            </w:r>
          </w:p>
        </w:tc>
        <w:tc>
          <w:tcPr>
            <w:tcW w:w="1900" w:type="dxa"/>
            <w:vAlign w:val="bottom"/>
            <w:tcBorders>
              <w:bottom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1,649</w:t>
            </w:r>
          </w:p>
        </w:tc>
        <w:tc>
          <w:tcPr>
            <w:tcW w:w="1160" w:type="dxa"/>
            <w:vAlign w:val="bottom"/>
          </w:tcPr>
          <w:p>
            <w:pPr>
              <w:ind w:left="7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131</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1,053</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2,833</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1,025</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183</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1,208</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2,087</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6,128</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1,049</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3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5,079</w:t>
            </w:r>
          </w:p>
        </w:tc>
        <w:tc>
          <w:tcPr>
            <w:tcW w:w="116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5,227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tcBorders>
            <w:gridSpan w:val="2"/>
          </w:tcPr>
          <w:p>
            <w:pPr>
              <w:ind w:left="1120"/>
              <w:spacing w:after="0" w:line="142" w:lineRule="exact"/>
              <w:rPr>
                <w:sz w:val="20"/>
                <w:szCs w:val="20"/>
                <w:color w:val="auto"/>
              </w:rPr>
            </w:pPr>
            <w:r>
              <w:rPr>
                <w:rFonts w:ascii="Arial" w:cs="Arial" w:eastAsia="Arial" w:hAnsi="Arial"/>
                <w:sz w:val="14"/>
                <w:szCs w:val="14"/>
                <w:color w:val="auto"/>
              </w:rPr>
              <w:t>June 30, 2012</w:t>
            </w:r>
          </w:p>
        </w:tc>
        <w:tc>
          <w:tcPr>
            <w:tcW w:w="1940" w:type="dxa"/>
            <w:vAlign w:val="bottom"/>
            <w:tcBorders>
              <w:bottom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shd w:val="clear" w:color="auto" w:fill="E5E5E5"/>
          </w:tcPr>
          <w:p>
            <w:pPr>
              <w:ind w:left="1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w:t>
            </w:r>
          </w:p>
        </w:tc>
        <w:tc>
          <w:tcPr>
            <w:tcW w:w="1160" w:type="dxa"/>
            <w:vAlign w:val="bottom"/>
            <w:shd w:val="clear" w:color="auto" w:fill="E5E5E5"/>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Equity Method:</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2,006</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The Weather Channel</w:t>
            </w:r>
          </w:p>
        </w:tc>
        <w:tc>
          <w:tcPr>
            <w:tcW w:w="13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465</w:t>
            </w:r>
          </w:p>
        </w:tc>
        <w:tc>
          <w:tcPr>
            <w:tcW w:w="11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MSNBC.com</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176</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517</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3,164</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170</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3,355</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1340" w:type="dxa"/>
            <w:vAlign w:val="bottom"/>
            <w:tcBorders>
              <w:bottom w:val="single" w:sz="8" w:color="auto"/>
            </w:tcBorders>
            <w:shd w:val="clear" w:color="auto" w:fill="E5E5E5"/>
          </w:tcPr>
          <w:p>
            <w:pPr>
              <w:ind w:left="1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1,349</w:t>
            </w:r>
          </w:p>
        </w:tc>
        <w:tc>
          <w:tcPr>
            <w:tcW w:w="116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3,430</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On March 26, 2012, we exercised an option that required A&amp;E Television Networks LLC (“A&amp;E Television Networks”) to redeem a substantial portion of our equity interest in A&amp;E Television Networks. On July 9, 2012, we entered into a redemption agreement with A&amp;E Television Networks whereby A&amp;E Television Networks agreed to redeem our entire 15.8% equity interest for $3 billion. The redemption price will be paid solely in cash, although in certain limited circumstances, it would be paid in cash and in the form of a senior note issued by A&amp;E Television Networks. Under the terms of the redemption agreement, we are no longer required to provide a last dollar guarantee of indebtedness that A&amp;E Television Networks may incur to finance the purchase of our equity interest. As of June 30, 2012, we have classified our equity interest as a current investment in our condensed consolidated balance sheet. We expect the transaction to close during the second half of 2012, and we expect to recognize a pretax gain on the sale of our equity interest of approximately $1 billion when the transaction closes.</w:t>
      </w:r>
    </w:p>
    <w:p>
      <w:pPr>
        <w:spacing w:after="0" w:line="1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July 13, 2012, we acquired the remaining 50% equity interest in MSNBC Interactive News, LLC and other related entities (“MSNBC.com”) that we did not already own. MSNBC.com is now a wholly owned consolidated subsidiary of ours and its results of operations will be reported in our Cable Networks segment following the date of acquisition.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6"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80" w:type="dxa"/>
            <w:vAlign w:val="bottom"/>
          </w:tcPr>
          <w:p>
            <w:pPr>
              <w:jc w:val="right"/>
              <w:ind w:right="359"/>
              <w:spacing w:after="0"/>
              <w:rPr>
                <w:sz w:val="20"/>
                <w:szCs w:val="20"/>
                <w:color w:val="auto"/>
              </w:rPr>
            </w:pPr>
            <w:r>
              <w:rPr>
                <w:rFonts w:ascii="Arial" w:cs="Arial" w:eastAsia="Arial" w:hAnsi="Arial"/>
                <w:sz w:val="14"/>
                <w:szCs w:val="14"/>
                <w:color w:val="auto"/>
              </w:rPr>
              <w:t>Cable</w:t>
            </w:r>
          </w:p>
        </w:tc>
        <w:tc>
          <w:tcPr>
            <w:tcW w:w="1160" w:type="dxa"/>
            <w:vAlign w:val="bottom"/>
            <w:gridSpan w:val="2"/>
          </w:tcPr>
          <w:p>
            <w:pPr>
              <w:ind w:left="280"/>
              <w:spacing w:after="0"/>
              <w:rPr>
                <w:sz w:val="20"/>
                <w:szCs w:val="20"/>
                <w:color w:val="auto"/>
              </w:rPr>
            </w:pPr>
            <w:r>
              <w:rPr>
                <w:rFonts w:ascii="Arial" w:cs="Arial" w:eastAsia="Arial" w:hAnsi="Arial"/>
                <w:sz w:val="14"/>
                <w:szCs w:val="14"/>
                <w:color w:val="auto"/>
              </w:rPr>
              <w:t>Broadcast</w:t>
            </w:r>
          </w:p>
        </w:tc>
        <w:tc>
          <w:tcPr>
            <w:tcW w:w="400" w:type="dxa"/>
            <w:vAlign w:val="bottom"/>
          </w:tcPr>
          <w:p>
            <w:pPr>
              <w:spacing w:after="0"/>
              <w:rPr>
                <w:sz w:val="14"/>
                <w:szCs w:val="14"/>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color w:val="auto"/>
                <w:w w:val="99"/>
              </w:rPr>
              <w:t>Filmed</w:t>
            </w:r>
          </w:p>
        </w:tc>
        <w:tc>
          <w:tcPr>
            <w:tcW w:w="1120" w:type="dxa"/>
            <w:vAlign w:val="bottom"/>
          </w:tcPr>
          <w:p>
            <w:pPr>
              <w:jc w:val="right"/>
              <w:ind w:right="319"/>
              <w:spacing w:after="0"/>
              <w:rPr>
                <w:sz w:val="20"/>
                <w:szCs w:val="20"/>
                <w:color w:val="auto"/>
              </w:rPr>
            </w:pPr>
            <w:r>
              <w:rPr>
                <w:rFonts w:ascii="Arial" w:cs="Arial" w:eastAsia="Arial" w:hAnsi="Arial"/>
                <w:sz w:val="14"/>
                <w:szCs w:val="14"/>
                <w:color w:val="auto"/>
              </w:rPr>
              <w:t>Theme</w:t>
            </w:r>
          </w:p>
        </w:tc>
        <w:tc>
          <w:tcPr>
            <w:tcW w:w="940" w:type="dxa"/>
            <w:vAlign w:val="bottom"/>
          </w:tcPr>
          <w:p>
            <w:pPr>
              <w:spacing w:after="0"/>
              <w:rPr>
                <w:sz w:val="14"/>
                <w:szCs w:val="14"/>
                <w:color w:val="auto"/>
              </w:rPr>
            </w:pPr>
          </w:p>
        </w:tc>
      </w:tr>
      <w:tr>
        <w:trPr>
          <w:trHeight w:val="159"/>
        </w:trPr>
        <w:tc>
          <w:tcPr>
            <w:tcW w:w="4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Successor (in millions)</w:t>
            </w:r>
          </w:p>
        </w:tc>
        <w:tc>
          <w:tcPr>
            <w:tcW w:w="288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Networks</w:t>
            </w:r>
          </w:p>
        </w:tc>
        <w:tc>
          <w:tcPr>
            <w:tcW w:w="116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Television</w:t>
            </w:r>
          </w:p>
        </w:tc>
        <w:tc>
          <w:tcPr>
            <w:tcW w:w="130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Entertainment</w:t>
            </w:r>
          </w:p>
        </w:tc>
        <w:tc>
          <w:tcPr>
            <w:tcW w:w="1120" w:type="dxa"/>
            <w:vAlign w:val="bottom"/>
            <w:tcBorders>
              <w:bottom w:val="single" w:sz="8" w:color="auto"/>
            </w:tcBorders>
          </w:tcPr>
          <w:p>
            <w:pPr>
              <w:jc w:val="right"/>
              <w:ind w:right="339"/>
              <w:spacing w:after="0" w:line="159" w:lineRule="exact"/>
              <w:rPr>
                <w:sz w:val="20"/>
                <w:szCs w:val="20"/>
                <w:color w:val="auto"/>
              </w:rPr>
            </w:pPr>
            <w:r>
              <w:rPr>
                <w:rFonts w:ascii="Arial" w:cs="Arial" w:eastAsia="Arial" w:hAnsi="Arial"/>
                <w:sz w:val="14"/>
                <w:szCs w:val="14"/>
                <w:color w:val="auto"/>
              </w:rPr>
              <w:t>Parks</w:t>
            </w:r>
          </w:p>
        </w:tc>
        <w:tc>
          <w:tcPr>
            <w:tcW w:w="9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288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$12,744</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772</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w:t>
            </w:r>
          </w:p>
        </w:tc>
        <w:tc>
          <w:tcPr>
            <w:tcW w:w="112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$1,140</w:t>
            </w:r>
          </w:p>
        </w:tc>
        <w:tc>
          <w:tcPr>
            <w:tcW w:w="9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$14,657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Acquisitions</w:t>
            </w:r>
          </w:p>
        </w:tc>
        <w:tc>
          <w:tcPr>
            <w:tcW w:w="2880" w:type="dxa"/>
            <w:vAlign w:val="bottom"/>
          </w:tcPr>
          <w:p>
            <w:pPr>
              <w:jc w:val="right"/>
              <w:ind w:right="239"/>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8"/>
                <w:szCs w:val="18"/>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219</w:t>
            </w:r>
          </w:p>
        </w:tc>
      </w:tr>
      <w:tr>
        <w:trPr>
          <w:trHeight w:val="216"/>
        </w:trPr>
        <w:tc>
          <w:tcPr>
            <w:tcW w:w="4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288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rPr>
              <w:t>(61)</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r>
      <w:tr>
        <w:trPr>
          <w:trHeight w:val="21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2012</w:t>
            </w:r>
          </w:p>
        </w:tc>
        <w:tc>
          <w:tcPr>
            <w:tcW w:w="28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$12,952</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762</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$1,079</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$14,794</w:t>
            </w:r>
          </w:p>
        </w:tc>
      </w:tr>
    </w:tbl>
    <w:p>
      <w:pPr>
        <w:spacing w:after="0" w:line="5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change in goodwill in our Cable Networks segment primarily relates to the acquisition in May 2012 of a controlling interest in a previously held equity method investment based in Brazil, which we now consolidate. The preliminary allocation of purchase price, including the change in goodwill, is not yet final and is subject to change. We will finalize the amounts recognized as we obtain the information necessary to complete the analysis, but no later than May 2013.</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June 30, 2012, our debt had an estimated fair value of $10.8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six months ended June 30, 2012, our net repayments of commercial paper were $550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use derivative financial instruments to manage our exposure to the risks associated with fluctuations in foreign exchange rates and interest rates.</w:t>
      </w:r>
    </w:p>
    <w:p>
      <w:pPr>
        <w:spacing w:after="0" w:line="100"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color w:val="auto"/>
        </w:rPr>
        <w:t>We manage our exposure to fluctuations in foreign exchange rates by using foreign exchange contracts such as forward contracts and currency options, and we manage our exposure to fluctuations in interest rates primarily by using interest rate exchange agreements (“swaps”).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During the three and six months ended June 30, 2012, there were no significant changes in the composition of any of our derivative financial instruments or their classification in our condensed consolidated balance sheet. In addition, the impact of our derivative financial instruments on our condensed consolidated financial statements was not material for the three and six months ended June 30, 2012 or any of the prior year periods presented.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on the fair value of our derivative financial instruments as of June 30, 2012 and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56"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vMerge w:val="restart"/>
          </w:tcPr>
          <w:p>
            <w:pPr>
              <w:spacing w:after="0"/>
              <w:rPr>
                <w:sz w:val="20"/>
                <w:szCs w:val="20"/>
                <w:color w:val="auto"/>
              </w:rPr>
            </w:pPr>
            <w:r>
              <w:rPr>
                <w:rFonts w:ascii="Arial" w:cs="Arial" w:eastAsia="Arial" w:hAnsi="Arial"/>
                <w:sz w:val="14"/>
                <w:szCs w:val="14"/>
                <w:color w:val="auto"/>
              </w:rPr>
              <w:t>Successor (in millions)</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w w:val="87"/>
              </w:rPr>
              <w:t>June 30, 2012</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gridSpan w:val="2"/>
          </w:tcPr>
          <w:p>
            <w:pPr>
              <w:ind w:left="480"/>
              <w:spacing w:after="0" w:line="142" w:lineRule="exact"/>
              <w:rPr>
                <w:sz w:val="20"/>
                <w:szCs w:val="20"/>
                <w:color w:val="auto"/>
              </w:rPr>
            </w:pPr>
            <w:r>
              <w:rPr>
                <w:rFonts w:ascii="Arial" w:cs="Arial" w:eastAsia="Arial" w:hAnsi="Arial"/>
                <w:sz w:val="14"/>
                <w:szCs w:val="14"/>
                <w:color w:val="auto"/>
              </w:rPr>
              <w:t>Level 1</w:t>
            </w:r>
          </w:p>
        </w:tc>
        <w:tc>
          <w:tcPr>
            <w:tcW w:w="98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Level 2</w:t>
            </w:r>
          </w:p>
        </w:tc>
        <w:tc>
          <w:tcPr>
            <w:tcW w:w="12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Level 3</w:t>
            </w:r>
          </w:p>
        </w:tc>
        <w:tc>
          <w:tcPr>
            <w:tcW w:w="660" w:type="dxa"/>
            <w:vAlign w:val="bottom"/>
            <w:tcBorders>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5"/>
              <w:spacing w:after="0"/>
              <w:rPr>
                <w:sz w:val="20"/>
                <w:szCs w:val="20"/>
                <w:color w:val="auto"/>
              </w:rPr>
            </w:pPr>
            <w:r>
              <w:rPr>
                <w:rFonts w:ascii="Arial" w:cs="Arial" w:eastAsia="Arial" w:hAnsi="Arial"/>
                <w:sz w:val="18"/>
                <w:szCs w:val="18"/>
                <w:color w:val="auto"/>
              </w:rPr>
              <w:t>32</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4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40" w:type="dxa"/>
            <w:vAlign w:val="bottom"/>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6"/>
              </w:rPr>
              <w:t>984</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6"/>
              </w:rPr>
              <w:t>992</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fair values of the contractual obligations in the table above are primarily based on certain expected future discounted cash flows, the determination of which involves the use of significant unobservable inputs. The most significant unobservable input we use is our estimate of the future revenue we expect to generate from certain of our entities. The discount rates used in the measurements of fair value were between 11% and 13% and are based on the underlying risk associated with our estimate of future revenue, as well as the terms of the respective contracts. Fair value adjustments to these liabilities are recorded in other income (expense), net in our condensed consolidated statement of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Pr>
          <w:p>
            <w:pPr>
              <w:spacing w:after="0"/>
              <w:rPr>
                <w:sz w:val="20"/>
                <w:szCs w:val="20"/>
                <w:color w:val="auto"/>
              </w:rPr>
            </w:pPr>
          </w:p>
        </w:tc>
        <w:tc>
          <w:tcPr>
            <w:tcW w:w="7520" w:type="dxa"/>
            <w:vAlign w:val="bottom"/>
          </w:tcPr>
          <w:p>
            <w:pPr>
              <w:jc w:val="right"/>
              <w:ind w:right="3612"/>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542"/>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 (in millions)</w:t>
            </w: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10"/>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7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8"/>
              </w:rPr>
              <w:t>1,004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7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75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7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3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2012</w:t>
            </w:r>
          </w:p>
        </w:tc>
        <w:tc>
          <w:tcPr>
            <w:tcW w:w="7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984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(loss) attributable to NBCUniversal and transfers to or from noncontrolling interests.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Successor</w:t>
            </w:r>
          </w:p>
        </w:tc>
        <w:tc>
          <w:tcPr>
            <w:tcW w:w="8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1"/>
              </w:rPr>
              <w:t>Predecessor</w:t>
            </w:r>
          </w:p>
        </w:tc>
      </w:tr>
      <w:tr>
        <w:trPr>
          <w:trHeight w:val="131"/>
        </w:trPr>
        <w:tc>
          <w:tcPr>
            <w:tcW w:w="5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For the Period</w:t>
            </w:r>
          </w:p>
        </w:tc>
        <w:tc>
          <w:tcPr>
            <w:tcW w:w="7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2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5000" w:type="dxa"/>
            <w:vAlign w:val="bottom"/>
          </w:tcPr>
          <w:p>
            <w:pPr>
              <w:spacing w:after="0"/>
              <w:rPr>
                <w:sz w:val="12"/>
                <w:szCs w:val="12"/>
                <w:color w:val="auto"/>
              </w:rPr>
            </w:pPr>
          </w:p>
        </w:tc>
        <w:tc>
          <w:tcPr>
            <w:tcW w:w="18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Six Months Ended</w:t>
            </w:r>
          </w:p>
        </w:tc>
        <w:tc>
          <w:tcPr>
            <w:tcW w:w="218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5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rPr>
              <w:t>June 30, 2012</w:t>
            </w:r>
          </w:p>
        </w:tc>
        <w:tc>
          <w:tcPr>
            <w:tcW w:w="2180" w:type="dxa"/>
            <w:vAlign w:val="bottom"/>
            <w:tcBorders>
              <w:bottom w:val="single" w:sz="8" w:color="auto"/>
              <w:right w:val="single" w:sz="8" w:color="auto"/>
            </w:tcBorders>
            <w:gridSpan w:val="3"/>
          </w:tcPr>
          <w:p>
            <w:pPr>
              <w:ind w:left="220"/>
              <w:spacing w:after="0" w:line="159" w:lineRule="exact"/>
              <w:rPr>
                <w:sz w:val="20"/>
                <w:szCs w:val="20"/>
                <w:color w:val="auto"/>
              </w:rPr>
            </w:pPr>
            <w:r>
              <w:rPr>
                <w:rFonts w:ascii="Arial" w:cs="Arial" w:eastAsia="Arial" w:hAnsi="Arial"/>
                <w:sz w:val="14"/>
                <w:szCs w:val="14"/>
                <w:color w:val="auto"/>
              </w:rPr>
              <w:t>to June 30, 2011</w:t>
            </w:r>
          </w:p>
        </w:tc>
        <w:tc>
          <w:tcPr>
            <w:tcW w:w="6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ind w:left="39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10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898</w:t>
            </w:r>
          </w:p>
        </w:tc>
        <w:tc>
          <w:tcPr>
            <w:tcW w:w="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720</w:t>
            </w:r>
          </w:p>
        </w:tc>
        <w:tc>
          <w:tcPr>
            <w:tcW w:w="780" w:type="dxa"/>
            <w:vAlign w:val="bottom"/>
            <w:tcBorders>
              <w:right w:val="single" w:sz="8" w:color="auto"/>
            </w:tcBorders>
            <w:shd w:val="clear" w:color="auto" w:fill="E5E5E5"/>
          </w:tcPr>
          <w:p>
            <w:pPr>
              <w:spacing w:after="0"/>
              <w:rPr>
                <w:sz w:val="18"/>
                <w:szCs w:val="18"/>
                <w:color w:val="auto"/>
              </w:rPr>
            </w:pPr>
          </w:p>
        </w:tc>
        <w:tc>
          <w:tcPr>
            <w:tcW w:w="13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50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2"/>
              </w:rPr>
              <w:t>Increase in NBCUniversal member’s capital resulting from the</w:t>
            </w:r>
          </w:p>
        </w:tc>
        <w:tc>
          <w:tcPr>
            <w:tcW w:w="10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23"/>
        </w:trPr>
        <w:tc>
          <w:tcPr>
            <w:tcW w:w="50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rPr>
              <w:t>purchases of noncontrolling equity interest</w:t>
            </w:r>
          </w:p>
        </w:tc>
        <w:tc>
          <w:tcPr>
            <w:tcW w:w="10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right w:val="single" w:sz="8" w:color="auto"/>
            </w:tcBorders>
            <w:gridSpan w:val="2"/>
            <w:shd w:val="clear" w:color="auto" w:fill="E5E5E5"/>
          </w:tcPr>
          <w:p>
            <w:pPr>
              <w:jc w:val="right"/>
              <w:ind w:right="10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b w:val="1"/>
                <w:bCs w:val="1"/>
                <w:color w:val="auto"/>
                <w:w w:val="87"/>
              </w:rPr>
              <w:t>Changes in member’s equity from net income (loss) attributable to</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9"/>
              </w:rPr>
              <w:t>NBCUniversal and transfers from (to) noncontrolling interests</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902</w:t>
            </w: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720</w:t>
            </w:r>
          </w:p>
        </w:tc>
        <w:tc>
          <w:tcPr>
            <w:tcW w:w="7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r>
        <w:trPr>
          <w:trHeight w:val="363"/>
        </w:trPr>
        <w:tc>
          <w:tcPr>
            <w:tcW w:w="5000" w:type="dxa"/>
            <w:vAlign w:val="bottom"/>
          </w:tcPr>
          <w:p>
            <w:pPr>
              <w:spacing w:after="0"/>
              <w:rPr>
                <w:sz w:val="24"/>
                <w:szCs w:val="24"/>
                <w:color w:val="auto"/>
              </w:rPr>
            </w:pPr>
          </w:p>
        </w:tc>
        <w:tc>
          <w:tcPr>
            <w:tcW w:w="1080" w:type="dxa"/>
            <w:vAlign w:val="bottom"/>
          </w:tcPr>
          <w:p>
            <w:pPr>
              <w:ind w:left="62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Redeemable Noncontrolling Interests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w w:val="97"/>
              </w:rPr>
              <w:t>Three Months Ended June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61"/>
              <w:spacing w:after="0" w:line="142"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Beginning balance</w:t>
            </w:r>
          </w:p>
        </w:tc>
        <w:tc>
          <w:tcPr>
            <w:tcW w:w="126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641"/>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601"/>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6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641"/>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Ending Balance</w:t>
            </w:r>
          </w:p>
        </w:tc>
        <w:tc>
          <w:tcPr>
            <w:tcW w:w="1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b w:val="1"/>
                <w:bCs w:val="1"/>
                <w:color w:val="auto"/>
              </w:rPr>
              <w:t>131</w:t>
            </w: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Successor</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gridSpan w:val="2"/>
          </w:tcPr>
          <w:p>
            <w:pPr>
              <w:jc w:val="right"/>
              <w:ind w:right="154"/>
              <w:spacing w:after="0" w:line="131" w:lineRule="exact"/>
              <w:rPr>
                <w:sz w:val="20"/>
                <w:szCs w:val="20"/>
                <w:color w:val="auto"/>
              </w:rPr>
            </w:pPr>
            <w:r>
              <w:rPr>
                <w:rFonts w:ascii="Arial" w:cs="Arial" w:eastAsia="Arial" w:hAnsi="Arial"/>
                <w:sz w:val="14"/>
                <w:szCs w:val="14"/>
                <w:color w:val="auto"/>
                <w:w w:val="87"/>
              </w:rPr>
              <w:t>For the Period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260" w:type="dxa"/>
            <w:vAlign w:val="bottom"/>
            <w:gridSpan w:val="3"/>
          </w:tcPr>
          <w:p>
            <w:pPr>
              <w:ind w:left="1140"/>
              <w:spacing w:after="0" w:line="149" w:lineRule="exact"/>
              <w:rPr>
                <w:sz w:val="20"/>
                <w:szCs w:val="20"/>
                <w:color w:val="auto"/>
              </w:rPr>
            </w:pPr>
            <w:r>
              <w:rPr>
                <w:rFonts w:ascii="Arial" w:cs="Arial" w:eastAsia="Arial" w:hAnsi="Arial"/>
                <w:sz w:val="14"/>
                <w:szCs w:val="14"/>
                <w:color w:val="auto"/>
                <w:w w:val="96"/>
              </w:rPr>
              <w:t>Six Months Ended</w:t>
            </w:r>
          </w:p>
        </w:tc>
        <w:tc>
          <w:tcPr>
            <w:tcW w:w="2300" w:type="dxa"/>
            <w:vAlign w:val="bottom"/>
            <w:gridSpan w:val="3"/>
          </w:tcPr>
          <w:p>
            <w:pPr>
              <w:ind w:left="1140"/>
              <w:spacing w:after="0" w:line="149" w:lineRule="exact"/>
              <w:rPr>
                <w:sz w:val="20"/>
                <w:szCs w:val="20"/>
                <w:color w:val="auto"/>
              </w:rPr>
            </w:pPr>
            <w:r>
              <w:rPr>
                <w:rFonts w:ascii="Arial" w:cs="Arial" w:eastAsia="Arial" w:hAnsi="Arial"/>
                <w:sz w:val="14"/>
                <w:szCs w:val="14"/>
                <w:color w:val="auto"/>
                <w:w w:val="92"/>
              </w:rPr>
              <w:t>January 29, 2011 to</w:t>
            </w:r>
          </w:p>
        </w:tc>
        <w:tc>
          <w:tcPr>
            <w:tcW w:w="0" w:type="dxa"/>
            <w:vAlign w:val="bottom"/>
          </w:tcPr>
          <w:p>
            <w:pPr>
              <w:spacing w:after="0"/>
              <w:rPr>
                <w:sz w:val="1"/>
                <w:szCs w:val="1"/>
                <w:color w:val="auto"/>
              </w:rPr>
            </w:pPr>
          </w:p>
        </w:tc>
      </w:tr>
      <w:tr>
        <w:trPr>
          <w:trHeight w:val="159"/>
        </w:trPr>
        <w:tc>
          <w:tcPr>
            <w:tcW w:w="68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40"/>
              <w:spacing w:after="0" w:line="159" w:lineRule="exact"/>
              <w:rPr>
                <w:sz w:val="20"/>
                <w:szCs w:val="20"/>
                <w:color w:val="auto"/>
              </w:rPr>
            </w:pPr>
            <w:r>
              <w:rPr>
                <w:rFonts w:ascii="Arial" w:cs="Arial" w:eastAsia="Arial" w:hAnsi="Arial"/>
                <w:sz w:val="14"/>
                <w:szCs w:val="14"/>
                <w:color w:val="auto"/>
                <w:w w:val="83"/>
              </w:rPr>
              <w:t>June 30, 2012</w:t>
            </w:r>
          </w:p>
        </w:tc>
        <w:tc>
          <w:tcPr>
            <w:tcW w:w="1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74"/>
              <w:spacing w:after="0" w:line="159" w:lineRule="exact"/>
              <w:rPr>
                <w:sz w:val="20"/>
                <w:szCs w:val="20"/>
                <w:color w:val="auto"/>
              </w:rPr>
            </w:pPr>
            <w:r>
              <w:rPr>
                <w:rFonts w:ascii="Arial" w:cs="Arial" w:eastAsia="Arial" w:hAnsi="Arial"/>
                <w:sz w:val="14"/>
                <w:szCs w:val="14"/>
                <w:color w:val="auto"/>
                <w:w w:val="85"/>
              </w:rPr>
              <w:t>June 30, 2011</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Beginning balance</w:t>
            </w:r>
          </w:p>
        </w:tc>
        <w:tc>
          <w:tcPr>
            <w:tcW w:w="1260" w:type="dxa"/>
            <w:vAlign w:val="bottom"/>
            <w:shd w:val="clear" w:color="auto" w:fill="E5E5E5"/>
          </w:tcPr>
          <w:p>
            <w:pPr>
              <w:ind w:left="11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184</w:t>
            </w:r>
          </w:p>
        </w:tc>
        <w:tc>
          <w:tcPr>
            <w:tcW w:w="1260" w:type="dxa"/>
            <w:vAlign w:val="bottom"/>
            <w:shd w:val="clear" w:color="auto" w:fill="E5E5E5"/>
          </w:tcPr>
          <w:p>
            <w:pPr>
              <w:ind w:left="1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w:t>
            </w:r>
          </w:p>
        </w:tc>
        <w:tc>
          <w:tcPr>
            <w:tcW w:w="1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Purchases</w:t>
            </w:r>
          </w:p>
        </w:tc>
        <w:tc>
          <w:tcPr>
            <w:tcW w:w="126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(47)</w:t>
            </w:r>
          </w:p>
        </w:tc>
        <w:tc>
          <w:tcPr>
            <w:tcW w:w="12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Ending Balance</w:t>
            </w:r>
          </w:p>
        </w:tc>
        <w:tc>
          <w:tcPr>
            <w:tcW w:w="12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12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tables below present the components of net periodic benefit expense related to our pension plans and postretirement benefit plans that we established following the close of the Joint Venture transaction.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Successor</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31"/>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3"/>
          </w:tcPr>
          <w:p>
            <w:pPr>
              <w:jc w:val="center"/>
              <w:ind w:right="176"/>
              <w:spacing w:after="0" w:line="131" w:lineRule="exact"/>
              <w:rPr>
                <w:sz w:val="20"/>
                <w:szCs w:val="20"/>
                <w:color w:val="auto"/>
              </w:rPr>
            </w:pPr>
            <w:r>
              <w:rPr>
                <w:rFonts w:ascii="Arial" w:cs="Arial" w:eastAsia="Arial" w:hAnsi="Arial"/>
                <w:sz w:val="14"/>
                <w:szCs w:val="14"/>
                <w:color w:val="auto"/>
                <w:w w:val="87"/>
              </w:rPr>
              <w:t>Three Months Ended</w:t>
            </w: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24"/>
              <w:spacing w:after="0" w:line="131" w:lineRule="exact"/>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1"/>
                <w:szCs w:val="11"/>
                <w:color w:val="auto"/>
              </w:rPr>
            </w:pPr>
          </w:p>
        </w:tc>
      </w:tr>
      <w:tr>
        <w:trPr>
          <w:trHeight w:val="159"/>
        </w:trPr>
        <w:tc>
          <w:tcPr>
            <w:tcW w:w="5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43"/>
              <w:spacing w:after="0" w:line="159" w:lineRule="exact"/>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24"/>
              <w:spacing w:after="0" w:line="159" w:lineRule="exact"/>
              <w:rPr>
                <w:sz w:val="20"/>
                <w:szCs w:val="20"/>
                <w:color w:val="auto"/>
              </w:rPr>
            </w:pPr>
            <w:r>
              <w:rPr>
                <w:rFonts w:ascii="Arial" w:cs="Arial" w:eastAsia="Arial" w:hAnsi="Arial"/>
                <w:sz w:val="14"/>
                <w:szCs w:val="14"/>
                <w:color w:val="auto"/>
                <w:w w:val="83"/>
              </w:rPr>
              <w:t>June 30, 2011</w:t>
            </w:r>
          </w:p>
        </w:tc>
        <w:tc>
          <w:tcPr>
            <w:tcW w:w="360" w:type="dxa"/>
            <w:vAlign w:val="bottom"/>
            <w:tcBorders>
              <w:bottom w:val="single" w:sz="8" w:color="auto"/>
            </w:tcBorders>
          </w:tcPr>
          <w:p>
            <w:pPr>
              <w:spacing w:after="0"/>
              <w:rPr>
                <w:sz w:val="13"/>
                <w:szCs w:val="13"/>
                <w:color w:val="auto"/>
              </w:rPr>
            </w:pPr>
          </w:p>
        </w:tc>
      </w:tr>
      <w:tr>
        <w:trPr>
          <w:trHeight w:val="131"/>
        </w:trPr>
        <w:tc>
          <w:tcPr>
            <w:tcW w:w="5640" w:type="dxa"/>
            <w:vAlign w:val="bottom"/>
          </w:tcPr>
          <w:p>
            <w:pPr>
              <w:spacing w:after="0"/>
              <w:rPr>
                <w:sz w:val="11"/>
                <w:szCs w:val="11"/>
                <w:color w:val="auto"/>
              </w:rPr>
            </w:pPr>
          </w:p>
        </w:tc>
        <w:tc>
          <w:tcPr>
            <w:tcW w:w="1240" w:type="dxa"/>
            <w:vAlign w:val="bottom"/>
            <w:gridSpan w:val="2"/>
          </w:tcPr>
          <w:p>
            <w:pPr>
              <w:ind w:left="740"/>
              <w:spacing w:after="0" w:line="131" w:lineRule="exact"/>
              <w:rPr>
                <w:sz w:val="20"/>
                <w:szCs w:val="20"/>
                <w:color w:val="auto"/>
              </w:rPr>
            </w:pPr>
            <w:r>
              <w:rPr>
                <w:rFonts w:ascii="Arial" w:cs="Arial" w:eastAsia="Arial" w:hAnsi="Arial"/>
                <w:sz w:val="14"/>
                <w:szCs w:val="14"/>
                <w:color w:val="auto"/>
                <w:w w:val="94"/>
              </w:rPr>
              <w:t>Pension</w:t>
            </w:r>
          </w:p>
        </w:tc>
        <w:tc>
          <w:tcPr>
            <w:tcW w:w="16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92"/>
              </w:rPr>
              <w:t>Postretirement</w:t>
            </w:r>
          </w:p>
        </w:tc>
        <w:tc>
          <w:tcPr>
            <w:tcW w:w="12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86"/>
              </w:rPr>
              <w:t>Pension</w:t>
            </w:r>
          </w:p>
        </w:tc>
        <w:tc>
          <w:tcPr>
            <w:tcW w:w="1700" w:type="dxa"/>
            <w:vAlign w:val="bottom"/>
            <w:gridSpan w:val="2"/>
          </w:tcPr>
          <w:p>
            <w:pPr>
              <w:ind w:left="820"/>
              <w:spacing w:after="0" w:line="131" w:lineRule="exact"/>
              <w:rPr>
                <w:sz w:val="20"/>
                <w:szCs w:val="20"/>
                <w:color w:val="auto"/>
              </w:rPr>
            </w:pPr>
            <w:r>
              <w:rPr>
                <w:rFonts w:ascii="Arial" w:cs="Arial" w:eastAsia="Arial" w:hAnsi="Arial"/>
                <w:sz w:val="14"/>
                <w:szCs w:val="14"/>
                <w:color w:val="auto"/>
                <w:w w:val="94"/>
              </w:rPr>
              <w:t>Postretirement</w:t>
            </w:r>
          </w:p>
        </w:tc>
      </w:tr>
      <w:tr>
        <w:trPr>
          <w:trHeight w:val="173"/>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98"/>
              </w:rPr>
              <w:t>Benefits</w:t>
            </w: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6"/>
              </w:rPr>
              <w:t>Benefits</w:t>
            </w:r>
          </w:p>
        </w:tc>
        <w:tc>
          <w:tcPr>
            <w:tcW w:w="12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86"/>
              </w:rPr>
              <w:t>Benefits</w:t>
            </w:r>
          </w:p>
        </w:tc>
        <w:tc>
          <w:tcPr>
            <w:tcW w:w="1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920" w:type="dxa"/>
            <w:vAlign w:val="bottom"/>
            <w:shd w:val="clear" w:color="auto" w:fill="E5E5E5"/>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3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w:t>
            </w:r>
          </w:p>
        </w:tc>
      </w:tr>
      <w:tr>
        <w:trPr>
          <w:trHeight w:val="216"/>
        </w:trPr>
        <w:tc>
          <w:tcPr>
            <w:tcW w:w="56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Successor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131"/>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2"/>
          </w:tcPr>
          <w:p>
            <w:pPr>
              <w:jc w:val="center"/>
              <w:ind w:right="496"/>
              <w:spacing w:after="0" w:line="131" w:lineRule="exact"/>
              <w:rPr>
                <w:sz w:val="20"/>
                <w:szCs w:val="20"/>
                <w:color w:val="auto"/>
              </w:rPr>
            </w:pPr>
            <w:r>
              <w:rPr>
                <w:rFonts w:ascii="Arial" w:cs="Arial" w:eastAsia="Arial" w:hAnsi="Arial"/>
                <w:sz w:val="14"/>
                <w:szCs w:val="14"/>
                <w:color w:val="auto"/>
                <w:w w:val="87"/>
              </w:rPr>
              <w:t>Six Months Ended</w:t>
            </w:r>
          </w:p>
        </w:tc>
        <w:tc>
          <w:tcPr>
            <w:tcW w:w="94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5"/>
              </w:rPr>
              <w:t>For the Period January</w:t>
            </w:r>
          </w:p>
        </w:tc>
        <w:tc>
          <w:tcPr>
            <w:tcW w:w="360" w:type="dxa"/>
            <w:vAlign w:val="bottom"/>
          </w:tcPr>
          <w:p>
            <w:pPr>
              <w:spacing w:after="0"/>
              <w:rPr>
                <w:sz w:val="11"/>
                <w:szCs w:val="11"/>
                <w:color w:val="auto"/>
              </w:rPr>
            </w:pPr>
          </w:p>
        </w:tc>
      </w:tr>
      <w:tr>
        <w:trPr>
          <w:trHeight w:val="159"/>
        </w:trPr>
        <w:tc>
          <w:tcPr>
            <w:tcW w:w="5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43"/>
              <w:spacing w:after="0" w:line="159" w:lineRule="exact"/>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29, 2011 to June 30, 2011</w:t>
            </w:r>
          </w:p>
        </w:tc>
        <w:tc>
          <w:tcPr>
            <w:tcW w:w="360" w:type="dxa"/>
            <w:vAlign w:val="bottom"/>
            <w:tcBorders>
              <w:bottom w:val="single" w:sz="8" w:color="auto"/>
            </w:tcBorders>
          </w:tcPr>
          <w:p>
            <w:pPr>
              <w:spacing w:after="0"/>
              <w:rPr>
                <w:sz w:val="13"/>
                <w:szCs w:val="13"/>
                <w:color w:val="auto"/>
              </w:rPr>
            </w:pPr>
          </w:p>
        </w:tc>
      </w:tr>
      <w:tr>
        <w:trPr>
          <w:trHeight w:val="131"/>
        </w:trPr>
        <w:tc>
          <w:tcPr>
            <w:tcW w:w="5640" w:type="dxa"/>
            <w:vAlign w:val="bottom"/>
          </w:tcPr>
          <w:p>
            <w:pPr>
              <w:spacing w:after="0"/>
              <w:rPr>
                <w:sz w:val="11"/>
                <w:szCs w:val="11"/>
                <w:color w:val="auto"/>
              </w:rPr>
            </w:pPr>
          </w:p>
        </w:tc>
        <w:tc>
          <w:tcPr>
            <w:tcW w:w="1240" w:type="dxa"/>
            <w:vAlign w:val="bottom"/>
            <w:gridSpan w:val="2"/>
          </w:tcPr>
          <w:p>
            <w:pPr>
              <w:ind w:left="740"/>
              <w:spacing w:after="0" w:line="131" w:lineRule="exact"/>
              <w:rPr>
                <w:sz w:val="20"/>
                <w:szCs w:val="20"/>
                <w:color w:val="auto"/>
              </w:rPr>
            </w:pPr>
            <w:r>
              <w:rPr>
                <w:rFonts w:ascii="Arial" w:cs="Arial" w:eastAsia="Arial" w:hAnsi="Arial"/>
                <w:sz w:val="14"/>
                <w:szCs w:val="14"/>
                <w:color w:val="auto"/>
                <w:w w:val="94"/>
              </w:rPr>
              <w:t>Pension</w:t>
            </w:r>
          </w:p>
        </w:tc>
        <w:tc>
          <w:tcPr>
            <w:tcW w:w="16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92"/>
              </w:rPr>
              <w:t>Postretirement</w:t>
            </w:r>
          </w:p>
        </w:tc>
        <w:tc>
          <w:tcPr>
            <w:tcW w:w="12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86"/>
              </w:rPr>
              <w:t>Pension</w:t>
            </w:r>
          </w:p>
        </w:tc>
        <w:tc>
          <w:tcPr>
            <w:tcW w:w="1700" w:type="dxa"/>
            <w:vAlign w:val="bottom"/>
            <w:gridSpan w:val="2"/>
          </w:tcPr>
          <w:p>
            <w:pPr>
              <w:ind w:left="820"/>
              <w:spacing w:after="0" w:line="131" w:lineRule="exact"/>
              <w:rPr>
                <w:sz w:val="20"/>
                <w:szCs w:val="20"/>
                <w:color w:val="auto"/>
              </w:rPr>
            </w:pPr>
            <w:r>
              <w:rPr>
                <w:rFonts w:ascii="Arial" w:cs="Arial" w:eastAsia="Arial" w:hAnsi="Arial"/>
                <w:sz w:val="14"/>
                <w:szCs w:val="14"/>
                <w:color w:val="auto"/>
                <w:w w:val="94"/>
              </w:rPr>
              <w:t>Postretirement</w:t>
            </w:r>
          </w:p>
        </w:tc>
      </w:tr>
      <w:tr>
        <w:trPr>
          <w:trHeight w:val="173"/>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98"/>
              </w:rPr>
              <w:t>Benefits</w:t>
            </w: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6"/>
              </w:rPr>
              <w:t>Benefits</w:t>
            </w:r>
          </w:p>
        </w:tc>
        <w:tc>
          <w:tcPr>
            <w:tcW w:w="12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86"/>
              </w:rPr>
              <w:t>Benefits</w:t>
            </w:r>
          </w:p>
        </w:tc>
        <w:tc>
          <w:tcPr>
            <w:tcW w:w="1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920" w:type="dxa"/>
            <w:vAlign w:val="bottom"/>
            <w:shd w:val="clear" w:color="auto" w:fill="E5E5E5"/>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3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provided initial funding to our qualified defined benefit plan of $76 million. The expected return on the plan assets is 5%.</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Certain of our employees receive awards of stock options and restricted share units (“RSUs”) under Comcast equity plans and participate in employee stock purchase plans. The expense associated with participation in these plans, including the expense associated with awards to former Comcast employees who had nonvested equity awards as of the closing date, is settled in cash with Comcast. In addition, while the majority of GE granted stock options and RSUs vested in conjunction with the Joint Venture transaction, some of our employees continue to vest in GE equity plans.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Recognized Share-Based Compensation Expense – Comcast and GE Equity Awards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w w:val="85"/>
              </w:rPr>
              <w:t>Successor</w:t>
            </w:r>
          </w:p>
        </w:tc>
        <w:tc>
          <w:tcPr>
            <w:tcW w:w="280" w:type="dxa"/>
            <w:vAlign w:val="bottom"/>
            <w:tcBorders>
              <w:bottom w:val="single" w:sz="8" w:color="auto"/>
            </w:tcBorders>
          </w:tcPr>
          <w:p>
            <w:pPr>
              <w:spacing w:after="0"/>
              <w:rPr>
                <w:sz w:val="14"/>
                <w:szCs w:val="14"/>
                <w:color w:val="auto"/>
              </w:rPr>
            </w:pPr>
          </w:p>
        </w:tc>
      </w:tr>
      <w:tr>
        <w:trPr>
          <w:trHeight w:val="237"/>
        </w:trPr>
        <w:tc>
          <w:tcPr>
            <w:tcW w:w="8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7"/>
              </w:rPr>
              <w:t>Three Months Ended June 30</w:t>
            </w:r>
          </w:p>
        </w:tc>
        <w:tc>
          <w:tcPr>
            <w:tcW w:w="280" w:type="dxa"/>
            <w:vAlign w:val="bottom"/>
            <w:tcBorders>
              <w:bottom w:val="single" w:sz="8" w:color="auto"/>
            </w:tcBorders>
          </w:tcPr>
          <w:p>
            <w:pPr>
              <w:spacing w:after="0"/>
              <w:rPr>
                <w:sz w:val="20"/>
                <w:szCs w:val="20"/>
                <w:color w:val="auto"/>
              </w:rPr>
            </w:pPr>
          </w:p>
        </w:tc>
      </w:tr>
      <w:tr>
        <w:trPr>
          <w:trHeight w:val="237"/>
        </w:trPr>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9"/>
              </w:rPr>
              <w:t>2012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20"/>
                <w:szCs w:val="20"/>
                <w:color w:val="auto"/>
              </w:rPr>
            </w:pPr>
          </w:p>
        </w:tc>
      </w:tr>
      <w:tr>
        <w:trPr>
          <w:trHeight w:val="210"/>
        </w:trPr>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Comcast equity awards</w:t>
            </w: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8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8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Employee stock purchase plan</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r>
      <w:tr>
        <w:trPr>
          <w:trHeight w:val="210"/>
        </w:trPr>
        <w:tc>
          <w:tcPr>
            <w:tcW w:w="82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GE equity awards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8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8"/>
              </w:rPr>
              <w:t>—</w:t>
            </w:r>
          </w:p>
        </w:tc>
      </w:tr>
      <w:tr>
        <w:trPr>
          <w:trHeight w:val="216"/>
        </w:trPr>
        <w:tc>
          <w:tcPr>
            <w:tcW w:w="8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Restricted share units</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10"/>
        </w:trPr>
        <w:tc>
          <w:tcPr>
            <w:tcW w:w="822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7"/>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13</w:t>
            </w: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3"/>
              </w:rPr>
              <w:t>Predecessor</w:t>
            </w:r>
          </w:p>
        </w:tc>
      </w:tr>
      <w:tr>
        <w:trPr>
          <w:trHeight w:val="131"/>
        </w:trPr>
        <w:tc>
          <w:tcPr>
            <w:tcW w:w="5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gridSpan w:val="2"/>
          </w:tcPr>
          <w:p>
            <w:pPr>
              <w:jc w:val="right"/>
              <w:ind w:right="252"/>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center"/>
              <w:ind w:right="136"/>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5160" w:type="dxa"/>
            <w:vAlign w:val="bottom"/>
          </w:tcPr>
          <w:p>
            <w:pPr>
              <w:spacing w:after="0"/>
              <w:rPr>
                <w:sz w:val="12"/>
                <w:szCs w:val="12"/>
                <w:color w:val="auto"/>
              </w:rPr>
            </w:pPr>
          </w:p>
        </w:tc>
        <w:tc>
          <w:tcPr>
            <w:tcW w:w="17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Six Months Ended</w:t>
            </w:r>
          </w:p>
        </w:tc>
        <w:tc>
          <w:tcPr>
            <w:tcW w:w="210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680" w:type="dxa"/>
            <w:vAlign w:val="bottom"/>
          </w:tcPr>
          <w:p>
            <w:pPr>
              <w:spacing w:after="0"/>
              <w:rPr>
                <w:sz w:val="12"/>
                <w:szCs w:val="12"/>
                <w:color w:val="auto"/>
              </w:rPr>
            </w:pPr>
          </w:p>
        </w:tc>
        <w:tc>
          <w:tcPr>
            <w:tcW w:w="17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January 1, 2011 to</w:t>
            </w:r>
          </w:p>
        </w:tc>
      </w:tr>
      <w:tr>
        <w:trPr>
          <w:trHeight w:val="159"/>
        </w:trPr>
        <w:tc>
          <w:tcPr>
            <w:tcW w:w="5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6"/>
              <w:spacing w:after="0" w:line="159" w:lineRule="exact"/>
              <w:rPr>
                <w:sz w:val="20"/>
                <w:szCs w:val="20"/>
                <w:color w:val="auto"/>
              </w:rPr>
            </w:pPr>
            <w:r>
              <w:rPr>
                <w:rFonts w:ascii="Arial" w:cs="Arial" w:eastAsia="Arial" w:hAnsi="Arial"/>
                <w:sz w:val="14"/>
                <w:szCs w:val="14"/>
                <w:color w:val="auto"/>
                <w:w w:val="85"/>
              </w:rPr>
              <w:t>June 30, 2012</w:t>
            </w:r>
          </w:p>
        </w:tc>
        <w:tc>
          <w:tcPr>
            <w:tcW w:w="2100" w:type="dxa"/>
            <w:vAlign w:val="bottom"/>
            <w:tcBorders>
              <w:bottom w:val="single" w:sz="8" w:color="auto"/>
              <w:right w:val="single" w:sz="8" w:color="auto"/>
            </w:tcBorders>
            <w:gridSpan w:val="3"/>
          </w:tcPr>
          <w:p>
            <w:pPr>
              <w:ind w:left="220"/>
              <w:spacing w:after="0" w:line="159" w:lineRule="exact"/>
              <w:rPr>
                <w:sz w:val="20"/>
                <w:szCs w:val="20"/>
                <w:color w:val="auto"/>
              </w:rPr>
            </w:pPr>
            <w:r>
              <w:rPr>
                <w:rFonts w:ascii="Arial" w:cs="Arial" w:eastAsia="Arial" w:hAnsi="Arial"/>
                <w:sz w:val="14"/>
                <w:szCs w:val="14"/>
                <w:color w:val="auto"/>
              </w:rPr>
              <w:t>to June 30, 2011</w:t>
            </w:r>
          </w:p>
        </w:tc>
        <w:tc>
          <w:tcPr>
            <w:tcW w:w="6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left="432"/>
              <w:spacing w:after="0" w:line="159" w:lineRule="exact"/>
              <w:rPr>
                <w:sz w:val="20"/>
                <w:szCs w:val="20"/>
                <w:color w:val="auto"/>
              </w:rPr>
            </w:pPr>
            <w:r>
              <w:rPr>
                <w:rFonts w:ascii="Arial" w:cs="Arial" w:eastAsia="Arial" w:hAnsi="Arial"/>
                <w:sz w:val="14"/>
                <w:szCs w:val="14"/>
                <w:color w:val="auto"/>
                <w:w w:val="85"/>
              </w:rPr>
              <w:t>January 28, 2011</w:t>
            </w:r>
          </w:p>
        </w:tc>
      </w:tr>
      <w:tr>
        <w:trPr>
          <w:trHeight w:val="210"/>
        </w:trPr>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Comcast equity awards</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4</w:t>
            </w:r>
          </w:p>
        </w:tc>
        <w:tc>
          <w:tcPr>
            <w:tcW w:w="700" w:type="dxa"/>
            <w:vAlign w:val="bottom"/>
            <w:tcBorders>
              <w:right w:val="single" w:sz="8" w:color="auto"/>
            </w:tcBorders>
          </w:tcPr>
          <w:p>
            <w:pPr>
              <w:spacing w:after="0"/>
              <w:rPr>
                <w:sz w:val="18"/>
                <w:szCs w:val="18"/>
                <w:color w:val="auto"/>
              </w:rPr>
            </w:pP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15</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Employee stock purchase plan</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2"/>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25</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12</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GE equity awards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E5E5E5"/>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w:t>
            </w:r>
          </w:p>
        </w:tc>
        <w:tc>
          <w:tcPr>
            <w:tcW w:w="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700" w:type="dxa"/>
            <w:vAlign w:val="bottom"/>
            <w:tcBorders>
              <w:right w:val="single" w:sz="8" w:color="auto"/>
            </w:tcBorders>
            <w:shd w:val="clear" w:color="auto" w:fill="E5E5E5"/>
          </w:tcPr>
          <w:p>
            <w:pPr>
              <w:spacing w:after="0"/>
              <w:rPr>
                <w:sz w:val="18"/>
                <w:szCs w:val="18"/>
                <w:color w:val="auto"/>
              </w:rPr>
            </w:pPr>
          </w:p>
        </w:tc>
        <w:tc>
          <w:tcPr>
            <w:tcW w:w="1380" w:type="dxa"/>
            <w:vAlign w:val="bottom"/>
            <w:gridSpan w:val="2"/>
            <w:shd w:val="clear" w:color="auto" w:fill="E5E5E5"/>
          </w:tcPr>
          <w:p>
            <w:pPr>
              <w:ind w:left="1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32</w:t>
            </w:r>
          </w:p>
        </w:tc>
      </w:tr>
      <w:tr>
        <w:trPr>
          <w:trHeight w:val="216"/>
        </w:trPr>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Restricted share units</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1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31</w:t>
            </w:r>
          </w:p>
        </w:tc>
      </w:tr>
      <w:tr>
        <w:trPr>
          <w:trHeight w:val="21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29</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25</w:t>
            </w:r>
          </w:p>
        </w:tc>
        <w:tc>
          <w:tcPr>
            <w:tcW w:w="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Successor</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ind w:left="680"/>
              <w:spacing w:after="0" w:line="142" w:lineRule="exact"/>
              <w:rPr>
                <w:sz w:val="20"/>
                <w:szCs w:val="20"/>
                <w:color w:val="auto"/>
              </w:rPr>
            </w:pPr>
            <w:r>
              <w:rPr>
                <w:rFonts w:ascii="Arial" w:cs="Arial" w:eastAsia="Arial" w:hAnsi="Arial"/>
                <w:sz w:val="14"/>
                <w:szCs w:val="14"/>
                <w:color w:val="auto"/>
              </w:rPr>
              <w:t>June 30, 2012</w:t>
            </w:r>
          </w:p>
        </w:tc>
        <w:tc>
          <w:tcPr>
            <w:tcW w:w="178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0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88"/>
              </w:rPr>
              <w:t>3,888</w:t>
            </w:r>
          </w:p>
        </w:tc>
        <w:tc>
          <w:tcPr>
            <w:tcW w:w="116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10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259</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0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42</w:t>
            </w:r>
          </w:p>
        </w:tc>
        <w:tc>
          <w:tcPr>
            <w:tcW w:w="1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8"/>
              </w:rPr>
              <w:t>3,587</w:t>
            </w: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w:t>
            </w:r>
          </w:p>
        </w:tc>
        <w:tc>
          <w:tcPr>
            <w:tcW w:w="0" w:type="dxa"/>
            <w:vAlign w:val="bottom"/>
          </w:tcPr>
          <w:p>
            <w:pPr>
              <w:spacing w:after="0"/>
              <w:rPr>
                <w:sz w:val="1"/>
                <w:szCs w:val="1"/>
                <w:color w:val="auto"/>
              </w:rPr>
            </w:pPr>
          </w:p>
        </w:tc>
      </w:tr>
      <w:tr>
        <w:trPr>
          <w:trHeight w:val="233"/>
        </w:trPr>
        <w:tc>
          <w:tcPr>
            <w:tcW w:w="7880" w:type="dxa"/>
            <w:vAlign w:val="bottom"/>
            <w:gridSpan w:val="2"/>
          </w:tcPr>
          <w:p>
            <w:pPr>
              <w:ind w:left="3600"/>
              <w:spacing w:after="0"/>
              <w:rPr>
                <w:sz w:val="20"/>
                <w:szCs w:val="20"/>
                <w:color w:val="auto"/>
              </w:rPr>
            </w:pPr>
            <w:r>
              <w:rPr>
                <w:rFonts w:ascii="Arial" w:cs="Arial" w:eastAsia="Arial" w:hAnsi="Arial"/>
                <w:sz w:val="18"/>
                <w:szCs w:val="18"/>
                <w:b w:val="1"/>
                <w:bCs w:val="1"/>
                <w:color w:val="auto"/>
                <w:w w:val="98"/>
              </w:rPr>
              <w:t>Accumulated Other Comprehensive Income (Loss)</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Successor</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tcBorders>
              <w:bottom w:val="single" w:sz="8" w:color="auto"/>
            </w:tcBorders>
            <w:gridSpan w:val="2"/>
            <w:vMerge w:val="continue"/>
          </w:tcPr>
          <w:p>
            <w:pPr>
              <w:spacing w:after="0"/>
              <w:rPr>
                <w:sz w:val="12"/>
                <w:szCs w:val="12"/>
                <w:color w:val="auto"/>
              </w:rPr>
            </w:pPr>
          </w:p>
        </w:tc>
        <w:tc>
          <w:tcPr>
            <w:tcW w:w="176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color w:val="auto"/>
                <w:w w:val="94"/>
              </w:rPr>
              <w:t>June 30, 2012</w:t>
            </w:r>
          </w:p>
        </w:tc>
        <w:tc>
          <w:tcPr>
            <w:tcW w:w="178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color w:val="auto"/>
                <w:w w:val="94"/>
              </w:rPr>
              <w:t>June 30, 2011</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1020" w:type="dxa"/>
            <w:vAlign w:val="bottom"/>
            <w:shd w:val="clear" w:color="auto" w:fill="E5E5E5"/>
          </w:tcPr>
          <w:p>
            <w:pPr>
              <w:ind w:left="9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c>
          <w:tcPr>
            <w:tcW w:w="1160" w:type="dxa"/>
            <w:vAlign w:val="bottom"/>
            <w:shd w:val="clear" w:color="auto" w:fill="E5E5E5"/>
          </w:tcPr>
          <w:p>
            <w:pPr>
              <w:ind w:left="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10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0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63"/>
        </w:trPr>
        <w:tc>
          <w:tcPr>
            <w:tcW w:w="7640" w:type="dxa"/>
            <w:vAlign w:val="bottom"/>
          </w:tcPr>
          <w:p>
            <w:pPr>
              <w:ind w:left="56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Costs and Expenses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212"/>
              <w:spacing w:after="0"/>
              <w:rPr>
                <w:sz w:val="20"/>
                <w:szCs w:val="20"/>
                <w:color w:val="auto"/>
              </w:rPr>
            </w:pPr>
            <w:r>
              <w:rPr>
                <w:rFonts w:ascii="Arial" w:cs="Arial" w:eastAsia="Arial" w:hAnsi="Arial"/>
                <w:sz w:val="14"/>
                <w:szCs w:val="14"/>
                <w:color w:val="auto"/>
                <w:w w:val="82"/>
              </w:rPr>
              <w:t>Successor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232"/>
              <w:spacing w:after="0" w:line="131" w:lineRule="exact"/>
              <w:rPr>
                <w:sz w:val="20"/>
                <w:szCs w:val="20"/>
                <w:color w:val="auto"/>
              </w:rPr>
            </w:pPr>
            <w:r>
              <w:rPr>
                <w:rFonts w:ascii="Arial" w:cs="Arial" w:eastAsia="Arial" w:hAnsi="Arial"/>
                <w:sz w:val="14"/>
                <w:szCs w:val="14"/>
                <w:color w:val="auto"/>
                <w:w w:val="87"/>
              </w:rPr>
              <w:t>Three Months</w:t>
            </w:r>
          </w:p>
        </w:tc>
      </w:tr>
      <w:tr>
        <w:trPr>
          <w:trHeight w:val="159"/>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212"/>
              <w:spacing w:after="0" w:line="159" w:lineRule="exact"/>
              <w:rPr>
                <w:sz w:val="20"/>
                <w:szCs w:val="20"/>
                <w:color w:val="auto"/>
              </w:rPr>
            </w:pPr>
            <w:r>
              <w:rPr>
                <w:rFonts w:ascii="Arial" w:cs="Arial" w:eastAsia="Arial" w:hAnsi="Arial"/>
                <w:sz w:val="14"/>
                <w:szCs w:val="14"/>
                <w:color w:val="auto"/>
                <w:w w:val="82"/>
              </w:rPr>
              <w:t>Ended June 30</w:t>
            </w:r>
          </w:p>
        </w:tc>
      </w:tr>
      <w:tr>
        <w:trPr>
          <w:trHeight w:val="237"/>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color w:val="auto"/>
                <w:w w:val="83"/>
              </w:rPr>
              <w:t>2012</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74"/>
              <w:spacing w:after="0"/>
              <w:rPr>
                <w:sz w:val="20"/>
                <w:szCs w:val="20"/>
                <w:color w:val="auto"/>
              </w:rPr>
            </w:pPr>
            <w:r>
              <w:rPr>
                <w:rFonts w:ascii="Arial" w:cs="Arial" w:eastAsia="Arial" w:hAnsi="Arial"/>
                <w:sz w:val="18"/>
                <w:szCs w:val="18"/>
                <w:color w:val="auto"/>
                <w:w w:val="90"/>
              </w:rPr>
              <w:t>$2,736</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$2,649</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4"/>
          </w:tcPr>
          <w:p>
            <w:pPr>
              <w:jc w:val="right"/>
              <w:ind w:right="72"/>
              <w:spacing w:after="0"/>
              <w:rPr>
                <w:sz w:val="20"/>
                <w:szCs w:val="20"/>
                <w:color w:val="auto"/>
              </w:rPr>
            </w:pPr>
            <w:r>
              <w:rPr>
                <w:rFonts w:ascii="Arial" w:cs="Arial" w:eastAsia="Arial" w:hAnsi="Arial"/>
                <w:sz w:val="18"/>
                <w:szCs w:val="18"/>
                <w:color w:val="auto"/>
              </w:rPr>
              <w:t>648</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528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gridSpan w:val="4"/>
            <w:shd w:val="clear" w:color="auto" w:fill="E5E5E5"/>
          </w:tcPr>
          <w:p>
            <w:pPr>
              <w:jc w:val="right"/>
              <w:ind w:right="72"/>
              <w:spacing w:after="0"/>
              <w:rPr>
                <w:sz w:val="20"/>
                <w:szCs w:val="20"/>
                <w:color w:val="auto"/>
              </w:rPr>
            </w:pPr>
            <w:r>
              <w:rPr>
                <w:rFonts w:ascii="Arial" w:cs="Arial" w:eastAsia="Arial" w:hAnsi="Arial"/>
                <w:sz w:val="18"/>
                <w:szCs w:val="18"/>
                <w:color w:val="auto"/>
              </w:rPr>
              <w:t>1,138</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1,016</w:t>
            </w: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7"/>
        </w:trPr>
        <w:tc>
          <w:tcPr>
            <w:tcW w:w="52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and amortization)</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8"/>
                <w:szCs w:val="18"/>
                <w:b w:val="1"/>
                <w:bCs w:val="1"/>
                <w:color w:val="auto"/>
                <w:w w:val="90"/>
              </w:rPr>
              <w:t>$4,522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$4,178</w:t>
            </w: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Successor</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gridSpan w:val="3"/>
          </w:tcPr>
          <w:p>
            <w:pPr>
              <w:ind w:left="80"/>
              <w:spacing w:after="0" w:line="131" w:lineRule="exact"/>
              <w:rPr>
                <w:sz w:val="20"/>
                <w:szCs w:val="20"/>
                <w:color w:val="auto"/>
              </w:rPr>
            </w:pPr>
            <w:r>
              <w:rPr>
                <w:rFonts w:ascii="Arial" w:cs="Arial" w:eastAsia="Arial" w:hAnsi="Arial"/>
                <w:sz w:val="14"/>
                <w:szCs w:val="14"/>
                <w:color w:val="auto"/>
              </w:rPr>
              <w:t>For the Period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412"/>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980" w:type="dxa"/>
            <w:vAlign w:val="bottom"/>
            <w:tcBorders>
              <w:right w:val="single" w:sz="8" w:color="auto"/>
            </w:tcBorders>
            <w:gridSpan w:val="6"/>
          </w:tcPr>
          <w:p>
            <w:pPr>
              <w:ind w:left="20"/>
              <w:spacing w:after="0" w:line="149" w:lineRule="exact"/>
              <w:rPr>
                <w:sz w:val="20"/>
                <w:szCs w:val="20"/>
                <w:color w:val="auto"/>
              </w:rPr>
            </w:pPr>
            <w:r>
              <w:rPr>
                <w:rFonts w:ascii="Arial" w:cs="Arial" w:eastAsia="Arial" w:hAnsi="Arial"/>
                <w:sz w:val="14"/>
                <w:szCs w:val="14"/>
                <w:color w:val="auto"/>
              </w:rPr>
              <w:t>January 29, 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5"/>
              </w:rPr>
              <w:t>January 1, 2011</w:t>
            </w:r>
          </w:p>
        </w:tc>
      </w:tr>
      <w:tr>
        <w:trPr>
          <w:trHeight w:val="159"/>
        </w:trPr>
        <w:tc>
          <w:tcPr>
            <w:tcW w:w="52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76"/>
              <w:spacing w:after="0" w:line="159" w:lineRule="exact"/>
              <w:rPr>
                <w:sz w:val="20"/>
                <w:szCs w:val="20"/>
                <w:color w:val="auto"/>
              </w:rPr>
            </w:pPr>
            <w:r>
              <w:rPr>
                <w:rFonts w:ascii="Arial" w:cs="Arial" w:eastAsia="Arial" w:hAnsi="Arial"/>
                <w:sz w:val="14"/>
                <w:szCs w:val="14"/>
                <w:color w:val="auto"/>
                <w:w w:val="83"/>
              </w:rPr>
              <w:t>June 30, 2012</w:t>
            </w:r>
          </w:p>
        </w:tc>
        <w:tc>
          <w:tcPr>
            <w:tcW w:w="1980" w:type="dxa"/>
            <w:vAlign w:val="bottom"/>
            <w:tcBorders>
              <w:bottom w:val="single" w:sz="8" w:color="auto"/>
              <w:right w:val="single" w:sz="8" w:color="auto"/>
            </w:tcBorders>
            <w:gridSpan w:val="6"/>
          </w:tcPr>
          <w:p>
            <w:pPr>
              <w:ind w:left="20"/>
              <w:spacing w:after="0" w:line="159" w:lineRule="exact"/>
              <w:rPr>
                <w:sz w:val="20"/>
                <w:szCs w:val="20"/>
                <w:color w:val="auto"/>
              </w:rPr>
            </w:pPr>
            <w:r>
              <w:rPr>
                <w:rFonts w:ascii="Arial" w:cs="Arial" w:eastAsia="Arial" w:hAnsi="Arial"/>
                <w:sz w:val="14"/>
                <w:szCs w:val="14"/>
                <w:color w:val="auto"/>
              </w:rPr>
              <w:t>to June 30, 2011</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41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5,686</w:t>
            </w:r>
          </w:p>
        </w:tc>
        <w:tc>
          <w:tcPr>
            <w:tcW w:w="50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3"/>
              </w:rPr>
              <w:t>4,075</w:t>
            </w: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8"/>
                <w:szCs w:val="18"/>
                <w:color w:val="auto"/>
              </w:rPr>
            </w:pPr>
          </w:p>
        </w:tc>
        <w:tc>
          <w:tcPr>
            <w:tcW w:w="1220" w:type="dxa"/>
            <w:vAlign w:val="bottom"/>
          </w:tcPr>
          <w:p>
            <w:pPr>
              <w:jc w:val="right"/>
              <w:ind w:right="256"/>
              <w:spacing w:after="0"/>
              <w:rPr>
                <w:sz w:val="20"/>
                <w:szCs w:val="20"/>
                <w:color w:val="auto"/>
              </w:rPr>
            </w:pPr>
            <w:r>
              <w:rPr>
                <w:rFonts w:ascii="Arial" w:cs="Arial" w:eastAsia="Arial" w:hAnsi="Arial"/>
                <w:sz w:val="18"/>
                <w:szCs w:val="18"/>
                <w:color w:val="auto"/>
              </w:rPr>
              <w:t>1,247</w:t>
            </w:r>
          </w:p>
        </w:tc>
        <w:tc>
          <w:tcPr>
            <w:tcW w:w="50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28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2,248</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3"/>
              </w:rPr>
              <w:t>1,718</w:t>
            </w:r>
          </w:p>
        </w:tc>
        <w:tc>
          <w:tcPr>
            <w:tcW w:w="1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307</w:t>
            </w: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 and</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7"/>
        </w:trPr>
        <w:tc>
          <w:tcPr>
            <w:tcW w:w="52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amortization)</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9,181</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6,697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r>
      <w:tr>
        <w:trPr>
          <w:trHeight w:val="403"/>
        </w:trPr>
        <w:tc>
          <w:tcPr>
            <w:tcW w:w="7660" w:type="dxa"/>
            <w:vAlign w:val="bottom"/>
            <w:gridSpan w:val="6"/>
          </w:tcPr>
          <w:p>
            <w:pPr>
              <w:jc w:val="center"/>
              <w:ind w:left="369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color w:val="auto"/>
              </w:rPr>
              <w:t>Successor</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gridSpan w:val="4"/>
          </w:tcPr>
          <w:p>
            <w:pPr>
              <w:jc w:val="right"/>
              <w:ind w:right="18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31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Six Months Ended</w:t>
            </w:r>
          </w:p>
        </w:tc>
        <w:tc>
          <w:tcPr>
            <w:tcW w:w="1980" w:type="dxa"/>
            <w:vAlign w:val="bottom"/>
            <w:tcBorders>
              <w:right w:val="single" w:sz="8" w:color="auto"/>
            </w:tcBorders>
            <w:gridSpan w:val="6"/>
          </w:tcPr>
          <w:p>
            <w:pPr>
              <w:ind w:left="300"/>
              <w:spacing w:after="0" w:line="149" w:lineRule="exact"/>
              <w:rPr>
                <w:sz w:val="20"/>
                <w:szCs w:val="20"/>
                <w:color w:val="auto"/>
              </w:rPr>
            </w:pPr>
            <w:r>
              <w:rPr>
                <w:rFonts w:ascii="Arial" w:cs="Arial" w:eastAsia="Arial" w:hAnsi="Arial"/>
                <w:sz w:val="14"/>
                <w:szCs w:val="14"/>
                <w:color w:val="auto"/>
              </w:rPr>
              <w:t>January 29, 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52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4"/>
                <w:szCs w:val="14"/>
                <w:color w:val="auto"/>
                <w:w w:val="85"/>
              </w:rPr>
              <w:t>June 30, 2012</w:t>
            </w:r>
          </w:p>
        </w:tc>
        <w:tc>
          <w:tcPr>
            <w:tcW w:w="1980" w:type="dxa"/>
            <w:vAlign w:val="bottom"/>
            <w:tcBorders>
              <w:bottom w:val="single" w:sz="8" w:color="auto"/>
              <w:right w:val="single" w:sz="8" w:color="auto"/>
            </w:tcBorders>
            <w:gridSpan w:val="6"/>
          </w:tcPr>
          <w:p>
            <w:pPr>
              <w:ind w:left="320"/>
              <w:spacing w:after="0" w:line="159" w:lineRule="exact"/>
              <w:rPr>
                <w:sz w:val="20"/>
                <w:szCs w:val="20"/>
                <w:color w:val="auto"/>
              </w:rPr>
            </w:pPr>
            <w:r>
              <w:rPr>
                <w:rFonts w:ascii="Arial" w:cs="Arial" w:eastAsia="Arial" w:hAnsi="Arial"/>
                <w:sz w:val="14"/>
                <w:szCs w:val="14"/>
                <w:color w:val="auto"/>
              </w:rPr>
              <w:t>to June 30, 2011</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29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966</w:t>
            </w:r>
          </w:p>
        </w:tc>
        <w:tc>
          <w:tcPr>
            <w:tcW w:w="5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806</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r>
      <w:tr>
        <w:trPr>
          <w:trHeight w:val="208"/>
        </w:trPr>
        <w:tc>
          <w:tcPr>
            <w:tcW w:w="5280" w:type="dxa"/>
            <w:vAlign w:val="bottom"/>
            <w:gridSpan w:val="3"/>
          </w:tcPr>
          <w:p>
            <w:pPr>
              <w:spacing w:after="0"/>
              <w:rPr>
                <w:sz w:val="20"/>
                <w:szCs w:val="20"/>
                <w:color w:val="auto"/>
              </w:rPr>
            </w:pPr>
            <w:r>
              <w:rPr>
                <w:rFonts w:ascii="Arial" w:cs="Arial" w:eastAsia="Arial" w:hAnsi="Arial"/>
                <w:sz w:val="18"/>
                <w:szCs w:val="18"/>
                <w:color w:val="auto"/>
                <w:w w:val="94"/>
              </w:rPr>
              <w:t>Adjustments to reconcile net income to net cash provided by (used in)</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operating activities: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7"/>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632</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441</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66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4,132</w:t>
            </w:r>
          </w:p>
        </w:tc>
        <w:tc>
          <w:tcPr>
            <w:tcW w:w="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2,868</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549</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4</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13</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Equity in net income of investees, net</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163</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15</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12</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(473)</w:t>
            </w:r>
          </w:p>
        </w:tc>
      </w:tr>
      <w:tr>
        <w:trPr>
          <w:trHeight w:val="208"/>
        </w:trPr>
        <w:tc>
          <w:tcPr>
            <w:tcW w:w="5280" w:type="dxa"/>
            <w:vAlign w:val="bottom"/>
            <w:gridSpan w:val="3"/>
          </w:tcPr>
          <w:p>
            <w:pPr>
              <w:spacing w:after="0"/>
              <w:rPr>
                <w:sz w:val="20"/>
                <w:szCs w:val="20"/>
                <w:color w:val="auto"/>
              </w:rPr>
            </w:pPr>
            <w:r>
              <w:rPr>
                <w:rFonts w:ascii="Arial" w:cs="Arial" w:eastAsia="Arial" w:hAnsi="Arial"/>
                <w:sz w:val="18"/>
                <w:szCs w:val="18"/>
                <w:color w:val="auto"/>
                <w:w w:val="92"/>
              </w:rPr>
              <w:t>Changes in operating assets and liabilities, net of effects of acquisitions</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and divestitures: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7"/>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Change in receivables, net</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(7)</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187</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Change in film and television costs</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(4,046)</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(3,206)</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08"/>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w w:val="89"/>
              </w:rPr>
              <w:t>Change in accounts payable and accrued expenses related to trade</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24"/>
        </w:trPr>
        <w:tc>
          <w:tcPr>
            <w:tcW w:w="5280" w:type="dxa"/>
            <w:vAlign w:val="bottom"/>
            <w:gridSpan w:val="3"/>
            <w:shd w:val="clear" w:color="auto" w:fill="E5E5E5"/>
          </w:tcPr>
          <w:p>
            <w:pPr>
              <w:ind w:left="660"/>
              <w:spacing w:after="0"/>
              <w:rPr>
                <w:sz w:val="20"/>
                <w:szCs w:val="20"/>
                <w:color w:val="auto"/>
              </w:rPr>
            </w:pPr>
            <w:r>
              <w:rPr>
                <w:rFonts w:ascii="Arial" w:cs="Arial" w:eastAsia="Arial" w:hAnsi="Arial"/>
                <w:sz w:val="18"/>
                <w:szCs w:val="18"/>
                <w:color w:val="auto"/>
              </w:rPr>
              <w:t>creditors</w:t>
            </w:r>
          </w:p>
        </w:tc>
        <w:tc>
          <w:tcPr>
            <w:tcW w:w="660" w:type="dxa"/>
            <w:vAlign w:val="bottom"/>
            <w:shd w:val="clear" w:color="auto" w:fill="E5E5E5"/>
          </w:tcPr>
          <w:p>
            <w:pPr>
              <w:spacing w:after="0"/>
              <w:rPr>
                <w:sz w:val="19"/>
                <w:szCs w:val="19"/>
                <w:color w:val="auto"/>
              </w:rPr>
            </w:pP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E5E5E5"/>
          </w:tcPr>
          <w:p>
            <w:pPr>
              <w:spacing w:after="0"/>
              <w:rPr>
                <w:sz w:val="19"/>
                <w:szCs w:val="19"/>
                <w:color w:val="auto"/>
              </w:rPr>
            </w:pPr>
          </w:p>
        </w:tc>
        <w:tc>
          <w:tcPr>
            <w:tcW w:w="8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(92)</w:t>
            </w:r>
          </w:p>
        </w:tc>
        <w:tc>
          <w:tcPr>
            <w:tcW w:w="480" w:type="dxa"/>
            <w:vAlign w:val="bottom"/>
            <w:tcBorders>
              <w:right w:val="single" w:sz="8" w:color="E5E5E5"/>
            </w:tcBorders>
            <w:shd w:val="clear" w:color="auto" w:fill="E5E5E5"/>
          </w:tcPr>
          <w:p>
            <w:pPr>
              <w:spacing w:after="0"/>
              <w:rPr>
                <w:sz w:val="19"/>
                <w:szCs w:val="19"/>
                <w:color w:val="auto"/>
              </w:rPr>
            </w:pPr>
          </w:p>
        </w:tc>
        <w:tc>
          <w:tcPr>
            <w:tcW w:w="160" w:type="dxa"/>
            <w:vAlign w:val="bottom"/>
            <w:tcBorders>
              <w:right w:val="single" w:sz="8" w:color="auto"/>
            </w:tcBorders>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399</w:t>
            </w:r>
          </w:p>
        </w:tc>
      </w:tr>
      <w:tr>
        <w:trPr>
          <w:trHeight w:val="208"/>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Change in accrued participations and residuals, program</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660"/>
              <w:spacing w:after="0"/>
              <w:rPr>
                <w:sz w:val="20"/>
                <w:szCs w:val="20"/>
                <w:color w:val="auto"/>
              </w:rPr>
            </w:pPr>
            <w:r>
              <w:rPr>
                <w:rFonts w:ascii="Arial" w:cs="Arial" w:eastAsia="Arial" w:hAnsi="Arial"/>
                <w:sz w:val="18"/>
                <w:szCs w:val="18"/>
                <w:color w:val="auto"/>
              </w:rPr>
              <w:t>obligations and deferred revenue</w:t>
            </w:r>
          </w:p>
        </w:tc>
        <w:tc>
          <w:tcPr>
            <w:tcW w:w="660" w:type="dxa"/>
            <w:vAlign w:val="bottom"/>
          </w:tcPr>
          <w:p>
            <w:pPr>
              <w:spacing w:after="0"/>
              <w:rPr>
                <w:sz w:val="19"/>
                <w:szCs w:val="19"/>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323</w:t>
            </w:r>
          </w:p>
        </w:tc>
        <w:tc>
          <w:tcPr>
            <w:tcW w:w="5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127</w:t>
            </w:r>
          </w:p>
        </w:tc>
      </w:tr>
      <w:tr>
        <w:trPr>
          <w:trHeight w:val="217"/>
        </w:trPr>
        <w:tc>
          <w:tcPr>
            <w:tcW w:w="5280" w:type="dxa"/>
            <w:vAlign w:val="bottom"/>
            <w:tcBorders>
              <w:bottom w:val="single" w:sz="8" w:color="auto"/>
            </w:tcBorders>
            <w:gridSpan w:val="3"/>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(147)</w:t>
            </w:r>
          </w:p>
        </w:tc>
        <w:tc>
          <w:tcPr>
            <w:tcW w:w="5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(104)</w:t>
            </w: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1,730</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1,020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r>
      <w:tr>
        <w:trPr>
          <w:trHeight w:val="403"/>
        </w:trPr>
        <w:tc>
          <w:tcPr>
            <w:tcW w:w="7660" w:type="dxa"/>
            <w:vAlign w:val="bottom"/>
            <w:gridSpan w:val="6"/>
          </w:tcPr>
          <w:p>
            <w:pPr>
              <w:jc w:val="center"/>
              <w:ind w:left="3674"/>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4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For the Period</w:t>
            </w:r>
          </w:p>
        </w:tc>
        <w:tc>
          <w:tcPr>
            <w:tcW w:w="740" w:type="dxa"/>
            <w:vAlign w:val="bottom"/>
            <w:tcBorders>
              <w:right w:val="single" w:sz="8" w:color="auto"/>
            </w:tcBorders>
            <w:gridSpan w:val="3"/>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412"/>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Six Months Ended</w:t>
            </w:r>
          </w:p>
        </w:tc>
        <w:tc>
          <w:tcPr>
            <w:tcW w:w="1820" w:type="dxa"/>
            <w:vAlign w:val="bottom"/>
            <w:tcBorders>
              <w:right w:val="single" w:sz="8" w:color="auto"/>
            </w:tcBorders>
            <w:gridSpan w:val="5"/>
          </w:tcPr>
          <w:p>
            <w:pPr>
              <w:ind w:left="100"/>
              <w:spacing w:after="0" w:line="149" w:lineRule="exact"/>
              <w:rPr>
                <w:sz w:val="20"/>
                <w:szCs w:val="20"/>
                <w:color w:val="auto"/>
              </w:rPr>
            </w:pPr>
            <w:r>
              <w:rPr>
                <w:rFonts w:ascii="Arial" w:cs="Arial" w:eastAsia="Arial" w:hAnsi="Arial"/>
                <w:sz w:val="14"/>
                <w:szCs w:val="14"/>
                <w:color w:val="auto"/>
              </w:rPr>
              <w:t>January 29, 2011</w:t>
            </w:r>
          </w:p>
        </w:tc>
        <w:tc>
          <w:tcPr>
            <w:tcW w:w="5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5"/>
              </w:rPr>
              <w:t>January 1, 2011</w:t>
            </w:r>
          </w:p>
        </w:tc>
      </w:tr>
      <w:tr>
        <w:trPr>
          <w:trHeight w:val="173"/>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636"/>
              <w:spacing w:after="0"/>
              <w:rPr>
                <w:sz w:val="20"/>
                <w:szCs w:val="20"/>
                <w:color w:val="auto"/>
              </w:rPr>
            </w:pPr>
            <w:r>
              <w:rPr>
                <w:rFonts w:ascii="Arial" w:cs="Arial" w:eastAsia="Arial" w:hAnsi="Arial"/>
                <w:sz w:val="14"/>
                <w:szCs w:val="14"/>
                <w:color w:val="auto"/>
              </w:rPr>
              <w:t>June 30, 2012</w:t>
            </w:r>
          </w:p>
        </w:tc>
        <w:tc>
          <w:tcPr>
            <w:tcW w:w="18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4"/>
                <w:szCs w:val="14"/>
                <w:color w:val="auto"/>
              </w:rPr>
              <w:t>to June 30, 2011</w:t>
            </w:r>
          </w:p>
        </w:tc>
        <w:tc>
          <w:tcPr>
            <w:tcW w:w="52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left="412"/>
              <w:spacing w:after="0"/>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Interest</w:t>
            </w:r>
          </w:p>
        </w:tc>
        <w:tc>
          <w:tcPr>
            <w:tcW w:w="66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auto"/>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taxes</w:t>
            </w: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356"/>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left="140"/>
              <w:spacing w:after="0"/>
              <w:rPr>
                <w:sz w:val="20"/>
                <w:szCs w:val="20"/>
                <w:color w:val="auto"/>
              </w:rPr>
            </w:pPr>
            <w:r>
              <w:rPr>
                <w:rFonts w:ascii="Arial" w:cs="Arial" w:eastAsia="Arial" w:hAnsi="Arial"/>
                <w:sz w:val="18"/>
                <w:szCs w:val="18"/>
                <w:color w:val="auto"/>
                <w:w w:val="99"/>
              </w:rPr>
              <w:t>14</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7060" w:type="dxa"/>
            <w:vAlign w:val="bottom"/>
          </w:tcPr>
          <w:p>
            <w:pPr>
              <w:jc w:val="right"/>
              <w:ind w:right="4412"/>
              <w:spacing w:after="0"/>
              <w:rPr>
                <w:sz w:val="20"/>
                <w:szCs w:val="20"/>
                <w:color w:val="auto"/>
              </w:rPr>
            </w:pPr>
            <w:r>
              <w:rPr>
                <w:rFonts w:ascii="Arial" w:cs="Arial" w:eastAsia="Arial" w:hAnsi="Arial"/>
                <w:sz w:val="18"/>
                <w:szCs w:val="18"/>
                <w:b w:val="1"/>
                <w:bCs w:val="1"/>
                <w:color w:val="auto"/>
              </w:rPr>
              <w:t>Other Cash Flow Information</w:t>
            </w:r>
          </w:p>
        </w:tc>
      </w:tr>
      <w:tr>
        <w:trPr>
          <w:trHeight w:val="299"/>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January 28, 2011 (in millions)</w:t>
            </w:r>
          </w:p>
        </w:tc>
        <w:tc>
          <w:tcPr>
            <w:tcW w:w="7060" w:type="dxa"/>
            <w:vAlign w:val="bottom"/>
            <w:tcBorders>
              <w:bottom w:val="single" w:sz="8" w:color="auto"/>
            </w:tcBorders>
          </w:tcPr>
          <w:p>
            <w:pPr>
              <w:spacing w:after="0"/>
              <w:rPr>
                <w:sz w:val="24"/>
                <w:szCs w:val="24"/>
                <w:color w:val="auto"/>
              </w:rPr>
            </w:pPr>
          </w:p>
        </w:tc>
      </w:tr>
      <w:tr>
        <w:trPr>
          <w:trHeight w:val="210"/>
        </w:trPr>
        <w:tc>
          <w:tcPr>
            <w:tcW w:w="4360" w:type="dxa"/>
            <w:vAlign w:val="bottom"/>
            <w:shd w:val="clear" w:color="auto" w:fill="E5E5E5"/>
          </w:tcPr>
          <w:p>
            <w:pPr>
              <w:spacing w:after="0"/>
              <w:rPr>
                <w:sz w:val="20"/>
                <w:szCs w:val="20"/>
                <w:color w:val="auto"/>
              </w:rPr>
            </w:pPr>
            <w:r>
              <w:rPr>
                <w:rFonts w:ascii="Arial" w:cs="Arial" w:eastAsia="Arial" w:hAnsi="Arial"/>
                <w:sz w:val="18"/>
                <w:szCs w:val="18"/>
                <w:color w:val="auto"/>
                <w:w w:val="95"/>
              </w:rPr>
              <w:t>Cash and cash equivalents at end of Predecessor period</w:t>
            </w:r>
          </w:p>
        </w:tc>
        <w:tc>
          <w:tcPr>
            <w:tcW w:w="7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Content Business contributed cash balances</w:t>
            </w:r>
          </w:p>
        </w:tc>
        <w:tc>
          <w:tcPr>
            <w:tcW w:w="7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4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89"/>
              </w:rPr>
              <w:t>Cash and cash equivalents at beginning of Successor period</w:t>
            </w:r>
          </w:p>
        </w:tc>
        <w:tc>
          <w:tcPr>
            <w:tcW w:w="7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six months ended June 30, 2012, we:</w:t>
      </w:r>
    </w:p>
    <w:p>
      <w:pPr>
        <w:spacing w:after="0" w:line="77" w:lineRule="exact"/>
        <w:rPr>
          <w:sz w:val="20"/>
          <w:szCs w:val="20"/>
          <w:color w:val="auto"/>
        </w:rPr>
      </w:pPr>
    </w:p>
    <w:p>
      <w:pPr>
        <w:ind w:left="1020" w:right="1480" w:hanging="215"/>
        <w:spacing w:after="0" w:line="268"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acquired a controlling interest in a previously held equity method investment based in Brazil, which we now consolidate in our Cable Networks segment; see Note 5 for additional information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entered into a capital lease transaction that resulted in an increase in property and equipment and debt of $85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following unaudited pro forma information has been presented as if both the Joint Venture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w w:val="94"/>
              </w:rPr>
              <w:t>Three Months Ended June 30</w:t>
            </w:r>
          </w:p>
        </w:tc>
        <w:tc>
          <w:tcPr>
            <w:tcW w:w="4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w w:val="99"/>
              </w:rPr>
              <w:t>Six Months Ended June 30</w:t>
            </w:r>
          </w:p>
        </w:tc>
        <w:tc>
          <w:tcPr>
            <w:tcW w:w="0" w:type="dxa"/>
            <w:vAlign w:val="bottom"/>
          </w:tcPr>
          <w:p>
            <w:pPr>
              <w:spacing w:after="0"/>
              <w:rPr>
                <w:sz w:val="1"/>
                <w:szCs w:val="1"/>
                <w:color w:val="auto"/>
              </w:rPr>
            </w:pPr>
          </w:p>
        </w:tc>
      </w:tr>
      <w:tr>
        <w:trPr>
          <w:trHeight w:val="142"/>
        </w:trPr>
        <w:tc>
          <w:tcPr>
            <w:tcW w:w="5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color w:val="auto"/>
                <w:w w:val="92"/>
              </w:rPr>
              <w:t>Actual</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w w:val="87"/>
              </w:rPr>
              <w:t>Pro Forma</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color w:val="auto"/>
                <w:w w:val="92"/>
              </w:rPr>
              <w:t>Actual</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w w:val="87"/>
              </w:rPr>
              <w:t>Pro Forma</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line="142" w:lineRule="exact"/>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58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5,504</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5,547</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62"/>
              <w:spacing w:after="0"/>
              <w:rPr>
                <w:sz w:val="20"/>
                <w:szCs w:val="20"/>
                <w:color w:val="auto"/>
              </w:rPr>
            </w:pPr>
            <w:r>
              <w:rPr>
                <w:rFonts w:ascii="Arial" w:cs="Arial" w:eastAsia="Arial" w:hAnsi="Arial"/>
                <w:sz w:val="18"/>
                <w:szCs w:val="18"/>
                <w:color w:val="auto"/>
                <w:w w:val="90"/>
              </w:rPr>
              <w:t>10,976</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42"/>
              <w:spacing w:after="0"/>
              <w:rPr>
                <w:sz w:val="20"/>
                <w:szCs w:val="20"/>
                <w:color w:val="auto"/>
              </w:rPr>
            </w:pPr>
            <w:r>
              <w:rPr>
                <w:rFonts w:ascii="Arial" w:cs="Arial" w:eastAsia="Arial" w:hAnsi="Arial"/>
                <w:sz w:val="18"/>
                <w:szCs w:val="18"/>
                <w:color w:val="auto"/>
              </w:rPr>
              <w:t>549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40"/>
              <w:spacing w:after="0"/>
              <w:rPr>
                <w:sz w:val="20"/>
                <w:szCs w:val="20"/>
                <w:color w:val="auto"/>
              </w:rPr>
            </w:pPr>
            <w:r>
              <w:rPr>
                <w:rFonts w:ascii="Arial" w:cs="Arial" w:eastAsia="Arial" w:hAnsi="Arial"/>
                <w:sz w:val="18"/>
                <w:szCs w:val="18"/>
                <w:color w:val="auto"/>
              </w:rPr>
              <w:t>738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62"/>
              <w:spacing w:after="0"/>
              <w:rPr>
                <w:sz w:val="20"/>
                <w:szCs w:val="20"/>
                <w:color w:val="auto"/>
              </w:rPr>
            </w:pPr>
            <w:r>
              <w:rPr>
                <w:rFonts w:ascii="Arial" w:cs="Arial" w:eastAsia="Arial" w:hAnsi="Arial"/>
                <w:sz w:val="18"/>
                <w:szCs w:val="18"/>
                <w:color w:val="auto"/>
              </w:rPr>
              <w:t>966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513</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40"/>
              <w:spacing w:after="0"/>
              <w:rPr>
                <w:sz w:val="20"/>
                <w:szCs w:val="20"/>
                <w:color w:val="auto"/>
              </w:rPr>
            </w:pPr>
            <w:r>
              <w:rPr>
                <w:rFonts w:ascii="Arial" w:cs="Arial" w:eastAsia="Arial" w:hAnsi="Arial"/>
                <w:sz w:val="18"/>
                <w:szCs w:val="18"/>
                <w:color w:val="auto"/>
              </w:rPr>
              <w:t>695</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jc w:val="right"/>
              <w:ind w:right="262"/>
              <w:spacing w:after="0"/>
              <w:rPr>
                <w:sz w:val="20"/>
                <w:szCs w:val="20"/>
                <w:color w:val="auto"/>
              </w:rPr>
            </w:pPr>
            <w:r>
              <w:rPr>
                <w:rFonts w:ascii="Arial" w:cs="Arial" w:eastAsia="Arial" w:hAnsi="Arial"/>
                <w:sz w:val="18"/>
                <w:szCs w:val="18"/>
                <w:color w:val="auto"/>
              </w:rPr>
              <w:t>898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 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June 30, 2012.</w:t>
      </w:r>
    </w:p>
    <w:p>
      <w:pPr>
        <w:spacing w:after="0" w:line="4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in our condensed consolidated balance sheet as of June 30, 2012. The servicing fees are a component of net (loss) gain on sale, which is presented in the table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9"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on Income from Receivables Monetization and Cash Flows on Transfers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w w:val="82"/>
              </w:rPr>
              <w:t>Successor</w:t>
            </w:r>
          </w:p>
        </w:tc>
        <w:tc>
          <w:tcPr>
            <w:tcW w:w="320" w:type="dxa"/>
            <w:vAlign w:val="bottom"/>
            <w:tcBorders>
              <w:bottom w:val="single" w:sz="8" w:color="auto"/>
            </w:tcBorders>
          </w:tcPr>
          <w:p>
            <w:pPr>
              <w:spacing w:after="0"/>
              <w:rPr>
                <w:sz w:val="14"/>
                <w:szCs w:val="14"/>
                <w:color w:val="auto"/>
              </w:rPr>
            </w:pPr>
          </w:p>
        </w:tc>
      </w:tr>
      <w:tr>
        <w:trPr>
          <w:trHeight w:val="237"/>
        </w:trPr>
        <w:tc>
          <w:tcPr>
            <w:tcW w:w="72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Three Months Ended June 30</w:t>
            </w:r>
          </w:p>
        </w:tc>
        <w:tc>
          <w:tcPr>
            <w:tcW w:w="320" w:type="dxa"/>
            <w:vAlign w:val="bottom"/>
            <w:tcBorders>
              <w:bottom w:val="single" w:sz="8" w:color="auto"/>
            </w:tcBorders>
          </w:tcPr>
          <w:p>
            <w:pPr>
              <w:spacing w:after="0"/>
              <w:rPr>
                <w:sz w:val="20"/>
                <w:szCs w:val="20"/>
                <w:color w:val="auto"/>
              </w:rPr>
            </w:pPr>
          </w:p>
        </w:tc>
      </w:tr>
      <w:tr>
        <w:trPr>
          <w:trHeight w:val="237"/>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2012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r>
      <w:tr>
        <w:trPr>
          <w:trHeight w:val="210"/>
        </w:trPr>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136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1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9"/>
              </w:rPr>
              <w:t>50</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1"/>
              </w:rPr>
              <w:t>Predecessor</w:t>
            </w:r>
          </w:p>
        </w:tc>
      </w:tr>
      <w:tr>
        <w:trPr>
          <w:trHeight w:val="131"/>
        </w:trPr>
        <w:tc>
          <w:tcPr>
            <w:tcW w:w="4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2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880" w:type="dxa"/>
            <w:vAlign w:val="bottom"/>
          </w:tcPr>
          <w:p>
            <w:pPr>
              <w:spacing w:after="0"/>
              <w:rPr>
                <w:sz w:val="12"/>
                <w:szCs w:val="12"/>
                <w:color w:val="auto"/>
              </w:rPr>
            </w:pPr>
          </w:p>
        </w:tc>
        <w:tc>
          <w:tcPr>
            <w:tcW w:w="22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Six Months Ended</w:t>
            </w:r>
          </w:p>
        </w:tc>
        <w:tc>
          <w:tcPr>
            <w:tcW w:w="180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00"/>
              <w:spacing w:after="0" w:line="159" w:lineRule="exact"/>
              <w:rPr>
                <w:sz w:val="20"/>
                <w:szCs w:val="20"/>
                <w:color w:val="auto"/>
              </w:rPr>
            </w:pPr>
            <w:r>
              <w:rPr>
                <w:rFonts w:ascii="Arial" w:cs="Arial" w:eastAsia="Arial" w:hAnsi="Arial"/>
                <w:sz w:val="14"/>
                <w:szCs w:val="14"/>
                <w:color w:val="auto"/>
                <w:w w:val="85"/>
              </w:rPr>
              <w:t>June 30, 2012</w:t>
            </w:r>
          </w:p>
        </w:tc>
        <w:tc>
          <w:tcPr>
            <w:tcW w:w="1800" w:type="dxa"/>
            <w:vAlign w:val="bottom"/>
            <w:tcBorders>
              <w:bottom w:val="single" w:sz="8" w:color="auto"/>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June 30, 2011</w:t>
            </w:r>
          </w:p>
        </w:tc>
        <w:tc>
          <w:tcPr>
            <w:tcW w:w="7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ind w:left="600"/>
              <w:spacing w:after="0" w:line="159" w:lineRule="exact"/>
              <w:rPr>
                <w:sz w:val="20"/>
                <w:szCs w:val="20"/>
                <w:color w:val="auto"/>
              </w:rPr>
            </w:pPr>
            <w:r>
              <w:rPr>
                <w:rFonts w:ascii="Arial" w:cs="Arial" w:eastAsia="Arial" w:hAnsi="Arial"/>
                <w:sz w:val="14"/>
                <w:szCs w:val="14"/>
                <w:color w:val="auto"/>
                <w:w w:val="93"/>
              </w:rPr>
              <w:t>to January 28, 2011</w:t>
            </w:r>
          </w:p>
        </w:tc>
      </w:tr>
      <w:tr>
        <w:trPr>
          <w:trHeight w:val="210"/>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E5E5E5"/>
          </w:tcPr>
          <w:p>
            <w:pPr>
              <w:jc w:val="right"/>
              <w:ind w:right="5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E5E5E5"/>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20"/>
              <w:spacing w:after="0"/>
              <w:rPr>
                <w:sz w:val="20"/>
                <w:szCs w:val="20"/>
                <w:color w:val="auto"/>
              </w:rPr>
            </w:pPr>
            <w:r>
              <w:rPr>
                <w:rFonts w:ascii="Arial" w:cs="Arial" w:eastAsia="Arial" w:hAnsi="Arial"/>
                <w:sz w:val="18"/>
                <w:szCs w:val="18"/>
                <w:color w:val="auto"/>
              </w:rPr>
              <w:t>(1)</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1</w:t>
            </w:r>
          </w:p>
        </w:tc>
      </w:tr>
      <w:tr>
        <w:trPr>
          <w:trHeight w:val="216"/>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E5E5E5"/>
          </w:tcPr>
          <w:p>
            <w:pPr>
              <w:jc w:val="right"/>
              <w:ind w:right="520"/>
              <w:spacing w:after="0"/>
              <w:rPr>
                <w:sz w:val="20"/>
                <w:szCs w:val="20"/>
                <w:color w:val="auto"/>
              </w:rPr>
            </w:pPr>
            <w:r>
              <w:rPr>
                <w:rFonts w:ascii="Arial" w:cs="Arial" w:eastAsia="Arial" w:hAnsi="Arial"/>
                <w:sz w:val="18"/>
                <w:szCs w:val="18"/>
                <w:color w:val="auto"/>
              </w:rPr>
              <w:t>(223)</w:t>
            </w:r>
          </w:p>
        </w:tc>
        <w:tc>
          <w:tcPr>
            <w:tcW w:w="4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(177)</w:t>
            </w:r>
          </w:p>
        </w:tc>
      </w:tr>
    </w:tbl>
    <w:p>
      <w:pPr>
        <w:spacing w:after="0" w:line="57"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1980" w:type="dxa"/>
            <w:vAlign w:val="bottom"/>
            <w:tcBorders>
              <w:bottom w:val="single" w:sz="8" w:color="auto"/>
            </w:tcBorders>
            <w:gridSpan w:val="2"/>
          </w:tcPr>
          <w:p>
            <w:pPr>
              <w:ind w:left="1020"/>
              <w:spacing w:after="0" w:line="142" w:lineRule="exact"/>
              <w:rPr>
                <w:sz w:val="20"/>
                <w:szCs w:val="20"/>
                <w:color w:val="auto"/>
              </w:rPr>
            </w:pPr>
            <w:r>
              <w:rPr>
                <w:rFonts w:ascii="Arial" w:cs="Arial" w:eastAsia="Arial" w:hAnsi="Arial"/>
                <w:sz w:val="14"/>
                <w:szCs w:val="14"/>
                <w:color w:val="auto"/>
              </w:rPr>
              <w:t>June 30, 2012</w:t>
            </w:r>
          </w:p>
        </w:tc>
        <w:tc>
          <w:tcPr>
            <w:tcW w:w="1960" w:type="dxa"/>
            <w:vAlign w:val="bottom"/>
            <w:tcBorders>
              <w:bottom w:val="single" w:sz="8" w:color="auto"/>
            </w:tcBorders>
            <w:gridSpan w:val="2"/>
          </w:tcPr>
          <w:p>
            <w:pPr>
              <w:ind w:left="84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130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808</w:t>
            </w:r>
          </w:p>
        </w:tc>
        <w:tc>
          <w:tcPr>
            <w:tcW w:w="1280" w:type="dxa"/>
            <w:vAlign w:val="bottom"/>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265</w:t>
            </w: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amounts presented above, we had $712 million and $781 million payable to our monetization programs as of June 30,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780" w:hanging="215"/>
        <w:spacing w:after="0" w:line="325"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320" w:hanging="215"/>
        <w:spacing w:after="0" w:line="325"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700" w:hanging="215"/>
        <w:spacing w:after="0" w:line="275" w:lineRule="auto"/>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45" w:name="page246"/>
    <w:bookmarkEnd w:id="245"/>
    <w:p>
      <w:pPr>
        <w:ind w:right="4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81"/>
              <w:spacing w:after="0" w:line="160" w:lineRule="exact"/>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314"/>
              <w:spacing w:after="0" w:line="142" w:lineRule="exact"/>
              <w:rPr>
                <w:sz w:val="20"/>
                <w:szCs w:val="20"/>
                <w:color w:val="auto"/>
              </w:rPr>
            </w:pPr>
            <w:r>
              <w:rPr>
                <w:rFonts w:ascii="Arial" w:cs="Arial" w:eastAsia="Arial" w:hAnsi="Arial"/>
                <w:sz w:val="14"/>
                <w:szCs w:val="14"/>
                <w:color w:val="auto"/>
                <w:w w:val="94"/>
              </w:rPr>
              <w:t>Three Months 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color w:val="auto"/>
              </w:rPr>
              <w:t>2012</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2,252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1,540</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1,231</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539</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segment revenue</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5,562</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1"/>
                <w:szCs w:val="11"/>
                <w:b w:val="1"/>
                <w:bCs w:val="1"/>
                <w:color w:val="auto"/>
              </w:rPr>
              <w:t>(e)</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shd w:val="clear" w:color="auto" w:fill="E5E5E5"/>
          </w:tcPr>
          <w:p>
            <w:pPr>
              <w:jc w:val="right"/>
              <w:ind w:right="452"/>
              <w:spacing w:after="0"/>
              <w:rPr>
                <w:sz w:val="20"/>
                <w:szCs w:val="20"/>
                <w:color w:val="auto"/>
              </w:rPr>
            </w:pPr>
            <w:r>
              <w:rPr>
                <w:rFonts w:ascii="Arial" w:cs="Arial" w:eastAsia="Arial" w:hAnsi="Arial"/>
                <w:sz w:val="18"/>
                <w:szCs w:val="18"/>
                <w:b w:val="1"/>
                <w:bCs w:val="1"/>
                <w:color w:val="auto"/>
              </w:rPr>
              <w:t>5,504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14"/>
              <w:spacing w:after="0"/>
              <w:rPr>
                <w:sz w:val="20"/>
                <w:szCs w:val="20"/>
                <w:color w:val="auto"/>
              </w:rPr>
            </w:pPr>
            <w:r>
              <w:rPr>
                <w:rFonts w:ascii="Arial" w:cs="Arial" w:eastAsia="Arial" w:hAnsi="Arial"/>
                <w:sz w:val="14"/>
                <w:szCs w:val="14"/>
                <w:color w:val="auto"/>
                <w:w w:val="81"/>
              </w:rPr>
              <w:t>Predecessor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gridSpan w:val="3"/>
          </w:tcPr>
          <w:p>
            <w:pPr>
              <w:jc w:val="right"/>
              <w:ind w:right="200"/>
              <w:spacing w:after="0" w:line="131" w:lineRule="exact"/>
              <w:rPr>
                <w:sz w:val="20"/>
                <w:szCs w:val="20"/>
                <w:color w:val="auto"/>
              </w:rPr>
            </w:pPr>
            <w:r>
              <w:rPr>
                <w:rFonts w:ascii="Arial" w:cs="Arial" w:eastAsia="Arial" w:hAnsi="Arial"/>
                <w:sz w:val="14"/>
                <w:szCs w:val="14"/>
                <w:color w:val="auto"/>
                <w:w w:val="96"/>
              </w:rPr>
              <w:t>For the Period</w:t>
            </w:r>
          </w:p>
        </w:tc>
        <w:tc>
          <w:tcPr>
            <w:tcW w:w="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jc w:val="center"/>
              <w:ind w:right="114"/>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97"/>
              </w:rPr>
              <w:t>January 29, 2011</w:t>
            </w: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center"/>
              <w:ind w:right="114"/>
              <w:spacing w:after="0" w:line="149" w:lineRule="exact"/>
              <w:rPr>
                <w:sz w:val="20"/>
                <w:szCs w:val="20"/>
                <w:color w:val="auto"/>
              </w:rPr>
            </w:pPr>
            <w:r>
              <w:rPr>
                <w:rFonts w:ascii="Arial" w:cs="Arial" w:eastAsia="Arial" w:hAnsi="Arial"/>
                <w:sz w:val="14"/>
                <w:szCs w:val="14"/>
                <w:color w:val="auto"/>
                <w:w w:val="83"/>
              </w:rPr>
              <w:t>January 1, 2011</w:t>
            </w:r>
          </w:p>
        </w:tc>
        <w:tc>
          <w:tcPr>
            <w:tcW w:w="0" w:type="dxa"/>
            <w:vAlign w:val="bottom"/>
          </w:tcPr>
          <w:p>
            <w:pPr>
              <w:spacing w:after="0"/>
              <w:rPr>
                <w:sz w:val="1"/>
                <w:szCs w:val="1"/>
                <w:color w:val="auto"/>
              </w:rPr>
            </w:pPr>
          </w:p>
        </w:tc>
      </w:tr>
      <w:tr>
        <w:trPr>
          <w:trHeight w:val="159"/>
        </w:trPr>
        <w:tc>
          <w:tcPr>
            <w:tcW w:w="52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3"/>
                <w:szCs w:val="13"/>
                <w:color w:val="auto"/>
              </w:rPr>
            </w:pPr>
          </w:p>
        </w:tc>
        <w:tc>
          <w:tcPr>
            <w:tcW w:w="1500" w:type="dxa"/>
            <w:vAlign w:val="bottom"/>
          </w:tcPr>
          <w:p>
            <w:pPr>
              <w:jc w:val="right"/>
              <w:ind w:right="636"/>
              <w:spacing w:after="0" w:line="159" w:lineRule="exact"/>
              <w:rPr>
                <w:sz w:val="20"/>
                <w:szCs w:val="20"/>
                <w:color w:val="auto"/>
              </w:rPr>
            </w:pPr>
            <w:r>
              <w:rPr>
                <w:rFonts w:ascii="Arial" w:cs="Arial" w:eastAsia="Arial" w:hAnsi="Arial"/>
                <w:sz w:val="14"/>
                <w:szCs w:val="14"/>
                <w:color w:val="auto"/>
                <w:w w:val="85"/>
              </w:rPr>
              <w:t>June 30, 2012</w:t>
            </w:r>
          </w:p>
        </w:tc>
        <w:tc>
          <w:tcPr>
            <w:tcW w:w="1120" w:type="dxa"/>
            <w:vAlign w:val="bottom"/>
            <w:gridSpan w:val="4"/>
          </w:tcPr>
          <w:p>
            <w:pPr>
              <w:ind w:left="60"/>
              <w:spacing w:after="0" w:line="159" w:lineRule="exact"/>
              <w:rPr>
                <w:sz w:val="20"/>
                <w:szCs w:val="20"/>
                <w:color w:val="auto"/>
              </w:rPr>
            </w:pPr>
            <w:r>
              <w:rPr>
                <w:rFonts w:ascii="Arial" w:cs="Arial" w:eastAsia="Arial" w:hAnsi="Arial"/>
                <w:sz w:val="14"/>
                <w:szCs w:val="14"/>
                <w:color w:val="auto"/>
                <w:w w:val="99"/>
              </w:rPr>
              <w:t>to June 30, 2011</w:t>
            </w:r>
          </w:p>
        </w:tc>
        <w:tc>
          <w:tcPr>
            <w:tcW w:w="6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3"/>
          </w:tcPr>
          <w:p>
            <w:pPr>
              <w:jc w:val="center"/>
              <w:ind w:left="352"/>
              <w:spacing w:after="0" w:line="159" w:lineRule="exact"/>
              <w:rPr>
                <w:sz w:val="20"/>
                <w:szCs w:val="20"/>
                <w:color w:val="auto"/>
              </w:rPr>
            </w:pPr>
            <w:r>
              <w:rPr>
                <w:rFonts w:ascii="Arial" w:cs="Arial" w:eastAsia="Arial" w:hAnsi="Arial"/>
                <w:sz w:val="14"/>
                <w:szCs w:val="14"/>
                <w:color w:val="auto"/>
                <w:w w:val="85"/>
              </w:rPr>
              <w:t>to January 28,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4,390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3,573</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3,391</w:t>
            </w:r>
          </w:p>
        </w:tc>
        <w:tc>
          <w:tcPr>
            <w:tcW w:w="34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2,583</w:t>
            </w:r>
          </w:p>
        </w:tc>
        <w:tc>
          <w:tcPr>
            <w:tcW w:w="40" w:type="dxa"/>
            <w:vAlign w:val="bottom"/>
            <w:shd w:val="clear" w:color="auto" w:fill="E5E5E5"/>
          </w:tcPr>
          <w:p>
            <w:pPr>
              <w:spacing w:after="0"/>
              <w:rPr>
                <w:sz w:val="18"/>
                <w:szCs w:val="18"/>
                <w:color w:val="auto"/>
              </w:rPr>
            </w:pPr>
          </w:p>
        </w:tc>
        <w:tc>
          <w:tcPr>
            <w:tcW w:w="600" w:type="dxa"/>
            <w:vAlign w:val="bottom"/>
            <w:tcBorders>
              <w:right w:val="single" w:sz="8" w:color="auto"/>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2,423</w:t>
            </w:r>
          </w:p>
        </w:tc>
        <w:tc>
          <w:tcPr>
            <w:tcW w:w="3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1,876</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951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segment revenue</w:t>
            </w:r>
          </w:p>
        </w:tc>
        <w:tc>
          <w:tcPr>
            <w:tcW w:w="640" w:type="dxa"/>
            <w:vAlign w:val="bottom"/>
          </w:tcPr>
          <w:p>
            <w:pPr>
              <w:spacing w:after="0"/>
              <w:rPr>
                <w:sz w:val="18"/>
                <w:szCs w:val="18"/>
                <w:color w:val="auto"/>
              </w:rPr>
            </w:pP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11,155</w:t>
            </w:r>
          </w:p>
        </w:tc>
        <w:tc>
          <w:tcPr>
            <w:tcW w:w="3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8,828</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23</w:t>
            </w:r>
          </w:p>
        </w:tc>
        <w:tc>
          <w:tcPr>
            <w:tcW w:w="34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25</w:t>
            </w:r>
          </w:p>
        </w:tc>
        <w:tc>
          <w:tcPr>
            <w:tcW w:w="40" w:type="dxa"/>
            <w:vAlign w:val="bottom"/>
            <w:shd w:val="clear" w:color="auto" w:fill="E5E5E5"/>
          </w:tcPr>
          <w:p>
            <w:pPr>
              <w:spacing w:after="0"/>
              <w:rPr>
                <w:sz w:val="18"/>
                <w:szCs w:val="18"/>
                <w:color w:val="auto"/>
              </w:rPr>
            </w:pPr>
          </w:p>
        </w:tc>
        <w:tc>
          <w:tcPr>
            <w:tcW w:w="600" w:type="dxa"/>
            <w:vAlign w:val="bottom"/>
            <w:tcBorders>
              <w:right w:val="single" w:sz="8" w:color="auto"/>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1"/>
                <w:szCs w:val="11"/>
                <w:b w:val="1"/>
                <w:bCs w:val="1"/>
                <w:color w:val="auto"/>
              </w:rPr>
              <w:t>(e)</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rPr>
              <w:t>10,976</w:t>
            </w:r>
          </w:p>
        </w:tc>
        <w:tc>
          <w:tcPr>
            <w:tcW w:w="3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8,090</w:t>
            </w: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jc w:val="right"/>
              <w:ind w:right="195"/>
              <w:spacing w:after="0" w:line="142" w:lineRule="exact"/>
              <w:rPr>
                <w:sz w:val="20"/>
                <w:szCs w:val="20"/>
                <w:color w:val="auto"/>
              </w:rPr>
            </w:pPr>
            <w:r>
              <w:rPr>
                <w:rFonts w:ascii="Arial" w:cs="Arial" w:eastAsia="Arial" w:hAnsi="Arial"/>
                <w:sz w:val="14"/>
                <w:szCs w:val="14"/>
                <w:color w:val="auto"/>
              </w:rPr>
              <w:t>2012</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Operating Income (Loss) Before Depreciation and Amortization</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788</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196</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Total operating income (loss) before depreciation and amortization</w:t>
            </w:r>
            <w:r>
              <w:rPr>
                <w:rFonts w:ascii="Arial" w:cs="Arial" w:eastAsia="Arial" w:hAnsi="Arial"/>
                <w:sz w:val="11"/>
                <w:szCs w:val="11"/>
                <w:color w:val="auto"/>
                <w:w w:val="95"/>
              </w:rPr>
              <w:t>(f)</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income</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662</w:t>
            </w: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1"/>
              </w:rPr>
              <w:t>Predecessor</w:t>
            </w: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gridSpan w:val="2"/>
          </w:tcPr>
          <w:p>
            <w:pPr>
              <w:jc w:val="right"/>
              <w:ind w:right="112"/>
              <w:spacing w:after="0" w:line="131" w:lineRule="exact"/>
              <w:rPr>
                <w:sz w:val="20"/>
                <w:szCs w:val="20"/>
                <w:color w:val="auto"/>
              </w:rPr>
            </w:pPr>
            <w:r>
              <w:rPr>
                <w:rFonts w:ascii="Arial" w:cs="Arial" w:eastAsia="Arial" w:hAnsi="Arial"/>
                <w:sz w:val="14"/>
                <w:szCs w:val="14"/>
                <w:color w:val="auto"/>
                <w:w w:val="99"/>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Six Months Ended</w:t>
            </w:r>
          </w:p>
        </w:tc>
        <w:tc>
          <w:tcPr>
            <w:tcW w:w="180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1560" w:type="dxa"/>
            <w:vAlign w:val="bottom"/>
          </w:tcPr>
          <w:p>
            <w:pPr>
              <w:jc w:val="right"/>
              <w:ind w:right="696"/>
              <w:spacing w:after="0" w:line="159" w:lineRule="exact"/>
              <w:rPr>
                <w:sz w:val="20"/>
                <w:szCs w:val="20"/>
                <w:color w:val="auto"/>
              </w:rPr>
            </w:pPr>
            <w:r>
              <w:rPr>
                <w:rFonts w:ascii="Arial" w:cs="Arial" w:eastAsia="Arial" w:hAnsi="Arial"/>
                <w:sz w:val="14"/>
                <w:szCs w:val="14"/>
                <w:color w:val="auto"/>
                <w:w w:val="85"/>
              </w:rPr>
              <w:t>June 30, 2012</w:t>
            </w:r>
          </w:p>
        </w:tc>
        <w:tc>
          <w:tcPr>
            <w:tcW w:w="1800" w:type="dxa"/>
            <w:vAlign w:val="bottom"/>
            <w:tcBorders>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June 30, 2011</w:t>
            </w:r>
          </w:p>
        </w:tc>
        <w:tc>
          <w:tcPr>
            <w:tcW w:w="700" w:type="dxa"/>
            <w:vAlign w:val="bottom"/>
          </w:tcPr>
          <w:p>
            <w:pPr>
              <w:spacing w:after="0"/>
              <w:rPr>
                <w:sz w:val="13"/>
                <w:szCs w:val="13"/>
                <w:color w:val="auto"/>
              </w:rPr>
            </w:pPr>
          </w:p>
        </w:tc>
        <w:tc>
          <w:tcPr>
            <w:tcW w:w="17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Operating Income (Loss) Before Depreciation and Amortization</w:t>
            </w:r>
          </w:p>
        </w:tc>
        <w:tc>
          <w:tcPr>
            <w:tcW w:w="700" w:type="dxa"/>
            <w:vAlign w:val="bottom"/>
            <w:tcBorders>
              <w:top w:val="single" w:sz="8" w:color="auto"/>
            </w:tcBorders>
            <w:shd w:val="clear" w:color="auto" w:fill="E5E5E5"/>
          </w:tcPr>
          <w:p>
            <w:pPr>
              <w:spacing w:after="0"/>
              <w:rPr>
                <w:sz w:val="18"/>
                <w:szCs w:val="18"/>
                <w:color w:val="auto"/>
              </w:rPr>
            </w:pPr>
          </w:p>
        </w:tc>
        <w:tc>
          <w:tcPr>
            <w:tcW w:w="15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56"/>
              <w:spacing w:after="0"/>
              <w:rPr>
                <w:sz w:val="20"/>
                <w:szCs w:val="20"/>
                <w:color w:val="auto"/>
              </w:rPr>
            </w:pPr>
            <w:r>
              <w:rPr>
                <w:rFonts w:ascii="Arial" w:cs="Arial" w:eastAsia="Arial" w:hAnsi="Arial"/>
                <w:sz w:val="18"/>
                <w:szCs w:val="18"/>
                <w:color w:val="auto"/>
              </w:rPr>
              <w:t>1,593</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225</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Filmed Entertainment</w:t>
            </w:r>
          </w:p>
        </w:tc>
        <w:tc>
          <w:tcPr>
            <w:tcW w:w="700" w:type="dxa"/>
            <w:vAlign w:val="bottom"/>
          </w:tcPr>
          <w:p>
            <w:pPr>
              <w:spacing w:after="0"/>
              <w:rPr>
                <w:sz w:val="18"/>
                <w:szCs w:val="18"/>
                <w:color w:val="auto"/>
              </w:rPr>
            </w:pPr>
          </w:p>
        </w:tc>
        <w:tc>
          <w:tcPr>
            <w:tcW w:w="1560" w:type="dxa"/>
            <w:vAlign w:val="bottom"/>
          </w:tcPr>
          <w:p>
            <w:pPr>
              <w:jc w:val="right"/>
              <w:ind w:right="516"/>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392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322</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700" w:type="dxa"/>
            <w:vAlign w:val="bottom"/>
          </w:tcPr>
          <w:p>
            <w:pPr>
              <w:spacing w:after="0"/>
              <w:rPr>
                <w:sz w:val="18"/>
                <w:szCs w:val="18"/>
                <w:color w:val="auto"/>
              </w:rPr>
            </w:pPr>
          </w:p>
        </w:tc>
        <w:tc>
          <w:tcPr>
            <w:tcW w:w="1560" w:type="dxa"/>
            <w:vAlign w:val="bottom"/>
          </w:tcPr>
          <w:p>
            <w:pPr>
              <w:jc w:val="right"/>
              <w:ind w:right="516"/>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7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556"/>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Total operating income (loss) before depreciation and amortization</w:t>
            </w:r>
            <w:r>
              <w:rPr>
                <w:rFonts w:ascii="Arial" w:cs="Arial" w:eastAsia="Arial" w:hAnsi="Arial"/>
                <w:sz w:val="11"/>
                <w:szCs w:val="11"/>
                <w:color w:val="auto"/>
                <w:w w:val="89"/>
              </w:rPr>
              <w:t>(f)</w:t>
            </w: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1,795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1,393</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118</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371</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w:t>
            </w: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income</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E5E5E5"/>
          </w:tcPr>
          <w:p>
            <w:pPr>
              <w:jc w:val="right"/>
              <w:ind w:right="556"/>
              <w:spacing w:after="0"/>
              <w:rPr>
                <w:sz w:val="20"/>
                <w:szCs w:val="20"/>
                <w:color w:val="auto"/>
              </w:rPr>
            </w:pPr>
            <w:r>
              <w:rPr>
                <w:rFonts w:ascii="Arial" w:cs="Arial" w:eastAsia="Arial" w:hAnsi="Arial"/>
                <w:sz w:val="18"/>
                <w:szCs w:val="18"/>
                <w:b w:val="1"/>
                <w:bCs w:val="1"/>
                <w:color w:val="auto"/>
              </w:rPr>
              <w:t>1,163</w:t>
            </w:r>
          </w:p>
        </w:tc>
        <w:tc>
          <w:tcPr>
            <w:tcW w:w="3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952</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8</w:t>
            </w:r>
          </w:p>
        </w:tc>
      </w:tr>
    </w:tbl>
    <w:p>
      <w:pPr>
        <w:spacing w:after="0" w:line="57"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For the three and six months ended June 30, 2012 and the period January 29 through June 30, 2011, our Cable Networks segment included the results of operations of the Comcast Content Business.</w:t>
      </w:r>
    </w:p>
    <w:p>
      <w:pPr>
        <w:spacing w:after="0" w:line="78" w:lineRule="exact"/>
        <w:rPr>
          <w:rFonts w:ascii="Arial" w:cs="Arial" w:eastAsia="Arial" w:hAnsi="Arial"/>
          <w:sz w:val="12"/>
          <w:szCs w:val="12"/>
          <w:color w:val="auto"/>
        </w:rPr>
      </w:pPr>
    </w:p>
    <w:p>
      <w:pPr>
        <w:ind w:left="340" w:right="280" w:hanging="332"/>
        <w:spacing w:after="0" w:line="239"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the periods January 1, 2011 through January 28, 2011 and January 29, 2011 through June 30, 2011, our Theme Parks segment included the results of operations for Universal Orlando to reflect our measure of operating performance for our Theme Parks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Headquarters and Other includes operating costs and expenses associated with corporate overhead, employee benefits and corporate initiatives.</w:t>
      </w:r>
    </w:p>
    <w:p>
      <w:pPr>
        <w:spacing w:after="0" w:line="55" w:lineRule="exact"/>
        <w:rPr>
          <w:rFonts w:ascii="Arial" w:cs="Arial" w:eastAsia="Arial" w:hAnsi="Arial"/>
          <w:sz w:val="14"/>
          <w:szCs w:val="14"/>
          <w:color w:val="auto"/>
        </w:rPr>
      </w:pPr>
    </w:p>
    <w:p>
      <w:pPr>
        <w:ind w:left="340" w:right="300" w:hanging="332"/>
        <w:spacing w:after="0" w:line="317" w:lineRule="auto"/>
        <w:tabs>
          <w:tab w:leader="none" w:pos="3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Eliminations for the periods January 1, 2011 through January 28, 2011 and January 29, 2011 through June 30, 2011 included the elimination of the results of operations for Universal Orlando for these periods. These results were not included in our consolidated results of operations because we recorded Universal Orlando as an equity method investment during those periods.</w:t>
      </w:r>
    </w:p>
    <w:p>
      <w:pPr>
        <w:ind w:left="360" w:right="180"/>
        <w:spacing w:after="0" w:line="239" w:lineRule="auto"/>
        <w:rPr>
          <w:rFonts w:ascii="Arial" w:cs="Arial" w:eastAsia="Arial" w:hAnsi="Arial"/>
          <w:sz w:val="12"/>
          <w:szCs w:val="12"/>
          <w:color w:val="auto"/>
        </w:rPr>
      </w:pPr>
      <w:r>
        <w:rPr>
          <w:rFonts w:ascii="Arial" w:cs="Arial" w:eastAsia="Arial" w:hAnsi="Arial"/>
          <w:sz w:val="14"/>
          <w:szCs w:val="14"/>
          <w:color w:val="auto"/>
        </w:rPr>
        <w:t>Also 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3" w:lineRule="exact"/>
        <w:rPr>
          <w:rFonts w:ascii="Arial" w:cs="Arial" w:eastAsia="Arial" w:hAnsi="Arial"/>
          <w:sz w:val="12"/>
          <w:szCs w:val="12"/>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ind w:left="340" w:right="20" w:hanging="332"/>
        <w:spacing w:after="0" w:line="268" w:lineRule="auto"/>
        <w:tabs>
          <w:tab w:leader="none" w:pos="3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Condensed Consolidating Financial Information</w:t>
      </w:r>
    </w:p>
    <w:p>
      <w:pPr>
        <w:spacing w:after="0" w:line="8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October 2011, NBCUniversal Media, LLC fully and unconditionally guaranteed Universal Orlando’s senior and senior subordinated notes in exchange for amendments that conform the notes’ covenants and events of default to those contained in our $9.1 billion of outstanding public debt securities. The guarantee includes the payment of principal, premium, if any, and interest. NBCUniversal Media, LLC is referred to as “Parent” in the tables presented below.</w:t>
      </w:r>
    </w:p>
    <w:p>
      <w:pPr>
        <w:spacing w:after="0" w:line="1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Universal Orlando’s senior and senior subordinated notes were co-issued by Universal City Development Partners, Ltd. and UCDP Finance (collectively, the “Issuers”) and continue also to be fully and unconditionally guaranteed by Universal City Travel Partners and Universal Orlando Online Merchandise Store (collectively, the “Guarantor Subsidiaries”).</w:t>
      </w:r>
    </w:p>
    <w:p>
      <w:pPr>
        <w:spacing w:after="0" w:line="4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Our condensed consolidating financial information is presented in the tables below and includes the operating results of the Universal Orlando entities from July 1, 2011, the date we acquired the remaining 50% equity interest in Universal Orlando that we did not already own.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131</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429</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1,240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3,535</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3,587</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83</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1,311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1,427</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7,281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8,260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5,079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5,079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830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1,349</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883</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970</w:t>
            </w: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39,377</w:t>
            </w:r>
          </w:p>
        </w:tc>
        <w:tc>
          <w:tcPr>
            <w:tcW w:w="50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(39,390)</w:t>
            </w:r>
          </w:p>
        </w:tc>
        <w:tc>
          <w:tcPr>
            <w:tcW w:w="42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1,651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3,365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5,101</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14,794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14,794</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14,996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15,384</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40,809</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2,346</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47,313</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(39,399)</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51,110</w:t>
            </w:r>
          </w:p>
        </w:tc>
      </w:tr>
      <w:tr>
        <w:trPr>
          <w:trHeight w:val="3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139</w:t>
            </w:r>
          </w:p>
        </w:tc>
        <w:tc>
          <w:tcPr>
            <w:tcW w:w="5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1,921</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2,067</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1,300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1,300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2,466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2,813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5,689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6,188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9,222</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794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9,686</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868</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2,219</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3,449</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30,367</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1,066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37,925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(39,000)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30,367</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421</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30,367</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4"/>
              </w:rPr>
              <w:t>1,066</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90"/>
              </w:rPr>
              <w:t>38,346</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8"/>
              </w:rPr>
              <w:t>(39,000)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30,788</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40,809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2,346</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47,313</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(39,399)</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51,110</w:t>
            </w: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24</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513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3,536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1,200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5,249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5,227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2,914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39,744</w:t>
            </w:r>
          </w:p>
        </w:tc>
        <w:tc>
          <w:tcPr>
            <w:tcW w:w="50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(39,755)</w:t>
            </w: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1,644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14,657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392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15,303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1,992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1,255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2,371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5,622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262</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2,127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38,394</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0"/>
              </w:rPr>
              <w:t>38,755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40" w:type="dxa"/>
            <w:vAlign w:val="bottom"/>
          </w:tcPr>
          <w:p>
            <w:pPr>
              <w:jc w:val="right"/>
              <w:ind w:right="213"/>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104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$ 358</w:t>
            </w:r>
          </w:p>
        </w:tc>
        <w:tc>
          <w:tcPr>
            <w:tcW w:w="5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39</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5,119</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5,504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222</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190</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37</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4,105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4,522</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189</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222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226</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4,389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(32)</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4,842</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(217)</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833</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(105)</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719</w:t>
            </w:r>
          </w:p>
        </w:tc>
        <w:tc>
          <w:tcPr>
            <w:tcW w:w="10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502</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803</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591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513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549</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513</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$ 123</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714</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(839)</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513</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9"/>
              </w:rPr>
              <w:t>495</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$ 123</w:t>
            </w:r>
          </w:p>
        </w:tc>
        <w:tc>
          <w:tcPr>
            <w:tcW w:w="5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696</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(821)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495</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593"/>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5,178</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5,179</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197</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3,981</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4,178</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183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183</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197</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4,235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4,432</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(196)</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943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747</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928</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820</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624</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1,037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626</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965</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668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626</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923</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(923)</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626</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9"/>
              </w:rPr>
              <w:t>622</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921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(921)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622</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39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4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Consolidation</w:t>
            </w:r>
          </w:p>
        </w:tc>
        <w:tc>
          <w:tcPr>
            <w:tcW w:w="11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400" w:type="dxa"/>
            <w:vAlign w:val="bottom"/>
            <w:gridSpan w:val="2"/>
          </w:tcPr>
          <w:p>
            <w:pPr>
              <w:jc w:val="right"/>
              <w:ind w:right="332"/>
              <w:spacing w:after="0"/>
              <w:rPr>
                <w:sz w:val="20"/>
                <w:szCs w:val="20"/>
                <w:color w:val="auto"/>
              </w:rPr>
            </w:pPr>
            <w:r>
              <w:rPr>
                <w:rFonts w:ascii="Arial" w:cs="Arial" w:eastAsia="Arial" w:hAnsi="Arial"/>
                <w:sz w:val="14"/>
                <w:szCs w:val="14"/>
                <w:color w:val="auto"/>
              </w:rPr>
              <w:t>Parent</w:t>
            </w: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Issuers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11</w:t>
            </w:r>
          </w:p>
        </w:tc>
        <w:tc>
          <w:tcPr>
            <w:tcW w:w="78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$ 654</w:t>
            </w:r>
          </w:p>
        </w:tc>
        <w:tc>
          <w:tcPr>
            <w:tcW w:w="5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68</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0"/>
              </w:rPr>
              <w:t>10,273</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10,976</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475</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66</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8,320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(45)</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9,181</w:t>
            </w: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365</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371</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475</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434</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8,883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9,813</w:t>
            </w: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(464)</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88"/>
              </w:rPr>
              <w:t>1,566</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(208)</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8</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88"/>
              </w:rPr>
              <w:t>1,353</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145</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(1,587)</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889</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1,535</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1,048</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9</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898</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1,444</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966</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898</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$ 194</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1,376</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(1,572)</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898</w:t>
            </w: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Comprehensive income attributable to NBCUniversal</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881</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$ 194</w:t>
            </w:r>
          </w:p>
        </w:tc>
        <w:tc>
          <w:tcPr>
            <w:tcW w:w="5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1,358</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(1,554)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881</w:t>
            </w:r>
          </w:p>
        </w:tc>
      </w:tr>
      <w:tr>
        <w:trPr>
          <w:trHeight w:val="36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2" w:name="page253"/>
    <w:bookmarkEnd w:id="252"/>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Period January 29, 2011 to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60" w:type="dxa"/>
            <w:vAlign w:val="bottom"/>
          </w:tcPr>
          <w:p>
            <w:pPr>
              <w:jc w:val="center"/>
              <w:ind w:right="393"/>
              <w:spacing w:after="0" w:line="149" w:lineRule="exact"/>
              <w:rPr>
                <w:sz w:val="20"/>
                <w:szCs w:val="20"/>
                <w:color w:val="auto"/>
              </w:rPr>
            </w:pPr>
            <w:r>
              <w:rPr>
                <w:rFonts w:ascii="Arial" w:cs="Arial" w:eastAsia="Arial" w:hAnsi="Arial"/>
                <w:sz w:val="14"/>
                <w:szCs w:val="14"/>
                <w:color w:val="auto"/>
                <w:w w:val="76"/>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60" w:type="dxa"/>
            <w:vAlign w:val="bottom"/>
            <w:gridSpan w:val="2"/>
          </w:tcPr>
          <w:p>
            <w:pPr>
              <w:jc w:val="right"/>
              <w:ind w:right="11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ind w:left="420"/>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8,088</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8,090</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348</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6,349</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6,697</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323</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323</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348</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6,790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7,138</w:t>
            </w:r>
          </w:p>
        </w:tc>
      </w:tr>
      <w:tr>
        <w:trPr>
          <w:trHeight w:val="210"/>
        </w:trPr>
        <w:tc>
          <w:tcPr>
            <w:tcW w:w="20" w:type="dxa"/>
            <w:vAlign w:val="bottom"/>
          </w:tcPr>
          <w:p>
            <w:pPr>
              <w:spacing w:after="0"/>
              <w:rPr>
                <w:sz w:val="18"/>
                <w:szCs w:val="18"/>
                <w:color w:val="auto"/>
              </w:rPr>
            </w:pPr>
          </w:p>
        </w:tc>
        <w:tc>
          <w:tcPr>
            <w:tcW w:w="4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(346)</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1,298</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952</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1,250</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4"/>
              </w:rPr>
              <w:t>1,065</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1,439</w:t>
            </w:r>
          </w:p>
        </w:tc>
        <w:tc>
          <w:tcPr>
            <w:tcW w:w="4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899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1,345</w:t>
            </w:r>
          </w:p>
        </w:tc>
        <w:tc>
          <w:tcPr>
            <w:tcW w:w="4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720</w:t>
            </w:r>
          </w:p>
        </w:tc>
        <w:tc>
          <w:tcPr>
            <w:tcW w:w="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1,259</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(1,259)</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720</w:t>
            </w: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719</w:t>
            </w:r>
          </w:p>
        </w:tc>
        <w:tc>
          <w:tcPr>
            <w:tcW w:w="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1,260</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(1,260)</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719</w:t>
            </w: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000" w:type="dxa"/>
            <w:vAlign w:val="bottom"/>
          </w:tcPr>
          <w:p>
            <w:pPr>
              <w:jc w:val="right"/>
              <w:ind w:right="113"/>
              <w:spacing w:after="0"/>
              <w:rPr>
                <w:sz w:val="20"/>
                <w:szCs w:val="20"/>
                <w:color w:val="auto"/>
              </w:rPr>
            </w:pPr>
            <w:r>
              <w:rPr>
                <w:rFonts w:ascii="Arial" w:cs="Arial" w:eastAsia="Arial" w:hAnsi="Arial"/>
                <w:sz w:val="14"/>
                <w:szCs w:val="14"/>
                <w:color w:val="auto"/>
              </w:rPr>
              <w:t>Parent</w:t>
            </w:r>
          </w:p>
        </w:tc>
        <w:tc>
          <w:tcPr>
            <w:tcW w:w="100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1,206</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1,206</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1,133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1,198</w:t>
            </w:r>
          </w:p>
        </w:tc>
      </w:tr>
      <w:tr>
        <w:trPr>
          <w:trHeight w:val="210"/>
        </w:trPr>
        <w:tc>
          <w:tcPr>
            <w:tcW w:w="20" w:type="dxa"/>
            <w:vAlign w:val="bottom"/>
          </w:tcPr>
          <w:p>
            <w:pPr>
              <w:spacing w:after="0"/>
              <w:rPr>
                <w:sz w:val="18"/>
                <w:szCs w:val="18"/>
                <w:color w:val="auto"/>
              </w:rPr>
            </w:pPr>
          </w:p>
        </w:tc>
        <w:tc>
          <w:tcPr>
            <w:tcW w:w="4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10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 (23)</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54</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10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 (20)</w:t>
            </w:r>
          </w:p>
        </w:tc>
        <w:tc>
          <w:tcPr>
            <w:tcW w:w="5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(61)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90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40" w:type="dxa"/>
            <w:vAlign w:val="bottom"/>
          </w:tcPr>
          <w:p>
            <w:pPr>
              <w:jc w:val="right"/>
              <w:ind w:right="213"/>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jc w:val="right"/>
              <w:ind w:right="192"/>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(713)</w:t>
            </w:r>
          </w:p>
        </w:tc>
        <w:tc>
          <w:tcPr>
            <w:tcW w:w="104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$ 258</w:t>
            </w:r>
          </w:p>
        </w:tc>
        <w:tc>
          <w:tcPr>
            <w:tcW w:w="54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14</w:t>
            </w:r>
          </w:p>
        </w:tc>
        <w:tc>
          <w:tcPr>
            <w:tcW w:w="40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2,171</w:t>
            </w:r>
          </w:p>
        </w:tc>
        <w:tc>
          <w:tcPr>
            <w:tcW w:w="4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1,730</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1,830</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8"/>
              </w:rPr>
              <w:t>(1,830)</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1,815</w:t>
            </w: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(65)</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8"/>
              </w:rPr>
              <w:t>(2,104)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w w:val="95"/>
              </w:rPr>
              <w:t>Proceeds from (repayments of) short-term borrowings,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64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7"/>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4"/>
              </w:rPr>
              <w:t>Repurchases and repayments of third-party borrowings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08"/>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Repayments of borrowings from subsidiaries eliminated</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upon consolidation</w:t>
            </w:r>
          </w:p>
        </w:tc>
        <w:tc>
          <w:tcPr>
            <w:tcW w:w="3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5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(698)</w:t>
            </w:r>
          </w:p>
        </w:tc>
        <w:tc>
          <w:tcPr>
            <w:tcW w:w="10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(944)</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404</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238</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808</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642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$ 131</w:t>
            </w: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38</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429</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1,240</w:t>
            </w: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633"/>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4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92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000" w:type="dxa"/>
            <w:vAlign w:val="bottom"/>
            <w:gridSpan w:val="2"/>
          </w:tcPr>
          <w:p>
            <w:pPr>
              <w:jc w:val="right"/>
              <w:ind w:right="172"/>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jc w:val="right"/>
              <w:ind w:right="172"/>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(507)</w:t>
            </w:r>
          </w:p>
        </w:tc>
        <w:tc>
          <w:tcPr>
            <w:tcW w:w="5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1,527</w:t>
            </w:r>
          </w:p>
        </w:tc>
        <w:tc>
          <w:tcPr>
            <w:tcW w:w="4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1,020</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1,315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8"/>
              </w:rPr>
              <w:t>(1,315)</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(35)</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Proceeds from sale of businesses and investments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1,318</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8"/>
              </w:rPr>
              <w:t>(1,401)</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Repurchases and repayments of third- party borrowings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(78)</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(229)</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(324)</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582</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295</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508</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877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244</w:t>
            </w:r>
          </w:p>
        </w:tc>
        <w:tc>
          <w:tcPr>
            <w:tcW w:w="4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1,121</w:t>
            </w: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6" w:name="page257"/>
    <w:bookmarkEnd w:id="256"/>
    <w:p>
      <w:pPr>
        <w:ind w:left="3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Consolidating Statement of Cash Flows</w:t>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4"/>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4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76"/>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274"/>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94"/>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5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020" w:type="dxa"/>
            <w:vAlign w:val="bottom"/>
            <w:gridSpan w:val="2"/>
          </w:tcPr>
          <w:p>
            <w:pPr>
              <w:jc w:val="right"/>
              <w:ind w:right="172"/>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(292)</w:t>
            </w:r>
          </w:p>
        </w:tc>
        <w:tc>
          <w:tcPr>
            <w:tcW w:w="4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(629)</w:t>
            </w: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6"/>
              </w:rPr>
              <w:t>Proceeds from sale of businesses and investments</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331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(8,041)</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(Increase) decrease in short-term loans to GE, net</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97"/>
              </w:rPr>
              <w:t>8,072</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8,072</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Repurchase of preferred stock interest</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(332)</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59</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848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1,084</w:t>
            </w:r>
          </w:p>
        </w:tc>
      </w:tr>
      <w:tr>
        <w:trPr>
          <w:trHeight w:val="217"/>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rPr>
              <w:t>295</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175</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470</w:t>
            </w: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ind w:right="157"/>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257" w:name="page258"/>
    <w:bookmarkEnd w:id="257"/>
    <w:p>
      <w:pPr>
        <w:ind w:right="940"/>
        <w:spacing w:after="0" w:line="261"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January 28, 2011, Comcast closed the Joint Venture transaction in which it acquired control of the businesses of NBC Universal, Inc. and on July 1, 2011, we closed the Universal Orlando transaction in which we acquired the remaining 50% equity interest in Universal Orlando that we did not already own. For a more complete discussion of these transactions, refer to our consolidated financial statements included in our 2011 Annual Report on Form 10-K.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other business interests primarily include equity method investments, such as A&amp;E Television Networks, which owns and operates, among other channels, A&amp;E, The History Channel, The Biography Channel and Lifetime, The Weather Channel Holding Corp. (“The Weather Channel”) and MSNBC.com. On July 9, 2012, we entered into an agreement to sell our equity method investment in A&amp;E Television Networks and on July 13, 2012 we acquired the remaining 50% equity interest in MSNBC.com that we did not already own. See Note 4 to our condensed consolidated financial statements. For information on the performance of our equity method investments, see “Consolidated Other Income (Expense) Items” below and refer to the “Equity in Net Income of Investees, Net” heading within that section.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Headquarters and Other includes operating costs and expenses associated with corporate overhead, employee benefits and corporate initiatives.</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56" w:right="2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Operating Results</w:t>
      </w:r>
    </w:p>
    <w:p>
      <w:pPr>
        <w:spacing w:after="0" w:line="8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following tables set forth our results of operations as reported in our condensed consolidated financial statements in accordance with GAAP. GAAP requires that we separately present our results for the periods from January 1, 2011 to January 28, 2011 (the “Predecessor period”) and from January 29, 2011 to June 30, 2011 (the “Successor period”). Management believes reviewing our operating results for the six months ended June 30,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condensed consolidated financial statements in accordance with GAAP, the table below presents the non-GAAP combined results for the six months ended June 30,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82"/>
              </w:rPr>
              <w:t>Successor</w:t>
            </w:r>
          </w:p>
        </w:tc>
        <w:tc>
          <w:tcPr>
            <w:tcW w:w="5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gridSpan w:val="3"/>
          </w:tcPr>
          <w:p>
            <w:pPr>
              <w:jc w:val="center"/>
              <w:ind w:right="114"/>
              <w:spacing w:after="0" w:line="131" w:lineRule="exact"/>
              <w:rPr>
                <w:sz w:val="20"/>
                <w:szCs w:val="20"/>
                <w:color w:val="auto"/>
              </w:rPr>
            </w:pPr>
            <w:r>
              <w:rPr>
                <w:rFonts w:ascii="Arial" w:cs="Arial" w:eastAsia="Arial" w:hAnsi="Arial"/>
                <w:sz w:val="14"/>
                <w:szCs w:val="14"/>
                <w:color w:val="auto"/>
                <w:w w:val="87"/>
              </w:rPr>
              <w:t>Three Months</w:t>
            </w:r>
          </w:p>
        </w:tc>
        <w:tc>
          <w:tcPr>
            <w:tcW w:w="12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114"/>
              <w:spacing w:after="0" w:line="159" w:lineRule="exact"/>
              <w:rPr>
                <w:sz w:val="20"/>
                <w:szCs w:val="20"/>
                <w:color w:val="auto"/>
              </w:rPr>
            </w:pPr>
            <w:r>
              <w:rPr>
                <w:rFonts w:ascii="Arial" w:cs="Arial" w:eastAsia="Arial" w:hAnsi="Arial"/>
                <w:sz w:val="14"/>
                <w:szCs w:val="14"/>
                <w:color w:val="auto"/>
                <w:w w:val="84"/>
              </w:rPr>
              <w:t>Ended June 30</w:t>
            </w:r>
          </w:p>
        </w:tc>
        <w:tc>
          <w:tcPr>
            <w:tcW w:w="1260" w:type="dxa"/>
            <w:vAlign w:val="bottom"/>
            <w:tcBorders>
              <w:bottom w:val="single" w:sz="8" w:color="auto"/>
            </w:tcBorders>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left="57"/>
              <w:spacing w:after="0" w:line="131" w:lineRule="exact"/>
              <w:rPr>
                <w:sz w:val="20"/>
                <w:szCs w:val="20"/>
                <w:color w:val="auto"/>
              </w:rPr>
            </w:pPr>
            <w:r>
              <w:rPr>
                <w:rFonts w:ascii="Arial" w:cs="Arial" w:eastAsia="Arial" w:hAnsi="Arial"/>
                <w:sz w:val="14"/>
                <w:szCs w:val="14"/>
                <w:color w:val="auto"/>
                <w:w w:val="85"/>
              </w:rPr>
              <w:t>% Change</w:t>
            </w: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left="57"/>
              <w:spacing w:after="0" w:line="149" w:lineRule="exact"/>
              <w:rPr>
                <w:sz w:val="20"/>
                <w:szCs w:val="20"/>
                <w:color w:val="auto"/>
              </w:rPr>
            </w:pPr>
            <w:r>
              <w:rPr>
                <w:rFonts w:ascii="Arial" w:cs="Arial" w:eastAsia="Arial" w:hAnsi="Arial"/>
                <w:sz w:val="14"/>
                <w:szCs w:val="14"/>
                <w:color w:val="auto"/>
                <w:w w:val="85"/>
              </w:rPr>
              <w:t>2011 to</w:t>
            </w:r>
          </w:p>
        </w:tc>
      </w:tr>
      <w:tr>
        <w:trPr>
          <w:trHeight w:val="159"/>
        </w:trPr>
        <w:tc>
          <w:tcPr>
            <w:tcW w:w="81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3"/>
                <w:szCs w:val="13"/>
                <w:color w:val="auto"/>
              </w:rPr>
            </w:pPr>
          </w:p>
        </w:tc>
        <w:tc>
          <w:tcPr>
            <w:tcW w:w="680" w:type="dxa"/>
            <w:vAlign w:val="bottom"/>
          </w:tcPr>
          <w:p>
            <w:pPr>
              <w:jc w:val="right"/>
              <w:ind w:right="318"/>
              <w:spacing w:after="0" w:line="159" w:lineRule="exact"/>
              <w:rPr>
                <w:sz w:val="20"/>
                <w:szCs w:val="20"/>
                <w:color w:val="auto"/>
              </w:rPr>
            </w:pPr>
            <w:r>
              <w:rPr>
                <w:rFonts w:ascii="Arial" w:cs="Arial" w:eastAsia="Arial" w:hAnsi="Arial"/>
                <w:sz w:val="14"/>
                <w:szCs w:val="14"/>
                <w:color w:val="auto"/>
                <w:w w:val="83"/>
              </w:rPr>
              <w:t>2012</w:t>
            </w:r>
          </w:p>
        </w:tc>
        <w:tc>
          <w:tcPr>
            <w:tcW w:w="340" w:type="dxa"/>
            <w:vAlign w:val="bottom"/>
          </w:tcPr>
          <w:p>
            <w:pPr>
              <w:spacing w:after="0"/>
              <w:rPr>
                <w:sz w:val="13"/>
                <w:szCs w:val="13"/>
                <w:color w:val="auto"/>
              </w:rPr>
            </w:pPr>
          </w:p>
        </w:tc>
        <w:tc>
          <w:tcPr>
            <w:tcW w:w="500" w:type="dxa"/>
            <w:vAlign w:val="bottom"/>
          </w:tcPr>
          <w:p>
            <w:pPr>
              <w:jc w:val="right"/>
              <w:ind w:right="134"/>
              <w:spacing w:after="0" w:line="159" w:lineRule="exact"/>
              <w:rPr>
                <w:sz w:val="20"/>
                <w:szCs w:val="20"/>
                <w:color w:val="auto"/>
              </w:rPr>
            </w:pPr>
            <w:r>
              <w:rPr>
                <w:rFonts w:ascii="Arial" w:cs="Arial" w:eastAsia="Arial" w:hAnsi="Arial"/>
                <w:sz w:val="14"/>
                <w:szCs w:val="14"/>
                <w:color w:val="auto"/>
                <w:w w:val="83"/>
              </w:rPr>
              <w:t>2011</w:t>
            </w:r>
          </w:p>
        </w:tc>
        <w:tc>
          <w:tcPr>
            <w:tcW w:w="1260" w:type="dxa"/>
            <w:vAlign w:val="bottom"/>
          </w:tcPr>
          <w:p>
            <w:pPr>
              <w:jc w:val="center"/>
              <w:ind w:left="37"/>
              <w:spacing w:after="0" w:line="159" w:lineRule="exact"/>
              <w:rPr>
                <w:sz w:val="20"/>
                <w:szCs w:val="20"/>
                <w:color w:val="auto"/>
              </w:rPr>
            </w:pPr>
            <w:r>
              <w:rPr>
                <w:rFonts w:ascii="Arial" w:cs="Arial" w:eastAsia="Arial" w:hAnsi="Arial"/>
                <w:sz w:val="14"/>
                <w:szCs w:val="14"/>
                <w:color w:val="auto"/>
                <w:w w:val="83"/>
              </w:rPr>
              <w:t>2012</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w w:val="84"/>
              </w:rPr>
              <w:t>5,504</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4"/>
              </w:rPr>
              <w:t>5,179</w:t>
            </w:r>
          </w:p>
        </w:tc>
        <w:tc>
          <w:tcPr>
            <w:tcW w:w="1260" w:type="dxa"/>
            <w:vAlign w:val="bottom"/>
            <w:tcBorders>
              <w:top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6.3 %</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w w:val="84"/>
              </w:rPr>
              <w:t>4,522</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4,178</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183</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NM</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738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(39.4)</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(17.8)</w:t>
            </w:r>
          </w:p>
        </w:tc>
      </w:tr>
      <w:tr>
        <w:trPr>
          <w:trHeight w:val="208"/>
        </w:trPr>
        <w:tc>
          <w:tcPr>
            <w:tcW w:w="20" w:type="dxa"/>
            <w:vAlign w:val="bottom"/>
          </w:tcPr>
          <w:p>
            <w:pPr>
              <w:spacing w:after="0"/>
              <w:rPr>
                <w:sz w:val="18"/>
                <w:szCs w:val="18"/>
                <w:color w:val="auto"/>
              </w:rPr>
            </w:pPr>
          </w:p>
        </w:tc>
        <w:tc>
          <w:tcPr>
            <w:tcW w:w="8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interests</w:t>
            </w:r>
          </w:p>
        </w:tc>
        <w:tc>
          <w:tcPr>
            <w:tcW w:w="500" w:type="dxa"/>
            <w:vAlign w:val="bottom"/>
            <w:tcBorders>
              <w:bottom w:val="single" w:sz="8" w:color="auto"/>
            </w:tcBorders>
            <w:shd w:val="clear" w:color="auto" w:fill="E5E5E5"/>
          </w:tcPr>
          <w:p>
            <w:pPr>
              <w:spacing w:after="0"/>
              <w:rPr>
                <w:sz w:val="20"/>
                <w:szCs w:val="20"/>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E5E5E5"/>
          </w:tcPr>
          <w:p>
            <w:pPr>
              <w:spacing w:after="0"/>
              <w:rPr>
                <w:sz w:val="20"/>
                <w:szCs w:val="20"/>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(14.2)</w:t>
            </w:r>
          </w:p>
        </w:tc>
      </w:tr>
      <w:tr>
        <w:trPr>
          <w:trHeight w:val="219"/>
        </w:trPr>
        <w:tc>
          <w:tcPr>
            <w:tcW w:w="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513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Successor</w:t>
            </w:r>
          </w:p>
        </w:tc>
        <w:tc>
          <w:tcPr>
            <w:tcW w:w="7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1"/>
              </w:rPr>
              <w:t>Predecessor</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7"/>
              </w:rPr>
              <w:t>Combined</w:t>
            </w:r>
          </w:p>
        </w:tc>
        <w:tc>
          <w:tcPr>
            <w:tcW w:w="1140" w:type="dxa"/>
            <w:vAlign w:val="bottom"/>
            <w:vMerge w:val="restart"/>
          </w:tcPr>
          <w:p>
            <w:pPr>
              <w:jc w:val="center"/>
              <w:ind w:left="17"/>
              <w:spacing w:after="0"/>
              <w:rPr>
                <w:sz w:val="20"/>
                <w:szCs w:val="20"/>
                <w:color w:val="auto"/>
              </w:rPr>
            </w:pPr>
            <w:r>
              <w:rPr>
                <w:rFonts w:ascii="Arial" w:cs="Arial" w:eastAsia="Arial" w:hAnsi="Arial"/>
                <w:sz w:val="14"/>
                <w:szCs w:val="14"/>
                <w:color w:val="auto"/>
                <w:w w:val="85"/>
              </w:rPr>
              <w:t>% Change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20" w:type="dxa"/>
            <w:vAlign w:val="bottom"/>
            <w:gridSpan w:val="2"/>
          </w:tcPr>
          <w:p>
            <w:pPr>
              <w:jc w:val="right"/>
              <w:ind w:right="235"/>
              <w:spacing w:after="0" w:line="131" w:lineRule="exact"/>
              <w:rPr>
                <w:sz w:val="20"/>
                <w:szCs w:val="20"/>
                <w:color w:val="auto"/>
              </w:rPr>
            </w:pPr>
            <w:r>
              <w:rPr>
                <w:rFonts w:ascii="Arial" w:cs="Arial" w:eastAsia="Arial" w:hAnsi="Arial"/>
                <w:sz w:val="14"/>
                <w:szCs w:val="14"/>
                <w:color w:val="auto"/>
              </w:rPr>
              <w:t>Six Months</w:t>
            </w:r>
          </w:p>
        </w:tc>
        <w:tc>
          <w:tcPr>
            <w:tcW w:w="122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4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257"/>
              <w:spacing w:after="0" w:line="131" w:lineRule="exact"/>
              <w:rPr>
                <w:sz w:val="20"/>
                <w:szCs w:val="20"/>
                <w:color w:val="auto"/>
              </w:rPr>
            </w:pPr>
            <w:r>
              <w:rPr>
                <w:rFonts w:ascii="Arial" w:cs="Arial" w:eastAsia="Arial" w:hAnsi="Arial"/>
                <w:sz w:val="14"/>
                <w:szCs w:val="14"/>
                <w:color w:val="auto"/>
                <w:w w:val="85"/>
              </w:rPr>
              <w:t>For the Period</w:t>
            </w:r>
          </w:p>
        </w:tc>
        <w:tc>
          <w:tcPr>
            <w:tcW w:w="1060" w:type="dxa"/>
            <w:vAlign w:val="bottom"/>
            <w:gridSpan w:val="2"/>
          </w:tcPr>
          <w:p>
            <w:pPr>
              <w:jc w:val="center"/>
              <w:ind w:left="22"/>
              <w:spacing w:after="0" w:line="131" w:lineRule="exact"/>
              <w:rPr>
                <w:sz w:val="20"/>
                <w:szCs w:val="20"/>
                <w:color w:val="auto"/>
              </w:rPr>
            </w:pPr>
            <w:r>
              <w:rPr>
                <w:rFonts w:ascii="Arial" w:cs="Arial" w:eastAsia="Arial" w:hAnsi="Arial"/>
                <w:sz w:val="14"/>
                <w:szCs w:val="14"/>
                <w:color w:val="auto"/>
                <w:w w:val="92"/>
              </w:rPr>
              <w:t>Six Months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ind w:right="375"/>
              <w:spacing w:after="0" w:line="149" w:lineRule="exact"/>
              <w:rPr>
                <w:sz w:val="20"/>
                <w:szCs w:val="20"/>
                <w:color w:val="auto"/>
              </w:rPr>
            </w:pPr>
            <w:r>
              <w:rPr>
                <w:rFonts w:ascii="Arial" w:cs="Arial" w:eastAsia="Arial" w:hAnsi="Arial"/>
                <w:sz w:val="14"/>
                <w:szCs w:val="14"/>
                <w:color w:val="auto"/>
                <w:w w:val="93"/>
              </w:rPr>
              <w:t>Ended</w:t>
            </w:r>
          </w:p>
        </w:tc>
        <w:tc>
          <w:tcPr>
            <w:tcW w:w="168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center"/>
              <w:ind w:right="257"/>
              <w:spacing w:after="0" w:line="149" w:lineRule="exact"/>
              <w:rPr>
                <w:sz w:val="20"/>
                <w:szCs w:val="20"/>
                <w:color w:val="auto"/>
              </w:rPr>
            </w:pPr>
            <w:r>
              <w:rPr>
                <w:rFonts w:ascii="Arial" w:cs="Arial" w:eastAsia="Arial" w:hAnsi="Arial"/>
                <w:sz w:val="14"/>
                <w:szCs w:val="14"/>
                <w:color w:val="auto"/>
                <w:w w:val="83"/>
              </w:rPr>
              <w:t>January 1, 2011</w:t>
            </w:r>
          </w:p>
        </w:tc>
        <w:tc>
          <w:tcPr>
            <w:tcW w:w="300" w:type="dxa"/>
            <w:vAlign w:val="bottom"/>
          </w:tcPr>
          <w:p>
            <w:pPr>
              <w:spacing w:after="0"/>
              <w:rPr>
                <w:sz w:val="12"/>
                <w:szCs w:val="12"/>
                <w:color w:val="auto"/>
              </w:rPr>
            </w:pPr>
          </w:p>
        </w:tc>
        <w:tc>
          <w:tcPr>
            <w:tcW w:w="76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88"/>
              </w:rPr>
              <w:t>Ended</w:t>
            </w:r>
          </w:p>
        </w:tc>
        <w:tc>
          <w:tcPr>
            <w:tcW w:w="1140" w:type="dxa"/>
            <w:vAlign w:val="bottom"/>
          </w:tcPr>
          <w:p>
            <w:pPr>
              <w:jc w:val="center"/>
              <w:ind w:left="17"/>
              <w:spacing w:after="0" w:line="149" w:lineRule="exact"/>
              <w:rPr>
                <w:sz w:val="20"/>
                <w:szCs w:val="20"/>
                <w:color w:val="auto"/>
              </w:rPr>
            </w:pPr>
            <w:r>
              <w:rPr>
                <w:rFonts w:ascii="Arial" w:cs="Arial" w:eastAsia="Arial" w:hAnsi="Arial"/>
                <w:sz w:val="14"/>
                <w:szCs w:val="14"/>
                <w:color w:val="auto"/>
                <w:w w:val="85"/>
              </w:rPr>
              <w:t>2011 to</w:t>
            </w:r>
          </w:p>
        </w:tc>
        <w:tc>
          <w:tcPr>
            <w:tcW w:w="0" w:type="dxa"/>
            <w:vAlign w:val="bottom"/>
          </w:tcPr>
          <w:p>
            <w:pPr>
              <w:spacing w:after="0"/>
              <w:rPr>
                <w:sz w:val="1"/>
                <w:szCs w:val="1"/>
                <w:color w:val="auto"/>
              </w:rPr>
            </w:pPr>
          </w:p>
        </w:tc>
      </w:tr>
      <w:tr>
        <w:trPr>
          <w:trHeight w:val="159"/>
        </w:trPr>
        <w:tc>
          <w:tcPr>
            <w:tcW w:w="39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52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June 30, 2012</w:t>
            </w:r>
          </w:p>
        </w:tc>
        <w:tc>
          <w:tcPr>
            <w:tcW w:w="1680" w:type="dxa"/>
            <w:vAlign w:val="bottom"/>
            <w:tcBorders>
              <w:right w:val="single" w:sz="8" w:color="auto"/>
            </w:tcBorders>
            <w:gridSpan w:val="3"/>
          </w:tcPr>
          <w:p>
            <w:pPr>
              <w:ind w:left="200"/>
              <w:spacing w:after="0" w:line="159" w:lineRule="exact"/>
              <w:rPr>
                <w:sz w:val="20"/>
                <w:szCs w:val="20"/>
                <w:color w:val="auto"/>
              </w:rPr>
            </w:pPr>
            <w:r>
              <w:rPr>
                <w:rFonts w:ascii="Arial" w:cs="Arial" w:eastAsia="Arial" w:hAnsi="Arial"/>
                <w:sz w:val="14"/>
                <w:szCs w:val="14"/>
                <w:color w:val="auto"/>
              </w:rPr>
              <w:t>to June 30, 2011</w:t>
            </w:r>
          </w:p>
        </w:tc>
        <w:tc>
          <w:tcPr>
            <w:tcW w:w="440" w:type="dxa"/>
            <w:vAlign w:val="bottom"/>
          </w:tcPr>
          <w:p>
            <w:pPr>
              <w:spacing w:after="0"/>
              <w:rPr>
                <w:sz w:val="13"/>
                <w:szCs w:val="13"/>
                <w:color w:val="auto"/>
              </w:rPr>
            </w:pPr>
          </w:p>
        </w:tc>
        <w:tc>
          <w:tcPr>
            <w:tcW w:w="166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85"/>
              </w:rPr>
              <w:t>to January 28, 2011</w:t>
            </w:r>
          </w:p>
        </w:tc>
        <w:tc>
          <w:tcPr>
            <w:tcW w:w="1060" w:type="dxa"/>
            <w:vAlign w:val="bottom"/>
            <w:gridSpan w:val="2"/>
          </w:tcPr>
          <w:p>
            <w:pPr>
              <w:jc w:val="center"/>
              <w:ind w:left="22"/>
              <w:spacing w:after="0" w:line="159" w:lineRule="exact"/>
              <w:rPr>
                <w:sz w:val="20"/>
                <w:szCs w:val="20"/>
                <w:color w:val="auto"/>
              </w:rPr>
            </w:pPr>
            <w:r>
              <w:rPr>
                <w:rFonts w:ascii="Arial" w:cs="Arial" w:eastAsia="Arial" w:hAnsi="Arial"/>
                <w:sz w:val="14"/>
                <w:szCs w:val="14"/>
                <w:color w:val="auto"/>
                <w:w w:val="85"/>
              </w:rPr>
              <w:t>June 30, 2011</w:t>
            </w:r>
          </w:p>
        </w:tc>
        <w:tc>
          <w:tcPr>
            <w:tcW w:w="1140" w:type="dxa"/>
            <w:vAlign w:val="bottom"/>
          </w:tcPr>
          <w:p>
            <w:pPr>
              <w:jc w:val="center"/>
              <w:ind w:left="37"/>
              <w:spacing w:after="0" w:line="159" w:lineRule="exact"/>
              <w:rPr>
                <w:sz w:val="20"/>
                <w:szCs w:val="20"/>
                <w:color w:val="auto"/>
              </w:rPr>
            </w:pPr>
            <w:r>
              <w:rPr>
                <w:rFonts w:ascii="Arial" w:cs="Arial" w:eastAsia="Arial" w:hAnsi="Arial"/>
                <w:sz w:val="14"/>
                <w:szCs w:val="14"/>
                <w:color w:val="auto"/>
                <w:w w:val="83"/>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tcBorders>
              <w:top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10,976</w:t>
            </w:r>
          </w:p>
        </w:tc>
        <w:tc>
          <w:tcPr>
            <w:tcW w:w="5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8,090</w:t>
            </w:r>
          </w:p>
        </w:tc>
        <w:tc>
          <w:tcPr>
            <w:tcW w:w="460" w:type="dxa"/>
            <w:vAlign w:val="bottom"/>
            <w:tcBorders>
              <w:top w:val="single" w:sz="8" w:color="auto"/>
              <w:right w:val="single" w:sz="8" w:color="auto"/>
            </w:tcBorders>
            <w:shd w:val="clear" w:color="auto" w:fill="E5E5E5"/>
          </w:tcPr>
          <w:p>
            <w:pPr>
              <w:spacing w:after="0"/>
              <w:rPr>
                <w:sz w:val="18"/>
                <w:szCs w:val="18"/>
                <w:color w:val="auto"/>
              </w:rPr>
            </w:pPr>
          </w:p>
        </w:tc>
        <w:tc>
          <w:tcPr>
            <w:tcW w:w="8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1,206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9,296</w:t>
            </w:r>
          </w:p>
        </w:tc>
        <w:tc>
          <w:tcPr>
            <w:tcW w:w="1140" w:type="dxa"/>
            <w:vAlign w:val="bottom"/>
            <w:tcBorders>
              <w:top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w w:val="99"/>
              </w:rPr>
              <w:t>18.1 %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9,181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6,697</w:t>
            </w:r>
          </w:p>
        </w:tc>
        <w:tc>
          <w:tcPr>
            <w:tcW w:w="46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1,171</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7,868</w:t>
            </w: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137</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371</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331</w:t>
            </w:r>
          </w:p>
        </w:tc>
        <w:tc>
          <w:tcPr>
            <w:tcW w:w="11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1,163</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952</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960</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1,048</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870</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(82)</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11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966</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781</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6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6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interests</w:t>
            </w:r>
          </w:p>
        </w:tc>
        <w:tc>
          <w:tcPr>
            <w:tcW w:w="660" w:type="dxa"/>
            <w:vAlign w:val="bottom"/>
            <w:tcBorders>
              <w:bottom w:val="single" w:sz="8" w:color="auto"/>
            </w:tcBorders>
            <w:shd w:val="clear" w:color="auto" w:fill="E5E5E5"/>
          </w:tcPr>
          <w:p>
            <w:pPr>
              <w:spacing w:after="0"/>
              <w:rPr>
                <w:sz w:val="20"/>
                <w:szCs w:val="20"/>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(68)</w:t>
            </w:r>
          </w:p>
        </w:tc>
        <w:tc>
          <w:tcPr>
            <w:tcW w:w="520" w:type="dxa"/>
            <w:vAlign w:val="bottom"/>
            <w:tcBorders>
              <w:bottom w:val="single" w:sz="8" w:color="auto"/>
            </w:tcBorders>
            <w:shd w:val="clear" w:color="auto" w:fill="E5E5E5"/>
          </w:tcPr>
          <w:p>
            <w:pPr>
              <w:spacing w:after="0"/>
              <w:rPr>
                <w:sz w:val="20"/>
                <w:szCs w:val="20"/>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auto"/>
              <w:right w:val="single" w:sz="8" w:color="auto"/>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spacing w:after="0"/>
              <w:rPr>
                <w:sz w:val="20"/>
                <w:szCs w:val="20"/>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11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Net income (loss) attributable to NBCUniversal</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898</w:t>
            </w: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720</w:t>
            </w:r>
          </w:p>
        </w:tc>
        <w:tc>
          <w:tcPr>
            <w:tcW w:w="4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697</w:t>
            </w: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99"/>
              </w:rPr>
              <w:t>28.9 %</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56" w:right="239" w:bottom="1440" w:gutter="0" w:footer="0" w:header="0"/>
        </w:sectPr>
      </w:pPr>
    </w:p>
    <w:bookmarkStart w:id="259" w:name="page260"/>
    <w:bookmarkEnd w:id="25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comparability of our consolidated results of operations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Because we broadcasted the 2012 Super Bowl in February 2012, during the six months ended June 30, 2012, our advertising revenue increased as a result of increased demand for advertising time and our operating costs and expenses also increased as a result of our production costs and amortization of the related rights fees. We also expect our advertising revenue and our programming and production costs to increase in the third quarter of 2012 due to our broadcast of the 2012 London Olympic Games, and we expect to pay substantially all of the related rights fees in the third quarter of 2012.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Consolidated revenue increased for the three months ended June 30, 2012 compared to the same period in 2011 primarily due to increases in revenue in our Theme Parks segment resulting from the impact of the Universal Orlando transaction and our Cable Networks segment, which were partially offset by decreases in our Broadcast Television and Filmed Entertainment segments.</w:t>
      </w:r>
    </w:p>
    <w:p>
      <w:pPr>
        <w:spacing w:after="0" w:line="4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Consolidated revenue increased for the six months ended June 30, 2012 compared to the same period in 2011 primarily due to increases in revenue in our Theme Parks and Cable Networks segments resulting from the impact of the Universal Orlando and Joint Venture transactions, respectively, as well as due to increases in our Broadcast Television and Filmed Entertainment segments. Revenue for our segments is discussed separately under the heading “Segment Operating Results.”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Consolidated operating costs and expenses increased for the three months ended June 30, 2012 compared to the same period in 2011 primarily due to increases in operating costs and expenses in our Theme Parks segment resulting from the impact of the Universal Orlando transaction as well as increases in our Cable Networks and Filmed Entertainment segments, which were partially offset by a decrease in our Broadcast Television segment.</w:t>
      </w:r>
    </w:p>
    <w:p>
      <w:pPr>
        <w:spacing w:after="0" w:line="1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Consolidated operating costs and expenses increased for the six months ended June 30, 2012 compared to the same period in 2011 primarily due to increases in operating costs and expenses in our Theme Parks and Cable Networks segments resulting from the impact of the Universal Orlando and Joint Venture transactions, respectively, as well as increases in our Broadcast Television and Filmed Entertainment segments. Operating costs and expenses for our segments are discussed separately under the heading “Segment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7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Depreciation expense for the three and six months ended June 30, 2012 increased compared with the same periods in 2011 primarily due to the impact of consolidating Universal Orlando in the current year periods. Amortization expense for the three and six months ended June 30, 2012 increased compared with the same periods in 2011 primarily due to the amortization of the intangible assets recorded as a result of the Joint Venture and Universal Orlando transactions.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Operating Results</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14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color w:val="auto"/>
                <w:w w:val="82"/>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3"/>
          </w:tcPr>
          <w:p>
            <w:pPr>
              <w:jc w:val="center"/>
              <w:ind w:right="114"/>
              <w:spacing w:after="0" w:line="131" w:lineRule="exact"/>
              <w:rPr>
                <w:sz w:val="20"/>
                <w:szCs w:val="20"/>
                <w:color w:val="auto"/>
              </w:rPr>
            </w:pPr>
            <w:r>
              <w:rPr>
                <w:rFonts w:ascii="Arial" w:cs="Arial" w:eastAsia="Arial" w:hAnsi="Arial"/>
                <w:sz w:val="14"/>
                <w:szCs w:val="14"/>
                <w:color w:val="auto"/>
                <w:w w:val="87"/>
              </w:rPr>
              <w:t>Three Months Ended</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37"/>
              <w:spacing w:after="0" w:line="159" w:lineRule="exact"/>
              <w:rPr>
                <w:sz w:val="20"/>
                <w:szCs w:val="20"/>
                <w:color w:val="auto"/>
              </w:rPr>
            </w:pPr>
            <w:r>
              <w:rPr>
                <w:rFonts w:ascii="Arial" w:cs="Arial" w:eastAsia="Arial" w:hAnsi="Arial"/>
                <w:sz w:val="14"/>
                <w:szCs w:val="14"/>
                <w:color w:val="auto"/>
                <w:w w:val="84"/>
              </w:rPr>
              <w:t>June 30</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vMerge w:val="restart"/>
          </w:tcPr>
          <w:p>
            <w:pPr>
              <w:jc w:val="right"/>
              <w:ind w:right="27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5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7"/>
              <w:spacing w:after="0" w:line="159" w:lineRule="exact"/>
              <w:rPr>
                <w:sz w:val="20"/>
                <w:szCs w:val="20"/>
                <w:color w:val="auto"/>
              </w:rPr>
            </w:pPr>
            <w:r>
              <w:rPr>
                <w:rFonts w:ascii="Arial" w:cs="Arial" w:eastAsia="Arial" w:hAnsi="Arial"/>
                <w:sz w:val="14"/>
                <w:szCs w:val="14"/>
                <w:color w:val="auto"/>
                <w:w w:val="83"/>
              </w:rPr>
              <w:t>2012</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w w:val="83"/>
              </w:rPr>
              <w:t>2011</w:t>
            </w:r>
          </w:p>
        </w:tc>
        <w:tc>
          <w:tcPr>
            <w:tcW w:w="152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7"/>
              <w:spacing w:after="0"/>
              <w:rPr>
                <w:sz w:val="20"/>
                <w:szCs w:val="20"/>
                <w:color w:val="auto"/>
              </w:rPr>
            </w:pPr>
            <w:r>
              <w:rPr>
                <w:rFonts w:ascii="Arial" w:cs="Arial" w:eastAsia="Arial" w:hAnsi="Arial"/>
                <w:sz w:val="18"/>
                <w:szCs w:val="18"/>
                <w:color w:val="auto"/>
                <w:w w:val="84"/>
              </w:rPr>
              <w:t>2,252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2,173</w:t>
            </w:r>
          </w:p>
        </w:tc>
        <w:tc>
          <w:tcPr>
            <w:tcW w:w="1520" w:type="dxa"/>
            <w:vAlign w:val="bottom"/>
          </w:tcPr>
          <w:p>
            <w:pPr>
              <w:ind w:left="98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w w:val="84"/>
              </w:rPr>
              <w:t>1,540</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1,695</w:t>
            </w:r>
          </w:p>
        </w:tc>
        <w:tc>
          <w:tcPr>
            <w:tcW w:w="15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8"/>
                <w:szCs w:val="18"/>
                <w:color w:val="auto"/>
                <w:w w:val="84"/>
              </w:rPr>
              <w:t>1,231</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1,254</w:t>
            </w: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521</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Headquarters and Other</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Eliminations</w:t>
            </w:r>
          </w:p>
        </w:tc>
        <w:tc>
          <w:tcPr>
            <w:tcW w:w="2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(478)</w:t>
            </w:r>
          </w:p>
        </w:tc>
        <w:tc>
          <w:tcPr>
            <w:tcW w:w="15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b w:val="1"/>
                <w:bCs w:val="1"/>
                <w:color w:val="auto"/>
                <w:w w:val="84"/>
              </w:rPr>
              <w:t>5,504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5,179</w:t>
            </w: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95"/>
              </w:rPr>
              <w:t>Operating Income (Loss) Before Depreciation and Amortization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7"/>
              <w:spacing w:after="0"/>
              <w:rPr>
                <w:sz w:val="20"/>
                <w:szCs w:val="20"/>
                <w:color w:val="auto"/>
              </w:rPr>
            </w:pPr>
            <w:r>
              <w:rPr>
                <w:rFonts w:ascii="Arial" w:cs="Arial" w:eastAsia="Arial" w:hAnsi="Arial"/>
                <w:sz w:val="18"/>
                <w:szCs w:val="18"/>
                <w:color w:val="auto"/>
              </w:rPr>
              <w:t>788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190</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520" w:type="dxa"/>
            <w:vAlign w:val="bottom"/>
          </w:tcPr>
          <w:p>
            <w:pPr>
              <w:ind w:left="9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225</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517"/>
              <w:spacing w:after="0"/>
              <w:rPr>
                <w:sz w:val="20"/>
                <w:szCs w:val="20"/>
                <w:color w:val="auto"/>
              </w:rPr>
            </w:pPr>
            <w:r>
              <w:rPr>
                <w:rFonts w:ascii="Arial" w:cs="Arial" w:eastAsia="Arial" w:hAnsi="Arial"/>
                <w:sz w:val="18"/>
                <w:szCs w:val="18"/>
                <w:b w:val="1"/>
                <w:bCs w:val="1"/>
                <w:color w:val="auto"/>
              </w:rPr>
              <w:t>982</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4"/>
              </w:rPr>
              <w:t>1,001</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63"/>
        </w:trPr>
        <w:tc>
          <w:tcPr>
            <w:tcW w:w="5200" w:type="dxa"/>
            <w:vAlign w:val="bottom"/>
          </w:tcPr>
          <w:p>
            <w:pPr>
              <w:spacing w:after="0"/>
              <w:rPr>
                <w:sz w:val="24"/>
                <w:szCs w:val="24"/>
                <w:color w:val="auto"/>
              </w:rPr>
            </w:pPr>
          </w:p>
        </w:tc>
        <w:tc>
          <w:tcPr>
            <w:tcW w:w="2460" w:type="dxa"/>
            <w:vAlign w:val="bottom"/>
          </w:tcPr>
          <w:p>
            <w:pPr>
              <w:jc w:val="right"/>
              <w:ind w:right="1752"/>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w w:val="81"/>
              </w:rPr>
              <w:t>Predecessor</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7"/>
              </w:rPr>
              <w:t>Combined</w:t>
            </w:r>
          </w:p>
        </w:tc>
        <w:tc>
          <w:tcPr>
            <w:tcW w:w="1360" w:type="dxa"/>
            <w:vAlign w:val="bottom"/>
          </w:tcPr>
          <w:p>
            <w:pPr>
              <w:spacing w:after="0"/>
              <w:rPr>
                <w:sz w:val="14"/>
                <w:szCs w:val="14"/>
                <w:color w:val="auto"/>
              </w:rPr>
            </w:pPr>
          </w:p>
        </w:tc>
      </w:tr>
      <w:tr>
        <w:trPr>
          <w:trHeight w:val="131"/>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jc w:val="right"/>
              <w:ind w:right="235"/>
              <w:spacing w:after="0" w:line="131" w:lineRule="exact"/>
              <w:rPr>
                <w:sz w:val="20"/>
                <w:szCs w:val="20"/>
                <w:color w:val="auto"/>
              </w:rPr>
            </w:pPr>
            <w:r>
              <w:rPr>
                <w:rFonts w:ascii="Arial" w:cs="Arial" w:eastAsia="Arial" w:hAnsi="Arial"/>
                <w:sz w:val="14"/>
                <w:szCs w:val="14"/>
                <w:color w:val="auto"/>
              </w:rPr>
              <w:t>Six Months</w:t>
            </w:r>
          </w:p>
        </w:tc>
        <w:tc>
          <w:tcPr>
            <w:tcW w:w="1840" w:type="dxa"/>
            <w:vAlign w:val="bottom"/>
            <w:tcBorders>
              <w:right w:val="single" w:sz="8" w:color="auto"/>
            </w:tcBorders>
            <w:gridSpan w:val="3"/>
          </w:tcPr>
          <w:p>
            <w:pPr>
              <w:ind w:left="280"/>
              <w:spacing w:after="0" w:line="131"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center"/>
              <w:ind w:right="296"/>
              <w:spacing w:after="0" w:line="131" w:lineRule="exact"/>
              <w:rPr>
                <w:sz w:val="20"/>
                <w:szCs w:val="20"/>
                <w:color w:val="auto"/>
              </w:rPr>
            </w:pPr>
            <w:r>
              <w:rPr>
                <w:rFonts w:ascii="Arial" w:cs="Arial" w:eastAsia="Arial" w:hAnsi="Arial"/>
                <w:sz w:val="14"/>
                <w:szCs w:val="14"/>
                <w:color w:val="auto"/>
                <w:w w:val="85"/>
              </w:rPr>
              <w:t>For the Period</w:t>
            </w:r>
          </w:p>
        </w:tc>
        <w:tc>
          <w:tcPr>
            <w:tcW w:w="1080" w:type="dxa"/>
            <w:vAlign w:val="bottom"/>
            <w:gridSpan w:val="2"/>
          </w:tcPr>
          <w:p>
            <w:pPr>
              <w:jc w:val="center"/>
              <w:ind w:left="39"/>
              <w:spacing w:after="0" w:line="131" w:lineRule="exact"/>
              <w:rPr>
                <w:sz w:val="20"/>
                <w:szCs w:val="20"/>
                <w:color w:val="auto"/>
              </w:rPr>
            </w:pPr>
            <w:r>
              <w:rPr>
                <w:rFonts w:ascii="Arial" w:cs="Arial" w:eastAsia="Arial" w:hAnsi="Arial"/>
                <w:sz w:val="14"/>
                <w:szCs w:val="14"/>
                <w:color w:val="auto"/>
                <w:w w:val="92"/>
              </w:rPr>
              <w:t>Six Months</w:t>
            </w:r>
          </w:p>
        </w:tc>
        <w:tc>
          <w:tcPr>
            <w:tcW w:w="1360" w:type="dxa"/>
            <w:vAlign w:val="bottom"/>
          </w:tcPr>
          <w:p>
            <w:pPr>
              <w:spacing w:after="0"/>
              <w:rPr>
                <w:sz w:val="11"/>
                <w:szCs w:val="11"/>
                <w:color w:val="auto"/>
              </w:rPr>
            </w:pPr>
          </w:p>
        </w:tc>
      </w:tr>
      <w:tr>
        <w:trPr>
          <w:trHeight w:val="149"/>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5"/>
              <w:spacing w:after="0" w:line="149" w:lineRule="exact"/>
              <w:rPr>
                <w:sz w:val="20"/>
                <w:szCs w:val="20"/>
                <w:color w:val="auto"/>
              </w:rPr>
            </w:pPr>
            <w:r>
              <w:rPr>
                <w:rFonts w:ascii="Arial" w:cs="Arial" w:eastAsia="Arial" w:hAnsi="Arial"/>
                <w:sz w:val="14"/>
                <w:szCs w:val="14"/>
                <w:color w:val="auto"/>
                <w:w w:val="93"/>
              </w:rPr>
              <w:t>Ended</w:t>
            </w:r>
          </w:p>
        </w:tc>
        <w:tc>
          <w:tcPr>
            <w:tcW w:w="184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jc w:val="center"/>
              <w:ind w:right="296"/>
              <w:spacing w:after="0" w:line="149" w:lineRule="exact"/>
              <w:rPr>
                <w:sz w:val="20"/>
                <w:szCs w:val="20"/>
                <w:color w:val="auto"/>
              </w:rPr>
            </w:pPr>
            <w:r>
              <w:rPr>
                <w:rFonts w:ascii="Arial" w:cs="Arial" w:eastAsia="Arial" w:hAnsi="Arial"/>
                <w:sz w:val="14"/>
                <w:szCs w:val="14"/>
                <w:color w:val="auto"/>
                <w:w w:val="83"/>
              </w:rPr>
              <w:t>January 1, 2011</w:t>
            </w:r>
          </w:p>
        </w:tc>
        <w:tc>
          <w:tcPr>
            <w:tcW w:w="320" w:type="dxa"/>
            <w:vAlign w:val="bottom"/>
          </w:tcPr>
          <w:p>
            <w:pPr>
              <w:spacing w:after="0"/>
              <w:rPr>
                <w:sz w:val="12"/>
                <w:szCs w:val="12"/>
                <w:color w:val="auto"/>
              </w:rPr>
            </w:pPr>
          </w:p>
        </w:tc>
        <w:tc>
          <w:tcPr>
            <w:tcW w:w="760" w:type="dxa"/>
            <w:vAlign w:val="bottom"/>
          </w:tcPr>
          <w:p>
            <w:pPr>
              <w:jc w:val="center"/>
              <w:ind w:right="95"/>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 Change</w:t>
            </w:r>
          </w:p>
        </w:tc>
      </w:tr>
      <w:tr>
        <w:trPr>
          <w:trHeight w:val="173"/>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June 30, 2012</w:t>
            </w:r>
          </w:p>
        </w:tc>
        <w:tc>
          <w:tcPr>
            <w:tcW w:w="1840" w:type="dxa"/>
            <w:vAlign w:val="bottom"/>
            <w:tcBorders>
              <w:bottom w:val="single" w:sz="8" w:color="auto"/>
              <w:right w:val="single" w:sz="8" w:color="auto"/>
            </w:tcBorders>
            <w:gridSpan w:val="3"/>
          </w:tcPr>
          <w:p>
            <w:pPr>
              <w:ind w:left="220"/>
              <w:spacing w:after="0"/>
              <w:rPr>
                <w:sz w:val="20"/>
                <w:szCs w:val="20"/>
                <w:color w:val="auto"/>
              </w:rPr>
            </w:pPr>
            <w:r>
              <w:rPr>
                <w:rFonts w:ascii="Arial" w:cs="Arial" w:eastAsia="Arial" w:hAnsi="Arial"/>
                <w:sz w:val="14"/>
                <w:szCs w:val="14"/>
                <w:color w:val="auto"/>
              </w:rPr>
              <w:t>to June 30, 2011</w:t>
            </w:r>
          </w:p>
        </w:tc>
        <w:tc>
          <w:tcPr>
            <w:tcW w:w="5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to January 28, 2011</w:t>
            </w: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94"/>
              </w:rPr>
              <w:t>June 30, 2011</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2011 to 2012</w:t>
            </w:r>
          </w:p>
        </w:tc>
      </w:tr>
      <w:tr>
        <w:trPr>
          <w:trHeight w:val="210"/>
        </w:trPr>
        <w:tc>
          <w:tcPr>
            <w:tcW w:w="38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4,390</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3,573</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389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3,962</w:t>
            </w:r>
          </w:p>
        </w:tc>
        <w:tc>
          <w:tcPr>
            <w:tcW w:w="13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3,391</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2,583</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3,047</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11.3</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2,423</w:t>
            </w:r>
          </w:p>
        </w:tc>
        <w:tc>
          <w:tcPr>
            <w:tcW w:w="5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1,876</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2,229</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8.7</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951</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796</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911</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4.4</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Headquarters and Other</w:t>
            </w:r>
          </w:p>
        </w:tc>
        <w:tc>
          <w:tcPr>
            <w:tcW w:w="20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(23.7)</w:t>
            </w:r>
          </w:p>
        </w:tc>
      </w:tr>
      <w:tr>
        <w:trPr>
          <w:trHeight w:val="216"/>
        </w:trPr>
        <w:tc>
          <w:tcPr>
            <w:tcW w:w="380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(763)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(883)</w:t>
            </w:r>
          </w:p>
        </w:tc>
        <w:tc>
          <w:tcPr>
            <w:tcW w:w="13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77.1</w:t>
            </w:r>
          </w:p>
        </w:tc>
      </w:tr>
      <w:tr>
        <w:trPr>
          <w:trHeight w:val="217"/>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10,976</w:t>
            </w: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8,090</w:t>
            </w:r>
          </w:p>
        </w:tc>
        <w:tc>
          <w:tcPr>
            <w:tcW w:w="5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1,206</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9,296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18.1 %</w:t>
            </w:r>
          </w:p>
        </w:tc>
      </w:tr>
      <w:tr>
        <w:trPr>
          <w:trHeight w:val="202"/>
        </w:trPr>
        <w:tc>
          <w:tcPr>
            <w:tcW w:w="3800" w:type="dxa"/>
            <w:vAlign w:val="bottom"/>
            <w:gridSpan w:val="2"/>
            <w:shd w:val="clear" w:color="auto" w:fill="E5E5E5"/>
          </w:tcPr>
          <w:p>
            <w:pPr>
              <w:spacing w:after="0" w:line="201" w:lineRule="exact"/>
              <w:rPr>
                <w:sz w:val="20"/>
                <w:szCs w:val="20"/>
                <w:color w:val="auto"/>
              </w:rPr>
            </w:pPr>
            <w:r>
              <w:rPr>
                <w:rFonts w:ascii="Arial" w:cs="Arial" w:eastAsia="Arial" w:hAnsi="Arial"/>
                <w:sz w:val="18"/>
                <w:szCs w:val="18"/>
                <w:b w:val="1"/>
                <w:bCs w:val="1"/>
                <w:color w:val="auto"/>
                <w:w w:val="88"/>
              </w:rPr>
              <w:t>Operating Income (Loss) Before Depreciation and</w:t>
            </w:r>
          </w:p>
        </w:tc>
        <w:tc>
          <w:tcPr>
            <w:tcW w:w="2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520" w:type="dxa"/>
            <w:vAlign w:val="bottom"/>
            <w:tcBorders>
              <w:right w:val="single" w:sz="8" w:color="auto"/>
            </w:tcBorders>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r>
      <w:tr>
        <w:trPr>
          <w:trHeight w:val="230"/>
        </w:trPr>
        <w:tc>
          <w:tcPr>
            <w:tcW w:w="3800" w:type="dxa"/>
            <w:vAlign w:val="bottom"/>
            <w:gridSpan w:val="2"/>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520" w:type="dxa"/>
            <w:vAlign w:val="bottom"/>
            <w:tcBorders>
              <w:right w:val="single" w:sz="8" w:color="auto"/>
            </w:tcBorders>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1360" w:type="dxa"/>
            <w:vAlign w:val="bottom"/>
            <w:shd w:val="clear" w:color="auto" w:fill="E5E5E5"/>
          </w:tcPr>
          <w:p>
            <w:pPr>
              <w:spacing w:after="0"/>
              <w:rPr>
                <w:sz w:val="20"/>
                <w:szCs w:val="20"/>
                <w:color w:val="auto"/>
              </w:rPr>
            </w:pP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1,593</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1,445</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143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1,588</w:t>
            </w:r>
          </w:p>
        </w:tc>
        <w:tc>
          <w:tcPr>
            <w:tcW w:w="13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186</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225</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209</w:t>
            </w:r>
          </w:p>
        </w:tc>
        <w:tc>
          <w:tcPr>
            <w:tcW w:w="13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(11.1)</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33.3</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392</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322</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359</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9.0</w:t>
            </w:r>
          </w:p>
        </w:tc>
      </w:tr>
      <w:tr>
        <w:trPr>
          <w:trHeight w:val="216"/>
        </w:trPr>
        <w:tc>
          <w:tcPr>
            <w:tcW w:w="38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(299)</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51.2</w:t>
            </w:r>
          </w:p>
        </w:tc>
      </w:tr>
      <w:tr>
        <w:trPr>
          <w:trHeight w:val="217"/>
        </w:trPr>
        <w:tc>
          <w:tcPr>
            <w:tcW w:w="38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1,795</w:t>
            </w:r>
          </w:p>
        </w:tc>
        <w:tc>
          <w:tcPr>
            <w:tcW w:w="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1,393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102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35</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1,428</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25.7 %</w:t>
            </w:r>
          </w:p>
        </w:tc>
      </w:tr>
      <w:tr>
        <w:trPr>
          <w:trHeight w:val="36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76" w:right="2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Networks Segment —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w w:val="79"/>
              </w:rPr>
              <w:t>Successor</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Three Months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Ended June 30</w:t>
            </w:r>
          </w:p>
        </w:tc>
        <w:tc>
          <w:tcPr>
            <w:tcW w:w="1360" w:type="dxa"/>
            <w:vAlign w:val="bottom"/>
            <w:vMerge w:val="restart"/>
          </w:tcPr>
          <w:p>
            <w:pPr>
              <w:jc w:val="right"/>
              <w:ind w:right="27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3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9"/>
              </w:rPr>
              <w:t>2012</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w w:val="83"/>
              </w:rPr>
              <w:t>2011</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97"/>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$1,167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924</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2,252</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2,173</w:t>
            </w: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1,464</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1,327</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E5E5E5"/>
            </w:tcBorders>
            <w:shd w:val="clear" w:color="auto" w:fill="E5E5E5"/>
          </w:tcPr>
          <w:p>
            <w:pPr>
              <w:spacing w:after="0"/>
              <w:rPr>
                <w:sz w:val="18"/>
                <w:szCs w:val="18"/>
                <w:color w:val="auto"/>
              </w:rPr>
            </w:pPr>
          </w:p>
        </w:tc>
        <w:tc>
          <w:tcPr>
            <w:tcW w:w="158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788</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846</w:t>
            </w:r>
          </w:p>
        </w:tc>
        <w:tc>
          <w:tcPr>
            <w:tcW w:w="16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51"/>
        </w:trPr>
        <w:tc>
          <w:tcPr>
            <w:tcW w:w="36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1"/>
              </w:rPr>
              <w:t>Predecessor</w:t>
            </w:r>
          </w:p>
        </w:tc>
        <w:tc>
          <w:tcPr>
            <w:tcW w:w="128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color w:val="auto"/>
                <w:w w:val="87"/>
              </w:rPr>
              <w:t>Combined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320" w:type="dxa"/>
            <w:vAlign w:val="bottom"/>
            <w:gridSpan w:val="2"/>
          </w:tcPr>
          <w:p>
            <w:pPr>
              <w:jc w:val="right"/>
              <w:ind w:right="137"/>
              <w:spacing w:after="0" w:line="131" w:lineRule="exact"/>
              <w:rPr>
                <w:sz w:val="20"/>
                <w:szCs w:val="20"/>
                <w:color w:val="auto"/>
              </w:rPr>
            </w:pPr>
            <w:r>
              <w:rPr>
                <w:rFonts w:ascii="Arial" w:cs="Arial" w:eastAsia="Arial" w:hAnsi="Arial"/>
                <w:sz w:val="14"/>
                <w:szCs w:val="14"/>
                <w:color w:val="auto"/>
              </w:rPr>
              <w:t>Six Months</w:t>
            </w:r>
          </w:p>
        </w:tc>
        <w:tc>
          <w:tcPr>
            <w:tcW w:w="1800" w:type="dxa"/>
            <w:vAlign w:val="bottom"/>
            <w:tcBorders>
              <w:right w:val="single" w:sz="8" w:color="auto"/>
            </w:tcBorders>
            <w:gridSpan w:val="3"/>
          </w:tcPr>
          <w:p>
            <w:pPr>
              <w:ind w:left="240"/>
              <w:spacing w:after="0" w:line="131"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5"/>
              </w:rPr>
              <w:t>For the Period</w:t>
            </w:r>
          </w:p>
        </w:tc>
        <w:tc>
          <w:tcPr>
            <w:tcW w:w="1280" w:type="dxa"/>
            <w:vAlign w:val="bottom"/>
            <w:gridSpan w:val="3"/>
          </w:tcPr>
          <w:p>
            <w:pPr>
              <w:jc w:val="center"/>
              <w:ind w:left="342"/>
              <w:spacing w:after="0" w:line="131" w:lineRule="exact"/>
              <w:rPr>
                <w:sz w:val="20"/>
                <w:szCs w:val="20"/>
                <w:color w:val="auto"/>
              </w:rPr>
            </w:pPr>
            <w:r>
              <w:rPr>
                <w:rFonts w:ascii="Arial" w:cs="Arial" w:eastAsia="Arial" w:hAnsi="Arial"/>
                <w:sz w:val="14"/>
                <w:szCs w:val="14"/>
                <w:color w:val="auto"/>
                <w:w w:val="89"/>
              </w:rPr>
              <w:t>Six Months</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88"/>
              </w:rPr>
              <w:t>Ended</w:t>
            </w:r>
          </w:p>
        </w:tc>
        <w:tc>
          <w:tcPr>
            <w:tcW w:w="1800" w:type="dxa"/>
            <w:vAlign w:val="bottom"/>
            <w:tcBorders>
              <w:right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January 29, 2011</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January 1, 2011</w:t>
            </w:r>
          </w:p>
        </w:tc>
        <w:tc>
          <w:tcPr>
            <w:tcW w:w="66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tcPr>
          <w:p>
            <w:pPr>
              <w:jc w:val="right"/>
              <w:ind w:right="217"/>
              <w:spacing w:after="0" w:line="14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w w:val="99"/>
              </w:rPr>
              <w:t>June 30, 2012</w:t>
            </w:r>
          </w:p>
        </w:tc>
        <w:tc>
          <w:tcPr>
            <w:tcW w:w="180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4"/>
                <w:szCs w:val="14"/>
                <w:color w:val="auto"/>
              </w:rPr>
              <w:t>to June 30, 2011</w:t>
            </w: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32"/>
              <w:spacing w:after="0"/>
              <w:rPr>
                <w:sz w:val="20"/>
                <w:szCs w:val="20"/>
                <w:color w:val="auto"/>
              </w:rPr>
            </w:pPr>
            <w:r>
              <w:rPr>
                <w:rFonts w:ascii="Arial" w:cs="Arial" w:eastAsia="Arial" w:hAnsi="Arial"/>
                <w:sz w:val="14"/>
                <w:szCs w:val="14"/>
                <w:color w:val="auto"/>
                <w:w w:val="85"/>
              </w:rPr>
              <w:t>to January 28, 2011</w:t>
            </w:r>
          </w:p>
        </w:tc>
        <w:tc>
          <w:tcPr>
            <w:tcW w:w="128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color w:val="auto"/>
                <w:w w:val="85"/>
              </w:rPr>
              <w:t>June 30, 2011</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2,310</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1,859</w:t>
            </w:r>
          </w:p>
        </w:tc>
        <w:tc>
          <w:tcPr>
            <w:tcW w:w="540" w:type="dxa"/>
            <w:vAlign w:val="bottom"/>
            <w:tcBorders>
              <w:right w:val="single" w:sz="8" w:color="auto"/>
            </w:tcBorders>
          </w:tcPr>
          <w:p>
            <w:pPr>
              <w:spacing w:after="0"/>
              <w:rPr>
                <w:sz w:val="18"/>
                <w:szCs w:val="18"/>
                <w:color w:val="auto"/>
              </w:rPr>
            </w:pPr>
          </w:p>
        </w:tc>
        <w:tc>
          <w:tcPr>
            <w:tcW w:w="1580" w:type="dxa"/>
            <w:vAlign w:val="bottom"/>
            <w:gridSpan w:val="3"/>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6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1,738</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1,425</w:t>
            </w: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660" w:type="dxa"/>
            <w:vAlign w:val="bottom"/>
            <w:shd w:val="clear" w:color="auto" w:fill="E5E5E5"/>
          </w:tcPr>
          <w:p>
            <w:pPr>
              <w:spacing w:after="0"/>
              <w:rPr>
                <w:sz w:val="18"/>
                <w:szCs w:val="18"/>
                <w:color w:val="auto"/>
              </w:rPr>
            </w:pPr>
          </w:p>
        </w:tc>
        <w:tc>
          <w:tcPr>
            <w:tcW w:w="6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1,587</w:t>
            </w:r>
          </w:p>
        </w:tc>
        <w:tc>
          <w:tcPr>
            <w:tcW w:w="13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342</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289</w:t>
            </w:r>
          </w:p>
        </w:tc>
        <w:tc>
          <w:tcPr>
            <w:tcW w:w="5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328</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4,390</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3,573</w:t>
            </w: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660" w:type="dxa"/>
            <w:vAlign w:val="bottom"/>
            <w:shd w:val="clear" w:color="auto" w:fill="E5E5E5"/>
          </w:tcPr>
          <w:p>
            <w:pPr>
              <w:spacing w:after="0"/>
              <w:rPr>
                <w:sz w:val="18"/>
                <w:szCs w:val="18"/>
                <w:color w:val="auto"/>
              </w:rPr>
            </w:pPr>
          </w:p>
        </w:tc>
        <w:tc>
          <w:tcPr>
            <w:tcW w:w="6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3,962</w:t>
            </w:r>
          </w:p>
        </w:tc>
        <w:tc>
          <w:tcPr>
            <w:tcW w:w="13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2,797</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2,128</w:t>
            </w:r>
          </w:p>
        </w:tc>
        <w:tc>
          <w:tcPr>
            <w:tcW w:w="5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2,374</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5"/>
        </w:trPr>
        <w:tc>
          <w:tcPr>
            <w:tcW w:w="366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5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4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3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1,593</w:t>
            </w:r>
          </w:p>
        </w:tc>
        <w:tc>
          <w:tcPr>
            <w:tcW w:w="5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1,445</w:t>
            </w:r>
          </w:p>
        </w:tc>
        <w:tc>
          <w:tcPr>
            <w:tcW w:w="540" w:type="dxa"/>
            <w:vAlign w:val="bottom"/>
            <w:tcBorders>
              <w:bottom w:val="single" w:sz="8" w:color="auto"/>
              <w:right w:val="single" w:sz="8" w:color="auto"/>
            </w:tcBorders>
            <w:shd w:val="clear" w:color="auto" w:fill="E5E5E5"/>
          </w:tcPr>
          <w:p>
            <w:pPr>
              <w:spacing w:after="0"/>
              <w:rPr>
                <w:sz w:val="20"/>
                <w:szCs w:val="20"/>
                <w:color w:val="auto"/>
              </w:rPr>
            </w:pPr>
          </w:p>
        </w:tc>
        <w:tc>
          <w:tcPr>
            <w:tcW w:w="1580" w:type="dxa"/>
            <w:vAlign w:val="bottom"/>
            <w:tcBorders>
              <w:bottom w:val="single" w:sz="8" w:color="auto"/>
            </w:tcBorders>
            <w:gridSpan w:val="3"/>
            <w:shd w:val="clear" w:color="auto" w:fill="E5E5E5"/>
          </w:tcPr>
          <w:p>
            <w:pPr>
              <w:jc w:val="right"/>
              <w:ind w:right="49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143</w:t>
            </w:r>
          </w:p>
        </w:tc>
        <w:tc>
          <w:tcPr>
            <w:tcW w:w="66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1,588</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Cable Networks revenue increased for the three months ended June 30, 2012 compared to the same period in 2011 primarily due to increases in distribution and advertising revenue partially offset by a decrease in content licensing revenue. The increase in distribution revenue was primarily due to rate increases, and the increase in advertising revenue was primarily due to increases in the price and volume of advertising units sold, which were partially offset by the impact of audience ratings declines. The decrease in content licensing revenue was primarily due to the impact of licensing arrangements that were entered into in the prior year.</w:t>
      </w:r>
    </w:p>
    <w:p>
      <w:pPr>
        <w:spacing w:after="0" w:line="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Cable Networks revenue for the six months ended June 30, 2012 included six months of operating results of the Comcast Content Business, compared to five months of operating results for the same period in 2011, which accounted for $231 million of the increase in revenue. The remaining increase was due to increases in distribution and advertising revenue. The increase in distribution revenue was primarily due to rate increases, and the increase in advertising revenue was primarily due to increases in the price and volume of advertising units sold.</w:t>
      </w:r>
    </w:p>
    <w:p>
      <w:pPr>
        <w:spacing w:after="0" w:line="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both the three and six months ended June 30, 2012, 13% of our total Cable Networks segment revenue was generated from transactions with Comcast. For the three and six months ended June 30, 2011, 12% and 13%, respectively, of our total Cable Networks segment revenue was generated from transactions with Comcast.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operating costs and expenses increased for the three months ended June 30, 2012 compared to the same period in 2011 primarily due to higher programming and production expenses resulting from our continuing investment in original programming and an increase in sports rights costs.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6" w:right="239" w:bottom="1440" w:gutter="0" w:footer="0" w:header="0"/>
        </w:sectPr>
      </w:pPr>
    </w:p>
    <w:bookmarkStart w:id="263" w:name="page264"/>
    <w:bookmarkEnd w:id="26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operating costs and expenses for the six months ended June 30, 2012 included six months of operating expenses of the Comcast Content Business, compared to five months of operating expenses for the same period in 2011, which accounted for $168 million of the increase in operating expenses. The remaining increase is primarily due to higher programming and production expenses resulting from our continuing investment in original programming and an increase in sports rights costs.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Broadcast Television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82"/>
              </w:rPr>
              <w:t>Successor</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jc w:val="center"/>
              <w:ind w:left="237"/>
              <w:spacing w:after="0" w:line="131" w:lineRule="exact"/>
              <w:rPr>
                <w:sz w:val="20"/>
                <w:szCs w:val="20"/>
                <w:color w:val="auto"/>
              </w:rPr>
            </w:pPr>
            <w:r>
              <w:rPr>
                <w:rFonts w:ascii="Arial" w:cs="Arial" w:eastAsia="Arial" w:hAnsi="Arial"/>
                <w:sz w:val="14"/>
                <w:szCs w:val="14"/>
                <w:color w:val="auto"/>
                <w:w w:val="87"/>
              </w:rPr>
              <w:t>Three Months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gridSpan w:val="4"/>
          </w:tcPr>
          <w:p>
            <w:pPr>
              <w:jc w:val="center"/>
              <w:ind w:right="220"/>
              <w:spacing w:after="0" w:line="159" w:lineRule="exact"/>
              <w:rPr>
                <w:sz w:val="20"/>
                <w:szCs w:val="20"/>
                <w:color w:val="auto"/>
              </w:rPr>
            </w:pPr>
            <w:r>
              <w:rPr>
                <w:rFonts w:ascii="Arial" w:cs="Arial" w:eastAsia="Arial" w:hAnsi="Arial"/>
                <w:sz w:val="14"/>
                <w:szCs w:val="14"/>
                <w:color w:val="auto"/>
                <w:w w:val="84"/>
              </w:rPr>
              <w:t>Ended June 30</w:t>
            </w:r>
          </w:p>
        </w:tc>
        <w:tc>
          <w:tcPr>
            <w:tcW w:w="1420" w:type="dxa"/>
            <w:vAlign w:val="bottom"/>
            <w:vMerge w:val="restart"/>
          </w:tcPr>
          <w:p>
            <w:pPr>
              <w:jc w:val="right"/>
              <w:ind w:right="25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9"/>
              </w:rPr>
              <w:t>2012</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w w:val="83"/>
              </w:rPr>
              <w:t>2011</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$ 1,113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$ 1,114</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1,540</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1,695</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1,344</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1,505</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right w:val="single" w:sz="8" w:color="E5E5E5"/>
            </w:tcBorders>
            <w:shd w:val="clear" w:color="auto" w:fill="E5E5E5"/>
          </w:tcPr>
          <w:p>
            <w:pPr>
              <w:spacing w:after="0"/>
              <w:rPr>
                <w:sz w:val="18"/>
                <w:szCs w:val="18"/>
                <w:color w:val="auto"/>
              </w:rPr>
            </w:pPr>
          </w:p>
        </w:tc>
        <w:tc>
          <w:tcPr>
            <w:tcW w:w="166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190</w:t>
            </w:r>
          </w:p>
        </w:tc>
        <w:tc>
          <w:tcPr>
            <w:tcW w:w="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351"/>
        </w:trPr>
        <w:tc>
          <w:tcPr>
            <w:tcW w:w="36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4"/>
                <w:szCs w:val="14"/>
                <w:color w:val="auto"/>
                <w:w w:val="81"/>
              </w:rPr>
              <w:t>Predecessor</w:t>
            </w:r>
          </w:p>
        </w:tc>
        <w:tc>
          <w:tcPr>
            <w:tcW w:w="120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color w:val="auto"/>
                <w:w w:val="90"/>
              </w:rPr>
              <w:t>Combined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320" w:type="dxa"/>
            <w:vAlign w:val="bottom"/>
            <w:gridSpan w:val="2"/>
          </w:tcPr>
          <w:p>
            <w:pPr>
              <w:jc w:val="right"/>
              <w:ind w:right="137"/>
              <w:spacing w:after="0" w:line="131" w:lineRule="exact"/>
              <w:rPr>
                <w:sz w:val="20"/>
                <w:szCs w:val="20"/>
                <w:color w:val="auto"/>
              </w:rPr>
            </w:pPr>
            <w:r>
              <w:rPr>
                <w:rFonts w:ascii="Arial" w:cs="Arial" w:eastAsia="Arial" w:hAnsi="Arial"/>
                <w:sz w:val="14"/>
                <w:szCs w:val="14"/>
                <w:color w:val="auto"/>
              </w:rPr>
              <w:t>Six Months</w:t>
            </w:r>
          </w:p>
        </w:tc>
        <w:tc>
          <w:tcPr>
            <w:tcW w:w="178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1600" w:type="dxa"/>
            <w:vAlign w:val="bottom"/>
            <w:gridSpan w:val="3"/>
          </w:tcPr>
          <w:p>
            <w:pPr>
              <w:jc w:val="center"/>
              <w:ind w:left="232"/>
              <w:spacing w:after="0" w:line="131" w:lineRule="exact"/>
              <w:rPr>
                <w:sz w:val="20"/>
                <w:szCs w:val="20"/>
                <w:color w:val="auto"/>
              </w:rPr>
            </w:pPr>
            <w:r>
              <w:rPr>
                <w:rFonts w:ascii="Arial" w:cs="Arial" w:eastAsia="Arial" w:hAnsi="Arial"/>
                <w:sz w:val="14"/>
                <w:szCs w:val="14"/>
                <w:color w:val="auto"/>
                <w:w w:val="87"/>
              </w:rPr>
              <w:t>For the Period</w:t>
            </w:r>
          </w:p>
        </w:tc>
        <w:tc>
          <w:tcPr>
            <w:tcW w:w="1200" w:type="dxa"/>
            <w:vAlign w:val="bottom"/>
            <w:gridSpan w:val="3"/>
          </w:tcPr>
          <w:p>
            <w:pPr>
              <w:jc w:val="center"/>
              <w:ind w:left="263"/>
              <w:spacing w:after="0" w:line="131" w:lineRule="exact"/>
              <w:rPr>
                <w:sz w:val="20"/>
                <w:szCs w:val="20"/>
                <w:color w:val="auto"/>
              </w:rPr>
            </w:pPr>
            <w:r>
              <w:rPr>
                <w:rFonts w:ascii="Arial" w:cs="Arial" w:eastAsia="Arial" w:hAnsi="Arial"/>
                <w:sz w:val="14"/>
                <w:szCs w:val="14"/>
                <w:color w:val="auto"/>
                <w:w w:val="89"/>
              </w:rPr>
              <w:t>Six Months</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297"/>
              <w:spacing w:after="0" w:line="149" w:lineRule="exact"/>
              <w:rPr>
                <w:sz w:val="20"/>
                <w:szCs w:val="20"/>
                <w:color w:val="auto"/>
              </w:rPr>
            </w:pPr>
            <w:r>
              <w:rPr>
                <w:rFonts w:ascii="Arial" w:cs="Arial" w:eastAsia="Arial" w:hAnsi="Arial"/>
                <w:sz w:val="14"/>
                <w:szCs w:val="14"/>
                <w:color w:val="auto"/>
                <w:w w:val="83"/>
              </w:rPr>
              <w:t>Ended</w:t>
            </w:r>
          </w:p>
        </w:tc>
        <w:tc>
          <w:tcPr>
            <w:tcW w:w="1780" w:type="dxa"/>
            <w:vAlign w:val="bottom"/>
            <w:tcBorders>
              <w:right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January 29, 2011</w:t>
            </w:r>
          </w:p>
        </w:tc>
        <w:tc>
          <w:tcPr>
            <w:tcW w:w="480" w:type="dxa"/>
            <w:vAlign w:val="bottom"/>
          </w:tcPr>
          <w:p>
            <w:pPr>
              <w:spacing w:after="0"/>
              <w:rPr>
                <w:sz w:val="12"/>
                <w:szCs w:val="12"/>
                <w:color w:val="auto"/>
              </w:rPr>
            </w:pPr>
          </w:p>
        </w:tc>
        <w:tc>
          <w:tcPr>
            <w:tcW w:w="1600" w:type="dxa"/>
            <w:vAlign w:val="bottom"/>
            <w:gridSpan w:val="3"/>
          </w:tcPr>
          <w:p>
            <w:pPr>
              <w:jc w:val="center"/>
              <w:ind w:left="232"/>
              <w:spacing w:after="0" w:line="149" w:lineRule="exact"/>
              <w:rPr>
                <w:sz w:val="20"/>
                <w:szCs w:val="20"/>
                <w:color w:val="auto"/>
              </w:rPr>
            </w:pPr>
            <w:r>
              <w:rPr>
                <w:rFonts w:ascii="Arial" w:cs="Arial" w:eastAsia="Arial" w:hAnsi="Arial"/>
                <w:sz w:val="14"/>
                <w:szCs w:val="14"/>
                <w:color w:val="auto"/>
                <w:w w:val="85"/>
              </w:rPr>
              <w:t>January 1, 2011</w:t>
            </w:r>
          </w:p>
        </w:tc>
        <w:tc>
          <w:tcPr>
            <w:tcW w:w="1200" w:type="dxa"/>
            <w:vAlign w:val="bottom"/>
            <w:gridSpan w:val="3"/>
          </w:tcPr>
          <w:p>
            <w:pPr>
              <w:jc w:val="center"/>
              <w:ind w:left="263"/>
              <w:spacing w:after="0" w:line="149" w:lineRule="exact"/>
              <w:rPr>
                <w:sz w:val="20"/>
                <w:szCs w:val="20"/>
                <w:color w:val="auto"/>
              </w:rPr>
            </w:pPr>
            <w:r>
              <w:rPr>
                <w:rFonts w:ascii="Arial" w:cs="Arial" w:eastAsia="Arial" w:hAnsi="Arial"/>
                <w:sz w:val="14"/>
                <w:szCs w:val="14"/>
                <w:color w:val="auto"/>
                <w:w w:val="83"/>
              </w:rPr>
              <w:t>Ended</w:t>
            </w:r>
          </w:p>
        </w:tc>
        <w:tc>
          <w:tcPr>
            <w:tcW w:w="1420" w:type="dxa"/>
            <w:vAlign w:val="bottom"/>
          </w:tcPr>
          <w:p>
            <w:pPr>
              <w:jc w:val="right"/>
              <w:ind w:right="277"/>
              <w:spacing w:after="0" w:line="14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June 30, 2012</w:t>
            </w:r>
          </w:p>
        </w:tc>
        <w:tc>
          <w:tcPr>
            <w:tcW w:w="17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4"/>
                <w:szCs w:val="14"/>
                <w:color w:val="auto"/>
              </w:rPr>
              <w:t>to June 30, 2011</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color w:val="auto"/>
                <w:w w:val="85"/>
              </w:rPr>
              <w:t>to January 28, 2011</w:t>
            </w:r>
          </w:p>
        </w:tc>
        <w:tc>
          <w:tcPr>
            <w:tcW w:w="120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color w:val="auto"/>
                <w:w w:val="83"/>
              </w:rPr>
              <w:t>June 30, 2011</w:t>
            </w: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2,379</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1,709</w:t>
            </w:r>
          </w:p>
        </w:tc>
        <w:tc>
          <w:tcPr>
            <w:tcW w:w="520" w:type="dxa"/>
            <w:vAlign w:val="bottom"/>
            <w:tcBorders>
              <w:right w:val="single" w:sz="8" w:color="auto"/>
            </w:tcBorders>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20" w:type="dxa"/>
            <w:vAlign w:val="bottom"/>
          </w:tcPr>
          <w:p>
            <w:pPr>
              <w:jc w:val="right"/>
              <w:ind w:right="37"/>
              <w:spacing w:after="0"/>
              <w:rPr>
                <w:sz w:val="20"/>
                <w:szCs w:val="20"/>
                <w:color w:val="auto"/>
              </w:rPr>
            </w:pPr>
            <w:r>
              <w:rPr>
                <w:rFonts w:ascii="Arial" w:cs="Arial" w:eastAsia="Arial" w:hAnsi="Arial"/>
                <w:sz w:val="18"/>
                <w:szCs w:val="18"/>
                <w:color w:val="auto"/>
                <w:w w:val="93"/>
              </w:rPr>
              <w:t>315</w:t>
            </w:r>
          </w:p>
        </w:tc>
        <w:tc>
          <w:tcPr>
            <w:tcW w:w="66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788</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681</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w w:val="93"/>
              </w:rPr>
              <w:t>111</w:t>
            </w:r>
          </w:p>
        </w:tc>
        <w:tc>
          <w:tcPr>
            <w:tcW w:w="66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792</w:t>
            </w:r>
          </w:p>
        </w:tc>
        <w:tc>
          <w:tcPr>
            <w:tcW w:w="14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224</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193</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38</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231</w:t>
            </w: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3,391</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2,583</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w w:val="93"/>
              </w:rPr>
              <w:t>464</w:t>
            </w:r>
          </w:p>
        </w:tc>
        <w:tc>
          <w:tcPr>
            <w:tcW w:w="66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3,047</w:t>
            </w:r>
          </w:p>
        </w:tc>
        <w:tc>
          <w:tcPr>
            <w:tcW w:w="14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3,205</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2,358</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3"/>
              </w:rPr>
              <w:t>480</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2,838</w:t>
            </w: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5"/>
        </w:trPr>
        <w:tc>
          <w:tcPr>
            <w:tcW w:w="36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5"/>
              </w:rPr>
              <w:t>Operating income (loss) before depreciation</w:t>
            </w:r>
          </w:p>
        </w:tc>
        <w:tc>
          <w:tcPr>
            <w:tcW w:w="5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and amortization</w:t>
            </w:r>
          </w:p>
        </w:tc>
        <w:tc>
          <w:tcPr>
            <w:tcW w:w="5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186</w:t>
            </w:r>
          </w:p>
        </w:tc>
        <w:tc>
          <w:tcPr>
            <w:tcW w:w="5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225</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6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w:t>
            </w:r>
          </w:p>
        </w:tc>
        <w:tc>
          <w:tcPr>
            <w:tcW w:w="660" w:type="dxa"/>
            <w:vAlign w:val="bottom"/>
            <w:tcBorders>
              <w:bottom w:val="single" w:sz="8" w:color="auto"/>
            </w:tcBorders>
            <w:shd w:val="clear" w:color="auto" w:fill="E5E5E5"/>
          </w:tcPr>
          <w:p>
            <w:pPr>
              <w:jc w:val="right"/>
              <w:ind w:right="103"/>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209</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Broadcast Television revenue decreased for the three months ended June 30, 2012 compared to the same period in 2011 primarily due to a decrease in content licensing revenue resulting from the impact of licensing agreements for our prior season and library content that were entered into in the prior year period.</w:t>
      </w:r>
    </w:p>
    <w:p>
      <w:pPr>
        <w:spacing w:after="0" w:line="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Broadcast Television revenue increased for the six months ended June 30, 2012 compared to the same period in 2011 primarily due to an increase in advertising revenue. The increase in advertising revenue was primarily due to $259 million associated with the broadcast of the 2012 Super Bowl, as well as increases in the price of advertising units sold.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operating costs and expenses decreased for the three months ended June 30, 2012 compared to the same period in 2011 primarily due to a decrease in the amortization of television costs associated with the corresponding decrease in content licensing revenue.</w:t>
      </w:r>
    </w:p>
    <w:p>
      <w:pPr>
        <w:spacing w:after="0" w:line="3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operating costs and expenses increased for the six months ended June 30, 2012 compared to the same period in 2011 primarily due to higher programming and production expenses associated with our broadcast of the 2012 Super Bowl.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Filmed Entertainment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397"/>
              <w:spacing w:after="0"/>
              <w:rPr>
                <w:sz w:val="20"/>
                <w:szCs w:val="20"/>
                <w:color w:val="auto"/>
              </w:rPr>
            </w:pPr>
            <w:r>
              <w:rPr>
                <w:rFonts w:ascii="Arial" w:cs="Arial" w:eastAsia="Arial" w:hAnsi="Arial"/>
                <w:sz w:val="14"/>
                <w:szCs w:val="14"/>
                <w:color w:val="auto"/>
                <w:w w:val="82"/>
              </w:rPr>
              <w:t>Successor</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31"/>
        </w:trPr>
        <w:tc>
          <w:tcPr>
            <w:tcW w:w="3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jc w:val="center"/>
              <w:ind w:left="197"/>
              <w:spacing w:after="0" w:line="131" w:lineRule="exact"/>
              <w:rPr>
                <w:sz w:val="20"/>
                <w:szCs w:val="20"/>
                <w:color w:val="auto"/>
              </w:rPr>
            </w:pPr>
            <w:r>
              <w:rPr>
                <w:rFonts w:ascii="Arial" w:cs="Arial" w:eastAsia="Arial" w:hAnsi="Arial"/>
                <w:sz w:val="14"/>
                <w:szCs w:val="14"/>
                <w:color w:val="auto"/>
                <w:w w:val="87"/>
              </w:rPr>
              <w:t>Three Months</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3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217"/>
              <w:spacing w:after="0" w:line="159" w:lineRule="exact"/>
              <w:rPr>
                <w:sz w:val="20"/>
                <w:szCs w:val="20"/>
                <w:color w:val="auto"/>
              </w:rPr>
            </w:pPr>
            <w:r>
              <w:rPr>
                <w:rFonts w:ascii="Arial" w:cs="Arial" w:eastAsia="Arial" w:hAnsi="Arial"/>
                <w:sz w:val="14"/>
                <w:szCs w:val="14"/>
                <w:color w:val="auto"/>
                <w:w w:val="82"/>
              </w:rPr>
              <w:t>Ended June 30</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 Change</w:t>
            </w: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657"/>
              <w:spacing w:after="0" w:line="142" w:lineRule="exact"/>
              <w:rPr>
                <w:sz w:val="20"/>
                <w:szCs w:val="20"/>
                <w:color w:val="auto"/>
              </w:rPr>
            </w:pPr>
            <w:r>
              <w:rPr>
                <w:rFonts w:ascii="Arial" w:cs="Arial" w:eastAsia="Arial" w:hAnsi="Arial"/>
                <w:sz w:val="14"/>
                <w:szCs w:val="14"/>
                <w:color w:val="auto"/>
                <w:w w:val="83"/>
              </w:rPr>
              <w:t>2012</w:t>
            </w:r>
          </w:p>
        </w:tc>
        <w:tc>
          <w:tcPr>
            <w:tcW w:w="180" w:type="dxa"/>
            <w:vAlign w:val="bottom"/>
          </w:tcPr>
          <w:p>
            <w:pPr>
              <w:spacing w:after="0"/>
              <w:rPr>
                <w:sz w:val="12"/>
                <w:szCs w:val="12"/>
                <w:color w:val="auto"/>
              </w:rPr>
            </w:pPr>
          </w:p>
        </w:tc>
        <w:tc>
          <w:tcPr>
            <w:tcW w:w="460" w:type="dxa"/>
            <w:vAlign w:val="bottom"/>
          </w:tcPr>
          <w:p>
            <w:pPr>
              <w:jc w:val="right"/>
              <w:ind w:right="95"/>
              <w:spacing w:after="0" w:line="142" w:lineRule="exact"/>
              <w:rPr>
                <w:sz w:val="20"/>
                <w:szCs w:val="20"/>
                <w:color w:val="auto"/>
              </w:rPr>
            </w:pPr>
            <w:r>
              <w:rPr>
                <w:rFonts w:ascii="Arial" w:cs="Arial" w:eastAsia="Arial" w:hAnsi="Arial"/>
                <w:sz w:val="14"/>
                <w:szCs w:val="14"/>
                <w:color w:val="auto"/>
                <w:w w:val="83"/>
              </w:rPr>
              <w:t>2011</w:t>
            </w:r>
          </w:p>
        </w:tc>
        <w:tc>
          <w:tcPr>
            <w:tcW w:w="240" w:type="dxa"/>
            <w:vAlign w:val="bottom"/>
          </w:tcPr>
          <w:p>
            <w:pPr>
              <w:spacing w:after="0"/>
              <w:rPr>
                <w:sz w:val="12"/>
                <w:szCs w:val="12"/>
                <w:color w:val="auto"/>
              </w:rPr>
            </w:pPr>
          </w:p>
        </w:tc>
        <w:tc>
          <w:tcPr>
            <w:tcW w:w="13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2011 to 2012</w:t>
            </w:r>
          </w:p>
        </w:tc>
      </w:tr>
      <w:tr>
        <w:trPr>
          <w:trHeight w:val="210"/>
        </w:trPr>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right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E5E5E5"/>
            </w:tcBorders>
            <w:shd w:val="clear" w:color="auto" w:fill="E5E5E5"/>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7"/>
              <w:spacing w:after="0"/>
              <w:rPr>
                <w:sz w:val="20"/>
                <w:szCs w:val="20"/>
                <w:color w:val="auto"/>
              </w:rPr>
            </w:pPr>
            <w:r>
              <w:rPr>
                <w:rFonts w:ascii="Arial" w:cs="Arial" w:eastAsia="Arial" w:hAnsi="Arial"/>
                <w:sz w:val="18"/>
                <w:szCs w:val="18"/>
                <w:color w:val="auto"/>
              </w:rPr>
              <w:t>465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3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37"/>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E5E5E5"/>
          </w:tcPr>
          <w:p>
            <w:pPr>
              <w:spacing w:after="0"/>
              <w:rPr>
                <w:sz w:val="18"/>
                <w:szCs w:val="18"/>
                <w:color w:val="auto"/>
              </w:rPr>
            </w:pPr>
          </w:p>
        </w:tc>
        <w:tc>
          <w:tcPr>
            <w:tcW w:w="13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14.6</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537"/>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r>
      <w:tr>
        <w:trPr>
          <w:trHeight w:val="216"/>
        </w:trPr>
        <w:tc>
          <w:tcPr>
            <w:tcW w:w="3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(28.7)</w:t>
            </w: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537"/>
              <w:spacing w:after="0"/>
              <w:rPr>
                <w:sz w:val="20"/>
                <w:szCs w:val="20"/>
                <w:color w:val="auto"/>
              </w:rPr>
            </w:pPr>
            <w:r>
              <w:rPr>
                <w:rFonts w:ascii="Arial" w:cs="Arial" w:eastAsia="Arial" w:hAnsi="Arial"/>
                <w:sz w:val="18"/>
                <w:szCs w:val="18"/>
                <w:color w:val="auto"/>
                <w:w w:val="84"/>
              </w:rPr>
              <w:t>1,231</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1,254</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w w:val="84"/>
              </w:rPr>
              <w:t>1,314</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1,227</w:t>
            </w:r>
          </w:p>
        </w:tc>
        <w:tc>
          <w:tcPr>
            <w:tcW w:w="2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7.1</w:t>
            </w:r>
          </w:p>
        </w:tc>
      </w:tr>
      <w:tr>
        <w:trPr>
          <w:trHeight w:val="217"/>
        </w:trPr>
        <w:tc>
          <w:tcPr>
            <w:tcW w:w="5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Operating income (loss) before depreciation and amortization</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NM</w:t>
            </w:r>
          </w:p>
        </w:tc>
      </w:tr>
      <w:tr>
        <w:trPr>
          <w:trHeight w:val="446"/>
        </w:trPr>
        <w:tc>
          <w:tcPr>
            <w:tcW w:w="37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2"/>
              </w:rPr>
              <w:t>Successor</w:t>
            </w: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137"/>
              <w:spacing w:after="0"/>
              <w:rPr>
                <w:sz w:val="20"/>
                <w:szCs w:val="20"/>
                <w:color w:val="auto"/>
              </w:rPr>
            </w:pPr>
            <w:r>
              <w:rPr>
                <w:rFonts w:ascii="Arial" w:cs="Arial" w:eastAsia="Arial" w:hAnsi="Arial"/>
                <w:sz w:val="14"/>
                <w:szCs w:val="14"/>
                <w:color w:val="auto"/>
                <w:w w:val="81"/>
              </w:rPr>
              <w:t>Predecessor</w:t>
            </w: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0"/>
              </w:rPr>
              <w:t>Combined</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1"/>
        </w:trPr>
        <w:tc>
          <w:tcPr>
            <w:tcW w:w="3780" w:type="dxa"/>
            <w:vAlign w:val="bottom"/>
          </w:tcPr>
          <w:p>
            <w:pPr>
              <w:spacing w:after="0"/>
              <w:rPr>
                <w:sz w:val="11"/>
                <w:szCs w:val="11"/>
                <w:color w:val="auto"/>
              </w:rPr>
            </w:pPr>
          </w:p>
        </w:tc>
        <w:tc>
          <w:tcPr>
            <w:tcW w:w="1340" w:type="dxa"/>
            <w:vAlign w:val="bottom"/>
            <w:gridSpan w:val="2"/>
          </w:tcPr>
          <w:p>
            <w:pPr>
              <w:jc w:val="center"/>
              <w:ind w:left="122"/>
              <w:spacing w:after="0" w:line="131" w:lineRule="exact"/>
              <w:rPr>
                <w:sz w:val="20"/>
                <w:szCs w:val="20"/>
                <w:color w:val="auto"/>
              </w:rPr>
            </w:pPr>
            <w:r>
              <w:rPr>
                <w:rFonts w:ascii="Arial" w:cs="Arial" w:eastAsia="Arial" w:hAnsi="Arial"/>
                <w:sz w:val="14"/>
                <w:szCs w:val="14"/>
                <w:color w:val="auto"/>
                <w:w w:val="89"/>
              </w:rPr>
              <w:t>Six Months</w:t>
            </w:r>
          </w:p>
        </w:tc>
        <w:tc>
          <w:tcPr>
            <w:tcW w:w="174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center"/>
              <w:ind w:right="157"/>
              <w:spacing w:after="0" w:line="131" w:lineRule="exact"/>
              <w:rPr>
                <w:sz w:val="20"/>
                <w:szCs w:val="20"/>
                <w:color w:val="auto"/>
              </w:rPr>
            </w:pPr>
            <w:r>
              <w:rPr>
                <w:rFonts w:ascii="Arial" w:cs="Arial" w:eastAsia="Arial" w:hAnsi="Arial"/>
                <w:sz w:val="14"/>
                <w:szCs w:val="14"/>
                <w:color w:val="auto"/>
                <w:w w:val="87"/>
              </w:rPr>
              <w:t>For the Period</w:t>
            </w:r>
          </w:p>
        </w:tc>
        <w:tc>
          <w:tcPr>
            <w:tcW w:w="88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w w:val="89"/>
              </w:rPr>
              <w:t>Six Months</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3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ind w:right="197"/>
              <w:spacing w:after="0" w:line="149" w:lineRule="exact"/>
              <w:rPr>
                <w:sz w:val="20"/>
                <w:szCs w:val="20"/>
                <w:color w:val="auto"/>
              </w:rPr>
            </w:pPr>
            <w:r>
              <w:rPr>
                <w:rFonts w:ascii="Arial" w:cs="Arial" w:eastAsia="Arial" w:hAnsi="Arial"/>
                <w:sz w:val="14"/>
                <w:szCs w:val="14"/>
                <w:color w:val="auto"/>
                <w:w w:val="83"/>
              </w:rPr>
              <w:t>Ended</w:t>
            </w:r>
          </w:p>
        </w:tc>
        <w:tc>
          <w:tcPr>
            <w:tcW w:w="1740" w:type="dxa"/>
            <w:vAlign w:val="bottom"/>
            <w:tcBorders>
              <w:right w:val="single" w:sz="8" w:color="auto"/>
            </w:tcBorders>
            <w:gridSpan w:val="3"/>
          </w:tcPr>
          <w:p>
            <w:pPr>
              <w:ind w:left="140"/>
              <w:spacing w:after="0" w:line="149" w:lineRule="exact"/>
              <w:rPr>
                <w:sz w:val="20"/>
                <w:szCs w:val="20"/>
                <w:color w:val="auto"/>
              </w:rPr>
            </w:pPr>
            <w:r>
              <w:rPr>
                <w:rFonts w:ascii="Arial" w:cs="Arial" w:eastAsia="Arial" w:hAnsi="Arial"/>
                <w:sz w:val="14"/>
                <w:szCs w:val="14"/>
                <w:color w:val="auto"/>
              </w:rPr>
              <w:t>January 29, 2011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157"/>
              <w:spacing w:after="0" w:line="149" w:lineRule="exact"/>
              <w:rPr>
                <w:sz w:val="20"/>
                <w:szCs w:val="20"/>
                <w:color w:val="auto"/>
              </w:rPr>
            </w:pPr>
            <w:r>
              <w:rPr>
                <w:rFonts w:ascii="Arial" w:cs="Arial" w:eastAsia="Arial" w:hAnsi="Arial"/>
                <w:sz w:val="14"/>
                <w:szCs w:val="14"/>
                <w:color w:val="auto"/>
                <w:w w:val="85"/>
              </w:rPr>
              <w:t>January 1, 2011</w:t>
            </w:r>
          </w:p>
        </w:tc>
        <w:tc>
          <w:tcPr>
            <w:tcW w:w="18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3"/>
              </w:rPr>
              <w:t>Ended</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 Change</w:t>
            </w:r>
          </w:p>
        </w:tc>
      </w:tr>
      <w:tr>
        <w:trPr>
          <w:trHeight w:val="173"/>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color w:val="auto"/>
                <w:w w:val="85"/>
              </w:rPr>
              <w:t>June 30, 2012</w:t>
            </w:r>
          </w:p>
        </w:tc>
        <w:tc>
          <w:tcPr>
            <w:tcW w:w="174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4"/>
                <w:szCs w:val="14"/>
                <w:color w:val="auto"/>
              </w:rPr>
              <w:t>to June 30, 2011</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157"/>
              <w:spacing w:after="0"/>
              <w:rPr>
                <w:sz w:val="20"/>
                <w:szCs w:val="20"/>
                <w:color w:val="auto"/>
              </w:rPr>
            </w:pPr>
            <w:r>
              <w:rPr>
                <w:rFonts w:ascii="Arial" w:cs="Arial" w:eastAsia="Arial" w:hAnsi="Arial"/>
                <w:sz w:val="14"/>
                <w:szCs w:val="14"/>
                <w:color w:val="auto"/>
                <w:w w:val="85"/>
              </w:rPr>
              <w:t>to January 28, 2011</w:t>
            </w: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83"/>
              </w:rPr>
              <w:t>June 30, 2011</w:t>
            </w: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2011 to 2012</w:t>
            </w:r>
          </w:p>
        </w:tc>
      </w:tr>
      <w:tr>
        <w:trPr>
          <w:trHeight w:val="210"/>
        </w:trPr>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766</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620</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w w:val="99"/>
              </w:rPr>
              <w:t>13.0 %</w:t>
            </w:r>
          </w:p>
        </w:tc>
      </w:tr>
      <w:tr>
        <w:trPr>
          <w:trHeight w:val="216"/>
        </w:trPr>
        <w:tc>
          <w:tcPr>
            <w:tcW w:w="3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759</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530</w:t>
            </w: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701</w:t>
            </w:r>
          </w:p>
        </w:tc>
        <w:tc>
          <w:tcPr>
            <w:tcW w:w="13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8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697</w:t>
            </w:r>
          </w:p>
        </w:tc>
        <w:tc>
          <w:tcPr>
            <w:tcW w:w="4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520</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r>
      <w:tr>
        <w:trPr>
          <w:trHeight w:val="216"/>
        </w:trPr>
        <w:tc>
          <w:tcPr>
            <w:tcW w:w="3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201</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206</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234</w:t>
            </w:r>
          </w:p>
        </w:tc>
        <w:tc>
          <w:tcPr>
            <w:tcW w:w="1320" w:type="dxa"/>
            <w:vAlign w:val="bottom"/>
            <w:tcBorders>
              <w:bottom w:val="single" w:sz="8" w:color="auto"/>
            </w:tcBorders>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(13.7)</w:t>
            </w: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2,423</w:t>
            </w:r>
          </w:p>
        </w:tc>
        <w:tc>
          <w:tcPr>
            <w:tcW w:w="4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1,876</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2,229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r>
      <w:tr>
        <w:trPr>
          <w:trHeight w:val="216"/>
        </w:trPr>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2,500</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1,992</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352</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2,344</w:t>
            </w:r>
          </w:p>
        </w:tc>
        <w:tc>
          <w:tcPr>
            <w:tcW w:w="1320" w:type="dxa"/>
            <w:vAlign w:val="bottom"/>
            <w:tcBorders>
              <w:bottom w:val="single" w:sz="8" w:color="auto"/>
            </w:tcBorders>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6.7</w:t>
            </w:r>
          </w:p>
        </w:tc>
      </w:tr>
      <w:tr>
        <w:trPr>
          <w:trHeight w:val="195"/>
        </w:trPr>
        <w:tc>
          <w:tcPr>
            <w:tcW w:w="3780" w:type="dxa"/>
            <w:vAlign w:val="bottom"/>
          </w:tcPr>
          <w:p>
            <w:pPr>
              <w:spacing w:after="0" w:line="195" w:lineRule="exact"/>
              <w:rPr>
                <w:sz w:val="20"/>
                <w:szCs w:val="20"/>
                <w:color w:val="auto"/>
              </w:rPr>
            </w:pPr>
            <w:r>
              <w:rPr>
                <w:rFonts w:ascii="Arial" w:cs="Arial" w:eastAsia="Arial" w:hAnsi="Arial"/>
                <w:sz w:val="18"/>
                <w:szCs w:val="18"/>
                <w:b w:val="1"/>
                <w:bCs w:val="1"/>
                <w:color w:val="auto"/>
                <w:w w:val="90"/>
              </w:rPr>
              <w:t>Operating income (loss) before depreciation and</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7"/>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(77)</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(116)</w:t>
            </w:r>
          </w:p>
        </w:tc>
        <w:tc>
          <w:tcPr>
            <w:tcW w:w="5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(115)</w:t>
            </w:r>
          </w:p>
        </w:tc>
        <w:tc>
          <w:tcPr>
            <w:tcW w:w="13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9"/>
              </w:rPr>
              <w:t>33.3 %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7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 xml:space="preserve">Our Filmed Entertainment revenue decreased for the three months ended June 30, 2012 compared to the same period in 2011 primarily due to a decrease in theatrical revenue resulting from the performance of our 2012 releases, including </w:t>
      </w:r>
      <w:r>
        <w:rPr>
          <w:rFonts w:ascii="Arial" w:cs="Arial" w:eastAsia="Arial" w:hAnsi="Arial"/>
          <w:sz w:val="16"/>
          <w:szCs w:val="16"/>
          <w:i w:val="1"/>
          <w:iCs w:val="1"/>
          <w:color w:val="auto"/>
        </w:rPr>
        <w:t>Battleship,</w:t>
      </w:r>
      <w:r>
        <w:rPr>
          <w:rFonts w:ascii="Arial" w:cs="Arial" w:eastAsia="Arial" w:hAnsi="Arial"/>
          <w:sz w:val="16"/>
          <w:szCs w:val="16"/>
          <w:color w:val="auto"/>
        </w:rPr>
        <w:t xml:space="preserve"> compared to the prior year, which included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and lower revenue from our stage plays business, which were partially offset by an increase in content licensing revenue.</w:t>
      </w:r>
    </w:p>
    <w:p>
      <w:pPr>
        <w:spacing w:after="0" w:line="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Our Filmed Entertainment revenue increased for the six months ended June 30, 2012 compared to the same period in 2011 primarily due to increases in theatrical and home entertainment revenue. The increase in theatrical revenue was primarily due to the performance of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 xml:space="preserve"> which were released in the first quarter of 2012. The increase in home entertainment revenue was primarily due to an increase in the number of titles released in 2012, which included </w:t>
      </w:r>
      <w:r>
        <w:rPr>
          <w:rFonts w:ascii="Arial" w:cs="Arial" w:eastAsia="Arial" w:hAnsi="Arial"/>
          <w:sz w:val="18"/>
          <w:szCs w:val="18"/>
          <w:i w:val="1"/>
          <w:iCs w:val="1"/>
          <w:color w:val="auto"/>
        </w:rPr>
        <w:t>Hop</w:t>
      </w:r>
      <w:r>
        <w:rPr>
          <w:rFonts w:ascii="Arial" w:cs="Arial" w:eastAsia="Arial" w:hAnsi="Arial"/>
          <w:sz w:val="18"/>
          <w:szCs w:val="18"/>
          <w:color w:val="auto"/>
        </w:rPr>
        <w:t xml:space="preserve">, </w:t>
      </w:r>
      <w:r>
        <w:rPr>
          <w:rFonts w:ascii="Arial" w:cs="Arial" w:eastAsia="Arial" w:hAnsi="Arial"/>
          <w:sz w:val="18"/>
          <w:szCs w:val="18"/>
          <w:i w:val="1"/>
          <w:iCs w:val="1"/>
          <w:color w:val="auto"/>
        </w:rPr>
        <w:t>Tower Heist</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operating costs and expenses increased for the three months ended June 30, 2012 compared to the same period in 2011 primarily due to higher marketing costs associated with promoting our theatrical releases in the second quarter of 2012 and increases in the amortization of film costs associated with our 2012 slate, including the impact from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operating costs and expenses increased for the six months ended June 30, 2012 compared to the same period in 2011 primarily due to higher amortization of film costs resulting from the corresponding increase in theatrical revenue and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 as well as an increase in marketing costs associated with our 2012 theatrical and home entertainment releases.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6" w:right="2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Theme Parks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8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tables below includes 100% of the results of operations for Universal Orlando for all amounts presented in order to reflect our measure of operating income (loss) before depreciation and amortization for our Theme Parks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4"/>
                <w:szCs w:val="14"/>
                <w:color w:val="auto"/>
                <w:w w:val="82"/>
              </w:rPr>
              <w:t>Successor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1"/>
        </w:trPr>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tcBorders>
              <w:top w:val="single" w:sz="8" w:color="auto"/>
            </w:tcBorders>
            <w:gridSpan w:val="3"/>
          </w:tcPr>
          <w:p>
            <w:pPr>
              <w:jc w:val="center"/>
              <w:ind w:left="392"/>
              <w:spacing w:after="0" w:line="131" w:lineRule="exact"/>
              <w:rPr>
                <w:sz w:val="20"/>
                <w:szCs w:val="20"/>
                <w:color w:val="auto"/>
              </w:rPr>
            </w:pPr>
            <w:r>
              <w:rPr>
                <w:rFonts w:ascii="Arial" w:cs="Arial" w:eastAsia="Arial" w:hAnsi="Arial"/>
                <w:sz w:val="14"/>
                <w:szCs w:val="14"/>
                <w:color w:val="auto"/>
                <w:w w:val="87"/>
              </w:rPr>
              <w:t>Three Months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center"/>
              <w:ind w:left="272"/>
              <w:spacing w:after="0" w:line="159" w:lineRule="exact"/>
              <w:rPr>
                <w:sz w:val="20"/>
                <w:szCs w:val="20"/>
                <w:color w:val="auto"/>
              </w:rPr>
            </w:pPr>
            <w:r>
              <w:rPr>
                <w:rFonts w:ascii="Arial" w:cs="Arial" w:eastAsia="Arial" w:hAnsi="Arial"/>
                <w:sz w:val="14"/>
                <w:szCs w:val="14"/>
                <w:color w:val="auto"/>
                <w:w w:val="84"/>
              </w:rPr>
              <w:t>Ended June 30</w:t>
            </w:r>
          </w:p>
        </w:tc>
        <w:tc>
          <w:tcPr>
            <w:tcW w:w="1360" w:type="dxa"/>
            <w:vAlign w:val="bottom"/>
            <w:gridSpan w:val="2"/>
          </w:tcPr>
          <w:p>
            <w:pPr>
              <w:jc w:val="center"/>
              <w:ind w:left="120"/>
              <w:spacing w:after="0" w:line="159" w:lineRule="exact"/>
              <w:rPr>
                <w:sz w:val="20"/>
                <w:szCs w:val="20"/>
                <w:color w:val="auto"/>
              </w:rPr>
            </w:pPr>
            <w:r>
              <w:rPr>
                <w:rFonts w:ascii="Arial" w:cs="Arial" w:eastAsia="Arial" w:hAnsi="Arial"/>
                <w:sz w:val="14"/>
                <w:szCs w:val="14"/>
                <w:color w:val="auto"/>
                <w:w w:val="85"/>
              </w:rPr>
              <w:t>% Change</w:t>
            </w:r>
          </w:p>
        </w:tc>
      </w:tr>
      <w:tr>
        <w:trPr>
          <w:trHeight w:val="142"/>
        </w:trPr>
        <w:tc>
          <w:tcPr>
            <w:tcW w:w="4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left="320"/>
              <w:spacing w:after="0" w:line="142" w:lineRule="exact"/>
              <w:rPr>
                <w:sz w:val="20"/>
                <w:szCs w:val="20"/>
                <w:color w:val="auto"/>
              </w:rPr>
            </w:pPr>
            <w:r>
              <w:rPr>
                <w:rFonts w:ascii="Arial" w:cs="Arial" w:eastAsia="Arial" w:hAnsi="Arial"/>
                <w:sz w:val="14"/>
                <w:szCs w:val="14"/>
                <w:color w:val="auto"/>
                <w:w w:val="85"/>
              </w:rPr>
              <w:t>2011 to 2012</w:t>
            </w:r>
          </w:p>
        </w:tc>
        <w:tc>
          <w:tcPr>
            <w:tcW w:w="220" w:type="dxa"/>
            <w:vAlign w:val="bottom"/>
            <w:tcBorders>
              <w:bottom w:val="single" w:sz="8" w:color="E5E5E5"/>
            </w:tcBorders>
          </w:tcPr>
          <w:p>
            <w:pPr>
              <w:spacing w:after="0"/>
              <w:rPr>
                <w:sz w:val="12"/>
                <w:szCs w:val="12"/>
                <w:color w:val="auto"/>
              </w:rPr>
            </w:pPr>
          </w:p>
        </w:tc>
      </w:tr>
      <w:tr>
        <w:trPr>
          <w:trHeight w:val="210"/>
        </w:trPr>
        <w:tc>
          <w:tcPr>
            <w:tcW w:w="42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$539</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E5E5E5"/>
          </w:tcPr>
          <w:p>
            <w:pPr>
              <w:spacing w:after="0"/>
              <w:rPr>
                <w:sz w:val="18"/>
                <w:szCs w:val="18"/>
                <w:color w:val="auto"/>
              </w:rPr>
            </w:pPr>
          </w:p>
        </w:tc>
        <w:tc>
          <w:tcPr>
            <w:tcW w:w="1360" w:type="dxa"/>
            <w:vAlign w:val="bottom"/>
            <w:gridSpan w:val="2"/>
            <w:shd w:val="clear" w:color="auto" w:fill="E5E5E5"/>
          </w:tcPr>
          <w:p>
            <w:pPr>
              <w:ind w:left="920"/>
              <w:spacing w:after="0"/>
              <w:rPr>
                <w:sz w:val="20"/>
                <w:szCs w:val="20"/>
                <w:color w:val="auto"/>
              </w:rPr>
            </w:pPr>
            <w:r>
              <w:rPr>
                <w:rFonts w:ascii="Arial" w:cs="Arial" w:eastAsia="Arial" w:hAnsi="Arial"/>
                <w:sz w:val="18"/>
                <w:szCs w:val="18"/>
                <w:color w:val="auto"/>
              </w:rPr>
              <w:t>3.4%</w:t>
            </w: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2.7</w:t>
            </w:r>
          </w:p>
        </w:tc>
      </w:tr>
      <w:tr>
        <w:trPr>
          <w:trHeight w:val="217"/>
        </w:trPr>
        <w:tc>
          <w:tcPr>
            <w:tcW w:w="42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right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$235</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rPr>
              <w:t>4.2%</w:t>
            </w:r>
          </w:p>
        </w:tc>
      </w:tr>
      <w:tr>
        <w:trPr>
          <w:trHeight w:val="351"/>
        </w:trPr>
        <w:tc>
          <w:tcPr>
            <w:tcW w:w="3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color w:val="auto"/>
                <w:w w:val="81"/>
              </w:rPr>
              <w:t>Predecessor</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7"/>
              </w:rPr>
              <w:t>Combined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1"/>
        </w:trPr>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w w:val="95"/>
              </w:rPr>
              <w:t>Six Months</w:t>
            </w:r>
          </w:p>
        </w:tc>
        <w:tc>
          <w:tcPr>
            <w:tcW w:w="176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jc w:val="center"/>
              <w:ind w:right="192"/>
              <w:spacing w:after="0" w:line="131" w:lineRule="exact"/>
              <w:rPr>
                <w:sz w:val="20"/>
                <w:szCs w:val="20"/>
                <w:color w:val="auto"/>
              </w:rPr>
            </w:pPr>
            <w:r>
              <w:rPr>
                <w:rFonts w:ascii="Arial" w:cs="Arial" w:eastAsia="Arial" w:hAnsi="Arial"/>
                <w:sz w:val="14"/>
                <w:szCs w:val="14"/>
                <w:color w:val="auto"/>
                <w:w w:val="87"/>
              </w:rPr>
              <w:t>For the Period</w:t>
            </w:r>
          </w:p>
        </w:tc>
        <w:tc>
          <w:tcPr>
            <w:tcW w:w="1100" w:type="dxa"/>
            <w:vAlign w:val="bottom"/>
            <w:gridSpan w:val="3"/>
          </w:tcPr>
          <w:p>
            <w:pPr>
              <w:jc w:val="center"/>
              <w:ind w:left="184"/>
              <w:spacing w:after="0" w:line="131" w:lineRule="exact"/>
              <w:rPr>
                <w:sz w:val="20"/>
                <w:szCs w:val="20"/>
                <w:color w:val="auto"/>
              </w:rPr>
            </w:pPr>
            <w:r>
              <w:rPr>
                <w:rFonts w:ascii="Arial" w:cs="Arial" w:eastAsia="Arial" w:hAnsi="Arial"/>
                <w:sz w:val="14"/>
                <w:szCs w:val="14"/>
                <w:color w:val="auto"/>
                <w:w w:val="92"/>
              </w:rPr>
              <w:t>Six Months</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80"/>
              <w:spacing w:after="0" w:line="149" w:lineRule="exact"/>
              <w:rPr>
                <w:sz w:val="20"/>
                <w:szCs w:val="20"/>
                <w:color w:val="auto"/>
              </w:rPr>
            </w:pPr>
            <w:r>
              <w:rPr>
                <w:rFonts w:ascii="Arial" w:cs="Arial" w:eastAsia="Arial" w:hAnsi="Arial"/>
                <w:sz w:val="14"/>
                <w:szCs w:val="14"/>
                <w:color w:val="auto"/>
                <w:w w:val="93"/>
              </w:rPr>
              <w:t>Ended</w:t>
            </w:r>
          </w:p>
        </w:tc>
        <w:tc>
          <w:tcPr>
            <w:tcW w:w="1760" w:type="dxa"/>
            <w:vAlign w:val="bottom"/>
            <w:tcBorders>
              <w:right w:val="single" w:sz="8" w:color="auto"/>
            </w:tcBorders>
            <w:gridSpan w:val="3"/>
          </w:tcPr>
          <w:p>
            <w:pPr>
              <w:jc w:val="right"/>
              <w:ind w:right="680"/>
              <w:spacing w:after="0" w:line="149" w:lineRule="exact"/>
              <w:rPr>
                <w:sz w:val="20"/>
                <w:szCs w:val="20"/>
                <w:color w:val="auto"/>
              </w:rPr>
            </w:pPr>
            <w:r>
              <w:rPr>
                <w:rFonts w:ascii="Arial" w:cs="Arial" w:eastAsia="Arial" w:hAnsi="Arial"/>
                <w:sz w:val="14"/>
                <w:szCs w:val="14"/>
                <w:color w:val="auto"/>
                <w:w w:val="97"/>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192"/>
              <w:spacing w:after="0" w:line="149" w:lineRule="exact"/>
              <w:rPr>
                <w:sz w:val="20"/>
                <w:szCs w:val="20"/>
                <w:color w:val="auto"/>
              </w:rPr>
            </w:pPr>
            <w:r>
              <w:rPr>
                <w:rFonts w:ascii="Arial" w:cs="Arial" w:eastAsia="Arial" w:hAnsi="Arial"/>
                <w:sz w:val="14"/>
                <w:szCs w:val="14"/>
                <w:color w:val="auto"/>
                <w:w w:val="85"/>
              </w:rPr>
              <w:t>January 1, 2011</w:t>
            </w:r>
          </w:p>
        </w:tc>
        <w:tc>
          <w:tcPr>
            <w:tcW w:w="4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gridSpan w:val="2"/>
          </w:tcPr>
          <w:p>
            <w:pPr>
              <w:jc w:val="center"/>
              <w:ind w:left="120"/>
              <w:spacing w:after="0" w:line="149" w:lineRule="exact"/>
              <w:rPr>
                <w:sz w:val="20"/>
                <w:szCs w:val="20"/>
                <w:color w:val="auto"/>
              </w:rPr>
            </w:pPr>
            <w:r>
              <w:rPr>
                <w:rFonts w:ascii="Arial" w:cs="Arial" w:eastAsia="Arial" w:hAnsi="Arial"/>
                <w:sz w:val="14"/>
                <w:szCs w:val="14"/>
                <w:color w:val="auto"/>
                <w:w w:val="85"/>
              </w:rPr>
              <w:t>% Change</w:t>
            </w:r>
          </w:p>
        </w:tc>
      </w:tr>
      <w:tr>
        <w:trPr>
          <w:trHeight w:val="173"/>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1"/>
              </w:rPr>
              <w:t>June 30, 2012</w:t>
            </w:r>
          </w:p>
        </w:tc>
        <w:tc>
          <w:tcPr>
            <w:tcW w:w="176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4"/>
                <w:szCs w:val="14"/>
                <w:color w:val="auto"/>
                <w:w w:val="99"/>
              </w:rPr>
              <w:t>to June 30, 2011</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4"/>
                <w:szCs w:val="14"/>
                <w:color w:val="auto"/>
                <w:w w:val="85"/>
              </w:rPr>
              <w:t>to January 28, 2011</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June 30, 2011</w:t>
            </w:r>
          </w:p>
        </w:tc>
        <w:tc>
          <w:tcPr>
            <w:tcW w:w="136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4"/>
                <w:szCs w:val="14"/>
                <w:color w:val="auto"/>
                <w:w w:val="85"/>
              </w:rPr>
              <w:t>2011 to 2012</w:t>
            </w:r>
          </w:p>
        </w:tc>
      </w:tr>
      <w:tr>
        <w:trPr>
          <w:trHeight w:val="210"/>
        </w:trPr>
        <w:tc>
          <w:tcPr>
            <w:tcW w:w="42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951</w:t>
            </w:r>
          </w:p>
        </w:tc>
        <w:tc>
          <w:tcPr>
            <w:tcW w:w="580" w:type="dxa"/>
            <w:vAlign w:val="bottom"/>
            <w:shd w:val="clear" w:color="auto" w:fill="E5E5E5"/>
          </w:tcPr>
          <w:p>
            <w:pPr>
              <w:jc w:val="right"/>
              <w:ind w:right="26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796</w:t>
            </w:r>
          </w:p>
        </w:tc>
        <w:tc>
          <w:tcPr>
            <w:tcW w:w="520" w:type="dxa"/>
            <w:vAlign w:val="bottom"/>
            <w:tcBorders>
              <w:right w:val="single" w:sz="8" w:color="auto"/>
            </w:tcBorders>
            <w:shd w:val="clear" w:color="auto" w:fill="E5E5E5"/>
          </w:tcPr>
          <w:p>
            <w:pPr>
              <w:spacing w:after="0"/>
              <w:rPr>
                <w:sz w:val="18"/>
                <w:szCs w:val="18"/>
                <w:color w:val="auto"/>
              </w:rPr>
            </w:pPr>
          </w:p>
        </w:tc>
        <w:tc>
          <w:tcPr>
            <w:tcW w:w="9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911</w:t>
            </w:r>
          </w:p>
        </w:tc>
        <w:tc>
          <w:tcPr>
            <w:tcW w:w="1360" w:type="dxa"/>
            <w:vAlign w:val="bottom"/>
            <w:gridSpan w:val="2"/>
            <w:shd w:val="clear" w:color="auto" w:fill="E5E5E5"/>
          </w:tcPr>
          <w:p>
            <w:pPr>
              <w:ind w:left="920"/>
              <w:spacing w:after="0"/>
              <w:rPr>
                <w:sz w:val="20"/>
                <w:szCs w:val="20"/>
                <w:color w:val="auto"/>
              </w:rPr>
            </w:pPr>
            <w:r>
              <w:rPr>
                <w:rFonts w:ascii="Arial" w:cs="Arial" w:eastAsia="Arial" w:hAnsi="Arial"/>
                <w:sz w:val="18"/>
                <w:szCs w:val="18"/>
                <w:color w:val="auto"/>
              </w:rPr>
              <w:t>4.4%</w:t>
            </w: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559</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474</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552</w:t>
            </w:r>
          </w:p>
        </w:tc>
        <w:tc>
          <w:tcPr>
            <w:tcW w:w="136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1.3</w:t>
            </w:r>
          </w:p>
        </w:tc>
      </w:tr>
      <w:tr>
        <w:trPr>
          <w:trHeight w:val="195"/>
        </w:trPr>
        <w:tc>
          <w:tcPr>
            <w:tcW w:w="4200" w:type="dxa"/>
            <w:vAlign w:val="bottom"/>
            <w:gridSpan w:val="2"/>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1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r>
      <w:tr>
        <w:trPr>
          <w:trHeight w:val="237"/>
        </w:trPr>
        <w:tc>
          <w:tcPr>
            <w:tcW w:w="4200" w:type="dxa"/>
            <w:vAlign w:val="bottom"/>
            <w:tcBorders>
              <w:bottom w:val="single" w:sz="8" w:color="auto"/>
            </w:tcBorders>
            <w:gridSpan w:val="2"/>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392</w:t>
            </w:r>
          </w:p>
        </w:tc>
        <w:tc>
          <w:tcPr>
            <w:tcW w:w="580" w:type="dxa"/>
            <w:vAlign w:val="bottom"/>
            <w:tcBorders>
              <w:bottom w:val="single" w:sz="8" w:color="auto"/>
            </w:tcBorders>
            <w:shd w:val="clear" w:color="auto" w:fill="E5E5E5"/>
          </w:tcPr>
          <w:p>
            <w:pPr>
              <w:jc w:val="right"/>
              <w:ind w:right="26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322</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9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37</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359</w:t>
            </w:r>
          </w:p>
        </w:tc>
        <w:tc>
          <w:tcPr>
            <w:tcW w:w="136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rPr>
              <w:t>9.0%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Theme Parks segment revenue increased for the three and six months ended June 30, 2012 compared to the same periods in 2011 primarily due to increases in per capita spending and higher guest attendance at our Universal theme parks.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Our Theme Parks segment operating costs and expenses increased for the three and six months ended June 30, 2012 compared to the same periods in 2011 primarily due to additional costs associated with higher guest attendance at our Universal theme parks.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Headquarters and other operating costs and expenses increased for the three months ended June 30, 2012 compared to the same period in 2011 primarily due to increases in personnel and administrative costs.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Headquarters and other operating costs and expenses decreased for the six months ended June 30, 2012 compared to the same period in 2011 primarily due to</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$104 million of transaction-related costs associated with the Joint Venture transaction, including severance and other compensation-related costs, included in the prior year period.</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three and six months ended June 30, 2011. Our Theme Parks segment had included the results of operations of Universal Orlando for these periods because these amounts had reflected our segment performance measure. These amounts were not included when we measured our consolidated results of operations for the three and six months ended June 30, 2011 because we recorded Universal Orlando as an equity method investment.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6"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Other Income (Expense) Items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4"/>
                <w:szCs w:val="14"/>
                <w:color w:val="auto"/>
                <w:w w:val="82"/>
              </w:rPr>
              <w:t>Successor</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jc w:val="center"/>
              <w:ind w:left="100"/>
              <w:spacing w:after="0" w:line="131" w:lineRule="exact"/>
              <w:rPr>
                <w:sz w:val="20"/>
                <w:szCs w:val="20"/>
                <w:color w:val="auto"/>
              </w:rPr>
            </w:pPr>
            <w:r>
              <w:rPr>
                <w:rFonts w:ascii="Arial" w:cs="Arial" w:eastAsia="Arial" w:hAnsi="Arial"/>
                <w:sz w:val="14"/>
                <w:szCs w:val="14"/>
                <w:color w:val="auto"/>
                <w:w w:val="87"/>
              </w:rPr>
              <w:t>Three Months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112"/>
              <w:spacing w:after="0" w:line="159" w:lineRule="exact"/>
              <w:rPr>
                <w:sz w:val="20"/>
                <w:szCs w:val="20"/>
                <w:color w:val="auto"/>
              </w:rPr>
            </w:pPr>
            <w:r>
              <w:rPr>
                <w:rFonts w:ascii="Arial" w:cs="Arial" w:eastAsia="Arial" w:hAnsi="Arial"/>
                <w:sz w:val="14"/>
                <w:szCs w:val="14"/>
                <w:color w:val="auto"/>
                <w:w w:val="84"/>
              </w:rPr>
              <w:t>Ended June 30</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2012</w:t>
            </w:r>
          </w:p>
        </w:tc>
        <w:tc>
          <w:tcPr>
            <w:tcW w:w="9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20" w:type="dxa"/>
            <w:vAlign w:val="bottom"/>
            <w:tcBorders>
              <w:right w:val="single" w:sz="8" w:color="E5E5E5"/>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(97)</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20" w:type="dxa"/>
            <w:vAlign w:val="bottom"/>
            <w:tcBorders>
              <w:right w:val="single" w:sz="8" w:color="E5E5E5"/>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E5E5E5"/>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(71)</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84"/>
        </w:trPr>
        <w:tc>
          <w:tcPr>
            <w:tcW w:w="4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color w:val="auto"/>
                <w:w w:val="81"/>
              </w:rPr>
              <w:t>Predecessor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Combined</w:t>
            </w: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340" w:type="dxa"/>
            <w:vAlign w:val="bottom"/>
            <w:gridSpan w:val="2"/>
          </w:tcPr>
          <w:p>
            <w:pPr>
              <w:jc w:val="right"/>
              <w:ind w:right="56"/>
              <w:spacing w:after="0" w:line="131" w:lineRule="exact"/>
              <w:rPr>
                <w:sz w:val="20"/>
                <w:szCs w:val="20"/>
                <w:color w:val="auto"/>
              </w:rPr>
            </w:pPr>
            <w:r>
              <w:rPr>
                <w:rFonts w:ascii="Arial" w:cs="Arial" w:eastAsia="Arial" w:hAnsi="Arial"/>
                <w:sz w:val="14"/>
                <w:szCs w:val="14"/>
                <w:color w:val="auto"/>
              </w:rPr>
              <w:t>Six Months</w:t>
            </w:r>
          </w:p>
        </w:tc>
        <w:tc>
          <w:tcPr>
            <w:tcW w:w="156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6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center"/>
              <w:ind w:right="212"/>
              <w:spacing w:after="0" w:line="131" w:lineRule="exact"/>
              <w:rPr>
                <w:sz w:val="20"/>
                <w:szCs w:val="20"/>
                <w:color w:val="auto"/>
              </w:rPr>
            </w:pPr>
            <w:r>
              <w:rPr>
                <w:rFonts w:ascii="Arial" w:cs="Arial" w:eastAsia="Arial" w:hAnsi="Arial"/>
                <w:sz w:val="14"/>
                <w:szCs w:val="14"/>
                <w:color w:val="auto"/>
                <w:w w:val="87"/>
              </w:rPr>
              <w:t>For the Period</w:t>
            </w:r>
          </w:p>
        </w:tc>
        <w:tc>
          <w:tcPr>
            <w:tcW w:w="4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Six Months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196"/>
              <w:spacing w:after="0" w:line="149" w:lineRule="exact"/>
              <w:rPr>
                <w:sz w:val="20"/>
                <w:szCs w:val="20"/>
                <w:color w:val="auto"/>
              </w:rPr>
            </w:pPr>
            <w:r>
              <w:rPr>
                <w:rFonts w:ascii="Arial" w:cs="Arial" w:eastAsia="Arial" w:hAnsi="Arial"/>
                <w:sz w:val="14"/>
                <w:szCs w:val="14"/>
                <w:color w:val="auto"/>
                <w:w w:val="98"/>
              </w:rPr>
              <w:t>Ended</w:t>
            </w:r>
          </w:p>
        </w:tc>
        <w:tc>
          <w:tcPr>
            <w:tcW w:w="2180" w:type="dxa"/>
            <w:vAlign w:val="bottom"/>
            <w:tcBorders>
              <w:right w:val="single" w:sz="8" w:color="auto"/>
            </w:tcBorders>
            <w:gridSpan w:val="3"/>
          </w:tcPr>
          <w:p>
            <w:pPr>
              <w:ind w:left="540"/>
              <w:spacing w:after="0" w:line="149" w:lineRule="exact"/>
              <w:rPr>
                <w:sz w:val="20"/>
                <w:szCs w:val="20"/>
                <w:color w:val="auto"/>
              </w:rPr>
            </w:pPr>
            <w:r>
              <w:rPr>
                <w:rFonts w:ascii="Arial" w:cs="Arial" w:eastAsia="Arial" w:hAnsi="Arial"/>
                <w:sz w:val="14"/>
                <w:szCs w:val="14"/>
                <w:color w:val="auto"/>
              </w:rPr>
              <w:t>January 29, 2011</w:t>
            </w:r>
          </w:p>
        </w:tc>
        <w:tc>
          <w:tcPr>
            <w:tcW w:w="600" w:type="dxa"/>
            <w:vAlign w:val="bottom"/>
          </w:tcPr>
          <w:p>
            <w:pPr>
              <w:spacing w:after="0"/>
              <w:rPr>
                <w:sz w:val="12"/>
                <w:szCs w:val="12"/>
                <w:color w:val="auto"/>
              </w:rPr>
            </w:pPr>
          </w:p>
        </w:tc>
        <w:tc>
          <w:tcPr>
            <w:tcW w:w="1680" w:type="dxa"/>
            <w:vAlign w:val="bottom"/>
            <w:gridSpan w:val="3"/>
          </w:tcPr>
          <w:p>
            <w:pPr>
              <w:jc w:val="center"/>
              <w:ind w:left="292"/>
              <w:spacing w:after="0" w:line="149" w:lineRule="exact"/>
              <w:rPr>
                <w:sz w:val="20"/>
                <w:szCs w:val="20"/>
                <w:color w:val="auto"/>
              </w:rPr>
            </w:pPr>
            <w:r>
              <w:rPr>
                <w:rFonts w:ascii="Arial" w:cs="Arial" w:eastAsia="Arial" w:hAnsi="Arial"/>
                <w:sz w:val="14"/>
                <w:szCs w:val="14"/>
                <w:color w:val="auto"/>
                <w:w w:val="86"/>
              </w:rPr>
              <w:t>January 1, 2011 to</w:t>
            </w:r>
          </w:p>
        </w:tc>
        <w:tc>
          <w:tcPr>
            <w:tcW w:w="4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Ended</w:t>
            </w:r>
          </w:p>
        </w:tc>
        <w:tc>
          <w:tcPr>
            <w:tcW w:w="0" w:type="dxa"/>
            <w:vAlign w:val="bottom"/>
          </w:tcPr>
          <w:p>
            <w:pPr>
              <w:spacing w:after="0"/>
              <w:rPr>
                <w:sz w:val="1"/>
                <w:szCs w:val="1"/>
                <w:color w:val="auto"/>
              </w:rPr>
            </w:pPr>
          </w:p>
        </w:tc>
      </w:tr>
      <w:tr>
        <w:trPr>
          <w:trHeight w:val="159"/>
        </w:trPr>
        <w:tc>
          <w:tcPr>
            <w:tcW w:w="43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ind w:left="500"/>
              <w:spacing w:after="0" w:line="159" w:lineRule="exact"/>
              <w:rPr>
                <w:sz w:val="20"/>
                <w:szCs w:val="20"/>
                <w:color w:val="auto"/>
              </w:rPr>
            </w:pPr>
            <w:r>
              <w:rPr>
                <w:rFonts w:ascii="Arial" w:cs="Arial" w:eastAsia="Arial" w:hAnsi="Arial"/>
                <w:sz w:val="14"/>
                <w:szCs w:val="14"/>
                <w:color w:val="auto"/>
                <w:w w:val="92"/>
              </w:rPr>
              <w:t>June 30, 2012</w:t>
            </w:r>
          </w:p>
        </w:tc>
        <w:tc>
          <w:tcPr>
            <w:tcW w:w="2180" w:type="dxa"/>
            <w:vAlign w:val="bottom"/>
            <w:tcBorders>
              <w:bottom w:val="single" w:sz="8" w:color="auto"/>
              <w:right w:val="single" w:sz="8" w:color="auto"/>
            </w:tcBorders>
            <w:gridSpan w:val="3"/>
          </w:tcPr>
          <w:p>
            <w:pPr>
              <w:ind w:left="540"/>
              <w:spacing w:after="0" w:line="159" w:lineRule="exact"/>
              <w:rPr>
                <w:sz w:val="20"/>
                <w:szCs w:val="20"/>
                <w:color w:val="auto"/>
              </w:rPr>
            </w:pPr>
            <w:r>
              <w:rPr>
                <w:rFonts w:ascii="Arial" w:cs="Arial" w:eastAsia="Arial" w:hAnsi="Arial"/>
                <w:sz w:val="14"/>
                <w:szCs w:val="14"/>
                <w:color w:val="auto"/>
              </w:rPr>
              <w:t>to June 30, 2011</w:t>
            </w:r>
          </w:p>
        </w:tc>
        <w:tc>
          <w:tcPr>
            <w:tcW w:w="6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left="292"/>
              <w:spacing w:after="0" w:line="159" w:lineRule="exact"/>
              <w:rPr>
                <w:sz w:val="20"/>
                <w:szCs w:val="20"/>
                <w:color w:val="auto"/>
              </w:rPr>
            </w:pPr>
            <w:r>
              <w:rPr>
                <w:rFonts w:ascii="Arial" w:cs="Arial" w:eastAsia="Arial" w:hAnsi="Arial"/>
                <w:sz w:val="14"/>
                <w:szCs w:val="14"/>
                <w:color w:val="auto"/>
                <w:w w:val="85"/>
              </w:rPr>
              <w:t>January 28, 2011</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June 30, 2011</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147</w:t>
            </w:r>
          </w:p>
        </w:tc>
        <w:tc>
          <w:tcPr>
            <w:tcW w:w="620" w:type="dxa"/>
            <w:vAlign w:val="bottom"/>
            <w:tcBorders>
              <w:right w:val="single" w:sz="8" w:color="auto"/>
            </w:tcBorders>
            <w:shd w:val="clear" w:color="auto" w:fill="E5E5E5"/>
          </w:tcPr>
          <w:p>
            <w:pPr>
              <w:spacing w:after="0"/>
              <w:rPr>
                <w:sz w:val="18"/>
                <w:szCs w:val="18"/>
                <w:color w:val="auto"/>
              </w:rPr>
            </w:pP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w:t>
            </w:r>
          </w:p>
        </w:tc>
        <w:tc>
          <w:tcPr>
            <w:tcW w:w="62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88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(53)</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2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(37)</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(90)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decreases in equity in net income of investees, net for the three and six months ended June 30, 2012 compared to the same periods in 2011 were primarily due to the impact of the consolidation of Universal Orlando, which was accounted for as an equity method investment in the same periods in 2011.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Interest expense increased for the three and six months ended June 30, 2012 compared to the same periods in 2011 primarily due to the impact of consolidating Universal Orlando’s debt following the close of the Universal Orlando transaction.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10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maintain significant availability under our lines of credit and our commercial paper program to meet our short-term liquidity requirements. As of June 30, 2012, $1.4 billion was available under our revolving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6"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7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color w:val="auto"/>
                <w:w w:val="81"/>
              </w:rPr>
              <w:t>Predecessor</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7"/>
              </w:rPr>
              <w:t>Combined</w:t>
            </w:r>
          </w:p>
        </w:tc>
      </w:tr>
      <w:tr>
        <w:trPr>
          <w:trHeight w:val="131"/>
        </w:trPr>
        <w:tc>
          <w:tcPr>
            <w:tcW w:w="4580" w:type="dxa"/>
            <w:vAlign w:val="bottom"/>
          </w:tcPr>
          <w:p>
            <w:pPr>
              <w:spacing w:after="0"/>
              <w:rPr>
                <w:sz w:val="11"/>
                <w:szCs w:val="11"/>
                <w:color w:val="auto"/>
              </w:rPr>
            </w:pPr>
          </w:p>
        </w:tc>
        <w:tc>
          <w:tcPr>
            <w:tcW w:w="1340" w:type="dxa"/>
            <w:vAlign w:val="bottom"/>
            <w:gridSpan w:val="2"/>
          </w:tcPr>
          <w:p>
            <w:pPr>
              <w:jc w:val="right"/>
              <w:ind w:right="54"/>
              <w:spacing w:after="0" w:line="131" w:lineRule="exact"/>
              <w:rPr>
                <w:sz w:val="20"/>
                <w:szCs w:val="20"/>
                <w:color w:val="auto"/>
              </w:rPr>
            </w:pPr>
            <w:r>
              <w:rPr>
                <w:rFonts w:ascii="Arial" w:cs="Arial" w:eastAsia="Arial" w:hAnsi="Arial"/>
                <w:sz w:val="14"/>
                <w:szCs w:val="14"/>
                <w:color w:val="auto"/>
              </w:rPr>
              <w:t>Six Months</w:t>
            </w:r>
          </w:p>
        </w:tc>
        <w:tc>
          <w:tcPr>
            <w:tcW w:w="150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5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jc w:val="center"/>
              <w:ind w:right="317"/>
              <w:spacing w:after="0" w:line="131" w:lineRule="exact"/>
              <w:rPr>
                <w:sz w:val="20"/>
                <w:szCs w:val="20"/>
                <w:color w:val="auto"/>
              </w:rPr>
            </w:pPr>
            <w:r>
              <w:rPr>
                <w:rFonts w:ascii="Arial" w:cs="Arial" w:eastAsia="Arial" w:hAnsi="Arial"/>
                <w:sz w:val="14"/>
                <w:szCs w:val="14"/>
                <w:color w:val="auto"/>
                <w:w w:val="85"/>
              </w:rPr>
              <w:t>For the Period</w:t>
            </w:r>
          </w:p>
        </w:tc>
        <w:tc>
          <w:tcPr>
            <w:tcW w:w="1100" w:type="dxa"/>
            <w:vAlign w:val="bottom"/>
            <w:gridSpan w:val="2"/>
          </w:tcPr>
          <w:p>
            <w:pPr>
              <w:jc w:val="center"/>
              <w:ind w:left="42"/>
              <w:spacing w:after="0" w:line="131" w:lineRule="exact"/>
              <w:rPr>
                <w:sz w:val="20"/>
                <w:szCs w:val="20"/>
                <w:color w:val="auto"/>
              </w:rPr>
            </w:pPr>
            <w:r>
              <w:rPr>
                <w:rFonts w:ascii="Arial" w:cs="Arial" w:eastAsia="Arial" w:hAnsi="Arial"/>
                <w:sz w:val="14"/>
                <w:szCs w:val="14"/>
                <w:color w:val="auto"/>
                <w:w w:val="89"/>
              </w:rPr>
              <w:t>Six Months</w:t>
            </w:r>
          </w:p>
        </w:tc>
      </w:tr>
      <w:tr>
        <w:trPr>
          <w:trHeight w:val="149"/>
        </w:trPr>
        <w:tc>
          <w:tcPr>
            <w:tcW w:w="4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93"/>
              </w:rPr>
              <w:t>Ended</w:t>
            </w:r>
          </w:p>
        </w:tc>
        <w:tc>
          <w:tcPr>
            <w:tcW w:w="2060" w:type="dxa"/>
            <w:vAlign w:val="bottom"/>
            <w:tcBorders>
              <w:right w:val="single" w:sz="8" w:color="auto"/>
            </w:tcBorders>
            <w:gridSpan w:val="3"/>
          </w:tcPr>
          <w:p>
            <w:pPr>
              <w:ind w:left="460"/>
              <w:spacing w:after="0" w:line="149" w:lineRule="exact"/>
              <w:rPr>
                <w:sz w:val="20"/>
                <w:szCs w:val="20"/>
                <w:color w:val="auto"/>
              </w:rPr>
            </w:pPr>
            <w:r>
              <w:rPr>
                <w:rFonts w:ascii="Arial" w:cs="Arial" w:eastAsia="Arial" w:hAnsi="Arial"/>
                <w:sz w:val="14"/>
                <w:szCs w:val="14"/>
                <w:color w:val="auto"/>
              </w:rPr>
              <w:t>January 29, 2011</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ind w:right="317"/>
              <w:spacing w:after="0" w:line="149" w:lineRule="exact"/>
              <w:rPr>
                <w:sz w:val="20"/>
                <w:szCs w:val="20"/>
                <w:color w:val="auto"/>
              </w:rPr>
            </w:pPr>
            <w:r>
              <w:rPr>
                <w:rFonts w:ascii="Arial" w:cs="Arial" w:eastAsia="Arial" w:hAnsi="Arial"/>
                <w:sz w:val="14"/>
                <w:szCs w:val="14"/>
                <w:color w:val="auto"/>
                <w:w w:val="83"/>
              </w:rPr>
              <w:t>January 1, 2011</w:t>
            </w:r>
          </w:p>
        </w:tc>
        <w:tc>
          <w:tcPr>
            <w:tcW w:w="320" w:type="dxa"/>
            <w:vAlign w:val="bottom"/>
          </w:tcPr>
          <w:p>
            <w:pPr>
              <w:spacing w:after="0"/>
              <w:rPr>
                <w:sz w:val="12"/>
                <w:szCs w:val="12"/>
                <w:color w:val="auto"/>
              </w:rPr>
            </w:pPr>
          </w:p>
        </w:tc>
        <w:tc>
          <w:tcPr>
            <w:tcW w:w="780" w:type="dxa"/>
            <w:vAlign w:val="bottom"/>
          </w:tcPr>
          <w:p>
            <w:pPr>
              <w:jc w:val="center"/>
              <w:ind w:right="116"/>
              <w:spacing w:after="0" w:line="149" w:lineRule="exact"/>
              <w:rPr>
                <w:sz w:val="20"/>
                <w:szCs w:val="20"/>
                <w:color w:val="auto"/>
              </w:rPr>
            </w:pPr>
            <w:r>
              <w:rPr>
                <w:rFonts w:ascii="Arial" w:cs="Arial" w:eastAsia="Arial" w:hAnsi="Arial"/>
                <w:sz w:val="14"/>
                <w:szCs w:val="14"/>
                <w:color w:val="auto"/>
                <w:w w:val="83"/>
              </w:rPr>
              <w:t>Ended</w:t>
            </w:r>
          </w:p>
        </w:tc>
      </w:tr>
      <w:tr>
        <w:trPr>
          <w:trHeight w:val="173"/>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w w:val="92"/>
              </w:rPr>
              <w:t>June 30, 2012</w:t>
            </w:r>
          </w:p>
        </w:tc>
        <w:tc>
          <w:tcPr>
            <w:tcW w:w="20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to June 30, 2011</w:t>
            </w: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4"/>
                <w:szCs w:val="14"/>
                <w:color w:val="auto"/>
                <w:w w:val="85"/>
              </w:rPr>
              <w:t>to January 28, 2011</w:t>
            </w:r>
          </w:p>
        </w:tc>
        <w:tc>
          <w:tcPr>
            <w:tcW w:w="110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4"/>
                <w:szCs w:val="14"/>
                <w:color w:val="auto"/>
                <w:w w:val="83"/>
              </w:rPr>
              <w:t>June 30, 2011</w:t>
            </w: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1,163</w:t>
            </w:r>
          </w:p>
        </w:tc>
        <w:tc>
          <w:tcPr>
            <w:tcW w:w="78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952</w:t>
            </w:r>
          </w:p>
        </w:tc>
        <w:tc>
          <w:tcPr>
            <w:tcW w:w="560" w:type="dxa"/>
            <w:vAlign w:val="bottom"/>
            <w:tcBorders>
              <w:right w:val="single" w:sz="8" w:color="auto"/>
            </w:tcBorders>
            <w:shd w:val="clear" w:color="auto" w:fill="E5E5E5"/>
          </w:tcPr>
          <w:p>
            <w:pPr>
              <w:spacing w:after="0"/>
              <w:rPr>
                <w:sz w:val="18"/>
                <w:szCs w:val="18"/>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960</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441</w:t>
            </w:r>
          </w:p>
        </w:tc>
        <w:tc>
          <w:tcPr>
            <w:tcW w:w="5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468</w:t>
            </w:r>
          </w:p>
        </w:tc>
      </w:tr>
      <w:tr>
        <w:trPr>
          <w:trHeight w:val="210"/>
        </w:trPr>
        <w:tc>
          <w:tcPr>
            <w:tcW w:w="4580" w:type="dxa"/>
            <w:vAlign w:val="bottom"/>
            <w:shd w:val="clear" w:color="auto" w:fill="E5E5E5"/>
          </w:tcPr>
          <w:p>
            <w:pPr>
              <w:ind w:left="220"/>
              <w:spacing w:after="0"/>
              <w:rPr>
                <w:sz w:val="20"/>
                <w:szCs w:val="20"/>
                <w:color w:val="auto"/>
              </w:rPr>
            </w:pPr>
            <w:r>
              <w:rPr>
                <w:rFonts w:ascii="Arial" w:cs="Arial" w:eastAsia="Arial" w:hAnsi="Arial"/>
                <w:sz w:val="18"/>
                <w:szCs w:val="18"/>
                <w:color w:val="auto"/>
                <w:w w:val="98"/>
              </w:rPr>
              <w:t>Operating income before depreciation and amortization</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1,795</w:t>
            </w:r>
          </w:p>
        </w:tc>
        <w:tc>
          <w:tcPr>
            <w:tcW w:w="7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1,393</w:t>
            </w:r>
          </w:p>
        </w:tc>
        <w:tc>
          <w:tcPr>
            <w:tcW w:w="5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35</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1,428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Noncash compensation</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61</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7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(245)</w:t>
            </w:r>
          </w:p>
        </w:tc>
        <w:tc>
          <w:tcPr>
            <w:tcW w:w="560" w:type="dxa"/>
            <w:vAlign w:val="bottom"/>
            <w:tcBorders>
              <w:bottom w:val="single" w:sz="8" w:color="auto"/>
              <w:right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4580" w:type="dxa"/>
            <w:vAlign w:val="bottom"/>
          </w:tcPr>
          <w:p>
            <w:pPr>
              <w:ind w:left="220"/>
              <w:spacing w:after="0"/>
              <w:rPr>
                <w:sz w:val="20"/>
                <w:szCs w:val="20"/>
                <w:color w:val="auto"/>
              </w:rPr>
            </w:pPr>
            <w:r>
              <w:rPr>
                <w:rFonts w:ascii="Arial" w:cs="Arial" w:eastAsia="Arial" w:hAnsi="Arial"/>
                <w:sz w:val="18"/>
                <w:szCs w:val="18"/>
                <w:color w:val="auto"/>
              </w:rPr>
              <w:t>Cash basis operating income</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1,944</w:t>
            </w:r>
          </w:p>
        </w:tc>
        <w:tc>
          <w:tcPr>
            <w:tcW w:w="7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1,024</w:t>
            </w: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7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w:t>
            </w:r>
          </w:p>
        </w:tc>
        <w:tc>
          <w:tcPr>
            <w:tcW w:w="5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142</w:t>
            </w:r>
          </w:p>
        </w:tc>
        <w:tc>
          <w:tcPr>
            <w:tcW w:w="560" w:type="dxa"/>
            <w:vAlign w:val="bottom"/>
            <w:tcBorders>
              <w:bottom w:val="single" w:sz="8" w:color="auto"/>
              <w:right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144</w:t>
            </w:r>
          </w:p>
        </w:tc>
      </w:tr>
      <w:tr>
        <w:trPr>
          <w:trHeight w:val="21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w:t>
            </w: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1,020</w:t>
            </w:r>
          </w:p>
        </w:tc>
        <w:tc>
          <w:tcPr>
            <w:tcW w:w="5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391</w:t>
            </w:r>
          </w:p>
        </w:tc>
      </w:tr>
    </w:tbl>
    <w:p>
      <w:pPr>
        <w:spacing w:after="0" w:line="11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changes in operating assets and liabilities for the six months ended June 30, 2012 compared to the same period in 2011 primarily relate to a decrease in film and television costs and the timing of payments of operating items, including deferred revenue and participations and residuals.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decrease in income tax payments for the six months ended June 30, 2012 is primarily due to amounts paid in the prior year in preparation for the closing of the Joint Venture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six months ended June 30, 2012 consisted primarily of capital expenditures and purchases of investments.</w:t>
      </w:r>
    </w:p>
    <w:p>
      <w:pPr>
        <w:spacing w:after="0" w:line="15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second half of 2012, we expect to receive $3 billion in cash proceeds related to the redemption of our 15.8% equity interest in A&amp;E Television Networks. Under certain limited circumstances, the proceeds would be paid in cash and in the form of a senior note issued by A&amp;E Television Networks. A portion of the proceeds will be used to meet Comcast’s and GE’s obligation to pay taxes associated with the transaction. We will not receive dividends from A&amp;E Television Networks following the close of the transaction. During the six months ended June 30, 2012 and 2011, we received $102 million and $90 million, respectively, in dividends from A&amp;E Television Networks, which were included in net cash provided by operating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2012 consisted primarily of $550 million of net repayments of our outstanding commercial paper and tax distributions to NBCUniversal Holdings of $243 million, of which $124 million was attributable to Comcast and $119 million was attributable to GE.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9" w:right="239" w:bottom="1440" w:gutter="0" w:footer="0" w:header="0"/>
        </w:sectPr>
      </w:pPr>
    </w:p>
    <w:bookmarkStart w:id="268" w:name="page269"/>
    <w:bookmarkEnd w:id="26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purposes of filing this Report as an Exhibit to the Registrant’s Registration Statement on Form S-3.</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280"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22, 2012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(Exact Name of Registrant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Specified in its Charter)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199"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44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333-174175</w:t>
            </w:r>
          </w:p>
        </w:tc>
        <w:tc>
          <w:tcPr>
            <w:tcW w:w="4000" w:type="dxa"/>
            <w:vAlign w:val="bottom"/>
          </w:tcPr>
          <w:p>
            <w:pPr>
              <w:jc w:val="center"/>
              <w:ind w:left="1512"/>
              <w:spacing w:after="0"/>
              <w:rPr>
                <w:sz w:val="20"/>
                <w:szCs w:val="20"/>
                <w:color w:val="auto"/>
              </w:rPr>
            </w:pPr>
            <w:r>
              <w:rPr>
                <w:rFonts w:ascii="Arial" w:cs="Arial" w:eastAsia="Arial" w:hAnsi="Arial"/>
                <w:sz w:val="18"/>
                <w:szCs w:val="18"/>
                <w:b w:val="1"/>
                <w:bCs w:val="1"/>
                <w:color w:val="auto"/>
                <w:w w:val="87"/>
              </w:rPr>
              <w:t>14-1682529</w:t>
            </w:r>
          </w:p>
        </w:tc>
      </w:tr>
      <w:tr>
        <w:trPr>
          <w:trHeight w:val="222"/>
        </w:trPr>
        <w:tc>
          <w:tcPr>
            <w:tcW w:w="4460" w:type="dxa"/>
            <w:vAlign w:val="bottom"/>
          </w:tcPr>
          <w:p>
            <w:pPr>
              <w:jc w:val="center"/>
              <w:ind w:right="1512"/>
              <w:spacing w:after="0"/>
              <w:rPr>
                <w:sz w:val="20"/>
                <w:szCs w:val="20"/>
                <w:color w:val="auto"/>
              </w:rPr>
            </w:pPr>
            <w:r>
              <w:rPr>
                <w:rFonts w:ascii="Arial" w:cs="Arial" w:eastAsia="Arial" w:hAnsi="Arial"/>
                <w:sz w:val="18"/>
                <w:szCs w:val="18"/>
                <w:color w:val="auto"/>
                <w:w w:val="90"/>
              </w:rPr>
              <w:t>(Commission File Number)</w:t>
            </w:r>
          </w:p>
        </w:tc>
        <w:tc>
          <w:tcPr>
            <w:tcW w:w="4000" w:type="dxa"/>
            <w:vAlign w:val="bottom"/>
          </w:tcPr>
          <w:p>
            <w:pPr>
              <w:jc w:val="center"/>
              <w:ind w:left="1512"/>
              <w:spacing w:after="0"/>
              <w:rPr>
                <w:sz w:val="20"/>
                <w:szCs w:val="20"/>
                <w:color w:val="auto"/>
              </w:rPr>
            </w:pPr>
            <w:r>
              <w:rPr>
                <w:rFonts w:ascii="Arial" w:cs="Arial" w:eastAsia="Arial" w:hAnsi="Arial"/>
                <w:sz w:val="18"/>
                <w:szCs w:val="18"/>
                <w:color w:val="auto"/>
                <w:w w:val="91"/>
              </w:rPr>
              <w:t>(IRS Employer Identification No.)</w:t>
            </w:r>
          </w:p>
        </w:tc>
      </w:tr>
      <w:tr>
        <w:trPr>
          <w:trHeight w:val="420"/>
        </w:trPr>
        <w:tc>
          <w:tcPr>
            <w:tcW w:w="44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30 Rockefeller Plaza</w:t>
            </w:r>
          </w:p>
        </w:tc>
        <w:tc>
          <w:tcPr>
            <w:tcW w:w="4000" w:type="dxa"/>
            <w:vAlign w:val="bottom"/>
          </w:tcPr>
          <w:p>
            <w:pPr>
              <w:spacing w:after="0"/>
              <w:rPr>
                <w:sz w:val="24"/>
                <w:szCs w:val="24"/>
                <w:color w:val="auto"/>
              </w:rPr>
            </w:pPr>
          </w:p>
        </w:tc>
      </w:tr>
      <w:tr>
        <w:trPr>
          <w:trHeight w:val="236"/>
        </w:trPr>
        <w:tc>
          <w:tcPr>
            <w:tcW w:w="4460" w:type="dxa"/>
            <w:vAlign w:val="bottom"/>
          </w:tcPr>
          <w:p>
            <w:pPr>
              <w:jc w:val="center"/>
              <w:ind w:right="1512"/>
              <w:spacing w:after="0"/>
              <w:rPr>
                <w:sz w:val="20"/>
                <w:szCs w:val="20"/>
                <w:color w:val="auto"/>
              </w:rPr>
            </w:pPr>
            <w:r>
              <w:rPr>
                <w:rFonts w:ascii="Arial" w:cs="Arial" w:eastAsia="Arial" w:hAnsi="Arial"/>
                <w:sz w:val="18"/>
                <w:szCs w:val="18"/>
                <w:b w:val="1"/>
                <w:bCs w:val="1"/>
                <w:color w:val="auto"/>
                <w:w w:val="90"/>
              </w:rPr>
              <w:t>New York, New York</w:t>
            </w:r>
          </w:p>
        </w:tc>
        <w:tc>
          <w:tcPr>
            <w:tcW w:w="4000" w:type="dxa"/>
            <w:vAlign w:val="bottom"/>
          </w:tcPr>
          <w:p>
            <w:pPr>
              <w:jc w:val="center"/>
              <w:ind w:left="151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460" w:type="dxa"/>
            <w:vAlign w:val="bottom"/>
          </w:tcPr>
          <w:p>
            <w:pPr>
              <w:jc w:val="center"/>
              <w:ind w:right="1492"/>
              <w:spacing w:after="0"/>
              <w:rPr>
                <w:sz w:val="20"/>
                <w:szCs w:val="20"/>
                <w:color w:val="auto"/>
              </w:rPr>
            </w:pPr>
            <w:r>
              <w:rPr>
                <w:rFonts w:ascii="Arial" w:cs="Arial" w:eastAsia="Arial" w:hAnsi="Arial"/>
                <w:sz w:val="18"/>
                <w:szCs w:val="18"/>
                <w:color w:val="auto"/>
                <w:w w:val="91"/>
              </w:rPr>
              <w:t>(Address of Principal Executive Offices)</w:t>
            </w:r>
          </w:p>
        </w:tc>
        <w:tc>
          <w:tcPr>
            <w:tcW w:w="4000" w:type="dxa"/>
            <w:vAlign w:val="bottom"/>
          </w:tcPr>
          <w:p>
            <w:pPr>
              <w:jc w:val="center"/>
              <w:ind w:left="1512"/>
              <w:spacing w:after="0"/>
              <w:rPr>
                <w:sz w:val="20"/>
                <w:szCs w:val="20"/>
                <w:color w:val="auto"/>
              </w:rPr>
            </w:pPr>
            <w:r>
              <w:rPr>
                <w:rFonts w:ascii="Arial" w:cs="Arial" w:eastAsia="Arial" w:hAnsi="Arial"/>
                <w:sz w:val="18"/>
                <w:szCs w:val="18"/>
                <w:color w:val="auto"/>
                <w:w w:val="89"/>
              </w:rPr>
              <w:t>(Zip Code)</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664-4444</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Check the appropriate box below if the Form 8-K filing is intended to simultaneously satisfy the filing obligation of the registrant under any of the following provisions (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0"/>
          <w:szCs w:val="20"/>
          <w:color w:val="auto"/>
        </w:rPr>
      </w:pPr>
    </w:p>
    <w:p>
      <w:pPr>
        <w:ind w:left="460" w:hanging="452"/>
        <w:spacing w:after="0"/>
        <w:tabs>
          <w:tab w:leader="none" w:pos="4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22, 2012, A&amp;E Television Networks, LLC completed the previously announced redemption of NBCUniversal’s entire 15.8% equity interest for $3,025,000,000 in cash.</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NBCUniversal does not intend for this Item 7.01 to be treated as “filed” under the Securities Exchange Act of 1934, as amended, or incorporated by reference into its filings under the Securities Act of 1933, as amended.</w:t>
      </w:r>
    </w:p>
    <w:sectPr>
      <w:pgSz w:w="11900" w:h="16838" w:orient="portrait"/>
      <w:cols w:equalWidth="0" w:num="1">
        <w:col w:w="11100"/>
      </w:cols>
      <w:pgMar w:left="2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1"/>
    </w:lvl>
  </w:abstractNum>
  <w:abstractNum w:abstractNumId="14">
    <w:nsid w:val="75C6C33A"/>
    <w:multiLevelType w:val="hybridMultilevel"/>
    <w:lvl w:ilvl="0">
      <w:lvlJc w:val="left"/>
      <w:lvlText w:val="(%1)"/>
      <w:numFmt w:val="lowerLetter"/>
      <w:start w:val="1"/>
    </w:lvl>
  </w:abstractNum>
  <w:abstractNum w:abstractNumId="15">
    <w:nsid w:val="12E685FB"/>
    <w:multiLevelType w:val="hybridMultilevel"/>
    <w:lvl w:ilvl="0">
      <w:lvlJc w:val="left"/>
      <w:lvlText w:val="(%1)"/>
      <w:numFmt w:val="lowerLetter"/>
      <w:start w:val="3"/>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lvl w:ilvl="1">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lvl w:ilvl="1">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47398C89"/>
    <w:multiLevelType w:val="hybridMultilevel"/>
    <w:lvl w:ilvl="0">
      <w:lvlJc w:val="left"/>
      <w:lvlText w:val="%1"/>
      <w:numFmt w:val="decimal"/>
      <w:start w:val="1"/>
    </w:lvl>
    <w:lvl w:ilvl="1">
      <w:lvlJc w:val="left"/>
      <w:lvlText w:val="(%2)"/>
      <w:numFmt w:val="upperLetter"/>
      <w:start w:val="1"/>
    </w:lvl>
  </w:abstractNum>
  <w:abstractNum w:abstractNumId="28">
    <w:nsid w:val="354FE9F9"/>
    <w:multiLevelType w:val="hybridMultilevel"/>
    <w:lvl w:ilvl="0">
      <w:lvlJc w:val="left"/>
      <w:lvlText w:val="(%1)"/>
      <w:numFmt w:val="decimal"/>
      <w:start w:val="2"/>
    </w:lvl>
    <w:lvl w:ilvl="1">
      <w:lvlJc w:val="left"/>
      <w:lvlText w:val="%2"/>
      <w:numFmt w:val="upperLetter"/>
      <w:start w:val="1"/>
    </w:lvl>
  </w:abstractNum>
  <w:abstractNum w:abstractNumId="29">
    <w:nsid w:val="15B5AF5C"/>
    <w:multiLevelType w:val="hybridMultilevel"/>
    <w:lvl w:ilvl="0">
      <w:lvlJc w:val="left"/>
      <w:lvlText w:val="(%1)"/>
      <w:numFmt w:val="decimal"/>
      <w:start w:val="4"/>
    </w:lvl>
    <w:lvl w:ilvl="1">
      <w:lvlJc w:val="left"/>
      <w:lvlText w:val="(%2)"/>
      <w:numFmt w:val="upperLetter"/>
      <w:start w:val="1"/>
    </w:lvl>
  </w:abstractNum>
  <w:abstractNum w:abstractNumId="30">
    <w:nsid w:val="741226BB"/>
    <w:multiLevelType w:val="hybridMultilevel"/>
    <w:lvl w:ilvl="0">
      <w:lvlJc w:val="left"/>
      <w:lvlText w:val="%1"/>
      <w:numFmt w:val="lowerLetter"/>
      <w:start w:val="1"/>
    </w:lvl>
    <w:lvl w:ilvl="1">
      <w:lvlJc w:val="left"/>
      <w:lvlText w:val="(%2)"/>
      <w:numFmt w:val="lowerRoman"/>
      <w:start w:val="1"/>
    </w:lvl>
  </w:abstractNum>
  <w:abstractNum w:abstractNumId="31">
    <w:nsid w:val="D34B6A8"/>
    <w:multiLevelType w:val="hybridMultilevel"/>
    <w:lvl w:ilvl="0">
      <w:lvlJc w:val="left"/>
      <w:lvlText w:val="(%1)"/>
      <w:numFmt w:val="lowerLetter"/>
      <w:start w:val="2"/>
    </w:lvl>
    <w:lvl w:ilvl="1">
      <w:lvlJc w:val="left"/>
      <w:lvlText w:val="%2"/>
      <w:numFmt w:val="lowerRoman"/>
      <w:start w:val="1"/>
    </w:lvl>
  </w:abstractNum>
  <w:abstractNum w:abstractNumId="32">
    <w:nsid w:val="10233C99"/>
    <w:multiLevelType w:val="hybridMultilevel"/>
    <w:lvl w:ilvl="0">
      <w:lvlJc w:val="left"/>
      <w:lvlText w:val="(%1)"/>
      <w:numFmt w:val="lowerLetter"/>
      <w:start w:val="4"/>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2"/>
    </w:lvl>
    <w:lvl w:ilvl="1">
      <w:lvlJc w:val="left"/>
      <w:lvlText w:val="(%2)"/>
      <w:numFmt w:val="lowerRoman"/>
      <w:start w:val="1"/>
    </w:lvl>
  </w:abstractNum>
  <w:abstractNum w:abstractNumId="36">
    <w:nsid w:val="77AE35EB"/>
    <w:multiLevelType w:val="hybridMultilevel"/>
    <w:lvl w:ilvl="0">
      <w:lvlJc w:val="left"/>
      <w:lvlText w:val="(%1)"/>
      <w:numFmt w:val="lowerRoman"/>
      <w:start w:val="3"/>
    </w:lvl>
  </w:abstractNum>
  <w:abstractNum w:abstractNumId="37">
    <w:nsid w:val="579BE4F1"/>
    <w:multiLevelType w:val="hybridMultilevel"/>
    <w:lvl w:ilvl="0">
      <w:lvlJc w:val="left"/>
      <w:lvlText w:val="(%1)"/>
      <w:numFmt w:val="lowerLetter"/>
      <w:start w:val="3"/>
    </w:lvl>
    <w:lvl w:ilvl="1">
      <w:lvlJc w:val="left"/>
      <w:lvlText w:val="(%2)"/>
      <w:numFmt w:val="lowerRoman"/>
      <w:start w:val="1"/>
    </w:lvl>
  </w:abstractNum>
  <w:abstractNum w:abstractNumId="38">
    <w:nsid w:val="310C50B3"/>
    <w:multiLevelType w:val="hybridMultilevel"/>
    <w:lvl w:ilvl="0">
      <w:lvlJc w:val="left"/>
      <w:lvlText w:val="(%1)"/>
      <w:numFmt w:val="lowerRoman"/>
      <w:start w:val="2"/>
    </w:lvl>
  </w:abstractNum>
  <w:abstractNum w:abstractNumId="39">
    <w:nsid w:val="5FF87E05"/>
    <w:multiLevelType w:val="hybridMultilevel"/>
    <w:lvl w:ilvl="0">
      <w:lvlJc w:val="left"/>
      <w:lvlText w:val="(%1)"/>
      <w:numFmt w:val="lowerRoman"/>
      <w:start w:val="8"/>
    </w:lvl>
  </w:abstractNum>
  <w:abstractNum w:abstractNumId="40">
    <w:nsid w:val="2F305DEF"/>
    <w:multiLevelType w:val="hybridMultilevel"/>
    <w:lvl w:ilvl="0">
      <w:lvlJc w:val="left"/>
      <w:lvlText w:val="(%1)"/>
      <w:numFmt w:val="lowerLetter"/>
      <w:start w:val="6"/>
    </w:lvl>
  </w:abstractNum>
  <w:abstractNum w:abstractNumId="41">
    <w:nsid w:val="25A70BF7"/>
    <w:multiLevelType w:val="hybridMultilevel"/>
    <w:lvl w:ilvl="0">
      <w:lvlJc w:val="left"/>
      <w:lvlText w:val="(%1)"/>
      <w:numFmt w:val="lowerLetter"/>
      <w:start w:val="8"/>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5"/>
    </w:lvl>
  </w:abstractNum>
  <w:abstractNum w:abstractNumId="44">
    <w:nsid w:val="1F48EAA1"/>
    <w:multiLevelType w:val="hybridMultilevel"/>
    <w:lvl w:ilvl="0">
      <w:lvlJc w:val="left"/>
      <w:lvlText w:val="(%1)"/>
      <w:numFmt w:val="lowerLetter"/>
      <w:start w:val="8"/>
    </w:lvl>
  </w:abstractNum>
  <w:abstractNum w:abstractNumId="45">
    <w:nsid w:val="1381823A"/>
    <w:multiLevelType w:val="hybridMultilevel"/>
    <w:lvl w:ilvl="0">
      <w:lvlJc w:val="left"/>
      <w:lvlText w:val="(%1)"/>
      <w:numFmt w:val="lowerLetter"/>
      <w:start w:val="13"/>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Roman"/>
      <w:start w:val="1"/>
    </w:lvl>
    <w:lvl w:ilvl="1">
      <w:lvlJc w:val="left"/>
      <w:lvlText w:val="(%2)"/>
      <w:numFmt w:val="lowerLetter"/>
      <w:start w:val="5"/>
    </w:lvl>
  </w:abstractNum>
  <w:abstractNum w:abstractNumId="49">
    <w:nsid w:val="15014ACB"/>
    <w:multiLevelType w:val="hybridMultilevel"/>
    <w:lvl w:ilvl="0">
      <w:lvlJc w:val="left"/>
      <w:lvlText w:val="(%1)"/>
      <w:numFmt w:val="lowerRoman"/>
      <w:start w:val="4"/>
    </w:lvl>
    <w:lvl w:ilvl="1">
      <w:lvlJc w:val="left"/>
      <w:lvlText w:val="(%2)"/>
      <w:numFmt w:val="lowerLetter"/>
      <w:start w:val="9"/>
    </w:lvl>
  </w:abstractNum>
  <w:abstractNum w:abstractNumId="50">
    <w:nsid w:val="5F5E7FD0"/>
    <w:multiLevelType w:val="hybridMultilevel"/>
    <w:lvl w:ilvl="0">
      <w:lvlJc w:val="left"/>
      <w:lvlText w:val="(%1)"/>
      <w:numFmt w:val="lowerLetter"/>
      <w:start w:val="10"/>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Roman"/>
      <w:start w:val="2"/>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lvl w:ilvl="1">
      <w:lvlJc w:val="left"/>
      <w:lvlText w:val="(%2)"/>
      <w:numFmt w:val="lowerLetter"/>
      <w:start w:val="1"/>
    </w:lvl>
  </w:abstractNum>
  <w:abstractNum w:abstractNumId="55">
    <w:nsid w:val="168E121F"/>
    <w:multiLevelType w:val="hybridMultilevel"/>
    <w:lvl w:ilvl="0">
      <w:lvlJc w:val="left"/>
      <w:lvlText w:val="%1"/>
      <w:numFmt w:val="decimal"/>
      <w:start w:val="1"/>
    </w:lvl>
    <w:lvl w:ilvl="1">
      <w:lvlJc w:val="left"/>
      <w:lvlText w:val="(%2)"/>
      <w:numFmt w:val="lowerLetter"/>
      <w:start w:val="2"/>
    </w:lvl>
  </w:abstractNum>
  <w:abstractNum w:abstractNumId="56">
    <w:nsid w:val="1EBA5D23"/>
    <w:multiLevelType w:val="hybridMultilevel"/>
    <w:lvl w:ilvl="0">
      <w:lvlJc w:val="left"/>
      <w:lvlText w:val="%1."/>
      <w:numFmt w:val="decimal"/>
      <w:start w:val="2"/>
    </w:lvl>
    <w:lvl w:ilvl="1">
      <w:lvlJc w:val="left"/>
      <w:lvlText w:val="%2"/>
      <w:numFmt w:val="lowerLetter"/>
      <w:start w:val="1"/>
    </w:lvl>
  </w:abstractNum>
  <w:abstractNum w:abstractNumId="57">
    <w:nsid w:val="661E3F1E"/>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58">
    <w:nsid w:val="5DC79EA8"/>
    <w:multiLevelType w:val="hybridMultilevel"/>
    <w:lvl w:ilvl="0">
      <w:lvlJc w:val="left"/>
      <w:lvlText w:val="%1."/>
      <w:numFmt w:val="decimal"/>
      <w:start w:val="4"/>
    </w:lvl>
  </w:abstractNum>
  <w:abstractNum w:abstractNumId="59">
    <w:nsid w:val="540A471C"/>
    <w:multiLevelType w:val="hybridMultilevel"/>
    <w:lvl w:ilvl="0">
      <w:lvlJc w:val="left"/>
      <w:lvlText w:val="%1."/>
      <w:numFmt w:val="decimal"/>
      <w:start w:val="6"/>
    </w:lvl>
    <w:lvl w:ilvl="1">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4"/>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2019-12-11T02:55:45Z</dcterms:created>
  <dcterms:modified xsi:type="dcterms:W3CDTF">2019-12-11T02:55:45Z</dcterms:modified>
</cp:coreProperties>
</file>