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1"/>
        </w:trPr>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b w:val="1"/>
                <w:bCs w:val="1"/>
                <w:color w:val="auto"/>
                <w:w w:val="99"/>
              </w:rPr>
              <w:t>UNITED STATES</w:t>
            </w:r>
          </w:p>
        </w:tc>
        <w:tc>
          <w:tcPr>
            <w:tcW w:w="144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4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6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Washington, D.C. 20549</w:t>
            </w:r>
          </w:p>
        </w:tc>
        <w:tc>
          <w:tcPr>
            <w:tcW w:w="1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 One)</w:t>
            </w:r>
          </w:p>
        </w:tc>
        <w:tc>
          <w:tcPr>
            <w:tcW w:w="1720" w:type="dxa"/>
            <w:vAlign w:val="bottom"/>
          </w:tcPr>
          <w:p>
            <w:pPr>
              <w:spacing w:after="0"/>
              <w:rPr>
                <w:sz w:val="20"/>
                <w:szCs w:val="20"/>
                <w:color w:val="auto"/>
              </w:rPr>
            </w:pPr>
          </w:p>
        </w:tc>
        <w:tc>
          <w:tcPr>
            <w:tcW w:w="366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FORM 10-Q</w:t>
            </w:r>
          </w:p>
        </w:tc>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36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1260" w:type="dxa"/>
            <w:vAlign w:val="bottom"/>
          </w:tcPr>
          <w:p>
            <w:pPr>
              <w:jc w:val="center"/>
              <w:ind w:right="819"/>
              <w:spacing w:after="0" w:line="181" w:lineRule="exact"/>
              <w:rPr>
                <w:sz w:val="20"/>
                <w:szCs w:val="20"/>
                <w:color w:val="auto"/>
              </w:rPr>
            </w:pPr>
            <w:r>
              <w:rPr>
                <w:rFonts w:ascii="MS PGothic" w:cs="MS PGothic" w:eastAsia="MS PGothic" w:hAnsi="MS PGothic"/>
                <w:sz w:val="18"/>
                <w:szCs w:val="18"/>
                <w:color w:val="auto"/>
                <w:w w:val="88"/>
              </w:rPr>
              <w:t>☒</w:t>
            </w:r>
          </w:p>
        </w:tc>
        <w:tc>
          <w:tcPr>
            <w:tcW w:w="996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4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w w:val="90"/>
              </w:rPr>
              <w:t>For the quarterly period ended June 30, 2019</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60" w:type="dxa"/>
            <w:vAlign w:val="bottom"/>
          </w:tcPr>
          <w:p>
            <w:pPr>
              <w:jc w:val="center"/>
              <w:ind w:left="1510"/>
              <w:spacing w:after="0"/>
              <w:rPr>
                <w:sz w:val="20"/>
                <w:szCs w:val="20"/>
                <w:color w:val="auto"/>
              </w:rPr>
            </w:pPr>
            <w:r>
              <w:rPr>
                <w:rFonts w:ascii="Arial" w:cs="Arial" w:eastAsia="Arial" w:hAnsi="Arial"/>
                <w:sz w:val="18"/>
                <w:szCs w:val="18"/>
                <w:b w:val="1"/>
                <w:bCs w:val="1"/>
                <w:color w:val="auto"/>
              </w:rPr>
              <w:t>Or</w:t>
            </w:r>
          </w:p>
        </w:tc>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00" w:type="dxa"/>
            <w:vAlign w:val="bottom"/>
          </w:tcPr>
          <w:p>
            <w:pPr>
              <w:spacing w:after="0"/>
              <w:rPr>
                <w:sz w:val="24"/>
                <w:szCs w:val="24"/>
                <w:color w:val="auto"/>
              </w:rPr>
            </w:pPr>
          </w:p>
        </w:tc>
        <w:tc>
          <w:tcPr>
            <w:tcW w:w="1260" w:type="dxa"/>
            <w:vAlign w:val="bottom"/>
          </w:tcPr>
          <w:p>
            <w:pPr>
              <w:jc w:val="center"/>
              <w:ind w:right="819"/>
              <w:spacing w:after="0" w:line="141" w:lineRule="exact"/>
              <w:rPr>
                <w:sz w:val="20"/>
                <w:szCs w:val="20"/>
                <w:color w:val="auto"/>
              </w:rPr>
            </w:pPr>
            <w:r>
              <w:rPr>
                <w:rFonts w:ascii="MS PGothic" w:cs="MS PGothic" w:eastAsia="MS PGothic" w:hAnsi="MS PGothic"/>
                <w:sz w:val="14"/>
                <w:szCs w:val="14"/>
                <w:color w:val="auto"/>
                <w:w w:val="85"/>
              </w:rPr>
              <w:t>☐</w:t>
            </w:r>
          </w:p>
        </w:tc>
        <w:tc>
          <w:tcPr>
            <w:tcW w:w="996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60" w:type="dxa"/>
            <w:vAlign w:val="bottom"/>
          </w:tcPr>
          <w:p>
            <w:pPr>
              <w:ind w:left="380"/>
              <w:spacing w:after="0"/>
              <w:rPr>
                <w:sz w:val="20"/>
                <w:szCs w:val="20"/>
                <w:color w:val="auto"/>
              </w:rPr>
            </w:pPr>
            <w:r>
              <w:rPr>
                <w:rFonts w:ascii="Arial" w:cs="Arial" w:eastAsia="Arial" w:hAnsi="Arial"/>
                <w:sz w:val="18"/>
                <w:szCs w:val="18"/>
                <w:b w:val="1"/>
                <w:bCs w:val="1"/>
                <w:color w:val="auto"/>
              </w:rPr>
              <w:t>For the transition period from</w:t>
            </w:r>
          </w:p>
        </w:tc>
        <w:tc>
          <w:tcPr>
            <w:tcW w:w="4580" w:type="dxa"/>
            <w:vAlign w:val="bottom"/>
            <w:gridSpan w:val="2"/>
          </w:tcPr>
          <w:p>
            <w:pPr>
              <w:ind w:left="8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217805</wp:posOffset>
            </wp:positionH>
            <wp:positionV relativeFrom="page">
              <wp:posOffset>243205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77470</wp:posOffset>
            </wp:positionV>
            <wp:extent cx="182689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color w:val="auto"/>
                <w:w w:val="94"/>
              </w:rPr>
              <w:t>Commission File Number</w:t>
            </w:r>
          </w:p>
        </w:tc>
        <w:tc>
          <w:tcPr>
            <w:tcW w:w="6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94"/>
              </w:rPr>
              <w:t>Number of Principal Executive Offices</w:t>
            </w:r>
          </w:p>
        </w:tc>
        <w:tc>
          <w:tcPr>
            <w:tcW w:w="36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6"/>
              </w:rPr>
              <w:t>I.R.S. Employer Identification No.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580" w:type="dxa"/>
            <w:vAlign w:val="bottom"/>
          </w:tcPr>
          <w:p>
            <w:pPr>
              <w:jc w:val="center"/>
              <w:ind w:right="428"/>
              <w:spacing w:after="0"/>
              <w:rPr>
                <w:sz w:val="20"/>
                <w:szCs w:val="20"/>
                <w:color w:val="auto"/>
              </w:rPr>
            </w:pPr>
            <w:r>
              <w:rPr>
                <w:rFonts w:ascii="Arial" w:cs="Arial" w:eastAsia="Arial" w:hAnsi="Arial"/>
                <w:sz w:val="14"/>
                <w:szCs w:val="14"/>
                <w:b w:val="1"/>
                <w:bCs w:val="1"/>
                <w:color w:val="auto"/>
                <w:w w:val="95"/>
              </w:rPr>
              <w:t>001-32871</w:t>
            </w:r>
          </w:p>
        </w:tc>
        <w:tc>
          <w:tcPr>
            <w:tcW w:w="4120" w:type="dxa"/>
            <w:vAlign w:val="bottom"/>
            <w:gridSpan w:val="6"/>
            <w:vMerge w:val="restart"/>
          </w:tcPr>
          <w:p>
            <w:pPr>
              <w:jc w:val="center"/>
              <w:ind w:right="20"/>
              <w:spacing w:after="0"/>
              <w:rPr>
                <w:sz w:val="20"/>
                <w:szCs w:val="20"/>
                <w:color w:val="auto"/>
              </w:rPr>
            </w:pPr>
            <w:r>
              <w:rPr>
                <w:rFonts w:ascii="Arial" w:cs="Arial" w:eastAsia="Arial" w:hAnsi="Arial"/>
                <w:sz w:val="29"/>
                <w:szCs w:val="29"/>
                <w:b w:val="1"/>
                <w:bCs w:val="1"/>
                <w:color w:val="auto"/>
                <w:w w:val="99"/>
              </w:rPr>
              <w:t>COMCAST CORPORATION</w:t>
            </w:r>
          </w:p>
        </w:tc>
        <w:tc>
          <w:tcPr>
            <w:tcW w:w="366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27-0000798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4120" w:type="dxa"/>
            <w:vAlign w:val="bottom"/>
            <w:gridSpan w:val="6"/>
            <w:vMerge w:val="continue"/>
          </w:tcPr>
          <w:p>
            <w:pPr>
              <w:spacing w:after="0"/>
              <w:rPr>
                <w:sz w:val="15"/>
                <w:szCs w:val="15"/>
                <w:color w:val="auto"/>
              </w:rPr>
            </w:pPr>
          </w:p>
        </w:tc>
        <w:tc>
          <w:tcPr>
            <w:tcW w:w="3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Pennsylvania</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2"/>
              </w:rPr>
              <w:t>One Comcast Center</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3"/>
              </w:rPr>
              <w:t>Philadelphia, PA 19103-2838</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40" w:type="dxa"/>
            <w:vAlign w:val="bottom"/>
            <w:gridSpan w:val="3"/>
          </w:tcPr>
          <w:p>
            <w:pPr>
              <w:jc w:val="center"/>
              <w:ind w:left="545"/>
              <w:spacing w:after="0"/>
              <w:rPr>
                <w:sz w:val="20"/>
                <w:szCs w:val="20"/>
                <w:color w:val="auto"/>
              </w:rPr>
            </w:pPr>
            <w:r>
              <w:rPr>
                <w:rFonts w:ascii="Arial" w:cs="Arial" w:eastAsia="Arial" w:hAnsi="Arial"/>
                <w:sz w:val="14"/>
                <w:szCs w:val="14"/>
                <w:b w:val="1"/>
                <w:bCs w:val="1"/>
                <w:color w:val="auto"/>
                <w:w w:val="93"/>
              </w:rPr>
              <w:t>(215) 286-1700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580" w:type="dxa"/>
            <w:vAlign w:val="bottom"/>
          </w:tcPr>
          <w:p>
            <w:pPr>
              <w:jc w:val="center"/>
              <w:ind w:right="428"/>
              <w:spacing w:after="0"/>
              <w:rPr>
                <w:sz w:val="20"/>
                <w:szCs w:val="20"/>
                <w:color w:val="auto"/>
              </w:rPr>
            </w:pPr>
            <w:r>
              <w:rPr>
                <w:rFonts w:ascii="Arial" w:cs="Arial" w:eastAsia="Arial" w:hAnsi="Arial"/>
                <w:sz w:val="14"/>
                <w:szCs w:val="14"/>
                <w:b w:val="1"/>
                <w:bCs w:val="1"/>
                <w:color w:val="auto"/>
                <w:w w:val="95"/>
              </w:rPr>
              <w:t>001-36438</w:t>
            </w:r>
          </w:p>
        </w:tc>
        <w:tc>
          <w:tcPr>
            <w:tcW w:w="4120" w:type="dxa"/>
            <w:vAlign w:val="bottom"/>
            <w:gridSpan w:val="6"/>
            <w:vMerge w:val="restart"/>
          </w:tcPr>
          <w:p>
            <w:pPr>
              <w:jc w:val="center"/>
              <w:ind w:right="20"/>
              <w:spacing w:after="0"/>
              <w:rPr>
                <w:sz w:val="20"/>
                <w:szCs w:val="20"/>
                <w:color w:val="auto"/>
              </w:rPr>
            </w:pPr>
            <w:r>
              <w:rPr>
                <w:rFonts w:ascii="Arial" w:cs="Arial" w:eastAsia="Arial" w:hAnsi="Arial"/>
                <w:sz w:val="29"/>
                <w:szCs w:val="29"/>
                <w:b w:val="1"/>
                <w:bCs w:val="1"/>
                <w:color w:val="auto"/>
              </w:rPr>
              <w:t>NBCUNIVERSAL MEDIA, LLC</w:t>
            </w:r>
          </w:p>
        </w:tc>
        <w:tc>
          <w:tcPr>
            <w:tcW w:w="366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14-1682529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4120" w:type="dxa"/>
            <w:vAlign w:val="bottom"/>
            <w:gridSpan w:val="6"/>
            <w:vMerge w:val="continue"/>
          </w:tcPr>
          <w:p>
            <w:pPr>
              <w:spacing w:after="0"/>
              <w:rPr>
                <w:sz w:val="15"/>
                <w:szCs w:val="15"/>
                <w:color w:val="auto"/>
              </w:rPr>
            </w:pPr>
          </w:p>
        </w:tc>
        <w:tc>
          <w:tcPr>
            <w:tcW w:w="3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4"/>
              </w:rPr>
              <w:t>Delaware</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3"/>
              </w:rPr>
              <w:t>30 Rockefeller Plaza</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5"/>
              </w:rPr>
              <w:t>New York, NY 10112-0015</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40" w:type="dxa"/>
            <w:vAlign w:val="bottom"/>
            <w:gridSpan w:val="3"/>
          </w:tcPr>
          <w:p>
            <w:pPr>
              <w:jc w:val="center"/>
              <w:ind w:left="545"/>
              <w:spacing w:after="0"/>
              <w:rPr>
                <w:sz w:val="20"/>
                <w:szCs w:val="20"/>
                <w:color w:val="auto"/>
              </w:rPr>
            </w:pPr>
            <w:r>
              <w:rPr>
                <w:rFonts w:ascii="Arial" w:cs="Arial" w:eastAsia="Arial" w:hAnsi="Arial"/>
                <w:sz w:val="14"/>
                <w:szCs w:val="14"/>
                <w:b w:val="1"/>
                <w:bCs w:val="1"/>
                <w:color w:val="auto"/>
                <w:w w:val="93"/>
              </w:rPr>
              <w:t>(212) 664-4444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580" w:type="dxa"/>
            <w:vAlign w:val="bottom"/>
            <w:tcBorders>
              <w:bottom w:val="single" w:sz="8" w:color="auto"/>
            </w:tcBorders>
          </w:tcPr>
          <w:p>
            <w:pPr>
              <w:jc w:val="center"/>
              <w:ind w:left="1148"/>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80" w:type="dxa"/>
            <w:vAlign w:val="bottom"/>
          </w:tcPr>
          <w:p>
            <w:pPr>
              <w:jc w:val="center"/>
              <w:ind w:left="1168"/>
              <w:spacing w:after="0"/>
              <w:rPr>
                <w:sz w:val="20"/>
                <w:szCs w:val="20"/>
                <w:color w:val="auto"/>
              </w:rPr>
            </w:pPr>
            <w:r>
              <w:rPr>
                <w:rFonts w:ascii="Arial" w:cs="Arial" w:eastAsia="Arial" w:hAnsi="Arial"/>
                <w:sz w:val="14"/>
                <w:szCs w:val="14"/>
                <w:color w:val="auto"/>
                <w:w w:val="92"/>
              </w:rPr>
              <w:t>Class A Common Stock, $0.01 par value</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3"/>
          </w:tcPr>
          <w:p>
            <w:pPr>
              <w:jc w:val="center"/>
              <w:ind w:right="1080"/>
              <w:spacing w:after="0"/>
              <w:rPr>
                <w:sz w:val="20"/>
                <w:szCs w:val="20"/>
                <w:color w:val="auto"/>
              </w:rPr>
            </w:pPr>
            <w:r>
              <w:rPr>
                <w:rFonts w:ascii="Arial" w:cs="Arial" w:eastAsia="Arial" w:hAnsi="Arial"/>
                <w:sz w:val="14"/>
                <w:szCs w:val="14"/>
                <w:color w:val="auto"/>
                <w:w w:val="98"/>
              </w:rPr>
              <w:t>CMCSA</w:t>
            </w:r>
          </w:p>
        </w:tc>
        <w:tc>
          <w:tcPr>
            <w:tcW w:w="3660" w:type="dxa"/>
            <w:vAlign w:val="bottom"/>
          </w:tcPr>
          <w:p>
            <w:pPr>
              <w:jc w:val="center"/>
              <w:ind w:right="848"/>
              <w:spacing w:after="0"/>
              <w:rPr>
                <w:sz w:val="20"/>
                <w:szCs w:val="20"/>
                <w:color w:val="auto"/>
              </w:rPr>
            </w:pPr>
            <w:r>
              <w:rPr>
                <w:rFonts w:ascii="Arial" w:cs="Arial" w:eastAsia="Arial" w:hAnsi="Arial"/>
                <w:sz w:val="14"/>
                <w:szCs w:val="14"/>
                <w:color w:val="auto"/>
                <w:w w:val="96"/>
              </w:rPr>
              <w:t>NASDAQ Global Select Market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80" w:type="dxa"/>
            <w:vAlign w:val="bottom"/>
            <w:gridSpan w:val="2"/>
          </w:tcPr>
          <w:p>
            <w:pPr>
              <w:jc w:val="center"/>
              <w:ind w:left="548"/>
              <w:spacing w:after="0"/>
              <w:rPr>
                <w:sz w:val="20"/>
                <w:szCs w:val="20"/>
                <w:color w:val="auto"/>
              </w:rPr>
            </w:pPr>
            <w:r>
              <w:rPr>
                <w:rFonts w:ascii="Arial" w:cs="Arial" w:eastAsia="Arial" w:hAnsi="Arial"/>
                <w:sz w:val="14"/>
                <w:szCs w:val="14"/>
                <w:color w:val="auto"/>
                <w:w w:val="91"/>
              </w:rPr>
              <w:t>2.0% Exchangeable Subordinated Debentures due 2029</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3"/>
          </w:tcPr>
          <w:p>
            <w:pPr>
              <w:jc w:val="center"/>
              <w:ind w:right="1060"/>
              <w:spacing w:after="0"/>
              <w:rPr>
                <w:sz w:val="20"/>
                <w:szCs w:val="20"/>
                <w:color w:val="auto"/>
              </w:rPr>
            </w:pPr>
            <w:r>
              <w:rPr>
                <w:rFonts w:ascii="Arial" w:cs="Arial" w:eastAsia="Arial" w:hAnsi="Arial"/>
                <w:sz w:val="14"/>
                <w:szCs w:val="14"/>
                <w:color w:val="auto"/>
                <w:w w:val="97"/>
              </w:rPr>
              <w:t>CCZ</w:t>
            </w:r>
          </w:p>
        </w:tc>
        <w:tc>
          <w:tcPr>
            <w:tcW w:w="3660" w:type="dxa"/>
            <w:vAlign w:val="bottom"/>
          </w:tcPr>
          <w:p>
            <w:pPr>
              <w:jc w:val="center"/>
              <w:ind w:right="868"/>
              <w:spacing w:after="0"/>
              <w:rPr>
                <w:sz w:val="20"/>
                <w:szCs w:val="20"/>
                <w:color w:val="auto"/>
              </w:rPr>
            </w:pPr>
            <w:r>
              <w:rPr>
                <w:rFonts w:ascii="Arial" w:cs="Arial" w:eastAsia="Arial" w:hAnsi="Arial"/>
                <w:sz w:val="14"/>
                <w:szCs w:val="14"/>
                <w:color w:val="auto"/>
                <w:w w:val="94"/>
              </w:rPr>
              <w:t>New York Stock Exchange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jc w:val="center"/>
              <w:ind w:left="1148"/>
              <w:spacing w:after="0"/>
              <w:rPr>
                <w:sz w:val="20"/>
                <w:szCs w:val="20"/>
                <w:color w:val="auto"/>
              </w:rPr>
            </w:pPr>
            <w:r>
              <w:rPr>
                <w:rFonts w:ascii="Arial" w:cs="Arial" w:eastAsia="Arial" w:hAnsi="Arial"/>
                <w:sz w:val="14"/>
                <w:szCs w:val="14"/>
                <w:color w:val="auto"/>
                <w:w w:val="92"/>
              </w:rPr>
              <w:t>5.50% Notes due 2029</w:t>
            </w: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3"/>
          </w:tcPr>
          <w:p>
            <w:pPr>
              <w:jc w:val="center"/>
              <w:ind w:right="1080"/>
              <w:spacing w:after="0"/>
              <w:rPr>
                <w:sz w:val="20"/>
                <w:szCs w:val="20"/>
                <w:color w:val="auto"/>
              </w:rPr>
            </w:pPr>
            <w:r>
              <w:rPr>
                <w:rFonts w:ascii="Arial" w:cs="Arial" w:eastAsia="Arial" w:hAnsi="Arial"/>
                <w:sz w:val="14"/>
                <w:szCs w:val="14"/>
                <w:color w:val="auto"/>
                <w:w w:val="94"/>
              </w:rPr>
              <w:t>CCGBP29</w:t>
            </w:r>
          </w:p>
        </w:tc>
        <w:tc>
          <w:tcPr>
            <w:tcW w:w="3660" w:type="dxa"/>
            <w:vAlign w:val="bottom"/>
          </w:tcPr>
          <w:p>
            <w:pPr>
              <w:jc w:val="center"/>
              <w:ind w:right="868"/>
              <w:spacing w:after="0"/>
              <w:rPr>
                <w:sz w:val="20"/>
                <w:szCs w:val="20"/>
                <w:color w:val="auto"/>
              </w:rPr>
            </w:pPr>
            <w:r>
              <w:rPr>
                <w:rFonts w:ascii="Arial" w:cs="Arial" w:eastAsia="Arial" w:hAnsi="Arial"/>
                <w:sz w:val="14"/>
                <w:szCs w:val="14"/>
                <w:color w:val="auto"/>
                <w:w w:val="94"/>
              </w:rPr>
              <w:t>New York Stock Exchange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jc w:val="center"/>
              <w:ind w:left="1148"/>
              <w:spacing w:after="0"/>
              <w:rPr>
                <w:sz w:val="20"/>
                <w:szCs w:val="20"/>
                <w:color w:val="auto"/>
              </w:rPr>
            </w:pPr>
            <w:r>
              <w:rPr>
                <w:rFonts w:ascii="Arial" w:cs="Arial" w:eastAsia="Arial" w:hAnsi="Arial"/>
                <w:sz w:val="14"/>
                <w:szCs w:val="14"/>
                <w:color w:val="auto"/>
                <w:w w:val="91"/>
              </w:rPr>
              <w:t>9.455% Guaranteed Notes due 2022</w:t>
            </w: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3"/>
          </w:tcPr>
          <w:p>
            <w:pPr>
              <w:jc w:val="center"/>
              <w:ind w:right="1060"/>
              <w:spacing w:after="0"/>
              <w:rPr>
                <w:sz w:val="20"/>
                <w:szCs w:val="20"/>
                <w:color w:val="auto"/>
              </w:rPr>
            </w:pPr>
            <w:r>
              <w:rPr>
                <w:rFonts w:ascii="Arial" w:cs="Arial" w:eastAsia="Arial" w:hAnsi="Arial"/>
                <w:sz w:val="14"/>
                <w:szCs w:val="14"/>
                <w:color w:val="auto"/>
                <w:w w:val="97"/>
              </w:rPr>
              <w:t>CMCSA/22</w:t>
            </w:r>
          </w:p>
        </w:tc>
        <w:tc>
          <w:tcPr>
            <w:tcW w:w="3660" w:type="dxa"/>
            <w:vAlign w:val="bottom"/>
          </w:tcPr>
          <w:p>
            <w:pPr>
              <w:jc w:val="center"/>
              <w:ind w:right="868"/>
              <w:spacing w:after="0"/>
              <w:rPr>
                <w:sz w:val="20"/>
                <w:szCs w:val="20"/>
                <w:color w:val="auto"/>
              </w:rPr>
            </w:pPr>
            <w:r>
              <w:rPr>
                <w:rFonts w:ascii="Arial" w:cs="Arial" w:eastAsia="Arial" w:hAnsi="Arial"/>
                <w:sz w:val="14"/>
                <w:szCs w:val="14"/>
                <w:color w:val="auto"/>
                <w:w w:val="94"/>
              </w:rPr>
              <w:t>New York Stock Exchange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72" w:lineRule="exact"/>
        <w:rPr>
          <w:sz w:val="24"/>
          <w:szCs w:val="24"/>
          <w:color w:val="auto"/>
        </w:rPr>
      </w:pPr>
    </w:p>
    <w:tbl>
      <w:tblPr>
        <w:tblLayout w:type="fixed"/>
        <w:tblInd w:w="3120" w:type="dxa"/>
        <w:tblCellMar>
          <w:top w:w="0" w:type="dxa"/>
          <w:left w:w="0" w:type="dxa"/>
          <w:bottom w:w="0" w:type="dxa"/>
          <w:right w:w="0" w:type="dxa"/>
        </w:tblCellMar>
      </w:tblPr>
      <w:tr>
        <w:trPr>
          <w:trHeight w:val="270"/>
        </w:trPr>
        <w:tc>
          <w:tcPr>
            <w:tcW w:w="2520" w:type="dxa"/>
            <w:vAlign w:val="bottom"/>
          </w:tcPr>
          <w:p>
            <w:pPr>
              <w:spacing w:after="0"/>
              <w:rPr>
                <w:sz w:val="20"/>
                <w:szCs w:val="20"/>
                <w:color w:val="auto"/>
              </w:rPr>
            </w:pPr>
            <w:r>
              <w:rPr>
                <w:rFonts w:ascii="Arial" w:cs="Arial" w:eastAsia="Arial" w:hAnsi="Arial"/>
                <w:sz w:val="14"/>
                <w:szCs w:val="14"/>
                <w:color w:val="auto"/>
              </w:rPr>
              <w:t>Comcast Corporation</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r>
        <w:trPr>
          <w:trHeight w:val="283"/>
        </w:trPr>
        <w:tc>
          <w:tcPr>
            <w:tcW w:w="252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bl>
    <w:p>
      <w:pPr>
        <w:spacing w:after="0" w:line="15" w:lineRule="exact"/>
        <w:rPr>
          <w:sz w:val="24"/>
          <w:szCs w:val="24"/>
          <w:color w:val="auto"/>
        </w:rPr>
      </w:pPr>
    </w:p>
    <w:p>
      <w:pPr>
        <w:ind w:right="20"/>
        <w:spacing w:after="0" w:line="3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65" w:lineRule="exact"/>
        <w:rPr>
          <w:sz w:val="24"/>
          <w:szCs w:val="24"/>
          <w:color w:val="auto"/>
        </w:rPr>
      </w:pPr>
    </w:p>
    <w:tbl>
      <w:tblPr>
        <w:tblLayout w:type="fixed"/>
        <w:tblInd w:w="3120" w:type="dxa"/>
        <w:tblCellMar>
          <w:top w:w="0" w:type="dxa"/>
          <w:left w:w="0" w:type="dxa"/>
          <w:bottom w:w="0" w:type="dxa"/>
          <w:right w:w="0" w:type="dxa"/>
        </w:tblCellMar>
      </w:tblPr>
      <w:tr>
        <w:trPr>
          <w:trHeight w:val="270"/>
        </w:trPr>
        <w:tc>
          <w:tcPr>
            <w:tcW w:w="2520" w:type="dxa"/>
            <w:vAlign w:val="bottom"/>
          </w:tcPr>
          <w:p>
            <w:pPr>
              <w:spacing w:after="0"/>
              <w:rPr>
                <w:sz w:val="20"/>
                <w:szCs w:val="20"/>
                <w:color w:val="auto"/>
              </w:rPr>
            </w:pPr>
            <w:r>
              <w:rPr>
                <w:rFonts w:ascii="Arial" w:cs="Arial" w:eastAsia="Arial" w:hAnsi="Arial"/>
                <w:sz w:val="14"/>
                <w:szCs w:val="14"/>
                <w:color w:val="auto"/>
              </w:rPr>
              <w:t>Comcast Corporation</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r>
        <w:trPr>
          <w:trHeight w:val="283"/>
        </w:trPr>
        <w:tc>
          <w:tcPr>
            <w:tcW w:w="252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bl>
    <w:p>
      <w:pPr>
        <w:spacing w:after="0" w:line="15" w:lineRule="exact"/>
        <w:rPr>
          <w:sz w:val="24"/>
          <w:szCs w:val="24"/>
          <w:color w:val="auto"/>
        </w:rPr>
      </w:pPr>
    </w:p>
    <w:p>
      <w:pPr>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5" w:lineRule="exact"/>
        <w:rPr>
          <w:sz w:val="24"/>
          <w:szCs w:val="24"/>
          <w:color w:val="auto"/>
        </w:rPr>
      </w:pPr>
    </w:p>
    <w:p>
      <w:pPr>
        <w:ind w:left="40"/>
        <w:spacing w:after="0" w:line="185" w:lineRule="exact"/>
        <w:tabs>
          <w:tab w:leader="none" w:pos="1940" w:val="left"/>
          <w:tab w:leader="none" w:pos="3520" w:val="left"/>
          <w:tab w:leader="none" w:pos="5000" w:val="left"/>
          <w:tab w:leader="none" w:pos="6780" w:val="left"/>
          <w:tab w:leader="none" w:pos="8900" w:val="left"/>
          <w:tab w:leader="none" w:pos="1104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Smaller reporting company</w:t>
      </w:r>
      <w:r>
        <w:rPr>
          <w:rFonts w:ascii="MS PGothic" w:cs="MS PGothic" w:eastAsia="MS PGothic" w:hAnsi="MS PGothic"/>
          <w:sz w:val="18"/>
          <w:szCs w:val="18"/>
          <w:color w:val="auto"/>
        </w:rPr>
        <w:tab/>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7"/>
          <w:szCs w:val="17"/>
          <w:color w:val="auto"/>
          <w:vertAlign w:val="superscript"/>
        </w:rPr>
        <w:t>☐</w:t>
      </w:r>
    </w:p>
    <w:p>
      <w:pPr>
        <w:spacing w:after="0" w:line="128" w:lineRule="exact"/>
        <w:rPr>
          <w:sz w:val="24"/>
          <w:szCs w:val="24"/>
          <w:color w:val="auto"/>
        </w:rPr>
      </w:pPr>
    </w:p>
    <w:p>
      <w:pPr>
        <w:ind w:left="40"/>
        <w:spacing w:after="0" w:line="185" w:lineRule="exact"/>
        <w:tabs>
          <w:tab w:leader="none" w:pos="1940" w:val="left"/>
          <w:tab w:leader="none" w:pos="3520" w:val="left"/>
          <w:tab w:leader="none" w:pos="5000" w:val="left"/>
          <w:tab w:leader="none" w:pos="6780" w:val="left"/>
          <w:tab w:leader="none" w:pos="8900" w:val="left"/>
          <w:tab w:leader="none" w:pos="1104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Smaller reporting company</w:t>
      </w:r>
      <w:r>
        <w:rPr>
          <w:rFonts w:ascii="MS PGothic" w:cs="MS PGothic" w:eastAsia="MS PGothic" w:hAnsi="MS PGothic"/>
          <w:sz w:val="18"/>
          <w:szCs w:val="18"/>
          <w:color w:val="auto"/>
        </w:rPr>
        <w:tab/>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7"/>
          <w:szCs w:val="17"/>
          <w:color w:val="auto"/>
          <w:vertAlign w:val="superscript"/>
        </w:rPr>
        <w:t>☐</w:t>
      </w:r>
    </w:p>
    <w:p>
      <w:pPr>
        <w:spacing w:after="0" w:line="57"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04" w:lineRule="exact"/>
        <w:rPr>
          <w:sz w:val="24"/>
          <w:szCs w:val="24"/>
          <w:color w:val="auto"/>
        </w:rPr>
      </w:pPr>
    </w:p>
    <w:tbl>
      <w:tblPr>
        <w:tblLayout w:type="fixed"/>
        <w:tblInd w:w="3620" w:type="dxa"/>
        <w:tblCellMar>
          <w:top w:w="0" w:type="dxa"/>
          <w:left w:w="0" w:type="dxa"/>
          <w:bottom w:w="0" w:type="dxa"/>
          <w:right w:w="0" w:type="dxa"/>
        </w:tblCellMar>
      </w:tblPr>
      <w:tr>
        <w:trPr>
          <w:trHeight w:val="270"/>
        </w:trPr>
        <w:tc>
          <w:tcPr>
            <w:tcW w:w="2800" w:type="dxa"/>
            <w:vAlign w:val="bottom"/>
          </w:tcPr>
          <w:p>
            <w:pPr>
              <w:spacing w:after="0"/>
              <w:rPr>
                <w:sz w:val="20"/>
                <w:szCs w:val="20"/>
                <w:color w:val="auto"/>
              </w:rPr>
            </w:pPr>
            <w:r>
              <w:rPr>
                <w:rFonts w:ascii="Arial" w:cs="Arial" w:eastAsia="Arial" w:hAnsi="Arial"/>
                <w:sz w:val="14"/>
                <w:szCs w:val="14"/>
                <w:color w:val="auto"/>
              </w:rPr>
              <w:t>Comcast Corporation</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ectPr>
          <w:pgSz w:w="11900" w:h="16838" w:orient="portrait"/>
          <w:cols w:equalWidth="0" w:num="1">
            <w:col w:w="11420"/>
          </w:cols>
          <w:pgMar w:left="240" w:top="498" w:right="239" w:bottom="1440" w:gutter="0" w:footer="0" w:header="0"/>
        </w:sectPr>
      </w:pPr>
    </w:p>
    <w:p>
      <w:pPr>
        <w:spacing w:after="0" w:line="190" w:lineRule="exact"/>
        <w:rPr>
          <w:sz w:val="24"/>
          <w:szCs w:val="24"/>
          <w:color w:val="auto"/>
        </w:rPr>
      </w:pPr>
    </w:p>
    <w:p>
      <w:pPr>
        <w:ind w:left="3180"/>
        <w:spacing w:after="0"/>
        <w:tabs>
          <w:tab w:leader="none" w:pos="62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1"/>
          <w:szCs w:val="11"/>
          <w:color w:val="auto"/>
        </w:rPr>
        <w:t>Yes</w:t>
      </w:r>
    </w:p>
    <w:p>
      <w:pPr>
        <w:spacing w:after="0" w:line="109" w:lineRule="exact"/>
        <w:rPr>
          <w:sz w:val="24"/>
          <w:szCs w:val="24"/>
          <w:color w:val="auto"/>
        </w:rPr>
      </w:pPr>
    </w:p>
    <w:p>
      <w:pPr>
        <w:ind w:left="3180"/>
        <w:spacing w:after="0"/>
        <w:tabs>
          <w:tab w:leader="none" w:pos="62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1"/>
          <w:szCs w:val="11"/>
          <w:color w:val="auto"/>
        </w:rPr>
        <w:t>Yes</w:t>
      </w:r>
    </w:p>
    <w:p>
      <w:pPr>
        <w:spacing w:after="0" w:line="82" w:lineRule="exact"/>
        <w:rPr>
          <w:sz w:val="24"/>
          <w:szCs w:val="24"/>
          <w:color w:val="auto"/>
        </w:rPr>
      </w:pPr>
    </w:p>
    <w:p>
      <w:pPr>
        <w:spacing w:after="0"/>
        <w:rPr>
          <w:sz w:val="20"/>
          <w:szCs w:val="20"/>
          <w:color w:val="auto"/>
        </w:rPr>
      </w:pPr>
      <w:r>
        <w:rPr>
          <w:rFonts w:ascii="Arial" w:cs="Arial" w:eastAsia="Arial" w:hAnsi="Arial"/>
          <w:sz w:val="12"/>
          <w:szCs w:val="12"/>
          <w:color w:val="auto"/>
        </w:rPr>
        <w:t>Indicate the number of shares outstanding of each of the registrant’s classes of stock, as of the latest practicable date: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tabs>
          <w:tab w:leader="none" w:pos="560" w:val="left"/>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122" w:lineRule="exact"/>
        <w:rPr>
          <w:sz w:val="24"/>
          <w:szCs w:val="24"/>
          <w:color w:val="auto"/>
        </w:rPr>
      </w:pPr>
    </w:p>
    <w:p>
      <w:pPr>
        <w:spacing w:after="0" w:line="161" w:lineRule="exact"/>
        <w:tabs>
          <w:tab w:leader="none" w:pos="560" w:val="left"/>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394" w:lineRule="exact"/>
        <w:rPr>
          <w:sz w:val="24"/>
          <w:szCs w:val="24"/>
          <w:color w:val="auto"/>
        </w:rPr>
      </w:pPr>
    </w:p>
    <w:p>
      <w:pPr>
        <w:sectPr>
          <w:pgSz w:w="11900" w:h="16838" w:orient="portrait"/>
          <w:cols w:equalWidth="0" w:num="2">
            <w:col w:w="6720" w:space="100"/>
            <w:col w:w="4600"/>
          </w:cols>
          <w:pgMar w:left="240" w:top="498" w:right="239" w:bottom="1440" w:gutter="0" w:footer="0" w:header="0"/>
          <w:type w:val="continuous"/>
        </w:sectPr>
      </w:pPr>
    </w:p>
    <w:p>
      <w:pPr>
        <w:spacing w:after="0"/>
        <w:rPr>
          <w:sz w:val="20"/>
          <w:szCs w:val="20"/>
          <w:color w:val="auto"/>
        </w:rPr>
      </w:pPr>
      <w:r>
        <w:rPr>
          <w:rFonts w:ascii="Arial" w:cs="Arial" w:eastAsia="Arial" w:hAnsi="Arial"/>
          <w:sz w:val="14"/>
          <w:szCs w:val="14"/>
          <w:color w:val="auto"/>
        </w:rPr>
        <w:t>As of June 30, 2019, there were 4,535,540,993 shares of Comcast Corporation Class A common stock and 9,444,375 shares of Class B common stock outstanding.</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193675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340" w:type="dxa"/>
            <w:vAlign w:val="bottom"/>
            <w:gridSpan w:val="20"/>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4760" w:type="dxa"/>
            <w:vAlign w:val="bottom"/>
            <w:gridSpan w:val="9"/>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Income (Unaudited)</w:t>
              </w:r>
            </w:hyperlink>
          </w:p>
        </w:tc>
        <w:tc>
          <w:tcPr>
            <w:tcW w:w="3600" w:type="dxa"/>
            <w:vAlign w:val="bottom"/>
            <w:gridSpan w:val="7"/>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Comprehensive Income (Unaudited)</w:t>
              </w:r>
            </w:hyperlink>
          </w:p>
        </w:tc>
        <w:tc>
          <w:tcPr>
            <w:tcW w:w="20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440" w:type="dxa"/>
            <w:vAlign w:val="bottom"/>
            <w:gridSpan w:val="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 (Unaudited)</w:t>
              </w:r>
            </w:hyperlink>
          </w:p>
        </w:tc>
        <w:tc>
          <w:tcPr>
            <w:tcW w:w="4080" w:type="dxa"/>
            <w:vAlign w:val="bottom"/>
            <w:gridSpan w:val="8"/>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Equity (Unaudited)</w:t>
              </w:r>
            </w:hyperlink>
          </w:p>
        </w:tc>
        <w:tc>
          <w:tcPr>
            <w:tcW w:w="204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top w:val="single" w:sz="8" w:color="0000EE"/>
            </w:tcBorders>
            <w:gridSpan w:val="1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Notes to Condensed Consolidated Financial Statements (Unaudited)</w:t>
              </w:r>
            </w:hyperlink>
          </w:p>
        </w:tc>
        <w:tc>
          <w:tcPr>
            <w:tcW w:w="2820" w:type="dxa"/>
            <w:vAlign w:val="bottom"/>
            <w:gridSpan w:val="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9">
              <w:r>
                <w:rPr>
                  <w:rFonts w:ascii="Arial" w:cs="Arial" w:eastAsia="Arial" w:hAnsi="Arial"/>
                  <w:sz w:val="18"/>
                  <w:szCs w:val="18"/>
                  <w:color w:val="2C2C2C"/>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6080" w:type="dxa"/>
            <w:vAlign w:val="bottom"/>
            <w:gridSpan w:val="11"/>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OTHER INFORMATION</w:t>
              </w:r>
            </w:hyperlink>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Legal Proceedings</w:t>
              </w:r>
            </w:hyperlink>
          </w:p>
        </w:tc>
        <w:tc>
          <w:tcPr>
            <w:tcW w:w="6520" w:type="dxa"/>
            <w:vAlign w:val="bottom"/>
            <w:gridSpan w:val="1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786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5.</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Other Information</w:t>
              </w:r>
            </w:hyperlink>
          </w:p>
        </w:tc>
        <w:tc>
          <w:tcPr>
            <w:tcW w:w="6540" w:type="dxa"/>
            <w:vAlign w:val="bottom"/>
            <w:gridSpan w:val="14"/>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786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52">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NBCUniversal Media, LLC Financial Statements</w:t>
              </w:r>
            </w:hyperlink>
          </w:p>
        </w:tc>
        <w:tc>
          <w:tcPr>
            <w:tcW w:w="20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NBCUniversal Enterprise, Inc. as “NBCUniversal Enterprise;” and Sky Limited and its consolidated subsidiaries as “Sky.”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six months ended June 30, 2019.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302" w:lineRule="auto"/>
        <w:rPr>
          <w:sz w:val="20"/>
          <w:szCs w:val="20"/>
          <w:color w:val="auto"/>
        </w:rPr>
      </w:pPr>
      <w:r>
        <w:rPr>
          <w:rFonts w:ascii="Arial" w:cs="Arial" w:eastAsia="Arial" w:hAnsi="Arial"/>
          <w:sz w:val="16"/>
          <w:szCs w:val="16"/>
          <w:color w:val="auto"/>
        </w:rPr>
        <w:t>“believes,” “estimates,” “potential,” or “continue,” or the negative of these words, and other comparable words. You should be aware that these statements are only our predictions. In evaluating these statements, you should consider various factors, including 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programming expenses for our video services are increasing, which could adversely affect Cable Communications’ and Sky’s video businesses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loss of Sky’s wholesale distribution agreements with traditional multichannel video providers could adversely affect Sky’s businesses</w:t>
      </w:r>
    </w:p>
    <w:p>
      <w:pPr>
        <w:spacing w:after="0" w:line="74"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including our acquisition of Sky, and other strategic initiatives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unfavorable litigation or governmental investigation results could require us to pay significant amounts or lead to onerous operating procedures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26,858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21,735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53,717</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44,526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8,255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6,300</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16,824</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13,729</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8,086</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6,365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15,986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12,879</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1,885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1,653</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3,773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3,257</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2,197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4,437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4,032</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1,079</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582</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2,159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21,502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16,721</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43,179</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34,867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5,356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5,014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10,538</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9,659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(1,137)</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(806)</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(2,287)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621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4,164</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4,285</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8,872</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8,279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(961)</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(1,077)</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(2,037)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3,203</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3,208</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6,835</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6,384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78</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3,125</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3,216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6,678</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6,334</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0.69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0.70</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1.47</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1.37</w:t>
            </w:r>
          </w:p>
        </w:tc>
      </w:tr>
      <w:tr>
        <w:trPr>
          <w:trHeight w:val="252"/>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2"/>
              </w:rPr>
              <w:t>Diluted earnings per common share attributable to Comcast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0.68</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0.69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1.45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3,203</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3,208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6,835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6,384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deferred taxes of $—, $—, $— and $—</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89"/>
              </w:rPr>
              <w:t>Deferred gains (losses) on cash flow hedges, net of deferred taxes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of $2, $12, $11 and $3</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123</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64</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1"/>
              </w:rPr>
              <w:t>Realized (gains) losses on cash flow hedges, net of deferred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taxes of $7, $(14), $(4) and $(8)</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$2, $3, $5 and $5</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4"/>
              </w:rPr>
              <w:t>Currency translation adjustments, net of deferred taxes of $(6),</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$44, $(18) and $(3)</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(566)</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2,707</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3,032</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7,139</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6,365</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78</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157</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2,641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3,069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6,984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6,340</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6,835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6,384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6,596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5,002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533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168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(367)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466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295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970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(815)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14,271</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12,537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(4,355)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(1,078)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(114)</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businesses and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(1,605)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(7,414)</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(5,306)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(801)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363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(4,156)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(350)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(1,823)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190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(6,732)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(4,960)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2,271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3,909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3,571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4,019</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5,842</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31"/>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3,919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3,814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10,835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11,104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1,947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4,660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3,184</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21,361</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21,848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8,553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7,837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8,438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7,883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$52,467 and $51,306</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46,047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44,437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67,945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66,154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$15,894 and $14,194</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36,076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38,358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8,770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5,802</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256,555</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251,684</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10,014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8,494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1,683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2,642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10,304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10,721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6,365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4,398</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31,008</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27,603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101,248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107,345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27,996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27,589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17,144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15,329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1,329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5,408,332,021 and</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5,389,309,175; outstanding, 4,535,540,993 and 4,516,518,147</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37,950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37,461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46,425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41,983</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340" w:type="dxa"/>
            <w:vAlign w:val="bottom"/>
          </w:tcPr>
          <w:p>
            <w:pPr>
              <w:spacing w:after="0"/>
              <w:rPr>
                <w:sz w:val="23"/>
                <w:szCs w:val="23"/>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23"/>
                <w:szCs w:val="23"/>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76,850</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71,613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980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77,830</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72,502</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256,555</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251,684</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3"/>
          </w:tcPr>
          <w:p>
            <w:pPr>
              <w:jc w:val="right"/>
              <w:ind w:right="859"/>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w w:val="89"/>
              </w:rPr>
              <w:t>2018</w:t>
            </w:r>
          </w:p>
        </w:tc>
      </w:tr>
      <w:tr>
        <w:trPr>
          <w:trHeight w:val="215"/>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Redeemable Noncontrolling Interests and Redeemable Subsidiary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5200" w:type="dxa"/>
            <w:vAlign w:val="bottom"/>
          </w:tcPr>
          <w:p>
            <w:pPr>
              <w:ind w:left="200"/>
              <w:spacing w:after="0"/>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1,316</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1,354</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1,316</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1,357</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1,329</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1,343</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1,329</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1,343</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72"/>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Class A common stock</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53"/>
        </w:trPr>
        <w:tc>
          <w:tcPr>
            <w:tcW w:w="5200" w:type="dxa"/>
            <w:vAlign w:val="bottom"/>
          </w:tcPr>
          <w:p>
            <w:pPr>
              <w:ind w:left="280"/>
              <w:spacing w:after="0"/>
              <w:rPr>
                <w:sz w:val="20"/>
                <w:szCs w:val="20"/>
                <w:color w:val="auto"/>
              </w:rPr>
            </w:pPr>
            <w:r>
              <w:rPr>
                <w:rFonts w:ascii="Arial" w:cs="Arial" w:eastAsia="Arial" w:hAnsi="Arial"/>
                <w:sz w:val="16"/>
                <w:szCs w:val="16"/>
                <w:color w:val="auto"/>
                <w:w w:val="94"/>
              </w:rPr>
              <w:t>Repurchases of common stock under repurchase program and employee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6"/>
        </w:trPr>
        <w:tc>
          <w:tcPr>
            <w:tcW w:w="5200" w:type="dxa"/>
            <w:vAlign w:val="bottom"/>
          </w:tcPr>
          <w:p>
            <w:pPr>
              <w:ind w:left="440"/>
              <w:spacing w:after="0"/>
              <w:rPr>
                <w:sz w:val="20"/>
                <w:szCs w:val="20"/>
                <w:color w:val="auto"/>
              </w:rPr>
            </w:pPr>
            <w:r>
              <w:rPr>
                <w:rFonts w:ascii="Arial" w:cs="Arial" w:eastAsia="Arial" w:hAnsi="Arial"/>
                <w:sz w:val="16"/>
                <w:szCs w:val="16"/>
                <w:color w:val="auto"/>
              </w:rPr>
              <w:t>plans</w:t>
            </w: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54</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54</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54</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54</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72"/>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Additional Paid-In Capital</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37,621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37,375</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37,461</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37,497</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Stock compensation plans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237</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163</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253"/>
        </w:trPr>
        <w:tc>
          <w:tcPr>
            <w:tcW w:w="5200" w:type="dxa"/>
            <w:vAlign w:val="bottom"/>
          </w:tcPr>
          <w:p>
            <w:pPr>
              <w:ind w:left="280"/>
              <w:spacing w:after="0"/>
              <w:rPr>
                <w:sz w:val="20"/>
                <w:szCs w:val="20"/>
                <w:color w:val="auto"/>
              </w:rPr>
            </w:pPr>
            <w:r>
              <w:rPr>
                <w:rFonts w:ascii="Arial" w:cs="Arial" w:eastAsia="Arial" w:hAnsi="Arial"/>
                <w:sz w:val="16"/>
                <w:szCs w:val="16"/>
                <w:color w:val="auto"/>
                <w:w w:val="94"/>
              </w:rPr>
              <w:t>Repurchases of common stock under repurchase program and employee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6"/>
        </w:trPr>
        <w:tc>
          <w:tcPr>
            <w:tcW w:w="5200" w:type="dxa"/>
            <w:vAlign w:val="bottom"/>
          </w:tcPr>
          <w:p>
            <w:pPr>
              <w:ind w:left="440"/>
              <w:spacing w:after="0"/>
              <w:rPr>
                <w:sz w:val="20"/>
                <w:szCs w:val="20"/>
                <w:color w:val="auto"/>
              </w:rPr>
            </w:pPr>
            <w:r>
              <w:rPr>
                <w:rFonts w:ascii="Arial" w:cs="Arial" w:eastAsia="Arial" w:hAnsi="Arial"/>
                <w:sz w:val="16"/>
                <w:szCs w:val="16"/>
                <w:color w:val="auto"/>
              </w:rPr>
              <w:t>plans</w:t>
            </w: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Employee stock purchase plans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64</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37,950</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37,427</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37,950</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37,427</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Retained Earnings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44,379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38,961</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41,983</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38,202</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3"/>
        </w:trPr>
        <w:tc>
          <w:tcPr>
            <w:tcW w:w="5200" w:type="dxa"/>
            <w:vAlign w:val="bottom"/>
          </w:tcPr>
          <w:p>
            <w:pPr>
              <w:ind w:left="280"/>
              <w:spacing w:after="0"/>
              <w:rPr>
                <w:sz w:val="20"/>
                <w:szCs w:val="20"/>
                <w:color w:val="auto"/>
              </w:rPr>
            </w:pPr>
            <w:r>
              <w:rPr>
                <w:rFonts w:ascii="Arial" w:cs="Arial" w:eastAsia="Arial" w:hAnsi="Arial"/>
                <w:sz w:val="16"/>
                <w:szCs w:val="16"/>
                <w:color w:val="auto"/>
                <w:w w:val="94"/>
              </w:rPr>
              <w:t>Repurchases of common stock under repurchase program and employee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6"/>
        </w:trPr>
        <w:tc>
          <w:tcPr>
            <w:tcW w:w="5200" w:type="dxa"/>
            <w:vAlign w:val="bottom"/>
          </w:tcPr>
          <w:p>
            <w:pPr>
              <w:ind w:left="440"/>
              <w:spacing w:after="0"/>
              <w:rPr>
                <w:sz w:val="20"/>
                <w:szCs w:val="20"/>
                <w:color w:val="auto"/>
              </w:rPr>
            </w:pPr>
            <w:r>
              <w:rPr>
                <w:rFonts w:ascii="Arial" w:cs="Arial" w:eastAsia="Arial" w:hAnsi="Arial"/>
                <w:sz w:val="16"/>
                <w:szCs w:val="16"/>
                <w:color w:val="auto"/>
              </w:rPr>
              <w:t>plans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w:t>
            </w:r>
          </w:p>
        </w:tc>
        <w:tc>
          <w:tcPr>
            <w:tcW w:w="4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(1,034)</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w:t>
            </w: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(2,466)</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(964)</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(876)</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(1,928)</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3,125</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3,216</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6,678</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6,334</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46,425</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40,269</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46,425</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40,269</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Treasury Stock at Cost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(7,517)</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(7,517)</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(7,517)</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(7,517)</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(7,517)</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(7,517)</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(7,517)</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(7,517)</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Accumulated Other Comprehensive Income (Loss)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608</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(368)</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379</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(484)</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(147)</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461</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461</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Noncontrolling Interests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903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1,228</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889</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843</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4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980</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1,049</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980</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1,049</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22"/>
        </w:trPr>
        <w:tc>
          <w:tcPr>
            <w:tcW w:w="5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r>
        <w:trPr>
          <w:trHeight w:val="231"/>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77,830</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71,743</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77,830</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71,743</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22"/>
        </w:trPr>
        <w:tc>
          <w:tcPr>
            <w:tcW w:w="5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r>
        <w:trPr>
          <w:trHeight w:val="231"/>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Cash dividends declared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0.21</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0.19</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0.42</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20955</wp:posOffset>
            </wp:positionV>
            <wp:extent cx="7143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340"/>
          </w:cols>
          <w:pgMar w:left="240" w:top="121" w:right="319" w:bottom="0" w:gutter="0" w:footer="0" w:header="0"/>
        </w:sect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121" w:right="319" w:bottom="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2018 Annual Report on Form 10-K and the notes within this Form 10-Q.</w:t>
      </w:r>
    </w:p>
    <w:p>
      <w:pPr>
        <w:spacing w:after="0" w:line="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2018, we acquired a 100% interest in Sky through a series of transactions, for total cash consideration of £30.2 billion (approximately $39.4 billion using the exchange rates on the purchase dates). See Note 6 for additional information on the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2019. See Note 7 for a discussion of the effects of the adoption of new accounting pronouncements on our condensed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present our operations in six reportable business segments: (1) Comcast Cable in one reportable business segment, referred to as Cable Communications;</w:t>
      </w:r>
    </w:p>
    <w:p>
      <w:pPr>
        <w:spacing w:after="0" w:line="46" w:lineRule="exact"/>
        <w:rPr>
          <w:sz w:val="20"/>
          <w:szCs w:val="20"/>
          <w:color w:val="auto"/>
        </w:rPr>
      </w:pPr>
    </w:p>
    <w:p>
      <w:pPr>
        <w:ind w:right="20" w:firstLine="8"/>
        <w:spacing w:after="0" w:line="261" w:lineRule="auto"/>
        <w:tabs>
          <w:tab w:leader="none" w:pos="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in four reportable business segments: Cable Networks, Broadcast Television, Filmed Entertainment and Theme Parks (collectively, the “NBCUniversal segments”); and (3) Sky in one reportable business segment.</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segment consists of the operations of Comcast Cable, which is one of the nation’s largest providers of high-speed internet, video, voice, wireless, and security and automation services (“cable services”) to residential customers under the Xfinity brand; we also provide these and other services to business customers and sell advertising.</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segment consists of the operations of Sky,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Comcast Corporation excluded from Adjusted EBITDA are not separately evaluated. 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2018 operating results were reclassified related to certain NBCUniversal businesses now presented in the Sky segment. Our financial data by business segment is presented in the tables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color w:val="auto"/>
                <w:w w:val="92"/>
              </w:rPr>
              <w:t>Three Months Ended June 30, 2019</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4"/>
              </w:rPr>
              <w:t>Depreciation and</w:t>
            </w:r>
          </w:p>
        </w:tc>
        <w:tc>
          <w:tcPr>
            <w:tcW w:w="280" w:type="dxa"/>
            <w:vAlign w:val="bottom"/>
          </w:tcPr>
          <w:p>
            <w:pPr>
              <w:spacing w:after="0"/>
              <w:rPr>
                <w:sz w:val="13"/>
                <w:szCs w:val="13"/>
                <w:color w:val="auto"/>
              </w:rPr>
            </w:pPr>
          </w:p>
        </w:tc>
        <w:tc>
          <w:tcPr>
            <w:tcW w:w="98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center"/>
              <w:ind w:right="52"/>
              <w:spacing w:after="0" w:line="157" w:lineRule="exact"/>
              <w:rPr>
                <w:sz w:val="20"/>
                <w:szCs w:val="20"/>
                <w:color w:val="auto"/>
              </w:rPr>
            </w:pPr>
            <w:r>
              <w:rPr>
                <w:rFonts w:ascii="Arial" w:cs="Arial" w:eastAsia="Arial" w:hAnsi="Arial"/>
                <w:sz w:val="14"/>
                <w:szCs w:val="14"/>
                <w:color w:val="auto"/>
                <w:w w:val="91"/>
              </w:rPr>
              <w:t>Cash Paid for</w:t>
            </w:r>
          </w:p>
        </w:tc>
        <w:tc>
          <w:tcPr>
            <w:tcW w:w="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2"/>
              </w:rPr>
              <w:t>Expenditures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Intangible Assets</w:t>
            </w:r>
          </w:p>
        </w:tc>
        <w:tc>
          <w:tcPr>
            <w:tcW w:w="20" w:type="dxa"/>
            <w:vAlign w:val="bottom"/>
          </w:tcPr>
          <w:p>
            <w:pPr>
              <w:spacing w:after="0"/>
              <w:rPr>
                <w:sz w:val="16"/>
                <w:szCs w:val="16"/>
                <w:color w:val="auto"/>
              </w:rPr>
            </w:pPr>
          </w:p>
        </w:tc>
      </w:tr>
      <w:tr>
        <w:trPr>
          <w:trHeight w:val="243"/>
        </w:trPr>
        <w:tc>
          <w:tcPr>
            <w:tcW w:w="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2,947</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2,402</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1,457</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(86)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8,206</w:t>
            </w:r>
          </w:p>
        </w:tc>
        <w:tc>
          <w:tcPr>
            <w:tcW w:w="3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2,324</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Sky</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4,828</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(682)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26,858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8,716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3,276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2,263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531</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99"/>
        </w:trPr>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color w:val="auto"/>
                <w:w w:val="92"/>
              </w:rPr>
              <w:t>Three Months Ended June 30, 2018</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4"/>
              </w:rPr>
              <w:t>Depreciation and</w:t>
            </w:r>
          </w:p>
        </w:tc>
        <w:tc>
          <w:tcPr>
            <w:tcW w:w="280" w:type="dxa"/>
            <w:vAlign w:val="bottom"/>
          </w:tcPr>
          <w:p>
            <w:pPr>
              <w:spacing w:after="0"/>
              <w:rPr>
                <w:sz w:val="13"/>
                <w:szCs w:val="13"/>
                <w:color w:val="auto"/>
              </w:rPr>
            </w:pPr>
          </w:p>
        </w:tc>
        <w:tc>
          <w:tcPr>
            <w:tcW w:w="98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center"/>
              <w:ind w:right="52"/>
              <w:spacing w:after="0" w:line="157" w:lineRule="exact"/>
              <w:rPr>
                <w:sz w:val="20"/>
                <w:szCs w:val="20"/>
                <w:color w:val="auto"/>
              </w:rPr>
            </w:pPr>
            <w:r>
              <w:rPr>
                <w:rFonts w:ascii="Arial" w:cs="Arial" w:eastAsia="Arial" w:hAnsi="Arial"/>
                <w:sz w:val="14"/>
                <w:szCs w:val="14"/>
                <w:color w:val="auto"/>
                <w:w w:val="91"/>
              </w:rPr>
              <w:t>Cash Paid for</w:t>
            </w:r>
          </w:p>
        </w:tc>
        <w:tc>
          <w:tcPr>
            <w:tcW w:w="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2"/>
              </w:rPr>
              <w:t>Expenditures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Intangible Assets</w:t>
            </w:r>
          </w:p>
        </w:tc>
        <w:tc>
          <w:tcPr>
            <w:tcW w:w="20" w:type="dxa"/>
            <w:vAlign w:val="bottom"/>
          </w:tcPr>
          <w:p>
            <w:pPr>
              <w:spacing w:after="0"/>
              <w:rPr>
                <w:sz w:val="16"/>
                <w:szCs w:val="16"/>
                <w:color w:val="auto"/>
              </w:rPr>
            </w:pPr>
          </w:p>
        </w:tc>
      </w:tr>
      <w:tr>
        <w:trPr>
          <w:trHeight w:val="243"/>
        </w:trPr>
        <w:tc>
          <w:tcPr>
            <w:tcW w:w="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5,449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2,874</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1,176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2,391</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(78)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8,273</w:t>
            </w:r>
          </w:p>
        </w:tc>
        <w:tc>
          <w:tcPr>
            <w:tcW w:w="3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0"/>
                <w:szCs w:val="20"/>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(546)</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21,735</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7,417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2,603</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511</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86"/>
        </w:trPr>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2019</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80" w:type="dxa"/>
            <w:vAlign w:val="bottom"/>
          </w:tcPr>
          <w:p>
            <w:pPr>
              <w:spacing w:after="0"/>
              <w:rPr>
                <w:sz w:val="13"/>
                <w:szCs w:val="13"/>
                <w:color w:val="auto"/>
              </w:rPr>
            </w:pPr>
          </w:p>
        </w:tc>
        <w:tc>
          <w:tcPr>
            <w:tcW w:w="98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right"/>
              <w:ind w:right="132"/>
              <w:spacing w:after="0" w:line="157" w:lineRule="exact"/>
              <w:rPr>
                <w:sz w:val="20"/>
                <w:szCs w:val="20"/>
                <w:color w:val="auto"/>
              </w:rPr>
            </w:pPr>
            <w:r>
              <w:rPr>
                <w:rFonts w:ascii="Arial" w:cs="Arial" w:eastAsia="Arial" w:hAnsi="Arial"/>
                <w:sz w:val="14"/>
                <w:szCs w:val="14"/>
                <w:color w:val="auto"/>
              </w:rPr>
              <w:t>Cash Paid for</w:t>
            </w:r>
          </w:p>
        </w:tc>
        <w:tc>
          <w:tcPr>
            <w:tcW w:w="20" w:type="dxa"/>
            <w:vAlign w:val="bottom"/>
          </w:tcPr>
          <w:p>
            <w:pPr>
              <w:spacing w:after="0"/>
              <w:rPr>
                <w:sz w:val="13"/>
                <w:szCs w:val="13"/>
                <w:color w:val="auto"/>
              </w:rPr>
            </w:pPr>
          </w:p>
        </w:tc>
      </w:tr>
      <w:tr>
        <w:trPr>
          <w:trHeight w:val="188"/>
        </w:trPr>
        <w:tc>
          <w:tcPr>
            <w:tcW w:w="4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99"/>
              </w:rPr>
              <w:t>Revenue</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1"/>
              </w:rPr>
              <w:t>Intangible Assets</w:t>
            </w:r>
          </w:p>
        </w:tc>
        <w:tc>
          <w:tcPr>
            <w:tcW w:w="20" w:type="dxa"/>
            <w:vAlign w:val="bottom"/>
            <w:tcBorders>
              <w:bottom w:val="single" w:sz="8" w:color="auto"/>
            </w:tcBorders>
          </w:tcPr>
          <w:p>
            <w:pPr>
              <w:spacing w:after="0"/>
              <w:rPr>
                <w:sz w:val="16"/>
                <w:szCs w:val="16"/>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Cable Communications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28,730</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11,582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21"/>
                <w:szCs w:val="2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Cable Networks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5,815</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4,869</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Filmed Entertainment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3,225</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2,740</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4"/>
                <w:szCs w:val="24"/>
                <w:color w:val="auto"/>
              </w:rPr>
            </w:pPr>
          </w:p>
        </w:tc>
      </w:tr>
      <w:tr>
        <w:trPr>
          <w:trHeight w:val="257"/>
        </w:trPr>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tcPr>
          <w:p>
            <w:pPr>
              <w:ind w:left="3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16,519</w:t>
            </w:r>
          </w:p>
        </w:tc>
        <w:tc>
          <w:tcPr>
            <w:tcW w:w="3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4,661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0"/>
                <w:szCs w:val="20"/>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Sky</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9,625</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1,435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3"/>
                <w:szCs w:val="23"/>
                <w:color w:val="auto"/>
              </w:rPr>
            </w:pPr>
          </w:p>
        </w:tc>
      </w:tr>
      <w:tr>
        <w:trPr>
          <w:trHeight w:val="31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r>
      <w:tr>
        <w:trPr>
          <w:trHeight w:val="257"/>
        </w:trPr>
        <w:tc>
          <w:tcPr>
            <w:tcW w:w="492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53,717</w:t>
            </w:r>
          </w:p>
        </w:tc>
        <w:tc>
          <w:tcPr>
            <w:tcW w:w="300" w:type="dxa"/>
            <w:vAlign w:val="bottom"/>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17,269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6,596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4,355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1,078</w:t>
            </w:r>
          </w:p>
        </w:tc>
        <w:tc>
          <w:tcPr>
            <w:tcW w:w="2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2018</w:t>
            </w: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3"/>
              <w:spacing w:after="0" w:line="157" w:lineRule="exact"/>
              <w:rPr>
                <w:sz w:val="20"/>
                <w:szCs w:val="20"/>
                <w:color w:val="auto"/>
              </w:rPr>
            </w:pPr>
            <w:r>
              <w:rPr>
                <w:rFonts w:ascii="Arial" w:cs="Arial" w:eastAsia="Arial" w:hAnsi="Arial"/>
                <w:sz w:val="14"/>
                <w:szCs w:val="14"/>
                <w:color w:val="auto"/>
                <w:w w:val="94"/>
              </w:rPr>
              <w:t>Depreciation and</w:t>
            </w:r>
          </w:p>
        </w:tc>
        <w:tc>
          <w:tcPr>
            <w:tcW w:w="280" w:type="dxa"/>
            <w:vAlign w:val="bottom"/>
          </w:tcPr>
          <w:p>
            <w:pPr>
              <w:spacing w:after="0"/>
              <w:rPr>
                <w:sz w:val="13"/>
                <w:szCs w:val="13"/>
                <w:color w:val="auto"/>
              </w:rPr>
            </w:pPr>
          </w:p>
        </w:tc>
        <w:tc>
          <w:tcPr>
            <w:tcW w:w="980" w:type="dxa"/>
            <w:vAlign w:val="bottom"/>
          </w:tcPr>
          <w:p>
            <w:pPr>
              <w:jc w:val="right"/>
              <w:ind w:right="293"/>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27,615</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10,666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6,031</w:t>
            </w:r>
          </w:p>
        </w:tc>
        <w:tc>
          <w:tcPr>
            <w:tcW w:w="46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5,888</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3,357</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2,642</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135</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17,770</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4,421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44,526</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14,661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5,202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930</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entered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advertising to our Cable Communications segment</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 party revenue</w:t>
      </w:r>
    </w:p>
    <w:p>
      <w:pPr>
        <w:spacing w:after="0" w:line="11"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Filmed Entertainment, Cable Networks and Broadcast Television segments generate revenue by licensing content to our Sky segment</w:t>
      </w:r>
    </w:p>
    <w:p>
      <w:pPr>
        <w:spacing w:after="0" w:line="176"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operations of Comcast Spectacor, which owns the Philadelphia Flyers and the Wells Fargo Center arena in Philadelphia, Pennsylvania, as well as other business development initiatives.</w:t>
      </w:r>
    </w:p>
    <w:p>
      <w:pPr>
        <w:spacing w:after="0" w:line="25"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0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2018</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8,716</w:t>
            </w:r>
          </w:p>
        </w:tc>
        <w:tc>
          <w:tcPr>
            <w:tcW w:w="9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7,417</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17,269</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14,661</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94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5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(2,197)</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w w:val="90"/>
              </w:rPr>
              <w:t>(2,021)</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(4,437)</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(4,032)</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(1,079)</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(582)</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(2,159)</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80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200</w:t>
            </w:r>
          </w:p>
        </w:tc>
        <w:tc>
          <w:tcPr>
            <w:tcW w:w="420" w:type="dxa"/>
            <w:vAlign w:val="bottom"/>
          </w:tcPr>
          <w:p>
            <w:pPr>
              <w:spacing w:after="0"/>
              <w:rPr>
                <w:sz w:val="23"/>
                <w:szCs w:val="23"/>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(1,137)</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(806)</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(2,287)</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(1,583)</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621</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4,164</w:t>
            </w:r>
          </w:p>
        </w:tc>
        <w:tc>
          <w:tcPr>
            <w:tcW w:w="9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4,285</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8,872</w:t>
            </w: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8,279</w:t>
            </w:r>
          </w:p>
        </w:tc>
      </w:tr>
    </w:tbl>
    <w:p>
      <w:pPr>
        <w:spacing w:after="0" w:line="265" w:lineRule="exact"/>
        <w:rPr>
          <w:sz w:val="20"/>
          <w:szCs w:val="20"/>
          <w:color w:val="auto"/>
        </w:rPr>
      </w:pPr>
    </w:p>
    <w:p>
      <w:pPr>
        <w:jc w:val="both"/>
        <w:ind w:left="340" w:hanging="332"/>
        <w:spacing w:after="0" w:line="25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entered into with our other segments.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w w:val="96"/>
              </w:rPr>
              <w:t>2018</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4,663</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4,262</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9,240</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8,419</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5,594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5,628</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11,222</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11,287</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982</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994</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1,972</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244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202</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469</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387</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1,933</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1,761</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3,824</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3,487</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607</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666</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1,163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427</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399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840</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787</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35"/>
        </w:trPr>
        <w:tc>
          <w:tcPr>
            <w:tcW w:w="526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(a)(b)</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14,450</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13,912</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28,730</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27,615</w:t>
            </w:r>
          </w:p>
        </w:tc>
      </w:tr>
      <w:tr>
        <w:trPr>
          <w:trHeight w:val="334"/>
        </w:trPr>
        <w:tc>
          <w:tcPr>
            <w:tcW w:w="52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1,707</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1,650</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3,442</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3,511</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931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929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1,783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1,906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295</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590</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614</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2,947</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2,874</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5,815</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6,031</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1,329</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1,387</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2,646</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3,752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472</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481</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1,032</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601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523</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1,191</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2,402</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2,391</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4,869</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5,888</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252</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540</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697</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712</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648</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1,529</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1,381</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229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496</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264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297</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503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540</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1,457</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1,710</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3,225</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3,357</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1,464</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1,361</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2,740</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2,642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(86)</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(169)</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8,206</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8,273</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16,519</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17,770</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Direct-to-consumer</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3,889</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7,723</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376</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746</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563</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1,156</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Sky</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4,828</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9,625</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72"/>
        </w:trPr>
        <w:tc>
          <w:tcPr>
            <w:tcW w:w="526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(b)</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339</w:t>
            </w:r>
          </w:p>
        </w:tc>
      </w:tr>
      <w:tr>
        <w:trPr>
          <w:trHeight w:val="257"/>
        </w:trPr>
        <w:tc>
          <w:tcPr>
            <w:tcW w:w="526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(682)</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(546)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(1,321)</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26,858</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21,735</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rPr>
              <w:t>53,717</w:t>
            </w:r>
          </w:p>
        </w:tc>
        <w:tc>
          <w:tcPr>
            <w:tcW w:w="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44,526</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both the three and six months ended June 30, 2019, 2.5% of Cable Communications segment revenue was derived from franchise and other regulatory fees. For both the three and six months ended June 30, 2018, 2.7% of Cable Communications segment revenue was derived from franchise and other regulatory fees.</w:t>
      </w:r>
    </w:p>
    <w:p>
      <w:pPr>
        <w:spacing w:after="0" w:line="79"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Comcast Cable’s wireless phone service is now presented in the Cable Communications segment. Results were previously presented in Corporate and Other. We recognize revenue from our wireless phone service as the services are provided, similar to how we recognize revenue for other residential cable services. We recognize revenue from the sale of handsets at the point of sale.</w:t>
      </w:r>
    </w:p>
    <w:p>
      <w:pPr>
        <w:spacing w:after="0" w:line="90"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ectPr>
          <w:pgSz w:w="11900" w:h="16838" w:orient="portrait"/>
          <w:cols w:equalWidth="0" w:num="1">
            <w:col w:w="11420"/>
          </w:cols>
          <w:pgMar w:left="240" w:top="121"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operate primarily in the United States but also in select international markets.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88"/>
              </w:rPr>
              <w:t>June 30</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w w:val="84"/>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2018</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2019</w:t>
            </w: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20,539</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19,931</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40,996</w:t>
            </w:r>
          </w:p>
        </w:tc>
        <w:tc>
          <w:tcPr>
            <w:tcW w:w="8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40,816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5,297</w:t>
            </w:r>
          </w:p>
        </w:tc>
        <w:tc>
          <w:tcPr>
            <w:tcW w:w="8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699</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10,667</w:t>
            </w:r>
          </w:p>
        </w:tc>
        <w:tc>
          <w:tcPr>
            <w:tcW w:w="80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1,520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1,022</w:t>
            </w:r>
          </w:p>
        </w:tc>
        <w:tc>
          <w:tcPr>
            <w:tcW w:w="8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1,105</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2,054</w:t>
            </w:r>
          </w:p>
        </w:tc>
        <w:tc>
          <w:tcPr>
            <w:tcW w:w="80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2,190</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26,858</w:t>
            </w:r>
          </w:p>
        </w:tc>
        <w:tc>
          <w:tcPr>
            <w:tcW w:w="860" w:type="dxa"/>
            <w:vAlign w:val="bottom"/>
          </w:tcPr>
          <w:p>
            <w:pPr>
              <w:jc w:val="right"/>
              <w:ind w:right="29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21,735</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53,717</w:t>
            </w:r>
          </w:p>
        </w:tc>
        <w:tc>
          <w:tcPr>
            <w:tcW w:w="8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b w:val="1"/>
                <w:bCs w:val="1"/>
                <w:color w:val="auto"/>
              </w:rPr>
              <w:t>44,526</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center"/>
              <w:ind w:right="337"/>
              <w:spacing w:after="0"/>
              <w:rPr>
                <w:sz w:val="20"/>
                <w:szCs w:val="20"/>
                <w:color w:val="auto"/>
              </w:rPr>
            </w:pPr>
            <w:r>
              <w:rPr>
                <w:rFonts w:ascii="Arial" w:cs="Arial" w:eastAsia="Arial" w:hAnsi="Arial"/>
                <w:sz w:val="14"/>
                <w:szCs w:val="14"/>
                <w:color w:val="auto"/>
                <w:w w:val="89"/>
              </w:rPr>
              <w:t>June 30,</w:t>
            </w: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11,381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11,456</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420" w:type="dxa"/>
            <w:vAlign w:val="bottom"/>
          </w:tcPr>
          <w:p>
            <w:pPr>
              <w:spacing w:after="0"/>
              <w:rPr>
                <w:sz w:val="23"/>
                <w:szCs w:val="23"/>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546</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352</w:t>
            </w:r>
          </w:p>
        </w:tc>
      </w:tr>
      <w:tr>
        <w:trPr>
          <w:trHeight w:val="27"/>
        </w:trPr>
        <w:tc>
          <w:tcPr>
            <w:tcW w:w="7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b w:val="1"/>
                <w:bCs w:val="1"/>
                <w:color w:val="auto"/>
              </w:rPr>
              <w:t>10,835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11,104</w:t>
            </w:r>
          </w:p>
        </w:tc>
      </w:tr>
      <w:tr>
        <w:trPr>
          <w:trHeight w:val="34"/>
        </w:trPr>
        <w:tc>
          <w:tcPr>
            <w:tcW w:w="7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84"/>
        </w:trPr>
        <w:tc>
          <w:tcPr>
            <w:tcW w:w="7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jc w:val="center"/>
              <w:ind w:right="337"/>
              <w:spacing w:after="0"/>
              <w:rPr>
                <w:sz w:val="20"/>
                <w:szCs w:val="20"/>
                <w:color w:val="auto"/>
              </w:rPr>
            </w:pPr>
            <w:r>
              <w:rPr>
                <w:rFonts w:ascii="Arial" w:cs="Arial" w:eastAsia="Arial" w:hAnsi="Arial"/>
                <w:sz w:val="14"/>
                <w:szCs w:val="14"/>
                <w:color w:val="auto"/>
                <w:w w:val="89"/>
              </w:rPr>
              <w:t>June 30,</w:t>
            </w:r>
          </w:p>
        </w:tc>
        <w:tc>
          <w:tcPr>
            <w:tcW w:w="36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1,306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1,399</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1,037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991</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888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650</w:t>
            </w:r>
          </w:p>
        </w:tc>
      </w:tr>
      <w:tr>
        <w:trPr>
          <w:trHeight w:val="27"/>
        </w:trPr>
        <w:tc>
          <w:tcPr>
            <w:tcW w:w="7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color w:val="auto"/>
                <w:w w:val="99"/>
              </w:rPr>
              <w:t>Three Months Ended June 30</w:t>
            </w:r>
          </w:p>
        </w:tc>
        <w:tc>
          <w:tcPr>
            <w:tcW w:w="1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56"/>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8"/>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Shares</w:t>
            </w:r>
          </w:p>
        </w:tc>
        <w:tc>
          <w:tcPr>
            <w:tcW w:w="13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Per Share 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Per Share Amount</w:t>
            </w:r>
          </w:p>
        </w:tc>
      </w:tr>
      <w:tr>
        <w:trPr>
          <w:trHeight w:val="228"/>
        </w:trPr>
        <w:tc>
          <w:tcPr>
            <w:tcW w:w="3300" w:type="dxa"/>
            <w:vAlign w:val="bottom"/>
          </w:tcPr>
          <w:p>
            <w:pPr>
              <w:ind w:left="2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3,125</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4,547</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0.69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3,216</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4,598</w:t>
            </w:r>
          </w:p>
        </w:tc>
        <w:tc>
          <w:tcPr>
            <w:tcW w:w="58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0.70</w:t>
            </w: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6"/>
        </w:trPr>
        <w:tc>
          <w:tcPr>
            <w:tcW w:w="330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0"/>
        </w:trPr>
        <w:tc>
          <w:tcPr>
            <w:tcW w:w="330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30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3,125</w:t>
            </w: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4,607</w:t>
            </w:r>
          </w:p>
        </w:tc>
        <w:tc>
          <w:tcPr>
            <w:tcW w:w="36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0.68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3,216</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4,643</w:t>
            </w:r>
          </w:p>
        </w:tc>
        <w:tc>
          <w:tcPr>
            <w:tcW w:w="58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0.69</w:t>
            </w:r>
          </w:p>
        </w:tc>
      </w:tr>
      <w:tr>
        <w:trPr>
          <w:trHeight w:val="34"/>
        </w:trPr>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13"/>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color w:val="auto"/>
              </w:rPr>
              <w:t>Six Months Ended June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6,678</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4,540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1.47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6,334</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4,616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1.37</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6,678</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4,600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1.45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6,334</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4,674</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1.36</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for the three and six months ended June 30, 2019 or 2018.</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2019, our debt had a carrying value of $107.6 billion and an estimated fair value of $118.5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2019, we had borrowings of $363 million related to the Universal Beijing Resort term loans.</w:t>
      </w:r>
    </w:p>
    <w:p>
      <w:pPr>
        <w:spacing w:after="0" w:line="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2019, we made repayments of $4.2 billion primarily related to our dollar-denominated term loan due 2022, NBCUniversal Enterprise senior notes due 2019 and our British pound-denominated term loan due 2023.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June 30, 2019, we made net repayments of $615 million under Sky’s £1 billion revolving credit facility due 2021, which was terminated in February 2019. In June 2019, we amended the terms of our Comcast and NBCUniversal Enterprise revolving credit facilities to extend both facilities’ expiration dates from May 26, 2021 to May 26, 2022. As of June 30, 2019, there were no amounts outstanding under our revolving credit facilities. Amounts available under our revolving credit facilities, net of amounts outstanding under our commercial paper programs and outstanding letters of credit and bank guarantees, totaled $8.7 billion.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For the six months ended June 30, 2019, we made net repayments of $186 million under our commercial paper programs. As of June 30, 2019, Comcast had $488 million face amount of commercial paper outstanding. As of June 30, 2019, NBCUniversal Enterprise had no commercial paper outstanding.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Comcast, Comcast Cable and NBCUniversal have fully and unconditionally guaranteed each other’s debt securities, including the Comcast revolving credit facility. As of June 30, 2019, the principal amount of debt securities outstanding within the cross-guarantee structure totaled $92.1 billion.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and Comcast Cable fully and unconditionally guarantee NBCUniversal Enterprise’s debt securities, including its revolving credit facility. As of June 30, 2019, the principal amount of debt securities guaranteed by Comcast and Comcast Cable totaled $1.5 billion. NBCUniversal does not guarantee the NBCUniversal Enterprise senior notes, revolving credit facility or commercial paper program.</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Comcast provides an unconditional guarantee of the Universal Studios Japan yen-denominated ¥382 billion (approximately $3.5 billion using exchange rates as of June 30, 2019) term loans with a final maturity of March 2022. None of Comcast, Comcast Cable nor NBCUniversal guarantee the ¥6.4 billion RMB (approximately $936 million using exchange rates as of June 30, 2019) principal amount of Universal Beijing Resort term loans outstanding.</w:t>
      </w:r>
    </w:p>
    <w:p>
      <w:pPr>
        <w:spacing w:after="0" w:line="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2019, Comcast provided a full and unconditional guarantee of Sky’s debt (approximately $10.0 billion using exchange rates as of June 30, 2019) in connection with Sky’s noteholders consenting to (i) the transfer of the listing of three series of notes from the Main Market of the London Stock Exchange to the Professional Securities Market of the London Stock Exchange and (ii) amending certain terms of the Sky notes.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Transaction</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share. In the fourth quarter of 2018, we acquired the remaining Sky shares and now own 100% of Sky’s equity interests. Total cash consideration was £30.2 billion (approximately $39.4 billion using the exchange rates on the purchase dates). We financed the acquisition through a combination of new fixed and floating rate notes, issuance of term loans and cash on hand. 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applied acquisition accounting to Sky. Sky’s results of operations are included in our consolidated results of operations since the acquisition date and are reported in our Sky segment. The net assets of Sky were recorded at their estimated fair value using primarily Level 3 inputs. In valuing acquired assets and liabilities, fair value estimates are based on, but are not limited to, future expected cash flows, market rate assumptions for contractual obligations and appropriate discount rates.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first quarter of 2019, we revised our estimates of fair value, primarily related to intangible assets, property and equipment, and investments (included below in other noncurrent assets and (liabilities), net), and recorded corresponding updates to deferred taxes. We also recorded an additional valuation allowance of approximately $1.2 billion associated with our assessment of the realization of Sky’s deferred tax assets, primarily related to net operating losses. These changes resulted in an increase in goodwill of approximately $1.4 billion and an adjustment in the first quarter of 2019 related to the fourth quarter of 2018 that resulted in an increase to depreciation and amortization expense of $53 million.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allocation of the all-cash purchase price of £30.2 billion, or $39.4 billion, to the assets and liabilities of Sky as a result of the transaction.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39,387</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Allocation of purchase price</w:t>
            </w:r>
          </w:p>
        </w:tc>
        <w:tc>
          <w:tcPr>
            <w:tcW w:w="3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Cash</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receivable and other current assets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4,127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19,539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(11,468)</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assets (liabilities), net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and (liabilities), net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Fair value of identifiable net assets acquired</w:t>
            </w:r>
          </w:p>
        </w:tc>
        <w:tc>
          <w:tcPr>
            <w:tcW w:w="30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8,095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31,292</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includes customer premise equipment with a carrying value of $1.4 billion, which have original estimated useful lives of 5 to 7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property and equipment consists of real estate and improvements, network assets and other equipment.</w:t>
      </w:r>
    </w:p>
    <w:p>
      <w:pPr>
        <w:sectPr>
          <w:pgSz w:w="11900" w:h="16838" w:orient="portrait"/>
          <w:cols w:equalWidth="0" w:num="1">
            <w:col w:w="11420"/>
          </w:cols>
          <w:pgMar w:left="240" w:top="121"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primarily consist of customer relationships with a carrying amount of $9.5 billion and developed technology and software with a carrying amount of $4.3 billion, with original estimated useful lives between 6 and 19 years and 4 and 9 years, respectively. Indefinite-lived assets consist of trade names with a carrying amount of $5.8 billion.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consists primarily of intangible assets that do not qualify for separate recognition, including increased footprint, assembled workforce, noncontractual relationships and agreements. The acquired goodwill is not expected to be deductible for tax purposes.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Sky transaction, we incurred incremental expenses in 2018 related to legal, accounting, valuation and other professional services, which are reflected in other operating and administrative expenses. We also incurred certain financing costs associated with our borrowings, which are reflected in interest expense. The table below presents the amounts related to these expenses included in our condensed consolidated statement of income.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78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ind w:right="299"/>
              <w:spacing w:after="0"/>
              <w:rPr>
                <w:sz w:val="20"/>
                <w:szCs w:val="20"/>
                <w:color w:val="auto"/>
              </w:rPr>
            </w:pPr>
            <w:r>
              <w:rPr>
                <w:rFonts w:ascii="Arial" w:cs="Arial" w:eastAsia="Arial" w:hAnsi="Arial"/>
                <w:sz w:val="14"/>
                <w:szCs w:val="14"/>
                <w:color w:val="auto"/>
              </w:rPr>
              <w:t>Six Months Ended</w:t>
            </w:r>
          </w:p>
        </w:tc>
      </w:tr>
      <w:tr>
        <w:trPr>
          <w:trHeight w:val="188"/>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June 30, 2018</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June 30, 2018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operating and administrative expenses</w:t>
            </w:r>
          </w:p>
        </w:tc>
        <w:tc>
          <w:tcPr>
            <w:tcW w:w="3780" w:type="dxa"/>
            <w:vAlign w:val="bottom"/>
          </w:tcPr>
          <w:p>
            <w:pPr>
              <w:jc w:val="right"/>
              <w:ind w:right="131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21</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780" w:type="dxa"/>
            <w:vAlign w:val="bottom"/>
          </w:tcPr>
          <w:p>
            <w:pPr>
              <w:jc w:val="right"/>
              <w:ind w:right="131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11</w:t>
            </w:r>
          </w:p>
        </w:tc>
      </w:tr>
      <w:tr>
        <w:trPr>
          <w:trHeight w:val="27"/>
        </w:trPr>
        <w:tc>
          <w:tcPr>
            <w:tcW w:w="5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information has been presented as if the Sky transaction occurred on January 1, 2017. This information is based on historical results of operations, adjusted for allocation of purchase price and other acquisition accounting adjustments, and is not necessarily indicative of what the results would have been had we operated the business since January 1, 2017. For pro forma purposes, 2018 earnings were adjusted to exclude the acquisition-related costs. No pro forma adjustments have been made for cost savings or synergies that have been or may be achieved by the combined businesses.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jc w:val="right"/>
              <w:ind w:right="176"/>
              <w:spacing w:after="0"/>
              <w:rPr>
                <w:sz w:val="20"/>
                <w:szCs w:val="20"/>
                <w:color w:val="auto"/>
              </w:rPr>
            </w:pPr>
            <w:r>
              <w:rPr>
                <w:rFonts w:ascii="Arial" w:cs="Arial" w:eastAsia="Arial" w:hAnsi="Arial"/>
                <w:sz w:val="14"/>
                <w:szCs w:val="14"/>
                <w:color w:val="auto"/>
                <w:w w:val="99"/>
              </w:rPr>
              <w:t>Three Months Ended</w:t>
            </w:r>
          </w:p>
        </w:tc>
        <w:tc>
          <w:tcPr>
            <w:tcW w:w="280" w:type="dxa"/>
            <w:vAlign w:val="bottom"/>
          </w:tcPr>
          <w:p>
            <w:pPr>
              <w:spacing w:after="0"/>
              <w:rPr>
                <w:sz w:val="14"/>
                <w:szCs w:val="14"/>
                <w:color w:val="auto"/>
              </w:rPr>
            </w:pPr>
          </w:p>
        </w:tc>
        <w:tc>
          <w:tcPr>
            <w:tcW w:w="1580" w:type="dxa"/>
            <w:vAlign w:val="bottom"/>
          </w:tcPr>
          <w:p>
            <w:pPr>
              <w:jc w:val="right"/>
              <w:ind w:right="296"/>
              <w:spacing w:after="0"/>
              <w:rPr>
                <w:sz w:val="20"/>
                <w:szCs w:val="20"/>
                <w:color w:val="auto"/>
              </w:rPr>
            </w:pPr>
            <w:r>
              <w:rPr>
                <w:rFonts w:ascii="Arial" w:cs="Arial" w:eastAsia="Arial" w:hAnsi="Arial"/>
                <w:sz w:val="14"/>
                <w:szCs w:val="14"/>
                <w:color w:val="auto"/>
              </w:rPr>
              <w:t>Six Months Ended</w:t>
            </w:r>
          </w:p>
        </w:tc>
      </w:tr>
      <w:tr>
        <w:trPr>
          <w:trHeight w:val="188"/>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June 30, 2018</w:t>
            </w: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June 30, 2018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26,653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54,415</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2,957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5,940</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1.29</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0.64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1.27</w:t>
            </w:r>
          </w:p>
        </w:tc>
      </w:tr>
      <w:tr>
        <w:trPr>
          <w:trHeight w:val="27"/>
        </w:trPr>
        <w:tc>
          <w:tcPr>
            <w:tcW w:w="7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June 30, 2019, Universal Beijing Resort had $936 million principal amount of term loans outstanding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June 30, 2019, our condensed consolidated balance sheet included assets, primarily property and equipment, and liabilities, including the term loans, of Universal Beijing Resort totaling $2.1 billion and $1.5 billion,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Financial Accounting Standards Board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 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adoption, we recorded $4.2 billion and $4.8 billion for operating lease assets and liabilities, respectively, which includes the impact of fair value adjustments, prepaid and deferred rent and lease incentives. The adoption of the updated accounting guidance did not significantly impact our recognition of finance leases, which were previously described as capital leases. As of the date of adoption, our liabilities for finance leases were $787 million, including $229 million of additional contracts determined to be leases in connection with the Sky transaction,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11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predominantly monetized with other owned or licensed content. The updated guidance is effective for us as of January 1, 2020 and early adoption is permitted. We are currently in the process of determining the impact that the updated accounting guidance will have on our consolidated financial statements, however we do not expect there to be a material impact on our consolidated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4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1,577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1,376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1,063</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3,039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2,807</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4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2,278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2,289</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1,014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953</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3,292</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3,242</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4,169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5,534</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10,500</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11,583</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1,947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3,746</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41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8,553</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7,837</w:t>
            </w:r>
          </w:p>
        </w:tc>
      </w:tr>
      <w:tr>
        <w:trPr>
          <w:trHeight w:val="34"/>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729"/>
        </w:trPr>
        <w:tc>
          <w:tcPr>
            <w:tcW w:w="4440" w:type="dxa"/>
            <w:vAlign w:val="bottom"/>
          </w:tcPr>
          <w:p>
            <w:pPr>
              <w:spacing w:after="0"/>
              <w:rPr>
                <w:sz w:val="24"/>
                <w:szCs w:val="24"/>
                <w:color w:val="auto"/>
              </w:rPr>
            </w:pPr>
          </w:p>
        </w:tc>
        <w:tc>
          <w:tcPr>
            <w:tcW w:w="4100" w:type="dxa"/>
            <w:vAlign w:val="bottom"/>
          </w:tcPr>
          <w:p>
            <w:pPr>
              <w:jc w:val="right"/>
              <w:ind w:right="2650"/>
              <w:spacing w:after="0"/>
              <w:rPr>
                <w:sz w:val="20"/>
                <w:szCs w:val="20"/>
                <w:color w:val="auto"/>
              </w:rPr>
            </w:pPr>
            <w:r>
              <w:rPr>
                <w:rFonts w:ascii="Arial" w:cs="Arial" w:eastAsia="Arial" w:hAnsi="Arial"/>
                <w:sz w:val="18"/>
                <w:szCs w:val="18"/>
                <w:color w:val="auto"/>
              </w:rPr>
              <w:t>14</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2"/>
          </w:tcPr>
          <w:p>
            <w:pPr>
              <w:jc w:val="right"/>
              <w:ind w:right="436"/>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60" w:type="dxa"/>
            <w:vAlign w:val="bottom"/>
            <w:gridSpan w:val="3"/>
          </w:tcPr>
          <w:p>
            <w:pPr>
              <w:jc w:val="right"/>
              <w:ind w:right="954"/>
              <w:spacing w:after="0"/>
              <w:rPr>
                <w:sz w:val="20"/>
                <w:szCs w:val="20"/>
                <w:color w:val="auto"/>
              </w:rPr>
            </w:pPr>
            <w:r>
              <w:rPr>
                <w:rFonts w:ascii="Arial" w:cs="Arial" w:eastAsia="Arial" w:hAnsi="Arial"/>
                <w:sz w:val="14"/>
                <w:szCs w:val="14"/>
                <w:color w:val="auto"/>
              </w:rPr>
              <w:t>Six Months Ended</w:t>
            </w: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ind w:right="816"/>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June 30</w:t>
            </w:r>
          </w:p>
        </w:tc>
        <w:tc>
          <w:tcPr>
            <w:tcW w:w="12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color w:val="auto"/>
              </w:rPr>
              <w:t>2019</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(202)</w:t>
            </w:r>
          </w:p>
        </w:tc>
        <w:tc>
          <w:tcPr>
            <w:tcW w:w="1140" w:type="dxa"/>
            <w:vAlign w:val="bottom"/>
          </w:tcPr>
          <w:p>
            <w:pPr>
              <w:jc w:val="right"/>
              <w:ind w:right="81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4"/>
              </w:rPr>
              <w:t>Realized and unrealized gains (losses) on equity securities, net</w:t>
            </w:r>
          </w:p>
        </w:tc>
        <w:tc>
          <w:tcPr>
            <w:tcW w:w="360" w:type="dxa"/>
            <w:vAlign w:val="bottom"/>
          </w:tcPr>
          <w:p>
            <w:pPr>
              <w:spacing w:after="0"/>
              <w:rPr>
                <w:sz w:val="23"/>
                <w:szCs w:val="23"/>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194</w:t>
            </w:r>
          </w:p>
        </w:tc>
        <w:tc>
          <w:tcPr>
            <w:tcW w:w="11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5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23"/>
                <w:szCs w:val="23"/>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5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78"/>
              <w:spacing w:after="0"/>
              <w:rPr>
                <w:sz w:val="20"/>
                <w:szCs w:val="20"/>
                <w:color w:val="auto"/>
              </w:rPr>
            </w:pPr>
            <w:r>
              <w:rPr>
                <w:rFonts w:ascii="Arial" w:cs="Arial" w:eastAsia="Arial" w:hAnsi="Arial"/>
                <w:sz w:val="18"/>
                <w:szCs w:val="18"/>
                <w:b w:val="1"/>
                <w:bCs w:val="1"/>
                <w:color w:val="auto"/>
              </w:rPr>
              <w:t>(55)</w:t>
            </w:r>
          </w:p>
        </w:tc>
        <w:tc>
          <w:tcPr>
            <w:tcW w:w="1140" w:type="dxa"/>
            <w:vAlign w:val="bottom"/>
          </w:tcPr>
          <w:p>
            <w:pPr>
              <w:jc w:val="right"/>
              <w:ind w:right="816"/>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rPr>
              <w:t>77</w:t>
            </w: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203</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751"/>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24"/>
                <w:szCs w:val="24"/>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color w:val="auto"/>
              </w:rPr>
              <w:t>December 31,</w:t>
            </w:r>
          </w:p>
        </w:tc>
      </w:tr>
      <w:tr>
        <w:trPr>
          <w:trHeight w:val="18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5,719</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4,035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w:t>
            </w:r>
          </w:p>
        </w:tc>
        <w:tc>
          <w:tcPr>
            <w:tcW w:w="5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2,057</w:t>
            </w:r>
          </w:p>
        </w:tc>
        <w:tc>
          <w:tcPr>
            <w:tcW w:w="5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1,805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1,803</w:t>
            </w:r>
          </w:p>
        </w:tc>
        <w:tc>
          <w:tcPr>
            <w:tcW w:w="5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1,796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10,156</w:t>
            </w:r>
          </w:p>
        </w:tc>
        <w:tc>
          <w:tcPr>
            <w:tcW w:w="54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7,977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w:t>
            </w:r>
          </w:p>
        </w:tc>
        <w:tc>
          <w:tcPr>
            <w:tcW w:w="5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8,438</w:t>
            </w: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7,883</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and six months ended June 30, 2019, we recognized losses of $106 million and income of $268 million, respectively. For the three and six months ended June 30, 2018, we recognized income of $151 million and $186 million, respectively. For the six months ended June 30, 2019 and 2018, we made cash capital contributions totaling $463 million and $112 million, respectively. As of June 30, 2019 and December 31, 2018, our investment was $3.4 billion and $2.7 billion, respectively.</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sold a controlling interest in our arena management-related businesses to Atairos and received as consideration additional equity interests in Atairos. We account for our retained ownership in the businesses as an equity method investment. In connection with the sale of the businesses, we recognized a pretax gain of $200 million in other operating gains in the second quarter of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we entered into a series of agreements (the “Hulu Transaction”) with The Walt Disney Company (“Disney”), whereby we relinquished our board seats and substantially all voting rights associated with our investment in Hulu, LLC ("Hulu"), and Disney assumed full operational control. We also acquired our proportionate share of the approximate 10% interest in Hulu previously held by AT&amp;T Inc. (“AT&amp;T”) for approximately $477 million, increasing our ownership interest to approximately 33% from approximately 30%.</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Hulu Transaction, we agreed to extend certain Hulu licenses of NBCUniversal content until late 2024. We can terminate most of our content license agreements with Hulu in three years’ time, and in one year’s time we have the right to exhibit certain content that we currently license exclusively to Hulu on our platforms in return for reducing the license fee payable by Hulu.</w:t>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our investment using the equity method. For the three and six months ended June 30, 2019, we recognized losses of $109 million and $250 million, respectively, in equity in net income (losses) of investees, net. For the three and six months ended June 30, 2018, we recognized losses of $107 million and $238 million, respectively. For the six months ended June 30, 2019 and 2018, we made cash capital contributions totaling $903 million, inclusive of the funding for the acquisition of the AT&amp;T interest, and $227 million, respectively. As of June 30, 2019 and December 31, 2018, our investment was $857 million and $248 million,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Time Warner Inc., which was acquired by AT&amp;T in 2018, acquired a 10% interest in Hulu, diluting our interest at that time from approximately 33% to approximately 30%. Given the contingent nature of the put and call options related to that interest, we recorded a deferred gain as a result of the dilution. In the first quarter of 2019, the put and call options expired unexercised and we recognized the previously deferred gain of $159 million in other income (loss),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2019, we recognized unrealized gains of $96 million and $258 million, respectively, in realized and unrealized gains (losses) on equity securities, net related to our investment in Snap. For the three and six months ended June 30, 2018, we recognized unrealized losses of $82 million and $45 million, respectively, related to our investment in Snap. As of June 30, 2019 and December 31, 2018, our investment in Snap was $420 million and $162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both June 30, 2019 and December 31, 2018, our investment in AirTouch was $1.6 billion. We account for our investment in AirTouch as a held to maturity investment using the cost method. As of June 30, 2019,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2019, we granted 12.4 million RSUs and 41.9 million stock options related to our annual management awards. The weighted-average fair values associated with these grants were $39.88 per RSU and $7.91 per stock option.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2019</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102</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168</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307</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we had unrecognized pretax compensation expense of $1.4 billion and $594 million related to nonvested RSUs and nonvested stock options,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1"/>
              <w:spacing w:after="0"/>
              <w:rPr>
                <w:sz w:val="20"/>
                <w:szCs w:val="20"/>
                <w:color w:val="auto"/>
              </w:rPr>
            </w:pPr>
            <w:r>
              <w:rPr>
                <w:rFonts w:ascii="Arial" w:cs="Arial" w:eastAsia="Arial" w:hAnsi="Arial"/>
                <w:sz w:val="18"/>
                <w:szCs w:val="18"/>
                <w:color w:val="auto"/>
              </w:rPr>
              <w:t>2,111</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1,354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1"/>
              <w:spacing w:after="0"/>
              <w:rPr>
                <w:sz w:val="20"/>
                <w:szCs w:val="20"/>
                <w:color w:val="auto"/>
              </w:rPr>
            </w:pPr>
            <w:r>
              <w:rPr>
                <w:rFonts w:ascii="Arial" w:cs="Arial" w:eastAsia="Arial" w:hAnsi="Arial"/>
                <w:sz w:val="18"/>
                <w:szCs w:val="18"/>
                <w:color w:val="auto"/>
              </w:rPr>
              <w:t>1,634</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623</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2019:</w:t>
      </w:r>
    </w:p>
    <w:p>
      <w:pPr>
        <w:spacing w:after="0" w:line="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acquired $1.6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 liability of $955 million for a quarterly cash dividend of $0.21 per common share to be paid in July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2019</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3,919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3,814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1160" w:type="dxa"/>
            <w:vAlign w:val="bottom"/>
          </w:tcPr>
          <w:p>
            <w:pPr>
              <w:spacing w:after="0"/>
              <w:rPr>
                <w:sz w:val="23"/>
                <w:szCs w:val="23"/>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1160" w:type="dxa"/>
            <w:vAlign w:val="bottom"/>
          </w:tcPr>
          <w:p>
            <w:pPr>
              <w:spacing w:after="0"/>
              <w:rPr>
                <w:sz w:val="23"/>
                <w:szCs w:val="23"/>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49</w:t>
            </w: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84"/>
              </w:rPr>
              <w:t>4,019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3,909</w:t>
            </w: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21"/>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8060" w:type="dxa"/>
            <w:vAlign w:val="bottom"/>
          </w:tcPr>
          <w:p>
            <w:pPr>
              <w:spacing w:after="0"/>
              <w:rPr>
                <w:sz w:val="24"/>
                <w:szCs w:val="2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89"/>
              </w:rPr>
              <w:t>June 30,</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2019</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1160" w:type="dxa"/>
            <w:vAlign w:val="bottom"/>
          </w:tcPr>
          <w:p>
            <w:pPr>
              <w:spacing w:after="0"/>
              <w:rPr>
                <w:sz w:val="23"/>
                <w:szCs w:val="23"/>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1160" w:type="dxa"/>
            <w:vAlign w:val="bottom"/>
          </w:tcPr>
          <w:p>
            <w:pPr>
              <w:spacing w:after="0"/>
              <w:rPr>
                <w:sz w:val="23"/>
                <w:szCs w:val="23"/>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302</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1160" w:type="dxa"/>
            <w:vAlign w:val="bottom"/>
          </w:tcPr>
          <w:p>
            <w:pPr>
              <w:spacing w:after="0"/>
              <w:rPr>
                <w:sz w:val="23"/>
                <w:szCs w:val="23"/>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133</w:t>
            </w: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(62)</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461</w:t>
            </w: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condensed consolidated statement of income for the three and six months ended June 30, 2019 were $264 million and $538 million, respectively. These amounts do not include lease costs associated with production activities or other amounts capitalized in our condensed consolidated balance sheet, which are not material.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condensed 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320" w:type="dxa"/>
            <w:vAlign w:val="bottom"/>
          </w:tcPr>
          <w:p>
            <w:pPr>
              <w:jc w:val="right"/>
              <w:ind w:right="2450"/>
              <w:spacing w:after="0"/>
              <w:rPr>
                <w:sz w:val="20"/>
                <w:szCs w:val="20"/>
                <w:color w:val="auto"/>
              </w:rPr>
            </w:pPr>
            <w:r>
              <w:rPr>
                <w:rFonts w:ascii="Arial" w:cs="Arial" w:eastAsia="Arial" w:hAnsi="Arial"/>
                <w:sz w:val="18"/>
                <w:szCs w:val="18"/>
                <w:b w:val="1"/>
                <w:bCs w:val="1"/>
                <w:color w:val="auto"/>
              </w:rPr>
              <w:t>Condensed Consolidated Balance Sheet</w:t>
            </w:r>
          </w:p>
        </w:tc>
        <w:tc>
          <w:tcPr>
            <w:tcW w:w="1440" w:type="dxa"/>
            <w:vAlign w:val="bottom"/>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color w:val="auto"/>
              </w:rPr>
              <w:t>June 30,</w:t>
            </w: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6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4,063</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w w:val="99"/>
              </w:rPr>
              <w:t>Accrued expenses and other current liabilities</w:t>
            </w:r>
          </w:p>
        </w:tc>
        <w:tc>
          <w:tcPr>
            <w:tcW w:w="6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685</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3,976</w:t>
            </w:r>
          </w:p>
        </w:tc>
      </w:tr>
      <w:tr>
        <w:trPr>
          <w:trHeight w:val="27"/>
        </w:trPr>
        <w:tc>
          <w:tcPr>
            <w:tcW w:w="366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future minimum rental commitments for operating leases as of June 30, 2019 applying the new accounting guidance.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tcPr>
          <w:p>
            <w:pPr>
              <w:jc w:val="right"/>
              <w:ind w:right="593"/>
              <w:spacing w:after="0"/>
              <w:rPr>
                <w:sz w:val="20"/>
                <w:szCs w:val="20"/>
                <w:color w:val="auto"/>
              </w:rPr>
            </w:pPr>
            <w:r>
              <w:rPr>
                <w:rFonts w:ascii="Arial" w:cs="Arial" w:eastAsia="Arial" w:hAnsi="Arial"/>
                <w:sz w:val="14"/>
                <w:szCs w:val="14"/>
                <w:color w:val="auto"/>
              </w:rPr>
              <w:t>June 30,</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Remaining six months of 2019</w:t>
            </w:r>
          </w:p>
        </w:tc>
        <w:tc>
          <w:tcPr>
            <w:tcW w:w="3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431</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856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743</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609</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514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2,591</w:t>
            </w:r>
          </w:p>
        </w:tc>
      </w:tr>
      <w:tr>
        <w:trPr>
          <w:trHeight w:val="27"/>
        </w:trPr>
        <w:tc>
          <w:tcPr>
            <w:tcW w:w="62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8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5,744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1,083</w:t>
            </w:r>
          </w:p>
        </w:tc>
      </w:tr>
      <w:tr>
        <w:trPr>
          <w:trHeight w:val="27"/>
        </w:trPr>
        <w:tc>
          <w:tcPr>
            <w:tcW w:w="62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 liability</w:t>
            </w:r>
          </w:p>
        </w:tc>
        <w:tc>
          <w:tcPr>
            <w:tcW w:w="37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b w:val="1"/>
                <w:bCs w:val="1"/>
                <w:color w:val="auto"/>
              </w:rPr>
              <w:t>4,661</w:t>
            </w:r>
          </w:p>
        </w:tc>
      </w:tr>
      <w:tr>
        <w:trPr>
          <w:trHeight w:val="34"/>
        </w:trPr>
        <w:tc>
          <w:tcPr>
            <w:tcW w:w="62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June 30, 2019 were 10 years and 3.85%, respectively.</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six months ended June 30, 2019, cash payments for operating leases recorded in the condensed consolidated balance sheet were $446 million. Leases that have not yet commenced and lease assets and liabilities associated with leases entered into during the period were not material.</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tables below summarize our future minimum rental commitments for operating leases as of December 31, 2018 and rent expense for operating leases for the three and six months ended June 30, 2018 using the accounting guidance in effect at that time. These amounts have been updated to include $804 million of future cash payments related to additional contracts determined to be operating leases in connection with the Sky transaction.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ind w:right="157"/>
              <w:spacing w:after="0"/>
              <w:rPr>
                <w:sz w:val="20"/>
                <w:szCs w:val="20"/>
                <w:color w:val="auto"/>
              </w:rPr>
            </w:pPr>
            <w:r>
              <w:rPr>
                <w:rFonts w:ascii="Arial" w:cs="Arial" w:eastAsia="Arial" w:hAnsi="Arial"/>
                <w:sz w:val="14"/>
                <w:szCs w:val="14"/>
                <w:color w:val="auto"/>
                <w:w w:val="90"/>
              </w:rPr>
              <w:t>December 31,</w:t>
            </w:r>
          </w:p>
        </w:tc>
      </w:tr>
      <w:tr>
        <w:trPr>
          <w:trHeight w:val="18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89"/>
              </w:rPr>
              <w:t>2018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2019</w:t>
            </w:r>
          </w:p>
        </w:tc>
        <w:tc>
          <w:tcPr>
            <w:tcW w:w="3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891</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2020</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824</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722</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2022</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592</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513</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2,608</w:t>
            </w:r>
          </w:p>
        </w:tc>
      </w:tr>
      <w:tr>
        <w:trPr>
          <w:trHeight w:val="27"/>
        </w:trPr>
        <w:tc>
          <w:tcPr>
            <w:tcW w:w="4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39"/>
        </w:trPr>
        <w:tc>
          <w:tcPr>
            <w:tcW w:w="4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color w:val="auto"/>
                <w:w w:val="93"/>
              </w:rPr>
              <w:t>Three Months Ended</w:t>
            </w:r>
          </w:p>
        </w:tc>
        <w:tc>
          <w:tcPr>
            <w:tcW w:w="340" w:type="dxa"/>
            <w:vAlign w:val="bottom"/>
          </w:tcPr>
          <w:p>
            <w:pPr>
              <w:spacing w:after="0"/>
              <w:rPr>
                <w:sz w:val="24"/>
                <w:szCs w:val="24"/>
                <w:color w:val="auto"/>
              </w:rPr>
            </w:pPr>
          </w:p>
        </w:tc>
        <w:tc>
          <w:tcPr>
            <w:tcW w:w="1400" w:type="dxa"/>
            <w:vAlign w:val="bottom"/>
          </w:tcPr>
          <w:p>
            <w:pPr>
              <w:jc w:val="center"/>
              <w:ind w:right="117"/>
              <w:spacing w:after="0"/>
              <w:rPr>
                <w:sz w:val="20"/>
                <w:szCs w:val="20"/>
                <w:color w:val="auto"/>
              </w:rPr>
            </w:pPr>
            <w:r>
              <w:rPr>
                <w:rFonts w:ascii="Arial" w:cs="Arial" w:eastAsia="Arial" w:hAnsi="Arial"/>
                <w:sz w:val="14"/>
                <w:szCs w:val="14"/>
                <w:color w:val="auto"/>
                <w:w w:val="95"/>
              </w:rPr>
              <w:t>Six Months Ended</w:t>
            </w:r>
          </w:p>
        </w:tc>
      </w:tr>
      <w:tr>
        <w:trPr>
          <w:trHeight w:val="18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0"/>
              </w:rPr>
              <w:t>June 30, 2018</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0"/>
              </w:rPr>
              <w:t>June 30, 2018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35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2"/>
              <w:spacing w:after="0"/>
              <w:rPr>
                <w:sz w:val="20"/>
                <w:szCs w:val="20"/>
                <w:color w:val="auto"/>
              </w:rPr>
            </w:pPr>
            <w:r>
              <w:rPr>
                <w:rFonts w:ascii="Arial" w:cs="Arial" w:eastAsia="Arial" w:hAnsi="Arial"/>
                <w:sz w:val="18"/>
                <w:szCs w:val="18"/>
                <w:color w:val="auto"/>
              </w:rPr>
              <w:t>184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370</w:t>
            </w:r>
          </w:p>
        </w:tc>
      </w:tr>
      <w:tr>
        <w:trPr>
          <w:trHeight w:val="27"/>
        </w:trPr>
        <w:tc>
          <w:tcPr>
            <w:tcW w:w="4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 fair value of the NBCUniversal Enterprise redeemable subsidiary preferred stock was $744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ectPr>
          <w:pgSz w:w="11900" w:h="16838" w:orient="portrait"/>
          <w:cols w:equalWidth="0" w:num="1">
            <w:col w:w="11420"/>
          </w:cols>
          <w:pgMar w:left="240" w:top="121"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defendant in several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See Note 5 for additional information on the cross-guarantee structure.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26,858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26,858</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26,858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26,858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8,255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8,255</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7,992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8,086</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1,885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1,885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2,181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2,197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1,079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21,390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21,502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5,468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5,356</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3,692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3,376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1,918</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1,659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(14,430)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2,928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3,727</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3,329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7,034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(14,430)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4,164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3,339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1,571</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5,872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(14,430)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3,203</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3,125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3,726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3,339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1,571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5,794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(14,430)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3,125</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2,641</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3,756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3,342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1,644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5,300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(14,042)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2,641</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21,735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21,735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21,735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21,735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6,300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6,249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6,365</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2,021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582</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16,592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16,721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5,143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5,014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3,597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(13,012)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3,114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3,577</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2,951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6,403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(13,012)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4,285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3,216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3,578</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(13,012)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3,208</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3,216</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3,578</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1,247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5,226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3,216</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3,069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3,527</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2,960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1,069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4,903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3,069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53,717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53,717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53,717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53,717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16,824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16,824</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15,738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15,986</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3,773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3,773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4,407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4,437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2,156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2,159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42,898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43,179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10,819</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10,538</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7,907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6,690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4,099</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3,897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(29,845)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6,349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7,867</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6,594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3,366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14,541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(29,845)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8,872</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6,678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3,355</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12,173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(29,845)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6,835</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6,678</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7,860</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6,614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3,355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12,016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(29,845)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6,678</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6,984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7,878</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6,617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3,396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12,460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(30,351)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6,984</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13"/>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44,526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44,526</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44,526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44,526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13,729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13,729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12,509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12,879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3,257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4,010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4,032</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34,472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34,867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10,054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9,659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7,117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5,825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3,531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2,912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6,125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5,730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12,842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8,279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6,334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10,728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6,384</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6,334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6,894</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5,749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2,760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10,678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(26,081)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6,334</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6,340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6,896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5,749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2,765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10,694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(26,104)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6,340</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16,180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14,271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w w:val="99"/>
              </w:rPr>
              <w:t>businesses and 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5,555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(13,397)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(6,732)</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rPr>
              <w:t>Impact of foreign currency 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3,493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303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3,716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4,019</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13,896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12,537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4,096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3,973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4,279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2,462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2,271</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3,571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305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5,537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5,842</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3,919</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10,835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10,835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1,947</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4,660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21,361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8,553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8,438</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160,659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147,775</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130,444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56,265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98,426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(593,569)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46,047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67,945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67,945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36,066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36,076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8,770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162,771</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147,972</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130,592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57,589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351,667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(594,036)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256,555</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10,014</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1,683</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2,642</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10,304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6,365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23,019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31,008</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77,782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15,463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101,248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27,996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17,144</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1,329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76,796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147,242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128,136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47,824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270,367</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(593,569)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76,796</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76,850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147,242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128,136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47,824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270,367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(593,569)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76,850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980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76,850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147,242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128,136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47,824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271,347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(593,569)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77,830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162,771</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147,972</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130,592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57,589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351,667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(594,036)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256,555</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3,814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11,104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3,746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21,318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21,848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7,837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7,883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157,264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147,028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130,214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53,853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97,872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44,437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66,154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66,154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38,347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38,358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5,802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8,494</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1,808</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2,182</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10,721</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4,398</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23,749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27,603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81,661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107,345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27,734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27,589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15,329</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71,559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265,805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71,559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265,805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71,613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266,694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72,502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share. In the fourth quarter of 2018, we acquired the remaining Sky shares and now own 100% of Sky’s equity interests. Total cash consideration was £30.2 billion (approximately $39.4 billion using the exchange rates on the purchase dates). We financed the acquisition through a combination of new fixed and floating rate notes, issuance of term loans and cash on hand.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Comcast Cable is one of the nation’s largest providers of high-speed internet, video, voice, wireless, and security and automation services (“cable services”) to residential customers under the Xfinity brand; we also provide these and other services to business customers and sell advertising. As of June 30, 2019, our cable systems had 30.9 million total customer relationships, including 28.5 million residential and 2.4 million business customer relationships, and passed approximately 58 million homes and businesses. Our Cable Communications segment generates revenue primarily from residential and business customers that subscribe to our cable services, which we market individually and as bundled services, and from the sale of advertising.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 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Filmed Entertainment segment primarily produces, acquires, markets and distributes filmed entertainment worldwide. Our films are produced primarily under the Universal Pictures, Illumination, DreamWorks Animation and Focus Features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a movie ticketing and entertainment business, the sale of consumer products, the production and licensing of live stage plays, and the distribution of filmed entertainment produced by third parties.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Beijing, China. Our Theme Parks segment generates revenue primarily from ticket sales and guest spending at our Universal theme parks.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segment consists of the operations of Sky,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As of June 30, 2019, Sky had 24.0 million retail customer relationships.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NBCUniversal’s cable networks and broadcast television programming and Sky’s owned television channels.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2018 Annual Report on Form 10-K and refer to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distribution platforms for viewing content could adversely affect our businesses and challenge existing business models.”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 In our Sky segment, our results are impacted by the seasonal nature of residential customers receiving direct-to-home (“DTH”) and over the top (“OTT”) video services, including the start of the new soccer seasons and the Christmas holiday. This generally results in greater net customer relationship additions and higher subscriber acquisition costs in the fourth quarter of each year due to higher marketing expenses.</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 in our Cable Communications, Cable Networks, Broadcast Television and Sky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The results of Sky’s advertising business are subject to cyclical advertising patterns and changes in viewership levels. This includes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16"/>
          <w:szCs w:val="16"/>
          <w:i w:val="1"/>
          <w:iCs w:val="1"/>
          <w:color w:val="auto"/>
        </w:rPr>
        <w:t>™</w:t>
      </w:r>
      <w:r>
        <w:rPr>
          <w:rFonts w:ascii="Arial" w:cs="Arial" w:eastAsia="Arial" w:hAnsi="Arial"/>
          <w:sz w:val="16"/>
          <w:szCs w:val="16"/>
          <w:color w:val="auto"/>
        </w:rPr>
        <w:t xml:space="preserve"> . The results for Sky’s content business are also subject to fluctuations as a result of changes in timing, nature and quantity of original programming distributed to other markets.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 due to increased demand for advertising time and our distribution revenue increases in the period of these broadcasts. Our operating costs and expenses also increase as a result of our production costs for these broadcasts and the amortization of the related rights fees.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Filmed Entertainment segment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Exclusive tier one sports rights, such as domestic and UEFA Champions League soccer, Formula 1, and English cricket, play a key role within Sky’s wider content strategy. In Europe broadcasting rights for tier one sports are usually tendered through a competitive auction process, with the winning bidder or bidders acquiring rights over a three to five-year period. This creates some level of cyclicality for Sky, although the staggered timing of tier one sports rights auctions usually gives Sky time to react to any material changes in the competitive dynamics of the prevailing market.</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right"/>
              <w:ind w:right="392"/>
              <w:spacing w:after="0"/>
              <w:rPr>
                <w:sz w:val="20"/>
                <w:szCs w:val="20"/>
                <w:color w:val="auto"/>
              </w:rPr>
            </w:pPr>
            <w:r>
              <w:rPr>
                <w:rFonts w:ascii="Arial" w:cs="Arial" w:eastAsia="Arial" w:hAnsi="Arial"/>
                <w:sz w:val="14"/>
                <w:szCs w:val="14"/>
                <w:color w:val="auto"/>
              </w:rPr>
              <w:t>Increase/</w:t>
            </w:r>
          </w:p>
        </w:tc>
        <w:tc>
          <w:tcPr>
            <w:tcW w:w="340" w:type="dxa"/>
            <w:vAlign w:val="bottom"/>
          </w:tcPr>
          <w:p>
            <w:pPr>
              <w:spacing w:after="0"/>
              <w:rPr>
                <w:sz w:val="14"/>
                <w:szCs w:val="14"/>
                <w:color w:val="auto"/>
              </w:rPr>
            </w:pPr>
          </w:p>
        </w:tc>
        <w:tc>
          <w:tcPr>
            <w:tcW w:w="2480" w:type="dxa"/>
            <w:vAlign w:val="bottom"/>
            <w:gridSpan w:val="3"/>
          </w:tcPr>
          <w:p>
            <w:pPr>
              <w:jc w:val="right"/>
              <w:ind w:right="851"/>
              <w:spacing w:after="0"/>
              <w:rPr>
                <w:sz w:val="20"/>
                <w:szCs w:val="20"/>
                <w:color w:val="auto"/>
              </w:rPr>
            </w:pPr>
            <w:r>
              <w:rPr>
                <w:rFonts w:ascii="Arial" w:cs="Arial" w:eastAsia="Arial" w:hAnsi="Arial"/>
                <w:sz w:val="14"/>
                <w:szCs w:val="14"/>
                <w:color w:val="auto"/>
              </w:rPr>
              <w:t>Six Months Ended</w:t>
            </w:r>
          </w:p>
        </w:tc>
        <w:tc>
          <w:tcPr>
            <w:tcW w:w="1240" w:type="dxa"/>
            <w:vAlign w:val="bottom"/>
          </w:tcPr>
          <w:p>
            <w:pPr>
              <w:jc w:val="right"/>
              <w:ind w:right="312"/>
              <w:spacing w:after="0"/>
              <w:rPr>
                <w:sz w:val="20"/>
                <w:szCs w:val="20"/>
                <w:color w:val="auto"/>
              </w:rPr>
            </w:pPr>
            <w:r>
              <w:rPr>
                <w:rFonts w:ascii="Arial" w:cs="Arial" w:eastAsia="Arial" w:hAnsi="Arial"/>
                <w:sz w:val="14"/>
                <w:szCs w:val="14"/>
                <w:color w:val="auto"/>
              </w:rPr>
              <w:t>Increase/</w:t>
            </w:r>
          </w:p>
        </w:tc>
      </w:tr>
      <w:tr>
        <w:trPr>
          <w:trHeight w:val="188"/>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(Decrease)</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26,858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21,735</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23.6 %</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53,717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44,526</w:t>
            </w:r>
          </w:p>
        </w:tc>
        <w:tc>
          <w:tcPr>
            <w:tcW w:w="12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8,255</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6,300</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16,824</w:t>
            </w:r>
          </w:p>
        </w:tc>
        <w:tc>
          <w:tcPr>
            <w:tcW w:w="40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13,729</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22.5</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8,086</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6,365</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15,986</w:t>
            </w:r>
          </w:p>
        </w:tc>
        <w:tc>
          <w:tcPr>
            <w:tcW w:w="40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12,879</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24.1</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w w:val="93"/>
              </w:rPr>
              <w:t>Advertising, marketing and promotion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1,653</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3,773</w:t>
            </w:r>
          </w:p>
        </w:tc>
        <w:tc>
          <w:tcPr>
            <w:tcW w:w="40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3,257</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15.8</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2,197</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2,021</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4,437</w:t>
            </w:r>
          </w:p>
        </w:tc>
        <w:tc>
          <w:tcPr>
            <w:tcW w:w="40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4,032</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10.0</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1,079</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582</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2,159</w:t>
            </w:r>
          </w:p>
        </w:tc>
        <w:tc>
          <w:tcPr>
            <w:tcW w:w="40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1,170</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84.7</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28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(200)</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(200)</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5,356</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5,014</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10,538</w:t>
            </w:r>
          </w:p>
        </w:tc>
        <w:tc>
          <w:tcPr>
            <w:tcW w:w="400" w:type="dxa"/>
            <w:vAlign w:val="bottom"/>
          </w:tcPr>
          <w:p>
            <w:pPr>
              <w:spacing w:after="0"/>
              <w:rPr>
                <w:sz w:val="20"/>
                <w:szCs w:val="20"/>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9,659</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9.1</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w:t>
            </w:r>
          </w:p>
        </w:tc>
        <w:tc>
          <w:tcPr>
            <w:tcW w:w="40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(806)</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(2,287)</w:t>
            </w:r>
          </w:p>
        </w:tc>
        <w:tc>
          <w:tcPr>
            <w:tcW w:w="400" w:type="dxa"/>
            <w:vAlign w:val="bottom"/>
          </w:tcPr>
          <w:p>
            <w:pPr>
              <w:spacing w:after="0"/>
              <w:rPr>
                <w:sz w:val="23"/>
                <w:szCs w:val="23"/>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(1,583)</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44.5</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w w:val="99"/>
              </w:rPr>
              <w:t>Investment and other income (loss), net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77</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(174.5)</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621</w:t>
            </w:r>
          </w:p>
        </w:tc>
        <w:tc>
          <w:tcPr>
            <w:tcW w:w="40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203</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4,164</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4,285</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8,872</w:t>
            </w:r>
          </w:p>
        </w:tc>
        <w:tc>
          <w:tcPr>
            <w:tcW w:w="400" w:type="dxa"/>
            <w:vAlign w:val="bottom"/>
          </w:tcPr>
          <w:p>
            <w:pPr>
              <w:spacing w:after="0"/>
              <w:rPr>
                <w:sz w:val="20"/>
                <w:szCs w:val="20"/>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8,279</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7.2</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w:t>
            </w:r>
          </w:p>
        </w:tc>
        <w:tc>
          <w:tcPr>
            <w:tcW w:w="40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(1,077)</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(2,037)</w:t>
            </w:r>
          </w:p>
        </w:tc>
        <w:tc>
          <w:tcPr>
            <w:tcW w:w="400" w:type="dxa"/>
            <w:vAlign w:val="bottom"/>
          </w:tcPr>
          <w:p>
            <w:pPr>
              <w:spacing w:after="0"/>
              <w:rPr>
                <w:sz w:val="23"/>
                <w:szCs w:val="23"/>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(1,895)</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7.5</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3,203</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3,208</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6,835</w:t>
            </w:r>
          </w:p>
        </w:tc>
        <w:tc>
          <w:tcPr>
            <w:tcW w:w="400" w:type="dxa"/>
            <w:vAlign w:val="bottom"/>
          </w:tcPr>
          <w:p>
            <w:pPr>
              <w:spacing w:after="0"/>
              <w:rPr>
                <w:sz w:val="20"/>
                <w:szCs w:val="20"/>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6,384</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7.1</w:t>
            </w:r>
          </w:p>
        </w:tc>
      </w:tr>
      <w:tr>
        <w:trPr>
          <w:trHeight w:val="256"/>
        </w:trPr>
        <w:tc>
          <w:tcPr>
            <w:tcW w:w="3200" w:type="dxa"/>
            <w:vAlign w:val="bottom"/>
          </w:tcPr>
          <w:p>
            <w:pPr>
              <w:ind w:left="40"/>
              <w:spacing w:after="0"/>
              <w:rPr>
                <w:sz w:val="20"/>
                <w:szCs w:val="20"/>
                <w:color w:val="auto"/>
              </w:rPr>
            </w:pPr>
            <w:r>
              <w:rPr>
                <w:rFonts w:ascii="Arial" w:cs="Arial" w:eastAsia="Arial" w:hAnsi="Arial"/>
                <w:sz w:val="18"/>
                <w:szCs w:val="18"/>
                <w:color w:val="auto"/>
              </w:rPr>
              <w:t>Less: Net income attributable to</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color w:val="auto"/>
                <w:w w:val="93"/>
              </w:rPr>
              <w:t>noncontrolling interests and redeemable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8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0"/>
                <w:szCs w:val="20"/>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20"/>
                <w:szCs w:val="20"/>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3,125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3,216</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6,678</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11"/>
              <w:spacing w:after="0"/>
              <w:rPr>
                <w:sz w:val="20"/>
                <w:szCs w:val="20"/>
                <w:color w:val="auto"/>
              </w:rPr>
            </w:pPr>
            <w:r>
              <w:rPr>
                <w:rFonts w:ascii="Arial" w:cs="Arial" w:eastAsia="Arial" w:hAnsi="Arial"/>
                <w:sz w:val="18"/>
                <w:szCs w:val="18"/>
                <w:b w:val="1"/>
                <w:bCs w:val="1"/>
                <w:color w:val="auto"/>
              </w:rPr>
              <w:t>6,334</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w w:val="96"/>
              </w:rPr>
              <w:t>attributable to Comcast Corporation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0.69</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0.70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1.47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11"/>
              <w:spacing w:after="0"/>
              <w:rPr>
                <w:sz w:val="20"/>
                <w:szCs w:val="20"/>
                <w:color w:val="auto"/>
              </w:rPr>
            </w:pPr>
            <w:r>
              <w:rPr>
                <w:rFonts w:ascii="Arial" w:cs="Arial" w:eastAsia="Arial" w:hAnsi="Arial"/>
                <w:sz w:val="18"/>
                <w:szCs w:val="18"/>
                <w:b w:val="1"/>
                <w:bCs w:val="1"/>
                <w:color w:val="auto"/>
              </w:rPr>
              <w:t>1.37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52"/>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w w:val="96"/>
              </w:rPr>
              <w:t>attributable to Comcast Corporation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0.68</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0.69</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1.45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11"/>
              <w:spacing w:after="0"/>
              <w:rPr>
                <w:sz w:val="20"/>
                <w:szCs w:val="20"/>
                <w:color w:val="auto"/>
              </w:rPr>
            </w:pPr>
            <w:r>
              <w:rPr>
                <w:rFonts w:ascii="Arial" w:cs="Arial" w:eastAsia="Arial" w:hAnsi="Arial"/>
                <w:sz w:val="18"/>
                <w:szCs w:val="18"/>
                <w:b w:val="1"/>
                <w:bCs w:val="1"/>
                <w:color w:val="auto"/>
              </w:rPr>
              <w:t>1.36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6"/>
        </w:trPr>
        <w:tc>
          <w:tcPr>
            <w:tcW w:w="3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33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8,716</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7,417</w:t>
            </w:r>
          </w:p>
        </w:tc>
        <w:tc>
          <w:tcPr>
            <w:tcW w:w="1320" w:type="dxa"/>
            <w:vAlign w:val="bottom"/>
          </w:tcPr>
          <w:p>
            <w:pPr>
              <w:jc w:val="right"/>
              <w:ind w:right="12"/>
              <w:spacing w:after="0"/>
              <w:rPr>
                <w:sz w:val="20"/>
                <w:szCs w:val="20"/>
                <w:color w:val="auto"/>
              </w:rPr>
            </w:pPr>
            <w:r>
              <w:rPr>
                <w:rFonts w:ascii="Arial" w:cs="Arial" w:eastAsia="Arial" w:hAnsi="Arial"/>
                <w:sz w:val="18"/>
                <w:szCs w:val="18"/>
                <w:b w:val="1"/>
                <w:bCs w:val="1"/>
                <w:color w:val="auto"/>
              </w:rPr>
              <w:t>17.5 %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17,269</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11"/>
              <w:spacing w:after="0"/>
              <w:rPr>
                <w:sz w:val="20"/>
                <w:szCs w:val="20"/>
                <w:color w:val="auto"/>
              </w:rPr>
            </w:pPr>
            <w:r>
              <w:rPr>
                <w:rFonts w:ascii="Arial" w:cs="Arial" w:eastAsia="Arial" w:hAnsi="Arial"/>
                <w:sz w:val="18"/>
                <w:szCs w:val="18"/>
                <w:b w:val="1"/>
                <w:bCs w:val="1"/>
                <w:color w:val="auto"/>
              </w:rPr>
              <w:t>14,661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123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 Percentage changes that are considered not meaningful are denoted with NM.</w:t>
      </w:r>
    </w:p>
    <w:p>
      <w:pPr>
        <w:spacing w:after="0" w:line="73" w:lineRule="exact"/>
        <w:rPr>
          <w:sz w:val="20"/>
          <w:szCs w:val="20"/>
          <w:color w:val="auto"/>
        </w:rPr>
      </w:pPr>
    </w:p>
    <w:p>
      <w:pPr>
        <w:ind w:left="260" w:hanging="252"/>
        <w:spacing w:after="0" w:line="273"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43 for additional information, including our definition and our use of Adjusted EBITDA, and for a reconciliation from net income attributable to Comcast Corporation to Adjusted EBITDA.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comparability of our consolidated results of operations was impacted by the Sky transaction in the fourth quarter of 2018. Sky’s results of operations are included in our condensed consolidated financial statements following the October 9, 2018 acquisition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Sky, Cable Communications, Theme Parks and Cable Networks segments accounted for the increase in consolidated revenue for the three months ended June 30, 2019, which was partially offset by a decrease in revenue in our Filmed Entertainment segment.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Sky, Cable Communications and Theme Parks segments accounted for the increase in consolidated revenue for the six months ended June 30, 2019, which was partially offset by decreases in revenue in our Broadcast Television, Cable Networks and Filmed Entertainment segments. Consolidated revenue for the six months ended June 30, 2018 included revenue associated with our broadcasts of the 2018 PyeongChang Olympics and the 2018 Super Bowl in February 2018.</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business development initiatives and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Cable Communications, Theme Parks and Cable Networks segments accounted for the increase in consolidated operating costs and expenses for the three months ended June 30, 2019, which was partially offset by decreases in operating costs and expenses in our Filmed Entertainment and Broadcast Television segments.</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Cable Communications and Theme Parks segments accounted for the increase in consolidated operating costs and expenses for the six months ended June 30, 2019, which was partially offset by decreases in operating costs and expenses in our Broadcast Television, Filmed Entertainment and Cable Networks segments.</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 Operating costs and expenses for our corporate operations, businesses development initiatives and other businesses are discussed separately below under the heading “Corporate and Other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53"/>
              <w:spacing w:after="0"/>
              <w:rPr>
                <w:sz w:val="20"/>
                <w:szCs w:val="20"/>
                <w:color w:val="auto"/>
              </w:rPr>
            </w:pPr>
            <w:r>
              <w:rPr>
                <w:rFonts w:ascii="Arial" w:cs="Arial" w:eastAsia="Arial" w:hAnsi="Arial"/>
                <w:sz w:val="14"/>
                <w:szCs w:val="14"/>
                <w:color w:val="auto"/>
              </w:rPr>
              <w:t>Three Months Ended</w:t>
            </w:r>
          </w:p>
        </w:tc>
        <w:tc>
          <w:tcPr>
            <w:tcW w:w="1340" w:type="dxa"/>
            <w:vAlign w:val="bottom"/>
          </w:tcPr>
          <w:p>
            <w:pPr>
              <w:jc w:val="right"/>
              <w:ind w:right="395"/>
              <w:spacing w:after="0"/>
              <w:rPr>
                <w:sz w:val="20"/>
                <w:szCs w:val="20"/>
                <w:color w:val="auto"/>
              </w:rPr>
            </w:pPr>
            <w:r>
              <w:rPr>
                <w:rFonts w:ascii="Arial" w:cs="Arial" w:eastAsia="Arial" w:hAnsi="Arial"/>
                <w:sz w:val="14"/>
                <w:szCs w:val="14"/>
                <w:color w:val="auto"/>
              </w:rPr>
              <w:t>Increase/</w:t>
            </w:r>
          </w:p>
        </w:tc>
        <w:tc>
          <w:tcPr>
            <w:tcW w:w="340" w:type="dxa"/>
            <w:vAlign w:val="bottom"/>
          </w:tcPr>
          <w:p>
            <w:pPr>
              <w:spacing w:after="0"/>
              <w:rPr>
                <w:sz w:val="14"/>
                <w:szCs w:val="14"/>
                <w:color w:val="auto"/>
              </w:rPr>
            </w:pPr>
          </w:p>
        </w:tc>
        <w:tc>
          <w:tcPr>
            <w:tcW w:w="2460" w:type="dxa"/>
            <w:vAlign w:val="bottom"/>
            <w:gridSpan w:val="3"/>
          </w:tcPr>
          <w:p>
            <w:pPr>
              <w:jc w:val="right"/>
              <w:ind w:right="833"/>
              <w:spacing w:after="0"/>
              <w:rPr>
                <w:sz w:val="20"/>
                <w:szCs w:val="20"/>
                <w:color w:val="auto"/>
              </w:rPr>
            </w:pPr>
            <w:r>
              <w:rPr>
                <w:rFonts w:ascii="Arial" w:cs="Arial" w:eastAsia="Arial" w:hAnsi="Arial"/>
                <w:sz w:val="14"/>
                <w:szCs w:val="14"/>
                <w:color w:val="auto"/>
              </w:rPr>
              <w:t>Six Months Ended</w:t>
            </w:r>
          </w:p>
        </w:tc>
        <w:tc>
          <w:tcPr>
            <w:tcW w:w="1280" w:type="dxa"/>
            <w:vAlign w:val="bottom"/>
          </w:tcPr>
          <w:p>
            <w:pPr>
              <w:jc w:val="right"/>
              <w:ind w:right="335"/>
              <w:spacing w:after="0"/>
              <w:rPr>
                <w:sz w:val="20"/>
                <w:szCs w:val="20"/>
                <w:color w:val="auto"/>
              </w:rPr>
            </w:pPr>
            <w:r>
              <w:rPr>
                <w:rFonts w:ascii="Arial" w:cs="Arial" w:eastAsia="Arial" w:hAnsi="Arial"/>
                <w:sz w:val="14"/>
                <w:szCs w:val="14"/>
                <w:color w:val="auto"/>
              </w:rPr>
              <w:t>Increase/</w:t>
            </w:r>
          </w:p>
        </w:tc>
      </w:tr>
      <w:tr>
        <w:trPr>
          <w:trHeight w:val="188"/>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(Decrease)</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2018</w:t>
            </w:r>
          </w:p>
        </w:tc>
        <w:tc>
          <w:tcPr>
            <w:tcW w:w="13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2018</w:t>
            </w:r>
          </w:p>
        </w:tc>
        <w:tc>
          <w:tcPr>
            <w:tcW w:w="1280" w:type="dxa"/>
            <w:vAlign w:val="bottom"/>
            <w:tcBorders>
              <w:bottom w:val="single" w:sz="8" w:color="auto"/>
            </w:tcBorders>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2,036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2,023</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0.7 %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4,071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4,084</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8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23"/>
                <w:szCs w:val="23"/>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553</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1,042</w:t>
            </w:r>
          </w:p>
        </w:tc>
        <w:tc>
          <w:tcPr>
            <w:tcW w:w="420" w:type="dxa"/>
            <w:vAlign w:val="bottom"/>
          </w:tcPr>
          <w:p>
            <w:pPr>
              <w:spacing w:after="0"/>
              <w:rPr>
                <w:sz w:val="23"/>
                <w:szCs w:val="23"/>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1,063</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(2.0)</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Sky</w:t>
            </w:r>
          </w:p>
        </w:tc>
        <w:tc>
          <w:tcPr>
            <w:tcW w:w="28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673</w:t>
            </w:r>
          </w:p>
        </w:tc>
        <w:tc>
          <w:tcPr>
            <w:tcW w:w="420" w:type="dxa"/>
            <w:vAlign w:val="bottom"/>
          </w:tcPr>
          <w:p>
            <w:pPr>
              <w:spacing w:after="0"/>
              <w:rPr>
                <w:sz w:val="23"/>
                <w:szCs w:val="23"/>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5"/>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1,414</w:t>
            </w:r>
          </w:p>
        </w:tc>
        <w:tc>
          <w:tcPr>
            <w:tcW w:w="420" w:type="dxa"/>
            <w:vAlign w:val="bottom"/>
          </w:tcPr>
          <w:p>
            <w:pPr>
              <w:spacing w:after="0"/>
              <w:rPr>
                <w:sz w:val="23"/>
                <w:szCs w:val="23"/>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NM</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3"/>
                <w:szCs w:val="23"/>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27</w:t>
            </w:r>
          </w:p>
        </w:tc>
        <w:tc>
          <w:tcPr>
            <w:tcW w:w="1340" w:type="dxa"/>
            <w:vAlign w:val="bottom"/>
          </w:tcPr>
          <w:p>
            <w:pPr>
              <w:jc w:val="right"/>
              <w:ind w:right="195"/>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3"/>
                <w:szCs w:val="23"/>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55</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29.8</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b w:val="1"/>
                <w:bCs w:val="1"/>
                <w:color w:val="auto"/>
              </w:rPr>
              <w:t>3,276</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b w:val="1"/>
                <w:bCs w:val="1"/>
                <w:color w:val="auto"/>
              </w:rPr>
              <w:t>2,603</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25.9 %</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b w:val="1"/>
                <w:bCs w:val="1"/>
                <w:color w:val="auto"/>
              </w:rPr>
              <w:t>6,596</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13"/>
              <w:spacing w:after="0"/>
              <w:rPr>
                <w:sz w:val="20"/>
                <w:szCs w:val="20"/>
                <w:color w:val="auto"/>
              </w:rPr>
            </w:pPr>
            <w:r>
              <w:rPr>
                <w:rFonts w:ascii="Arial" w:cs="Arial" w:eastAsia="Arial" w:hAnsi="Arial"/>
                <w:sz w:val="18"/>
                <w:szCs w:val="18"/>
                <w:b w:val="1"/>
                <w:bCs w:val="1"/>
                <w:color w:val="auto"/>
              </w:rPr>
              <w:t>5,202</w:t>
            </w:r>
          </w:p>
        </w:tc>
        <w:tc>
          <w:tcPr>
            <w:tcW w:w="1280" w:type="dxa"/>
            <w:vAlign w:val="bottom"/>
          </w:tcPr>
          <w:p>
            <w:pPr>
              <w:jc w:val="right"/>
              <w:spacing w:after="0"/>
              <w:rPr>
                <w:sz w:val="20"/>
                <w:szCs w:val="20"/>
                <w:color w:val="auto"/>
              </w:rPr>
            </w:pPr>
            <w:r>
              <w:rPr>
                <w:rFonts w:ascii="Arial" w:cs="Arial" w:eastAsia="Arial" w:hAnsi="Arial"/>
                <w:sz w:val="18"/>
                <w:szCs w:val="18"/>
                <w:color w:val="auto"/>
              </w:rPr>
              <w:t>26.8 %</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expense increased for the three and six months ended June 30, 2019 primarily due to depreciation and amortization expense related to Sky. During the first quarter of 2019, we recorded adjustments to the purchase price allocation of Sky, primarily related to intangible assets and property and equipment. This change resulted in an adjustment recorded in the first quarter of 2019 related to the fourth quarter of 2018 that increased depreciation and amortization expense by $53 million.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from acquisition-related intangible assets, such as customer relationships, totaled $499 million and $1 billion for the three and six months ended June 30, 2019, respectively. Amortization expense from acquisition-related intangible assets, such as customer relationships, totaled $236 million and $441 million for the three and six months ended June 30, 2018, respectively. Amounts primarily relate to customer relationship intangible assets recorded in connection with the Sky transaction in the fourth quarter of 2018 and the NBCUniversal transaction in 2011 (see Note 6 to Comcast’s condensed consolidated financial statements for additional information on the Sky transaction).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Operating Gains</w:t>
      </w:r>
    </w:p>
    <w:p>
      <w:pPr>
        <w:spacing w:after="0" w:line="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Consolidated other operating gains for both the three and six months ended June 30, 2018 included $200 million related to the sale of a controlling interest in our arena management-related businesses in Corporate and Other (see Note 9 to Comcast’s condensed consolidated financial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Interest Expense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Consolidated interest expense increased for the three and six months ended June 30, 2019 compared to the same periods in 2018 primarily due to increases in our debt outstanding associated with the financing of and debt assumed in connection with the Sky transaction in the fourth quarter of 2018.</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Investment and Other Income (Loss),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2018</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(202)</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60</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408</w:t>
            </w: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153</w:t>
            </w:r>
          </w:p>
        </w:tc>
        <w:tc>
          <w:tcPr>
            <w:tcW w:w="64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(55)</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77</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621</w:t>
            </w:r>
          </w:p>
        </w:tc>
        <w:tc>
          <w:tcPr>
            <w:tcW w:w="6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203</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changes in equity in net income (losses) of investees, net for the three and six months ended June 30, 2019 compared to the same periods in 2018 were primarily related to our equity method investments in Atairos and Hulu. The income (losses) at Atairos were driven by fair value adjustments on its underlying investments. The losses at Hulu were primarily due to programming, advertising and marketing costs, and higher other administrative expenses. The equity in net income (losses) of Atairos and Hulu for the three and six months ended June 30, 2019 and 2018 are presented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89"/>
              </w:rPr>
              <w:t>2018</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96"/>
              </w:rPr>
              <w:t>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Atairos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(106)</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151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
              <w:spacing w:after="0"/>
              <w:rPr>
                <w:sz w:val="20"/>
                <w:szCs w:val="20"/>
                <w:color w:val="auto"/>
              </w:rPr>
            </w:pPr>
            <w:r>
              <w:rPr>
                <w:rFonts w:ascii="Arial" w:cs="Arial" w:eastAsia="Arial" w:hAnsi="Arial"/>
                <w:sz w:val="18"/>
                <w:szCs w:val="18"/>
                <w:color w:val="auto"/>
              </w:rPr>
              <w:t>268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186</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Hulu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(109)</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(250)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Gains (Losses) on Equity Securities,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realized and unrealized gains (losses) on equity securities, net for the three and six months ended June 30, 2019 were primarily due to unrealized gains of $96 million and $258 million, respectively, related to our investment in Snap.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(loss), net included $56 million of pretax losses due to the impairment of an equity method investment in the second quarter of 2019 and the recognition of the previously deferred gain related to Hulu of $159 million recorded in the first quarter of 2019. Other income (loss), net included a $64 million pretax gain related to the sale of our investment in the Weather Channel cable network in the first quarter of 2018. See Note 9 to Comcast’s condensed consolidated financial statements and Note 8 to NBCUniversal’s condensed consolidated financial statements for further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 expense for the three and six months ended June 30, 2019 and 2018 reflects an effective income tax rate that differs from the federal statutory rate primarily due to state and foreign income taxes and adjustments associated with uncertain tax positions. The decrease in income tax expense for the three months ended June 30, 2019 compared to the same period in 2018 was primarily due to lower taxable income from operations. The increase in income tax expense for the six months ended June 30, 2019 compared to the same period in 2018 was primarily due to higher taxable income from operations. We also recognized an income tax benefit of $128 million during the first quarter of 2018 related to the enactment of federal tax legislation in 2018.</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 See Note 2 to both Comcast’s and NBCUniversal’s condensed consolidated financial statements for our definition of Adjusted EBITDA and a reconciliation from the aggregate amount of Adjusted EBITDA for our reportable business segments to consolidated income before income taxes.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2"/>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jc w:val="center"/>
              <w:ind w:left="633"/>
              <w:spacing w:after="0"/>
              <w:rPr>
                <w:sz w:val="20"/>
                <w:szCs w:val="20"/>
                <w:color w:val="auto"/>
              </w:rPr>
            </w:pPr>
            <w:r>
              <w:rPr>
                <w:rFonts w:ascii="Arial" w:cs="Arial" w:eastAsia="Arial" w:hAnsi="Arial"/>
                <w:sz w:val="14"/>
                <w:szCs w:val="14"/>
                <w:color w:val="auto"/>
                <w:w w:val="90"/>
              </w:rPr>
              <w:t>Increase/</w:t>
            </w:r>
          </w:p>
        </w:tc>
        <w:tc>
          <w:tcPr>
            <w:tcW w:w="110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92"/>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color w:val="auto"/>
                <w:w w:val="92"/>
              </w:rPr>
              <w:t>(Decrease)</w:t>
            </w:r>
          </w:p>
        </w:tc>
        <w:tc>
          <w:tcPr>
            <w:tcW w:w="110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5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4,663</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4,262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401</w:t>
            </w:r>
          </w:p>
        </w:tc>
        <w:tc>
          <w:tcPr>
            <w:tcW w:w="110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5,594</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5,628</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(34)</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(0.6)</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994</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202</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42</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21.0</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1,933</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1,761</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172</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9.8</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666</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(59)</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(8.7)</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399</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28</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6.0</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14,450</w:t>
            </w:r>
          </w:p>
        </w:tc>
        <w:tc>
          <w:tcPr>
            <w:tcW w:w="88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13,912</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538</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3.9</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3,372</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3,312</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60</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1.8</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1,898</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1,842</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56</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3.1</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636</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(1.9)</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1,004</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981</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23</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2.4</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393</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(3)</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1,299</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9</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0.7</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8,596</w:t>
            </w:r>
          </w:p>
        </w:tc>
        <w:tc>
          <w:tcPr>
            <w:tcW w:w="88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8,463</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133</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1.6</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5,854</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5,449</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405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7.4 %</w:t>
            </w:r>
          </w:p>
        </w:tc>
      </w:tr>
      <w:tr>
        <w:trPr>
          <w:trHeight w:val="34"/>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6"/>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512"/>
              <w:spacing w:after="0"/>
              <w:rPr>
                <w:sz w:val="20"/>
                <w:szCs w:val="20"/>
                <w:color w:val="auto"/>
              </w:rPr>
            </w:pPr>
            <w:r>
              <w:rPr>
                <w:rFonts w:ascii="Arial" w:cs="Arial" w:eastAsia="Arial" w:hAnsi="Arial"/>
                <w:sz w:val="14"/>
                <w:szCs w:val="14"/>
                <w:color w:val="auto"/>
                <w:w w:val="93"/>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jc w:val="center"/>
              <w:ind w:left="633"/>
              <w:spacing w:after="0"/>
              <w:rPr>
                <w:sz w:val="20"/>
                <w:szCs w:val="20"/>
                <w:color w:val="auto"/>
              </w:rPr>
            </w:pPr>
            <w:r>
              <w:rPr>
                <w:rFonts w:ascii="Arial" w:cs="Arial" w:eastAsia="Arial" w:hAnsi="Arial"/>
                <w:sz w:val="14"/>
                <w:szCs w:val="14"/>
                <w:color w:val="auto"/>
                <w:w w:val="90"/>
              </w:rPr>
              <w:t>Increase/</w:t>
            </w:r>
          </w:p>
        </w:tc>
        <w:tc>
          <w:tcPr>
            <w:tcW w:w="1100" w:type="dxa"/>
            <w:vAlign w:val="bottom"/>
          </w:tcPr>
          <w:p>
            <w:pPr>
              <w:spacing w:after="0"/>
              <w:rPr>
                <w:sz w:val="24"/>
                <w:szCs w:val="24"/>
                <w:color w:val="auto"/>
              </w:rPr>
            </w:pPr>
          </w:p>
        </w:tc>
      </w:tr>
      <w:tr>
        <w:trPr>
          <w:trHeight w:val="188"/>
        </w:trPr>
        <w:tc>
          <w:tcPr>
            <w:tcW w:w="4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92"/>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color w:val="auto"/>
                <w:w w:val="92"/>
              </w:rPr>
              <w:t>(Decrease)</w:t>
            </w:r>
          </w:p>
        </w:tc>
        <w:tc>
          <w:tcPr>
            <w:tcW w:w="110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5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9,240</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8,419</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821</w:t>
            </w:r>
          </w:p>
        </w:tc>
        <w:tc>
          <w:tcPr>
            <w:tcW w:w="110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11,222</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11,287</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(65)</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(0.6)</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1,972</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(28)</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(1.4)</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387</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82</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21.2</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3,824</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3,487</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337</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9.7</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1,248</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(85)</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(6.8)</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787</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53</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6.5</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28,730</w:t>
            </w:r>
          </w:p>
        </w:tc>
        <w:tc>
          <w:tcPr>
            <w:tcW w:w="88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27,615</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1,115</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4.0</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6,791</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6,638</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153</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2.3</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3,778</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3,698</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80</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2.2</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1,276</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(27)</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(2.1)</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1,976</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1,959</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17</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0.9</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795</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(1.8)</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2,573</w:t>
            </w:r>
          </w:p>
        </w:tc>
        <w:tc>
          <w:tcPr>
            <w:tcW w:w="88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2,583</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(0.4)</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17,148</w:t>
            </w:r>
          </w:p>
        </w:tc>
        <w:tc>
          <w:tcPr>
            <w:tcW w:w="88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16,949</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199</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1.2</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11,582</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10,666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916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8.6 %</w:t>
            </w:r>
          </w:p>
        </w:tc>
      </w:tr>
      <w:tr>
        <w:trPr>
          <w:trHeight w:val="34"/>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75"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color w:val="auto"/>
              </w:rPr>
              <w:t>Net Additions</w:t>
            </w:r>
          </w:p>
        </w:tc>
        <w:tc>
          <w:tcPr>
            <w:tcW w:w="720" w:type="dxa"/>
            <w:vAlign w:val="bottom"/>
            <w:tcBorders>
              <w:bottom w:val="single" w:sz="8" w:color="auto"/>
            </w:tcBorders>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20" w:type="dxa"/>
            <w:vAlign w:val="bottom"/>
            <w:gridSpan w:val="2"/>
          </w:tcPr>
          <w:p>
            <w:pPr>
              <w:jc w:val="right"/>
              <w:ind w:right="492"/>
              <w:spacing w:after="0" w:line="157" w:lineRule="exact"/>
              <w:rPr>
                <w:sz w:val="20"/>
                <w:szCs w:val="20"/>
                <w:color w:val="auto"/>
              </w:rPr>
            </w:pPr>
            <w:r>
              <w:rPr>
                <w:rFonts w:ascii="Arial" w:cs="Arial" w:eastAsia="Arial" w:hAnsi="Arial"/>
                <w:sz w:val="14"/>
                <w:szCs w:val="14"/>
                <w:color w:val="auto"/>
              </w:rPr>
              <w:t>Three Months Ended</w:t>
            </w:r>
          </w:p>
        </w:tc>
        <w:tc>
          <w:tcPr>
            <w:tcW w:w="1860" w:type="dxa"/>
            <w:vAlign w:val="bottom"/>
            <w:gridSpan w:val="2"/>
          </w:tcPr>
          <w:p>
            <w:pPr>
              <w:jc w:val="right"/>
              <w:ind w:right="371"/>
              <w:spacing w:after="0" w:line="157" w:lineRule="exact"/>
              <w:rPr>
                <w:sz w:val="20"/>
                <w:szCs w:val="20"/>
                <w:color w:val="auto"/>
              </w:rPr>
            </w:pPr>
            <w:r>
              <w:rPr>
                <w:rFonts w:ascii="Arial" w:cs="Arial" w:eastAsia="Arial" w:hAnsi="Arial"/>
                <w:sz w:val="14"/>
                <w:szCs w:val="14"/>
                <w:color w:val="auto"/>
              </w:rPr>
              <w:t>Six Months Ended</w:t>
            </w:r>
          </w:p>
        </w:tc>
      </w:tr>
      <w:tr>
        <w:trPr>
          <w:trHeight w:val="188"/>
        </w:trPr>
        <w:tc>
          <w:tcPr>
            <w:tcW w:w="526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6"/>
                <w:szCs w:val="16"/>
                <w:color w:val="auto"/>
              </w:rPr>
            </w:pP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2019</w:t>
            </w: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2018</w:t>
            </w: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28,508</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27,600</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123</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163</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399</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2,356</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2,244</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29</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36</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53</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30,864</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29,843</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152</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199</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453</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480</w:t>
            </w:r>
          </w:p>
        </w:tc>
      </w:tr>
      <w:tr>
        <w:trPr>
          <w:trHeight w:val="27"/>
        </w:trPr>
        <w:tc>
          <w:tcPr>
            <w:tcW w:w="5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One product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9,526</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8,594</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231</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204</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512</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Two product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8,952</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8,980</w:t>
            </w:r>
          </w:p>
        </w:tc>
        <w:tc>
          <w:tcPr>
            <w:tcW w:w="1340" w:type="dxa"/>
            <w:vAlign w:val="bottom"/>
          </w:tcPr>
          <w:p>
            <w:pPr>
              <w:jc w:val="right"/>
              <w:ind w:right="273"/>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(80)</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(40)</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Three or more product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10,030</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10,026</w:t>
            </w:r>
          </w:p>
        </w:tc>
        <w:tc>
          <w:tcPr>
            <w:tcW w:w="1340" w:type="dxa"/>
            <w:vAlign w:val="bottom"/>
          </w:tcPr>
          <w:p>
            <w:pPr>
              <w:jc w:val="right"/>
              <w:ind w:right="273"/>
              <w:spacing w:after="0"/>
              <w:rPr>
                <w:sz w:val="20"/>
                <w:szCs w:val="20"/>
                <w:color w:val="auto"/>
              </w:rPr>
            </w:pPr>
            <w:r>
              <w:rPr>
                <w:rFonts w:ascii="Arial" w:cs="Arial" w:eastAsia="Arial" w:hAnsi="Arial"/>
                <w:sz w:val="18"/>
                <w:szCs w:val="18"/>
                <w:color w:val="auto"/>
              </w:rPr>
              <w:t>(50)</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39</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(72)</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5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25,631</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24,440</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182</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226</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534</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577</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2,176</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2,069</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28</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51</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27,807</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26,509</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209</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260</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584</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5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20,642</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21,074</w:t>
            </w:r>
          </w:p>
        </w:tc>
        <w:tc>
          <w:tcPr>
            <w:tcW w:w="1340" w:type="dxa"/>
            <w:vAlign w:val="bottom"/>
          </w:tcPr>
          <w:p>
            <w:pPr>
              <w:jc w:val="right"/>
              <w:ind w:right="273"/>
              <w:spacing w:after="0"/>
              <w:rPr>
                <w:sz w:val="20"/>
                <w:szCs w:val="20"/>
                <w:color w:val="auto"/>
              </w:rPr>
            </w:pPr>
            <w:r>
              <w:rPr>
                <w:rFonts w:ascii="Arial" w:cs="Arial" w:eastAsia="Arial" w:hAnsi="Arial"/>
                <w:sz w:val="18"/>
                <w:szCs w:val="18"/>
                <w:color w:val="auto"/>
              </w:rPr>
              <w:t>(209)</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(136)</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(317)</w:t>
            </w: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999</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1,047</w:t>
            </w:r>
          </w:p>
        </w:tc>
        <w:tc>
          <w:tcPr>
            <w:tcW w:w="1340" w:type="dxa"/>
            <w:vAlign w:val="bottom"/>
          </w:tcPr>
          <w:p>
            <w:pPr>
              <w:jc w:val="right"/>
              <w:ind w:right="273"/>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(28)</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21,641</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22,121</w:t>
            </w:r>
          </w:p>
        </w:tc>
        <w:tc>
          <w:tcPr>
            <w:tcW w:w="1340" w:type="dxa"/>
            <w:vAlign w:val="bottom"/>
          </w:tcPr>
          <w:p>
            <w:pPr>
              <w:jc w:val="right"/>
              <w:ind w:right="273"/>
              <w:spacing w:after="0"/>
              <w:rPr>
                <w:sz w:val="20"/>
                <w:szCs w:val="20"/>
                <w:color w:val="auto"/>
              </w:rPr>
            </w:pPr>
            <w:r>
              <w:rPr>
                <w:rFonts w:ascii="Arial" w:cs="Arial" w:eastAsia="Arial" w:hAnsi="Arial"/>
                <w:sz w:val="18"/>
                <w:szCs w:val="18"/>
                <w:color w:val="auto"/>
              </w:rPr>
              <w:t>(224)</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(140)</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(345)</w:t>
            </w: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10,008</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10,213</w:t>
            </w:r>
          </w:p>
        </w:tc>
        <w:tc>
          <w:tcPr>
            <w:tcW w:w="1340" w:type="dxa"/>
            <w:vAlign w:val="bottom"/>
          </w:tcPr>
          <w:p>
            <w:pPr>
              <w:jc w:val="right"/>
              <w:ind w:right="273"/>
              <w:spacing w:after="0"/>
              <w:rPr>
                <w:sz w:val="20"/>
                <w:szCs w:val="20"/>
                <w:color w:val="auto"/>
              </w:rPr>
            </w:pPr>
            <w:r>
              <w:rPr>
                <w:rFonts w:ascii="Arial" w:cs="Arial" w:eastAsia="Arial" w:hAnsi="Arial"/>
                <w:sz w:val="18"/>
                <w:szCs w:val="18"/>
                <w:color w:val="auto"/>
              </w:rPr>
              <w:t>(82)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(145)</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1,324</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1,269</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17</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27</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11,331</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11,482</w:t>
            </w:r>
          </w:p>
        </w:tc>
        <w:tc>
          <w:tcPr>
            <w:tcW w:w="1340" w:type="dxa"/>
            <w:vAlign w:val="bottom"/>
          </w:tcPr>
          <w:p>
            <w:pPr>
              <w:jc w:val="right"/>
              <w:ind w:right="273"/>
              <w:spacing w:after="0"/>
              <w:rPr>
                <w:sz w:val="20"/>
                <w:szCs w:val="20"/>
                <w:color w:val="auto"/>
              </w:rPr>
            </w:pPr>
            <w:r>
              <w:rPr>
                <w:rFonts w:ascii="Arial" w:cs="Arial" w:eastAsia="Arial" w:hAnsi="Arial"/>
                <w:sz w:val="18"/>
                <w:szCs w:val="18"/>
                <w:color w:val="auto"/>
              </w:rPr>
              <w:t>(65)</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(118)</w:t>
            </w: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1,356</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1,236</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23</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60</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40</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5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Wireless</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Wireless lines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1,586</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781</w:t>
            </w: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181</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204</w:t>
            </w: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351</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cable services. One product, two product, and three or more product customers represent residential customers that subscribe to one, two, or three or more of our cable services, respectively.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In 2017, we began to offer prepaid services that allow customers to prepay for at least 30 days of service. Residential high-speed internet and video customers as of June 30, 2019 included prepaid customers totaling approximately 174,000 and 6,000, respectively. Wireless lines represent the number of activated eligible wireless devices on customers’ accounts. Individual customer relationships may have multiple wireless lines.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monthly total revenue per customer relationship for the three and six months ended June 30, 2019 was $156.44 and $156.29, respectively. Average monthly total revenue per customer relationship for the three and six months ended June 30, 2018 was $155.91 and $155.47, respectively. This metric is impacted by rate adjustments and changes in the types and levels of services received by our residential and business services customers, as well as changes in advertising revenue. While revenue from our high-speed internet, video, voice and wireless services is also impacted by changes in the allocation of revenue among services sold in a bundle, the allocation does not impact average monthly total revenue per customer relationship.</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monthly Adjusted EBITDA per customer relationship for the three and six months ended June 30, 2019 was $63.38 and $63.01, respectively. Average monthly Adjusted EBITDA per customer relationship for the three and six months ended June 30, 2018 was $61.07 and $60.05, respectively. Each of our cable services has a different contribution to operating margin. We use average monthly Adjusted EBITDA per customer relationship to evaluate the profitability of our customer base across our service offerings. We believe this metric is useful particularly as we continue to focus on growing our higher-margin businesses, including residential high-speed internet and business services.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 increased 9.4% and 9.8% for the three and six months ended June 30, 2019, respectively, compared to the same periods in 2018. Increases in the number of residential customers receiving our high-speed internet services accounted for increases in revenue of 5.0% for both the three and six months ended June 30, 2019. The remaining increases in revenue for the three and six months ended June 30, 2019 were primarily due to increases in average high-speed internet rates.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Video revenue was flat for the three and six months ended June 30, 2019 compared to the same periods in 2018 primarily due to declines in the number of residential video customers, partially offset by increases in average video rates.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as a result of the competitive environment and shifting video consumption patterns.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Voice revenue decreased 1.1% and 1.4% for the three and six months ended June 30, 2019, respectively, compared to the same periods in 2018 primarily due to declines in the number of residential voice customers. We expect that the number of residential voice customers and voice revenue will continue to decline.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Wireless revenue increased 21.0% and 21.2% for the three and six months ended June 30, 2019, respectively, compared to the same periods in 2018 primarily due to increases in the number of customer lines. Although customer lines increased, the number of wireless handsets sold declined in both periods due to the number of customers electing to bring their own device.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services revenue increased 9.8% and 9.7% for the three and six months ended June 30, 2019, respectively, compared to the same periods in 2018. The increases were primarily due to increases in the number of customers receiving our small and medium-sized business services offerings and increases in average rates.</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increases in the number of business customers are primarily the result of our efforts to gain market share from competitors by offering competitive services and pricing. We expect that the contribution to our growth rate from medium-sized and enterprise customers will increase relative to that of our small-business customers as small business services matures.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Advertising revenue decreased 8.7% and 6.8% for the three and six months ended June 30, 2019, respectively, compared to the same periods in 2018 primarily due to decreases in political advertising revenue. Excluding the impact of political advertising revenue, advertising revenue decreased 2.5% and 2.2% for the three and six months ended June 30, 2019, respectively, compared to the same periods in 2018.</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both the three and six months ended June 30, 2019, 4% of our Cable Communications segment advertising revenue was generated from our NBCUniversal segments. For both the three and six months ended June 30, 2018, 4% of our Cable Communications segment advertising revenue was generated from our NBCUniversal segments. These amounts are eliminated in our condensed consolidated financial statements but are included in the amounts presented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revenue increased 6.0% and 6.5% for the three and six months ended June 30, 2019, respectively, compared to the same periods in 2018 primarily due to increases in revenue from our security and automation services. Additionally, for the six months ended June 30, 2019, the remaining increase in revenue was due to an increase in revenue from the licensing of our technology platforms to other multichannel video providers.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Programming expenses increased for the three and six months ended June 30, 2019 compared to the same periods in 2018 primarily due to increases in programming license fees, including sports programming costs and retransmission consent fees. We anticipate that our programming expenses will continue to increase, which may be at rates higher than those experienced recently, due to the timing of contract renewals in the future.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Technical and product support expenses increased for the three and six months ended June 30, 2019 compared to the same periods in 2018. The increases were primarily due to expenses related to the continued development, deployment and support of our products and services and expenses related to the continued growth in business services, partially offset by a decrease in costs associated with our wireless phone service. This decrease reflects the decline in the number of handsets sold due to customers electing to bring their own device, partially offset by increases in variable network fees as a result of the increase in customer lines.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service expenses decreased for the three and six months ended June 30, 2019 compared to the same periods in 2018 primarily due to lower personnel costs as a result of reduced call volumes.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months ended June 30, 2019 compared to the same period in 2018 primarily due to an increase in spending associated with attracting new customers. Advertising, marketing and promotion expenses were relatively flat for the six months ended June 30, 2019 compared to the same period in 2018, reflecting the absence of advertising expenses associated with the 2018 PyeongChang Olympics, offset by an increase in spending associated with attracting new customers.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decreased for the three and six months ended June 30, 2019 compared to the same periods in 2018 primarily due to decreases in the revenue to which the fees apply.</w:t>
      </w:r>
    </w:p>
    <w:p>
      <w:pPr>
        <w:spacing w:after="0" w:line="116" w:lineRule="exact"/>
        <w:rPr>
          <w:sz w:val="20"/>
          <w:szCs w:val="20"/>
          <w:color w:val="auto"/>
        </w:rPr>
      </w:pPr>
    </w:p>
    <w:p>
      <w:pPr>
        <w:ind w:right="1060"/>
        <w:spacing w:after="0" w:line="367" w:lineRule="auto"/>
        <w:rPr>
          <w:sz w:val="20"/>
          <w:szCs w:val="20"/>
          <w:color w:val="auto"/>
        </w:rPr>
      </w:pPr>
      <w:r>
        <w:rPr>
          <w:rFonts w:ascii="Arial" w:cs="Arial" w:eastAsia="Arial" w:hAnsi="Arial"/>
          <w:sz w:val="18"/>
          <w:szCs w:val="18"/>
          <w:color w:val="auto"/>
        </w:rPr>
        <w:t xml:space="preserve">Other operating costs and expenses were relatively flat for the three and six months ended June 30, 2019 compared to the same periods in 2018. </w:t>
      </w:r>
      <w:r>
        <w:rPr>
          <w:rFonts w:ascii="Arial" w:cs="Arial" w:eastAsia="Arial" w:hAnsi="Arial"/>
          <w:sz w:val="18"/>
          <w:szCs w:val="18"/>
          <w:b w:val="1"/>
          <w:bCs w:val="1"/>
          <w:color w:val="auto"/>
        </w:rPr>
        <w:t>Cable Communications Segment – Operating Margin</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which increased 1.8% and 2.3% for the three and six months ended June 30, 2019, respectively.</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operating margin for the three and six months ended June 30, 2019 was 40.5% and 40.3%, respectively. Our Cable Communications segment operating margin for the three and six months ended June 30, 2018 was 39.2% and 38.6%, respectively. We continue to focus on growing our higher-margin businesses, particularly residential high-speed internet and business services, and on improving losses related to our wireless phone service and overall operating cost management. Losses from our wireless phone service were $88 million and $191 million for the three and six months ended June 30, 2019, respectively, compared to losses of $185 million and $374 million for the three and six months ended June 30, 2018,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2,947</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2,874</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73</w:t>
            </w:r>
          </w:p>
        </w:tc>
        <w:tc>
          <w:tcPr>
            <w:tcW w:w="10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2,402</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2,391</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1,457</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1,710</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(253)</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(14.8)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1,464</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1,361</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7.5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8,206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8,273</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(67)</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1,201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1,176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25</w:t>
            </w:r>
          </w:p>
        </w:tc>
        <w:tc>
          <w:tcPr>
            <w:tcW w:w="10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534</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417</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117</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28.3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183</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138</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45</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33.0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590</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569</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(184)</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(34)</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2,324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2,150</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174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13"/>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613"/>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5,815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6,031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(216)</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4,869</w:t>
            </w:r>
          </w:p>
        </w:tc>
        <w:tc>
          <w:tcPr>
            <w:tcW w:w="640" w:type="dxa"/>
            <w:vAlign w:val="bottom"/>
          </w:tcPr>
          <w:p>
            <w:pPr>
              <w:spacing w:after="0"/>
              <w:rPr>
                <w:sz w:val="23"/>
                <w:szCs w:val="23"/>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5,888</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(1,019)</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(17.3)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3,225</w:t>
            </w:r>
          </w:p>
        </w:tc>
        <w:tc>
          <w:tcPr>
            <w:tcW w:w="640" w:type="dxa"/>
            <w:vAlign w:val="bottom"/>
          </w:tcPr>
          <w:p>
            <w:pPr>
              <w:spacing w:after="0"/>
              <w:rPr>
                <w:sz w:val="23"/>
                <w:szCs w:val="23"/>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3,357</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(132)</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2,740</w:t>
            </w:r>
          </w:p>
        </w:tc>
        <w:tc>
          <w:tcPr>
            <w:tcW w:w="640" w:type="dxa"/>
            <w:vAlign w:val="bottom"/>
          </w:tcPr>
          <w:p>
            <w:pPr>
              <w:spacing w:after="0"/>
              <w:rPr>
                <w:sz w:val="23"/>
                <w:szCs w:val="23"/>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2,642</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98</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(130)</w:t>
            </w:r>
          </w:p>
        </w:tc>
        <w:tc>
          <w:tcPr>
            <w:tcW w:w="64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18</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16,519</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b w:val="1"/>
                <w:bCs w:val="1"/>
                <w:color w:val="auto"/>
              </w:rPr>
              <w:t>17,770</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(1,251)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2,463</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2,430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33</w:t>
            </w:r>
          </w:p>
        </w:tc>
        <w:tc>
          <w:tcPr>
            <w:tcW w:w="10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921</w:t>
            </w:r>
          </w:p>
        </w:tc>
        <w:tc>
          <w:tcPr>
            <w:tcW w:w="640" w:type="dxa"/>
            <w:vAlign w:val="bottom"/>
          </w:tcPr>
          <w:p>
            <w:pPr>
              <w:spacing w:after="0"/>
              <w:rPr>
                <w:sz w:val="23"/>
                <w:szCs w:val="23"/>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924</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547</w:t>
            </w:r>
          </w:p>
        </w:tc>
        <w:tc>
          <w:tcPr>
            <w:tcW w:w="640" w:type="dxa"/>
            <w:vAlign w:val="bottom"/>
          </w:tcPr>
          <w:p>
            <w:pPr>
              <w:spacing w:after="0"/>
              <w:rPr>
                <w:sz w:val="23"/>
                <w:szCs w:val="23"/>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341</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206</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60.3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1,088</w:t>
            </w:r>
          </w:p>
        </w:tc>
        <w:tc>
          <w:tcPr>
            <w:tcW w:w="640" w:type="dxa"/>
            <w:vAlign w:val="bottom"/>
          </w:tcPr>
          <w:p>
            <w:pPr>
              <w:spacing w:after="0"/>
              <w:rPr>
                <w:sz w:val="23"/>
                <w:szCs w:val="23"/>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1,064</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24</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(358)</w:t>
            </w:r>
          </w:p>
        </w:tc>
        <w:tc>
          <w:tcPr>
            <w:tcW w:w="64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(338)</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4,661</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b w:val="1"/>
                <w:bCs w:val="1"/>
                <w:color w:val="auto"/>
              </w:rPr>
              <w:t>4,421</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240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1,707</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1,650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57</w:t>
            </w:r>
          </w:p>
        </w:tc>
        <w:tc>
          <w:tcPr>
            <w:tcW w:w="10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929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2,947</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2,874</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73</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2.5</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1,215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59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369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(10.5)</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1,746</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1,698</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1,201</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1,176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3,442</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3,511</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(69)</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1,906</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614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5,815</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6,031</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(216)</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(3.6)</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2,417</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2,640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(223)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726</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3,352</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3,601</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(249)</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2,463</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2,430</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33</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75"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Cable Networks revenue increased for the three months ended June 30, 2019 compared to the same period in 2018 primarily due to increases in distribution revenue and content licensing and other revenue. The increase in distribution revenue was primarily due to increases in the contractual rates charged under distribution agreements and the timing of contract renewals, which were partially offset by increased declines in the number of subscribers at our cable networks. Content licensing and other revenue increased primarily due to the timing of content provided under our licensing agreements. Advertising revenue was flat compared to the same period in 2018, reflecting higher rates, offset by audience ratings declines.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Networks revenue decreased for the six months ended June 30, 2019 compared to the same period in 2018 primarily due to decreases in advertising revenue and distribution revenue resulting from our broadcast of the 2018 PyeongChang Olympics. Excluding $378 million of revenue associated with our broadcast of the 2018 PyeongChang Olympics, Cable Networks revenue increased 2.9% for the six months ended June 30, 2019 compared to the same period in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3"/>
          </w:tcPr>
          <w:p>
            <w:pPr>
              <w:jc w:val="center"/>
              <w:ind w:right="176"/>
              <w:spacing w:after="0"/>
              <w:rPr>
                <w:sz w:val="20"/>
                <w:szCs w:val="20"/>
                <w:color w:val="auto"/>
              </w:rPr>
            </w:pPr>
            <w:r>
              <w:rPr>
                <w:rFonts w:ascii="Arial" w:cs="Arial" w:eastAsia="Arial" w:hAnsi="Arial"/>
                <w:sz w:val="14"/>
                <w:szCs w:val="14"/>
                <w:color w:val="auto"/>
                <w:w w:val="93"/>
              </w:rPr>
              <w:t>Three Months Ended</w:t>
            </w:r>
          </w:p>
        </w:tc>
        <w:tc>
          <w:tcPr>
            <w:tcW w:w="1120" w:type="dxa"/>
            <w:vAlign w:val="bottom"/>
          </w:tcPr>
          <w:p>
            <w:pPr>
              <w:jc w:val="center"/>
              <w:ind w:right="81"/>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color w:val="auto"/>
              </w:rPr>
              <w:t>Six Months Ended</w:t>
            </w:r>
          </w:p>
        </w:tc>
        <w:tc>
          <w:tcPr>
            <w:tcW w:w="1080" w:type="dxa"/>
            <w:vAlign w:val="bottom"/>
          </w:tcPr>
          <w:p>
            <w:pPr>
              <w:jc w:val="center"/>
              <w:ind w:right="1"/>
              <w:spacing w:after="0"/>
              <w:rPr>
                <w:sz w:val="20"/>
                <w:szCs w:val="20"/>
                <w:color w:val="auto"/>
              </w:rPr>
            </w:pPr>
            <w:r>
              <w:rPr>
                <w:rFonts w:ascii="Arial" w:cs="Arial" w:eastAsia="Arial" w:hAnsi="Arial"/>
                <w:sz w:val="14"/>
                <w:szCs w:val="14"/>
                <w:color w:val="auto"/>
                <w:w w:val="90"/>
              </w:rPr>
              <w:t>Increase/</w:t>
            </w:r>
          </w:p>
        </w:tc>
      </w:tr>
      <w:tr>
        <w:trPr>
          <w:trHeight w:val="188"/>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(Decrease)</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2018</w:t>
            </w: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6"/>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929</w:t>
            </w:r>
          </w:p>
        </w:tc>
        <w:tc>
          <w:tcPr>
            <w:tcW w:w="1120" w:type="dxa"/>
            <w:vAlign w:val="bottom"/>
          </w:tcPr>
          <w:p>
            <w:pPr>
              <w:ind w:left="600"/>
              <w:spacing w:after="0"/>
              <w:rPr>
                <w:sz w:val="20"/>
                <w:szCs w:val="20"/>
                <w:color w:val="auto"/>
              </w:rPr>
            </w:pPr>
            <w:r>
              <w:rPr>
                <w:rFonts w:ascii="Arial" w:cs="Arial" w:eastAsia="Arial" w:hAnsi="Arial"/>
                <w:sz w:val="18"/>
                <w:szCs w:val="18"/>
                <w:color w:val="auto"/>
              </w:rPr>
              <w:t>0.1%</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ind w:left="260"/>
              <w:spacing w:after="0"/>
              <w:rPr>
                <w:sz w:val="20"/>
                <w:szCs w:val="20"/>
                <w:color w:val="auto"/>
              </w:rPr>
            </w:pPr>
            <w:r>
              <w:rPr>
                <w:rFonts w:ascii="Arial" w:cs="Arial" w:eastAsia="Arial" w:hAnsi="Arial"/>
                <w:sz w:val="18"/>
                <w:szCs w:val="18"/>
                <w:b w:val="1"/>
                <w:bCs w:val="1"/>
                <w:color w:val="auto"/>
              </w:rPr>
              <w:t>1,783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1,906</w:t>
            </w: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Advertising, excluding 2018 PyeongChang Olympics</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931</w:t>
            </w:r>
          </w:p>
        </w:tc>
        <w:tc>
          <w:tcPr>
            <w:tcW w:w="340" w:type="dxa"/>
            <w:vAlign w:val="bottom"/>
          </w:tcPr>
          <w:p>
            <w:pPr>
              <w:spacing w:after="0"/>
              <w:rPr>
                <w:sz w:val="23"/>
                <w:szCs w:val="23"/>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i w:val="1"/>
                <w:iCs w:val="1"/>
                <w:color w:val="auto"/>
              </w:rPr>
              <w:t>929</w:t>
            </w:r>
          </w:p>
        </w:tc>
        <w:tc>
          <w:tcPr>
            <w:tcW w:w="1120" w:type="dxa"/>
            <w:vAlign w:val="bottom"/>
          </w:tcPr>
          <w:p>
            <w:pPr>
              <w:ind w:left="600"/>
              <w:spacing w:after="0"/>
              <w:rPr>
                <w:sz w:val="20"/>
                <w:szCs w:val="20"/>
                <w:color w:val="auto"/>
              </w:rPr>
            </w:pPr>
            <w:r>
              <w:rPr>
                <w:rFonts w:ascii="Arial" w:cs="Arial" w:eastAsia="Arial" w:hAnsi="Arial"/>
                <w:sz w:val="18"/>
                <w:szCs w:val="18"/>
                <w:i w:val="1"/>
                <w:iCs w:val="1"/>
                <w:color w:val="auto"/>
              </w:rPr>
              <w:t>0.1</w:t>
            </w:r>
          </w:p>
        </w:tc>
        <w:tc>
          <w:tcPr>
            <w:tcW w:w="360" w:type="dxa"/>
            <w:vAlign w:val="bottom"/>
          </w:tcPr>
          <w:p>
            <w:pPr>
              <w:spacing w:after="0"/>
              <w:rPr>
                <w:sz w:val="23"/>
                <w:szCs w:val="23"/>
                <w:color w:val="auto"/>
              </w:rPr>
            </w:pPr>
          </w:p>
        </w:tc>
        <w:tc>
          <w:tcPr>
            <w:tcW w:w="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1,783</w:t>
            </w:r>
          </w:p>
        </w:tc>
        <w:tc>
          <w:tcPr>
            <w:tcW w:w="340" w:type="dxa"/>
            <w:vAlign w:val="bottom"/>
          </w:tcPr>
          <w:p>
            <w:pPr>
              <w:spacing w:after="0"/>
              <w:rPr>
                <w:sz w:val="23"/>
                <w:szCs w:val="23"/>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i w:val="1"/>
                <w:iCs w:val="1"/>
                <w:color w:val="auto"/>
              </w:rPr>
              <w:t>1,764</w:t>
            </w:r>
          </w:p>
        </w:tc>
        <w:tc>
          <w:tcPr>
            <w:tcW w:w="1080" w:type="dxa"/>
            <w:vAlign w:val="bottom"/>
          </w:tcPr>
          <w:p>
            <w:pPr>
              <w:jc w:val="right"/>
              <w:ind w:right="181"/>
              <w:spacing w:after="0"/>
              <w:rPr>
                <w:sz w:val="20"/>
                <w:szCs w:val="20"/>
                <w:color w:val="auto"/>
              </w:rPr>
            </w:pPr>
            <w:r>
              <w:rPr>
                <w:rFonts w:ascii="Arial" w:cs="Arial" w:eastAsia="Arial" w:hAnsi="Arial"/>
                <w:sz w:val="18"/>
                <w:szCs w:val="18"/>
                <w:i w:val="1"/>
                <w:iCs w:val="1"/>
                <w:color w:val="auto"/>
              </w:rPr>
              <w:t>1.0</w:t>
            </w:r>
          </w:p>
        </w:tc>
      </w:tr>
      <w:tr>
        <w:trPr>
          <w:trHeight w:val="27"/>
        </w:trPr>
        <w:tc>
          <w:tcPr>
            <w:tcW w:w="4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revenue decreased for the six months ended June 30, 2019 compared to the same period in 2018 primarily due to our broadcast of the 2018 PyeongChang Olympics. Excluding $142 million of revenue associated with our broadcast of the 2018 PyeongChang Olympics, advertising revenue increased due to higher prices for advertising units sold, partially offset by declines in audience ratings at our networks.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center"/>
              <w:ind w:right="196"/>
              <w:spacing w:after="0"/>
              <w:rPr>
                <w:sz w:val="20"/>
                <w:szCs w:val="20"/>
                <w:color w:val="auto"/>
              </w:rPr>
            </w:pPr>
            <w:r>
              <w:rPr>
                <w:rFonts w:ascii="Arial" w:cs="Arial" w:eastAsia="Arial" w:hAnsi="Arial"/>
                <w:sz w:val="14"/>
                <w:szCs w:val="14"/>
                <w:color w:val="auto"/>
                <w:w w:val="93"/>
              </w:rPr>
              <w:t>Three Months Ended</w:t>
            </w:r>
          </w:p>
        </w:tc>
        <w:tc>
          <w:tcPr>
            <w:tcW w:w="1120" w:type="dxa"/>
            <w:vAlign w:val="bottom"/>
          </w:tcPr>
          <w:p>
            <w:pPr>
              <w:jc w:val="center"/>
              <w:ind w:right="81"/>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color w:val="auto"/>
              </w:rPr>
              <w:t>Six Months Ended</w:t>
            </w:r>
          </w:p>
        </w:tc>
        <w:tc>
          <w:tcPr>
            <w:tcW w:w="1080" w:type="dxa"/>
            <w:vAlign w:val="bottom"/>
          </w:tcPr>
          <w:p>
            <w:pPr>
              <w:jc w:val="center"/>
              <w:ind w:right="1"/>
              <w:spacing w:after="0"/>
              <w:rPr>
                <w:sz w:val="20"/>
                <w:szCs w:val="20"/>
                <w:color w:val="auto"/>
              </w:rPr>
            </w:pPr>
            <w:r>
              <w:rPr>
                <w:rFonts w:ascii="Arial" w:cs="Arial" w:eastAsia="Arial" w:hAnsi="Arial"/>
                <w:sz w:val="14"/>
                <w:szCs w:val="14"/>
                <w:color w:val="auto"/>
                <w:w w:val="90"/>
              </w:rPr>
              <w:t>Increase/</w:t>
            </w:r>
          </w:p>
        </w:tc>
      </w:tr>
      <w:tr>
        <w:trPr>
          <w:trHeight w:val="188"/>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color w:val="auto"/>
                <w:w w:val="92"/>
              </w:rPr>
              <w:t>June 30</w:t>
            </w: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(Decrease)</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6"/>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color w:val="auto"/>
              </w:rPr>
              <w:t>1,707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1,650</w:t>
            </w:r>
          </w:p>
        </w:tc>
        <w:tc>
          <w:tcPr>
            <w:tcW w:w="1120" w:type="dxa"/>
            <w:vAlign w:val="bottom"/>
          </w:tcPr>
          <w:p>
            <w:pPr>
              <w:ind w:left="600"/>
              <w:spacing w:after="0"/>
              <w:rPr>
                <w:sz w:val="20"/>
                <w:szCs w:val="20"/>
                <w:color w:val="auto"/>
              </w:rPr>
            </w:pPr>
            <w:r>
              <w:rPr>
                <w:rFonts w:ascii="Arial" w:cs="Arial" w:eastAsia="Arial" w:hAnsi="Arial"/>
                <w:sz w:val="18"/>
                <w:szCs w:val="18"/>
                <w:color w:val="auto"/>
              </w:rPr>
              <w:t>3.4%</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ind w:left="260"/>
              <w:spacing w:after="0"/>
              <w:rPr>
                <w:sz w:val="20"/>
                <w:szCs w:val="20"/>
                <w:color w:val="auto"/>
              </w:rPr>
            </w:pPr>
            <w:r>
              <w:rPr>
                <w:rFonts w:ascii="Arial" w:cs="Arial" w:eastAsia="Arial" w:hAnsi="Arial"/>
                <w:sz w:val="18"/>
                <w:szCs w:val="18"/>
                <w:b w:val="1"/>
                <w:bCs w:val="1"/>
                <w:color w:val="auto"/>
              </w:rPr>
              <w:t>3,442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3,511</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i w:val="1"/>
                <w:iCs w:val="1"/>
                <w:color w:val="auto"/>
              </w:rPr>
              <w:t>Distribution, excluding 2018 PyeongChang Olympics</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i w:val="1"/>
                <w:iCs w:val="1"/>
                <w:color w:val="auto"/>
              </w:rPr>
              <w:t>1,707</w:t>
            </w:r>
          </w:p>
        </w:tc>
        <w:tc>
          <w:tcPr>
            <w:tcW w:w="340" w:type="dxa"/>
            <w:vAlign w:val="bottom"/>
          </w:tcPr>
          <w:p>
            <w:pPr>
              <w:spacing w:after="0"/>
              <w:rPr>
                <w:sz w:val="23"/>
                <w:szCs w:val="23"/>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i w:val="1"/>
                <w:iCs w:val="1"/>
                <w:color w:val="auto"/>
              </w:rPr>
              <w:t>1,650</w:t>
            </w:r>
          </w:p>
        </w:tc>
        <w:tc>
          <w:tcPr>
            <w:tcW w:w="1120" w:type="dxa"/>
            <w:vAlign w:val="bottom"/>
          </w:tcPr>
          <w:p>
            <w:pPr>
              <w:ind w:left="600"/>
              <w:spacing w:after="0"/>
              <w:rPr>
                <w:sz w:val="20"/>
                <w:szCs w:val="20"/>
                <w:color w:val="auto"/>
              </w:rPr>
            </w:pPr>
            <w:r>
              <w:rPr>
                <w:rFonts w:ascii="Arial" w:cs="Arial" w:eastAsia="Arial" w:hAnsi="Arial"/>
                <w:sz w:val="18"/>
                <w:szCs w:val="18"/>
                <w:i w:val="1"/>
                <w:iCs w:val="1"/>
                <w:color w:val="auto"/>
              </w:rPr>
              <w:t>3.4</w:t>
            </w:r>
          </w:p>
        </w:tc>
        <w:tc>
          <w:tcPr>
            <w:tcW w:w="360" w:type="dxa"/>
            <w:vAlign w:val="bottom"/>
          </w:tcPr>
          <w:p>
            <w:pPr>
              <w:spacing w:after="0"/>
              <w:rPr>
                <w:sz w:val="23"/>
                <w:szCs w:val="23"/>
                <w:color w:val="auto"/>
              </w:rPr>
            </w:pPr>
          </w:p>
        </w:tc>
        <w:tc>
          <w:tcPr>
            <w:tcW w:w="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3,442</w:t>
            </w:r>
          </w:p>
        </w:tc>
        <w:tc>
          <w:tcPr>
            <w:tcW w:w="340" w:type="dxa"/>
            <w:vAlign w:val="bottom"/>
          </w:tcPr>
          <w:p>
            <w:pPr>
              <w:spacing w:after="0"/>
              <w:rPr>
                <w:sz w:val="23"/>
                <w:szCs w:val="23"/>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i w:val="1"/>
                <w:iCs w:val="1"/>
                <w:color w:val="auto"/>
              </w:rPr>
              <w:t>3,275</w:t>
            </w:r>
          </w:p>
        </w:tc>
        <w:tc>
          <w:tcPr>
            <w:tcW w:w="1080" w:type="dxa"/>
            <w:vAlign w:val="bottom"/>
          </w:tcPr>
          <w:p>
            <w:pPr>
              <w:jc w:val="right"/>
              <w:ind w:right="181"/>
              <w:spacing w:after="0"/>
              <w:rPr>
                <w:sz w:val="20"/>
                <w:szCs w:val="20"/>
                <w:color w:val="auto"/>
              </w:rPr>
            </w:pPr>
            <w:r>
              <w:rPr>
                <w:rFonts w:ascii="Arial" w:cs="Arial" w:eastAsia="Arial" w:hAnsi="Arial"/>
                <w:sz w:val="18"/>
                <w:szCs w:val="18"/>
                <w:i w:val="1"/>
                <w:iCs w:val="1"/>
                <w:color w:val="auto"/>
              </w:rPr>
              <w:t>5.1</w:t>
            </w:r>
          </w:p>
        </w:tc>
      </w:tr>
      <w:tr>
        <w:trPr>
          <w:trHeight w:val="27"/>
        </w:trPr>
        <w:tc>
          <w:tcPr>
            <w:tcW w:w="4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revenue decreased for the six months ended June 30, 2019 compared to the same period in 2018 primarily due to our broadcast of the 2018 PyeongChang Olympics. Excluding $236 million of revenue associated with our broadcast of the 2018 PyeongChang Olympics, distribution revenue increased primarily due to increases in contractual rates charged under distribution agreements and the timing of contract renewals, partially offset by increased declines in the number of subscribers at our cable networks during the quarter.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both the three and six months ended June 30, 2019, 15% of our Cable Networks segment revenue was generated from our Cable Communications segment. For the three and six months ended June 30, 2018, 14% and 15%, respectively, of our Cable Networks segment revenue was generated from our Cable Communications segment. These amounts are eliminated in our condensed consolidated financial statements but are included in the amounts presented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June 30, 2019 compared to the same period in 2018 primarily due to an increase in programming and production costs, which was partially offset by the decrease in advertising, marketing and promotion costs. The increase in programming and production costs was primarily due to increases in sports programming rights. The decrease in advertising, marketing and promotion costs was primarily due to lower spending on marketing related to our cable networks programming.</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costs and expenses decreased for the six months ended June 30, 2019 compared to the same period in 2018 primarily due to decreases in programming and production costs and advertising, marketing and promotion costs. The decrease in programming and production costs was primarily due to the absence of costs associated with our broadcast of the 2018 PyeongChang Olympics. The decrease in advertising, marketing and promotion costs was due to lower spending on marketing related to our cable networks programming and our digital properties.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33"/>
              <w:spacing w:after="0"/>
              <w:rPr>
                <w:sz w:val="20"/>
                <w:szCs w:val="20"/>
                <w:color w:val="auto"/>
              </w:rPr>
            </w:pPr>
            <w:r>
              <w:rPr>
                <w:rFonts w:ascii="Arial" w:cs="Arial" w:eastAsia="Arial" w:hAnsi="Arial"/>
                <w:sz w:val="14"/>
                <w:szCs w:val="14"/>
                <w:color w:val="auto"/>
                <w:w w:val="93"/>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88"/>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1,329</w:t>
            </w:r>
          </w:p>
        </w:tc>
        <w:tc>
          <w:tcPr>
            <w:tcW w:w="860" w:type="dxa"/>
            <w:vAlign w:val="bottom"/>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1,387</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(58)</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8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481</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(9)</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w:t>
            </w:r>
          </w:p>
        </w:tc>
        <w:tc>
          <w:tcPr>
            <w:tcW w:w="8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523</w:t>
            </w:r>
          </w:p>
        </w:tc>
        <w:tc>
          <w:tcPr>
            <w:tcW w:w="54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78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14.7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2,402</w:t>
            </w:r>
          </w:p>
        </w:tc>
        <w:tc>
          <w:tcPr>
            <w:tcW w:w="86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2,391</w:t>
            </w:r>
          </w:p>
        </w:tc>
        <w:tc>
          <w:tcPr>
            <w:tcW w:w="540" w:type="dxa"/>
            <w:vAlign w:val="bottom"/>
          </w:tcPr>
          <w:p>
            <w:pPr>
              <w:spacing w:after="0"/>
              <w:rPr>
                <w:sz w:val="20"/>
                <w:szCs w:val="20"/>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b w:val="1"/>
                <w:bCs w:val="1"/>
                <w:color w:val="auto"/>
              </w:rPr>
              <w:t>11</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0.5</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1,369</w:t>
            </w:r>
          </w:p>
        </w:tc>
        <w:tc>
          <w:tcPr>
            <w:tcW w:w="8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1,488</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(119)</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8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375</w:t>
            </w:r>
          </w:p>
        </w:tc>
        <w:tc>
          <w:tcPr>
            <w:tcW w:w="54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20</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1,868</w:t>
            </w:r>
          </w:p>
        </w:tc>
        <w:tc>
          <w:tcPr>
            <w:tcW w:w="86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1,974</w:t>
            </w:r>
          </w:p>
        </w:tc>
        <w:tc>
          <w:tcPr>
            <w:tcW w:w="54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(106)</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860" w:type="dxa"/>
            <w:vAlign w:val="bottom"/>
          </w:tcPr>
          <w:p>
            <w:pPr>
              <w:jc w:val="right"/>
              <w:ind w:right="336"/>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417</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94"/>
              <w:spacing w:after="0"/>
              <w:rPr>
                <w:sz w:val="20"/>
                <w:szCs w:val="20"/>
                <w:color w:val="auto"/>
              </w:rPr>
            </w:pPr>
            <w:r>
              <w:rPr>
                <w:rFonts w:ascii="Arial" w:cs="Arial" w:eastAsia="Arial" w:hAnsi="Arial"/>
                <w:sz w:val="18"/>
                <w:szCs w:val="18"/>
                <w:b w:val="1"/>
                <w:bCs w:val="1"/>
                <w:color w:val="auto"/>
              </w:rPr>
              <w:t>117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28.3 %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3"/>
              <w:spacing w:after="0"/>
              <w:rPr>
                <w:sz w:val="20"/>
                <w:szCs w:val="20"/>
                <w:color w:val="auto"/>
              </w:rPr>
            </w:pPr>
            <w:r>
              <w:rPr>
                <w:rFonts w:ascii="Arial" w:cs="Arial" w:eastAsia="Arial" w:hAnsi="Arial"/>
                <w:sz w:val="14"/>
                <w:szCs w:val="14"/>
                <w:color w:val="auto"/>
                <w:w w:val="95"/>
              </w:rPr>
              <w:t>Six Months Ended</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88"/>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92"/>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w w:val="96"/>
              </w:rPr>
              <w:t>2018</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2,646</w:t>
            </w:r>
          </w:p>
        </w:tc>
        <w:tc>
          <w:tcPr>
            <w:tcW w:w="86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3,752</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(1,106)</w:t>
            </w: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1,032</w:t>
            </w:r>
          </w:p>
        </w:tc>
        <w:tc>
          <w:tcPr>
            <w:tcW w:w="86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1,003</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1,191</w:t>
            </w:r>
          </w:p>
        </w:tc>
        <w:tc>
          <w:tcPr>
            <w:tcW w:w="86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1,133</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58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4,869</w:t>
            </w:r>
          </w:p>
        </w:tc>
        <w:tc>
          <w:tcPr>
            <w:tcW w:w="8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5,888</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b w:val="1"/>
                <w:bCs w:val="1"/>
                <w:color w:val="auto"/>
              </w:rPr>
              <w:t>(1,019)</w:t>
            </w: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(17.3)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2,946</w:t>
            </w:r>
          </w:p>
        </w:tc>
        <w:tc>
          <w:tcPr>
            <w:tcW w:w="86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3,964</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(1,018)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(25.7)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w:t>
            </w:r>
          </w:p>
        </w:tc>
        <w:tc>
          <w:tcPr>
            <w:tcW w:w="86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756</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21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86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(19)</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3,948</w:t>
            </w:r>
          </w:p>
        </w:tc>
        <w:tc>
          <w:tcPr>
            <w:tcW w:w="8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4,964</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(1,016)</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(20.5)</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86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924</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54"/>
              <w:spacing w:after="0"/>
              <w:rPr>
                <w:sz w:val="20"/>
                <w:szCs w:val="20"/>
                <w:color w:val="auto"/>
              </w:rPr>
            </w:pPr>
            <w:r>
              <w:rPr>
                <w:rFonts w:ascii="Arial" w:cs="Arial" w:eastAsia="Arial" w:hAnsi="Arial"/>
                <w:sz w:val="18"/>
                <w:szCs w:val="18"/>
                <w:b w:val="1"/>
                <w:bCs w:val="1"/>
                <w:color w:val="auto"/>
              </w:rPr>
              <w:t>(3)</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(0.3)%</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Broadcast Television revenue increased for the three months ended June 30, 2019 compared to the same period in 2018 due to an increase in distribution and other revenue, which was partially offset by a decrease in advertising revenue and content licensing revenue. The increase in distribution and other revenue was primarily due to increases in fees recognized under our retransmission consent agreements. The decrease in advertising revenue was primarily due to the absence of revenue associated with Telemundo’s broadcast of the 2018 FIFA World Cup Russia</w:t>
      </w:r>
      <w:r>
        <w:rPr>
          <w:rFonts w:ascii="Arial" w:cs="Arial" w:eastAsia="Arial" w:hAnsi="Arial"/>
          <w:sz w:val="17"/>
          <w:szCs w:val="17"/>
          <w:i w:val="1"/>
          <w:iCs w:val="1"/>
          <w:color w:val="auto"/>
        </w:rPr>
        <w:t>™</w:t>
      </w:r>
      <w:r>
        <w:rPr>
          <w:rFonts w:ascii="Arial" w:cs="Arial" w:eastAsia="Arial" w:hAnsi="Arial"/>
          <w:sz w:val="17"/>
          <w:szCs w:val="17"/>
          <w:color w:val="auto"/>
        </w:rPr>
        <w:t>. Excluding this event, advertising revenue increased, reflecting higher pricing for advertising units sold, partially offset by the impact of continued ratings declines. The decrease in content licensing revenue was primarily due to timing of content provided under our licensing agreements.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Broadcast Television revenue decreased for the six months ended June 30, 2019 compared to the same period in 2018 due to decreases in advertising revenue resulting from our broadcasts of the 2018 PyeongChang Olympics and the 2018 Super Bowl, which was partially offset by increases in distribution and other revenue and content licensing revenue. Excluding $1.2 billion of revenue associated with our broadcasts of the 2018 PyeongChang Olympics and the 2018 Super Bowl, Broadcast Television revenue increased 3.7% for the six months ended June 30, 2019 compared to the same period in 2018.</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center"/>
              <w:ind w:right="196"/>
              <w:spacing w:after="0"/>
              <w:rPr>
                <w:sz w:val="20"/>
                <w:szCs w:val="20"/>
                <w:color w:val="auto"/>
              </w:rPr>
            </w:pPr>
            <w:r>
              <w:rPr>
                <w:rFonts w:ascii="Arial" w:cs="Arial" w:eastAsia="Arial" w:hAnsi="Arial"/>
                <w:sz w:val="14"/>
                <w:szCs w:val="14"/>
                <w:color w:val="auto"/>
                <w:w w:val="93"/>
              </w:rPr>
              <w:t>Three Months Ended</w:t>
            </w:r>
          </w:p>
        </w:tc>
        <w:tc>
          <w:tcPr>
            <w:tcW w:w="1180" w:type="dxa"/>
            <w:vAlign w:val="bottom"/>
          </w:tcPr>
          <w:p>
            <w:pPr>
              <w:jc w:val="center"/>
              <w:ind w:right="101"/>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color w:val="auto"/>
              </w:rPr>
              <w:t>Six Months Ended</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Increase/</w:t>
            </w:r>
          </w:p>
        </w:tc>
      </w:tr>
      <w:tr>
        <w:trPr>
          <w:trHeight w:val="188"/>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color w:val="auto"/>
                <w:w w:val="92"/>
              </w:rPr>
              <w:t>June 30</w:t>
            </w: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w w:val="96"/>
              </w:rPr>
              <w:t>June 30</w:t>
            </w: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(Decrease)</w:t>
            </w:r>
          </w:p>
        </w:tc>
      </w:tr>
      <w:tr>
        <w:trPr>
          <w:trHeight w:val="264"/>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color w:val="auto"/>
              </w:rPr>
              <w:t>1,329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1,387</w:t>
            </w:r>
          </w:p>
        </w:tc>
        <w:tc>
          <w:tcPr>
            <w:tcW w:w="1180" w:type="dxa"/>
            <w:vAlign w:val="bottom"/>
          </w:tcPr>
          <w:p>
            <w:pPr>
              <w:ind w:left="540"/>
              <w:spacing w:after="0"/>
              <w:rPr>
                <w:sz w:val="20"/>
                <w:szCs w:val="20"/>
                <w:color w:val="auto"/>
              </w:rPr>
            </w:pPr>
            <w:r>
              <w:rPr>
                <w:rFonts w:ascii="Arial" w:cs="Arial" w:eastAsia="Arial" w:hAnsi="Arial"/>
                <w:sz w:val="18"/>
                <w:szCs w:val="18"/>
                <w:color w:val="auto"/>
              </w:rPr>
              <w:t>(4.2)%</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ind w:left="260"/>
              <w:spacing w:after="0"/>
              <w:rPr>
                <w:sz w:val="20"/>
                <w:szCs w:val="20"/>
                <w:color w:val="auto"/>
              </w:rPr>
            </w:pPr>
            <w:r>
              <w:rPr>
                <w:rFonts w:ascii="Arial" w:cs="Arial" w:eastAsia="Arial" w:hAnsi="Arial"/>
                <w:sz w:val="18"/>
                <w:szCs w:val="18"/>
                <w:b w:val="1"/>
                <w:bCs w:val="1"/>
                <w:color w:val="auto"/>
                <w:w w:val="97"/>
              </w:rPr>
              <w:t>2,646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3,752</w:t>
            </w:r>
          </w:p>
        </w:tc>
        <w:tc>
          <w:tcPr>
            <w:tcW w:w="10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56"/>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w w:val="94"/>
              </w:rPr>
              <w:t>Advertising, excluding 2018 PyeongChang Olympics and Super</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rPr>
              <w:t>Bowl</w:t>
            </w:r>
          </w:p>
        </w:tc>
        <w:tc>
          <w:tcPr>
            <w:tcW w:w="24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i w:val="1"/>
                <w:iCs w:val="1"/>
                <w:color w:val="auto"/>
              </w:rPr>
              <w:t>1,329</w:t>
            </w:r>
          </w:p>
        </w:tc>
        <w:tc>
          <w:tcPr>
            <w:tcW w:w="340" w:type="dxa"/>
            <w:vAlign w:val="bottom"/>
          </w:tcPr>
          <w:p>
            <w:pPr>
              <w:spacing w:after="0"/>
              <w:rPr>
                <w:sz w:val="20"/>
                <w:szCs w:val="20"/>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i w:val="1"/>
                <w:iCs w:val="1"/>
                <w:color w:val="auto"/>
              </w:rPr>
              <w:t>1,387</w:t>
            </w:r>
          </w:p>
        </w:tc>
        <w:tc>
          <w:tcPr>
            <w:tcW w:w="1180" w:type="dxa"/>
            <w:vAlign w:val="bottom"/>
          </w:tcPr>
          <w:p>
            <w:pPr>
              <w:ind w:left="540"/>
              <w:spacing w:after="0"/>
              <w:rPr>
                <w:sz w:val="20"/>
                <w:szCs w:val="20"/>
                <w:color w:val="auto"/>
              </w:rPr>
            </w:pPr>
            <w:r>
              <w:rPr>
                <w:rFonts w:ascii="Arial" w:cs="Arial" w:eastAsia="Arial" w:hAnsi="Arial"/>
                <w:sz w:val="18"/>
                <w:szCs w:val="18"/>
                <w:i w:val="1"/>
                <w:iCs w:val="1"/>
                <w:color w:val="auto"/>
              </w:rPr>
              <w:t>(4.2)</w:t>
            </w:r>
          </w:p>
        </w:tc>
        <w:tc>
          <w:tcPr>
            <w:tcW w:w="36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7"/>
              </w:rPr>
              <w:t>2,646</w:t>
            </w:r>
          </w:p>
        </w:tc>
        <w:tc>
          <w:tcPr>
            <w:tcW w:w="340" w:type="dxa"/>
            <w:vAlign w:val="bottom"/>
          </w:tcPr>
          <w:p>
            <w:pPr>
              <w:spacing w:after="0"/>
              <w:rPr>
                <w:sz w:val="20"/>
                <w:szCs w:val="20"/>
                <w:color w:val="auto"/>
              </w:rPr>
            </w:pPr>
          </w:p>
        </w:tc>
        <w:tc>
          <w:tcPr>
            <w:tcW w:w="800" w:type="dxa"/>
            <w:vAlign w:val="bottom"/>
          </w:tcPr>
          <w:p>
            <w:pPr>
              <w:jc w:val="right"/>
              <w:ind w:right="96"/>
              <w:spacing w:after="0"/>
              <w:rPr>
                <w:sz w:val="20"/>
                <w:szCs w:val="20"/>
                <w:color w:val="auto"/>
              </w:rPr>
            </w:pPr>
            <w:r>
              <w:rPr>
                <w:rFonts w:ascii="Arial" w:cs="Arial" w:eastAsia="Arial" w:hAnsi="Arial"/>
                <w:sz w:val="18"/>
                <w:szCs w:val="18"/>
                <w:i w:val="1"/>
                <w:iCs w:val="1"/>
                <w:color w:val="auto"/>
              </w:rPr>
              <w:t>2,671</w:t>
            </w:r>
          </w:p>
        </w:tc>
        <w:tc>
          <w:tcPr>
            <w:tcW w:w="1060" w:type="dxa"/>
            <w:vAlign w:val="bottom"/>
          </w:tcPr>
          <w:p>
            <w:pPr>
              <w:jc w:val="right"/>
              <w:ind w:right="101"/>
              <w:spacing w:after="0"/>
              <w:rPr>
                <w:sz w:val="20"/>
                <w:szCs w:val="20"/>
                <w:color w:val="auto"/>
              </w:rPr>
            </w:pPr>
            <w:r>
              <w:rPr>
                <w:rFonts w:ascii="Arial" w:cs="Arial" w:eastAsia="Arial" w:hAnsi="Arial"/>
                <w:sz w:val="18"/>
                <w:szCs w:val="18"/>
                <w:i w:val="1"/>
                <w:iCs w:val="1"/>
                <w:color w:val="auto"/>
              </w:rPr>
              <w:t>(0.9)</w:t>
            </w:r>
          </w:p>
        </w:tc>
      </w:tr>
      <w:tr>
        <w:trPr>
          <w:trHeight w:val="27"/>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for the six months ended June 30, 2019 compared to the same period in 2018 primarily due to the absence of revenue associated with our broadcasts of the 2018 PyeongChang Olympics and the 2018 Super Bowl. Excluding $1.1 billion of revenue associated with our broadcasts of the 2018 PyeongChang Olympics and the 2018 Super Bowl, advertising revenue was flat as the impact of continued declines in audience ratings was offset by higher prices for advertising units sold.</w:t>
      </w:r>
    </w:p>
    <w:p>
      <w:pPr>
        <w:sectPr>
          <w:pgSz w:w="11900" w:h="16838" w:orient="portrait"/>
          <w:cols w:equalWidth="0" w:num="1">
            <w:col w:w="11420"/>
          </w:cols>
          <w:pgMar w:left="240" w:top="17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75"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3"/>
          </w:tcPr>
          <w:p>
            <w:pPr>
              <w:jc w:val="center"/>
              <w:ind w:right="216"/>
              <w:spacing w:after="0"/>
              <w:rPr>
                <w:sz w:val="20"/>
                <w:szCs w:val="20"/>
                <w:color w:val="auto"/>
              </w:rPr>
            </w:pPr>
            <w:r>
              <w:rPr>
                <w:rFonts w:ascii="Arial" w:cs="Arial" w:eastAsia="Arial" w:hAnsi="Arial"/>
                <w:sz w:val="14"/>
                <w:szCs w:val="14"/>
                <w:color w:val="auto"/>
                <w:w w:val="93"/>
              </w:rPr>
              <w:t>Three Months Ended</w:t>
            </w:r>
          </w:p>
        </w:tc>
        <w:tc>
          <w:tcPr>
            <w:tcW w:w="1140" w:type="dxa"/>
            <w:vAlign w:val="bottom"/>
          </w:tcPr>
          <w:p>
            <w:pPr>
              <w:jc w:val="center"/>
              <w:ind w:right="101"/>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4"/>
                <w:szCs w:val="14"/>
                <w:color w:val="auto"/>
              </w:rPr>
              <w:t>Six Months Ended</w:t>
            </w:r>
          </w:p>
        </w:tc>
        <w:tc>
          <w:tcPr>
            <w:tcW w:w="1040" w:type="dxa"/>
            <w:vAlign w:val="bottom"/>
          </w:tcPr>
          <w:p>
            <w:pPr>
              <w:jc w:val="center"/>
              <w:ind w:right="1"/>
              <w:spacing w:after="0"/>
              <w:rPr>
                <w:sz w:val="20"/>
                <w:szCs w:val="20"/>
                <w:color w:val="auto"/>
              </w:rPr>
            </w:pPr>
            <w:r>
              <w:rPr>
                <w:rFonts w:ascii="Arial" w:cs="Arial" w:eastAsia="Arial" w:hAnsi="Arial"/>
                <w:sz w:val="14"/>
                <w:szCs w:val="14"/>
                <w:color w:val="auto"/>
                <w:w w:val="90"/>
              </w:rPr>
              <w:t>Increase/</w:t>
            </w:r>
          </w:p>
        </w:tc>
      </w:tr>
      <w:tr>
        <w:trPr>
          <w:trHeight w:val="188"/>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w w:val="96"/>
              </w:rPr>
              <w:t>June 30</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(Decrease)</w:t>
            </w: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6"/>
              </w:rPr>
              <w:t>%</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Distribution and other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523</w:t>
            </w:r>
          </w:p>
        </w:tc>
        <w:tc>
          <w:tcPr>
            <w:tcW w:w="1140" w:type="dxa"/>
            <w:vAlign w:val="bottom"/>
          </w:tcPr>
          <w:p>
            <w:pPr>
              <w:ind w:left="520"/>
              <w:spacing w:after="0"/>
              <w:rPr>
                <w:sz w:val="20"/>
                <w:szCs w:val="20"/>
                <w:color w:val="auto"/>
              </w:rPr>
            </w:pPr>
            <w:r>
              <w:rPr>
                <w:rFonts w:ascii="Arial" w:cs="Arial" w:eastAsia="Arial" w:hAnsi="Arial"/>
                <w:sz w:val="18"/>
                <w:szCs w:val="18"/>
                <w:color w:val="auto"/>
              </w:rPr>
              <w:t>14.7%</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ind w:left="260"/>
              <w:spacing w:after="0"/>
              <w:rPr>
                <w:sz w:val="20"/>
                <w:szCs w:val="20"/>
                <w:color w:val="auto"/>
              </w:rPr>
            </w:pPr>
            <w:r>
              <w:rPr>
                <w:rFonts w:ascii="Arial" w:cs="Arial" w:eastAsia="Arial" w:hAnsi="Arial"/>
                <w:sz w:val="18"/>
                <w:szCs w:val="18"/>
                <w:b w:val="1"/>
                <w:bCs w:val="1"/>
                <w:color w:val="auto"/>
              </w:rPr>
              <w:t>1,191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1,133</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w w:val="97"/>
              </w:rPr>
              <w:t>Distribution and other, excluding 2018 PyeongChang Olympics</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601</w:t>
            </w:r>
          </w:p>
        </w:tc>
        <w:tc>
          <w:tcPr>
            <w:tcW w:w="340" w:type="dxa"/>
            <w:vAlign w:val="bottom"/>
          </w:tcPr>
          <w:p>
            <w:pPr>
              <w:spacing w:after="0"/>
              <w:rPr>
                <w:sz w:val="23"/>
                <w:szCs w:val="23"/>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i w:val="1"/>
                <w:iCs w:val="1"/>
                <w:color w:val="auto"/>
              </w:rPr>
              <w:t>523</w:t>
            </w:r>
          </w:p>
        </w:tc>
        <w:tc>
          <w:tcPr>
            <w:tcW w:w="1140" w:type="dxa"/>
            <w:vAlign w:val="bottom"/>
          </w:tcPr>
          <w:p>
            <w:pPr>
              <w:ind w:left="520"/>
              <w:spacing w:after="0"/>
              <w:rPr>
                <w:sz w:val="20"/>
                <w:szCs w:val="20"/>
                <w:color w:val="auto"/>
              </w:rPr>
            </w:pPr>
            <w:r>
              <w:rPr>
                <w:rFonts w:ascii="Arial" w:cs="Arial" w:eastAsia="Arial" w:hAnsi="Arial"/>
                <w:sz w:val="18"/>
                <w:szCs w:val="18"/>
                <w:i w:val="1"/>
                <w:iCs w:val="1"/>
                <w:color w:val="auto"/>
              </w:rPr>
              <w:t>14.7</w:t>
            </w:r>
          </w:p>
        </w:tc>
        <w:tc>
          <w:tcPr>
            <w:tcW w:w="340" w:type="dxa"/>
            <w:vAlign w:val="bottom"/>
          </w:tcPr>
          <w:p>
            <w:pPr>
              <w:spacing w:after="0"/>
              <w:rPr>
                <w:sz w:val="23"/>
                <w:szCs w:val="23"/>
                <w:color w:val="auto"/>
              </w:rPr>
            </w:pPr>
          </w:p>
        </w:tc>
        <w:tc>
          <w:tcPr>
            <w:tcW w:w="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1,191</w:t>
            </w:r>
          </w:p>
        </w:tc>
        <w:tc>
          <w:tcPr>
            <w:tcW w:w="340" w:type="dxa"/>
            <w:vAlign w:val="bottom"/>
          </w:tcPr>
          <w:p>
            <w:pPr>
              <w:spacing w:after="0"/>
              <w:rPr>
                <w:sz w:val="23"/>
                <w:szCs w:val="23"/>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i w:val="1"/>
                <w:iCs w:val="1"/>
                <w:color w:val="auto"/>
              </w:rPr>
              <w:t>1,021</w:t>
            </w:r>
          </w:p>
        </w:tc>
        <w:tc>
          <w:tcPr>
            <w:tcW w:w="1040" w:type="dxa"/>
            <w:vAlign w:val="bottom"/>
          </w:tcPr>
          <w:p>
            <w:pPr>
              <w:jc w:val="right"/>
              <w:ind w:right="121"/>
              <w:spacing w:after="0"/>
              <w:rPr>
                <w:sz w:val="20"/>
                <w:szCs w:val="20"/>
                <w:color w:val="auto"/>
              </w:rPr>
            </w:pPr>
            <w:r>
              <w:rPr>
                <w:rFonts w:ascii="Arial" w:cs="Arial" w:eastAsia="Arial" w:hAnsi="Arial"/>
                <w:sz w:val="18"/>
                <w:szCs w:val="18"/>
                <w:i w:val="1"/>
                <w:iCs w:val="1"/>
                <w:color w:val="auto"/>
              </w:rPr>
              <w:t>16.6</w:t>
            </w:r>
          </w:p>
        </w:tc>
      </w:tr>
      <w:tr>
        <w:trPr>
          <w:trHeight w:val="27"/>
        </w:trPr>
        <w:tc>
          <w:tcPr>
            <w:tcW w:w="4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and other revenue increased for the six months ended June 30, 2019 compared to the same period in 2018 primarily due to increases in fees recognized under our retransmission consent agreements, which was partially offset by the absence of $112 million of revenue resulting from our broadcast of the 2018 PyeongChang Olympics.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Content licensing revenue increased for the six months ended June 30, 2019 compared to the same period in 2018 primarily due to the timing of content provided under our licensing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decreased for the three months ended June 30, 2019 compared to the same period in 2018 primarily due to the decrease in programming and production costs. The decrease in programming and production costs was due to the absence of programming and production costs associated with Telemundo’s broadcast of the 2018 FIFA World Cup Russia</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decreased for the six months ended June 30, 2019 compared to the same period in 2018 primarily due to a decrease in programming and production costs. The decrease in programming and production costs was primarily due to the absence of costs associated with our broadcasts of the 2018 PyeongChang Olympics and the 2018 Super Bowl, partially offset by higher studio production costs.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540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(288)</w:t>
            </w: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648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64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9.8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225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297</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1,457</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1,710</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(253)</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(14.8)</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843</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(242)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(28.7)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301</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428</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(49)</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1,274</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1,572</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(298)</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(19.0)</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138</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45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33.0 %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697</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963</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(266)</w:t>
            </w: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1,381</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473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540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3,225</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3,357</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(132)</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(3.9)</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1,578</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(244)</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(15.5)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602</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836</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3,016</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(338)</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341</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206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60.3 %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75"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Filmed Entertainment revenue decreased for the three months ended June 30, 2019 compared to the same period in 2018 primarily due to decreases in theatrical revenue and other revenue, which were partially offset by increases in content licensing revenue. The decrease in theatrical revenue was primarily due to the strong performance of several releases in prior year period, including </w:t>
      </w:r>
      <w:r>
        <w:rPr>
          <w:rFonts w:ascii="Arial" w:cs="Arial" w:eastAsia="Arial" w:hAnsi="Arial"/>
          <w:sz w:val="16"/>
          <w:szCs w:val="16"/>
          <w:i w:val="1"/>
          <w:iCs w:val="1"/>
          <w:color w:val="auto"/>
        </w:rPr>
        <w:t>Jurassic World: Fallen Kingdom</w:t>
      </w:r>
      <w:r>
        <w:rPr>
          <w:rFonts w:ascii="Arial" w:cs="Arial" w:eastAsia="Arial" w:hAnsi="Arial"/>
          <w:sz w:val="16"/>
          <w:szCs w:val="16"/>
          <w:color w:val="auto"/>
        </w:rPr>
        <w:t xml:space="preserve">, which was partially offset by releases in our 2019 film slate, including </w:t>
      </w:r>
      <w:r>
        <w:rPr>
          <w:rFonts w:ascii="Arial" w:cs="Arial" w:eastAsia="Arial" w:hAnsi="Arial"/>
          <w:sz w:val="16"/>
          <w:szCs w:val="16"/>
          <w:i w:val="1"/>
          <w:iCs w:val="1"/>
          <w:color w:val="auto"/>
        </w:rPr>
        <w:t>The Secret Life of Pets 2</w:t>
      </w:r>
      <w:r>
        <w:rPr>
          <w:rFonts w:ascii="Arial" w:cs="Arial" w:eastAsia="Arial" w:hAnsi="Arial"/>
          <w:sz w:val="16"/>
          <w:szCs w:val="16"/>
          <w:color w:val="auto"/>
        </w:rPr>
        <w:t xml:space="preserve"> and </w:t>
      </w:r>
      <w:r>
        <w:rPr>
          <w:rFonts w:ascii="Arial" w:cs="Arial" w:eastAsia="Arial" w:hAnsi="Arial"/>
          <w:sz w:val="16"/>
          <w:szCs w:val="16"/>
          <w:i w:val="1"/>
          <w:iCs w:val="1"/>
          <w:color w:val="auto"/>
        </w:rPr>
        <w:t>Us</w:t>
      </w:r>
      <w:r>
        <w:rPr>
          <w:rFonts w:ascii="Arial" w:cs="Arial" w:eastAsia="Arial" w:hAnsi="Arial"/>
          <w:sz w:val="16"/>
          <w:szCs w:val="16"/>
          <w:color w:val="auto"/>
        </w:rPr>
        <w:t>. The decrease in other revenue was primarily due to the absence of revenue associated with the sale of a business in 2018. Content licensing revenue increased primarily due to the timing of when content was made available under licensing agreements.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Film Entertainment revenue decreased for the six months ended June 30, 2019 compared to the same period in 2018 due to decreases in theatrical revenue and other revenue, which were partially offset by increases in content licensing revenue and home entertainment revenue. The decrease in theatrical revenue for the six months ended June 30, 2019 was due to the strong performances of several releases in our 2018 film slate, including </w:t>
      </w:r>
      <w:r>
        <w:rPr>
          <w:rFonts w:ascii="Arial" w:cs="Arial" w:eastAsia="Arial" w:hAnsi="Arial"/>
          <w:sz w:val="17"/>
          <w:szCs w:val="17"/>
          <w:i w:val="1"/>
          <w:iCs w:val="1"/>
          <w:color w:val="auto"/>
        </w:rPr>
        <w:t>Jurassic World: Fallen Kingdom</w:t>
      </w:r>
      <w:r>
        <w:rPr>
          <w:rFonts w:ascii="Arial" w:cs="Arial" w:eastAsia="Arial" w:hAnsi="Arial"/>
          <w:sz w:val="17"/>
          <w:szCs w:val="17"/>
          <w:color w:val="auto"/>
        </w:rPr>
        <w:t xml:space="preserve">, which were partially offset by releases in our 2019 film slate, including </w:t>
      </w:r>
      <w:r>
        <w:rPr>
          <w:rFonts w:ascii="Arial" w:cs="Arial" w:eastAsia="Arial" w:hAnsi="Arial"/>
          <w:sz w:val="17"/>
          <w:szCs w:val="17"/>
          <w:i w:val="1"/>
          <w:iCs w:val="1"/>
          <w:color w:val="auto"/>
        </w:rPr>
        <w:t>How to Train Your Dragon: The Hidden World, Us</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Secret Life of Pets 2.</w:t>
      </w:r>
      <w:r>
        <w:rPr>
          <w:rFonts w:ascii="Arial" w:cs="Arial" w:eastAsia="Arial" w:hAnsi="Arial"/>
          <w:sz w:val="17"/>
          <w:szCs w:val="17"/>
          <w:color w:val="auto"/>
        </w:rPr>
        <w:t xml:space="preserve"> The decrease in other revenue was primarily due to the absence of revenue associated with the sale of a business in 2018. The increase in content licensing revenue was primarily due to the timing of when content was made available under licensing agreements. Home entertainment revenue increased primarily due to higher sales of 2019 releases, including </w:t>
      </w:r>
      <w:r>
        <w:rPr>
          <w:rFonts w:ascii="Arial" w:cs="Arial" w:eastAsia="Arial" w:hAnsi="Arial"/>
          <w:sz w:val="17"/>
          <w:szCs w:val="17"/>
          <w:i w:val="1"/>
          <w:iCs w:val="1"/>
          <w:color w:val="auto"/>
        </w:rPr>
        <w:t>Dr. Seuss</w:t>
      </w:r>
      <w:r>
        <w:rPr>
          <w:rFonts w:ascii="Arial" w:cs="Arial" w:eastAsia="Arial" w:hAnsi="Arial"/>
          <w:sz w:val="17"/>
          <w:szCs w:val="17"/>
          <w:color w:val="auto"/>
        </w:rPr>
        <w:t xml:space="preserve">’ </w:t>
      </w:r>
      <w:r>
        <w:rPr>
          <w:rFonts w:ascii="Arial" w:cs="Arial" w:eastAsia="Arial" w:hAnsi="Arial"/>
          <w:sz w:val="17"/>
          <w:szCs w:val="17"/>
          <w:i w:val="1"/>
          <w:iCs w:val="1"/>
          <w:color w:val="auto"/>
        </w:rPr>
        <w:t>The Grinch, How to Train Your Dragon: The Hidden World</w:t>
      </w:r>
      <w:r>
        <w:rPr>
          <w:rFonts w:ascii="Arial" w:cs="Arial" w:eastAsia="Arial" w:hAnsi="Arial"/>
          <w:sz w:val="17"/>
          <w:szCs w:val="17"/>
          <w:color w:val="auto"/>
        </w:rPr>
        <w:t xml:space="preserve"> and </w:t>
      </w:r>
      <w:r>
        <w:rPr>
          <w:rFonts w:ascii="Arial" w:cs="Arial" w:eastAsia="Arial" w:hAnsi="Arial"/>
          <w:sz w:val="17"/>
          <w:szCs w:val="17"/>
          <w:i w:val="1"/>
          <w:iCs w:val="1"/>
          <w:color w:val="auto"/>
        </w:rPr>
        <w:t>Glass</w:t>
      </w:r>
      <w:r>
        <w:rPr>
          <w:rFonts w:ascii="Arial" w:cs="Arial" w:eastAsia="Arial" w:hAnsi="Arial"/>
          <w:sz w:val="17"/>
          <w:szCs w:val="17"/>
          <w:color w:val="auto"/>
        </w:rPr>
        <w:t xml:space="preserve">, which were partially offset by sales of 2018 releases, including </w:t>
      </w:r>
      <w:r>
        <w:rPr>
          <w:rFonts w:ascii="Arial" w:cs="Arial" w:eastAsia="Arial" w:hAnsi="Arial"/>
          <w:sz w:val="17"/>
          <w:szCs w:val="17"/>
          <w:i w:val="1"/>
          <w:iCs w:val="1"/>
          <w:color w:val="auto"/>
        </w:rPr>
        <w:t>Fifty Shades Freed</w:t>
      </w:r>
      <w:r>
        <w:rPr>
          <w:rFonts w:ascii="Arial" w:cs="Arial" w:eastAsia="Arial" w:hAnsi="Arial"/>
          <w:sz w:val="17"/>
          <w:szCs w:val="17"/>
          <w:color w:val="auto"/>
        </w:rPr>
        <w:t xml:space="preserve">, </w:t>
      </w:r>
      <w:r>
        <w:rPr>
          <w:rFonts w:ascii="Arial" w:cs="Arial" w:eastAsia="Arial" w:hAnsi="Arial"/>
          <w:sz w:val="17"/>
          <w:szCs w:val="17"/>
          <w:i w:val="1"/>
          <w:iCs w:val="1"/>
          <w:color w:val="auto"/>
        </w:rPr>
        <w:t>Pitch Perfect 3</w:t>
      </w:r>
      <w:r>
        <w:rPr>
          <w:rFonts w:ascii="Arial" w:cs="Arial" w:eastAsia="Arial" w:hAnsi="Arial"/>
          <w:sz w:val="17"/>
          <w:szCs w:val="17"/>
          <w:color w:val="auto"/>
        </w:rPr>
        <w:t xml:space="preserve"> and </w:t>
      </w:r>
      <w:r>
        <w:rPr>
          <w:rFonts w:ascii="Arial" w:cs="Arial" w:eastAsia="Arial" w:hAnsi="Arial"/>
          <w:sz w:val="17"/>
          <w:szCs w:val="17"/>
          <w:i w:val="1"/>
          <w:iCs w:val="1"/>
          <w:color w:val="auto"/>
        </w:rPr>
        <w:t>American Made.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June 30, 2019 compared to the same period in 2018 due to decreases in programming and productions costs and advertising, marketing and promotion costs. The decrease in programming and production costs was due to higher amortization of film production costs in the prior year period. The decrease in advertising, marketing and promotion costs was due to higher spending on the marketing of prior period releases.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costs and expenses decreased for the six months ended June 30, 2019 compared to the same period in 2018 due to decreases in programming and productions costs, other operating and administrative costs, and advertising, marketing and promotion costs. The decrease in programming and production costs was due to higher amortization of film production costs in the prior year period. The decrease in other operating and administrative costs was due to the absence of expenses associated with the sale of a business in 2018 and a reduction in employee-related costs. The decrease in advertising, marketing and promotion costs was due to a higher spending on the marketing of prior period releases.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7"/>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1,464</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1,361</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792</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82</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10.2</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569</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21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2"/>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7"/>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2,740</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2,642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98</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1,578</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74</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4.7</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1,088</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1,064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24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Theme Parks revenue increased for the three months ended June 30, 2019 compared to the same period in 2018 primarily due to higher attendance, aided by the timing of spring holidays, and increases in guest spending.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Theme Parks revenue increased for the six months ended June 30, 2019 compared to the same period in 2018 primarily due to increases in attendance.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Theme Parks operating costs and expenses increased for the three and six months ended June 30, 2019 compared to the same periods in 2018 primarily due to increased employee-related costs and higher marketing costs associated with </w:t>
      </w:r>
      <w:r>
        <w:rPr>
          <w:rFonts w:ascii="Arial" w:cs="Arial" w:eastAsia="Arial" w:hAnsi="Arial"/>
          <w:sz w:val="16"/>
          <w:szCs w:val="16"/>
          <w:i w:val="1"/>
          <w:iCs w:val="1"/>
          <w:color w:val="auto"/>
        </w:rPr>
        <w:t>Hagrid’s Magical Creatures Motorbike Adventure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 Orlando.</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discussion below compares Sky’s actual results for the three and six months ended June 30, 2019 to pro forma results for Sky for the three and six months ended June 30, 2018. The pro forma segment information includes adjustments as if the Sky transaction occurred on January 1, 2017. Our pro forma data is also adjusted for the effects of acquisition accounting and eliminating the costs and expenses directly related to the transaction, but does not include adjustments for costs related to integration activities, cost savings or synergies that have been or may be achieved by the combined business. Pro forma amounts are not necessarily indicative of what our results would have been had we operated the Sky business since January 1, 2017, nor of our future results.</w:t>
      </w:r>
    </w:p>
    <w:p>
      <w:pPr>
        <w:spacing w:after="0" w:line="261"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Three Months Ended</w:t>
      </w:r>
    </w:p>
    <w:p>
      <w:pPr>
        <w:jc w:val="center"/>
        <w:ind w:right="1160"/>
        <w:spacing w:after="0"/>
        <w:rPr>
          <w:sz w:val="20"/>
          <w:szCs w:val="20"/>
          <w:color w:val="auto"/>
        </w:rPr>
      </w:pPr>
      <w:r>
        <w:rPr>
          <w:rFonts w:ascii="Arial" w:cs="Arial" w:eastAsia="Arial" w:hAnsi="Arial"/>
          <w:sz w:val="14"/>
          <w:szCs w:val="14"/>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jc w:val="center"/>
              <w:ind w:left="534"/>
              <w:spacing w:after="0" w:line="149" w:lineRule="exact"/>
              <w:rPr>
                <w:sz w:val="20"/>
                <w:szCs w:val="20"/>
                <w:color w:val="auto"/>
              </w:rPr>
            </w:pPr>
            <w:r>
              <w:rPr>
                <w:rFonts w:ascii="Arial" w:cs="Arial" w:eastAsia="Arial" w:hAnsi="Arial"/>
                <w:sz w:val="14"/>
                <w:szCs w:val="14"/>
                <w:color w:val="auto"/>
                <w:w w:val="90"/>
              </w:rPr>
              <w:t>Increase/</w:t>
            </w:r>
          </w:p>
        </w:tc>
        <w:tc>
          <w:tcPr>
            <w:tcW w:w="1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2"/>
              </w:rPr>
              <w:t>Constant Currency</w:t>
            </w:r>
          </w:p>
        </w:tc>
      </w:tr>
      <w:tr>
        <w:trPr>
          <w:trHeight w:val="188"/>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color w:val="auto"/>
                <w:w w:val="97"/>
              </w:rPr>
              <w:t>Actual</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w w:val="90"/>
              </w:rPr>
              <w:t>Pro Forma</w:t>
            </w: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514"/>
              <w:spacing w:after="0"/>
              <w:rPr>
                <w:sz w:val="20"/>
                <w:szCs w:val="20"/>
                <w:color w:val="auto"/>
              </w:rPr>
            </w:pPr>
            <w:r>
              <w:rPr>
                <w:rFonts w:ascii="Arial" w:cs="Arial" w:eastAsia="Arial" w:hAnsi="Arial"/>
                <w:sz w:val="14"/>
                <w:szCs w:val="14"/>
                <w:color w:val="auto"/>
                <w:w w:val="89"/>
              </w:rPr>
              <w:t>(Decrease)</w:t>
            </w:r>
          </w:p>
        </w:tc>
        <w:tc>
          <w:tcPr>
            <w:tcW w:w="1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64"/>
        </w:trPr>
        <w:tc>
          <w:tcPr>
            <w:tcW w:w="3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center"/>
              <w:ind w:left="439"/>
              <w:spacing w:after="0"/>
              <w:rPr>
                <w:sz w:val="20"/>
                <w:szCs w:val="20"/>
                <w:color w:val="auto"/>
              </w:rPr>
            </w:pPr>
            <w:r>
              <w:rPr>
                <w:rFonts w:ascii="Arial" w:cs="Arial" w:eastAsia="Arial" w:hAnsi="Arial"/>
                <w:sz w:val="14"/>
                <w:szCs w:val="14"/>
                <w:color w:val="auto"/>
                <w:w w:val="89"/>
              </w:rPr>
              <w:t>2019</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w w:val="89"/>
              </w:rPr>
              <w:t>2018</w:t>
            </w:r>
          </w:p>
        </w:tc>
        <w:tc>
          <w:tcPr>
            <w:tcW w:w="6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Direct-to-consumer</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3,889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4,049</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(160)</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5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Content</w:t>
            </w:r>
          </w:p>
        </w:tc>
        <w:tc>
          <w:tcPr>
            <w:tcW w:w="9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376</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3"/>
                <w:szCs w:val="23"/>
                <w:color w:val="auto"/>
              </w:rPr>
            </w:pPr>
          </w:p>
        </w:tc>
        <w:tc>
          <w:tcPr>
            <w:tcW w:w="1500" w:type="dxa"/>
            <w:vAlign w:val="bottom"/>
          </w:tcPr>
          <w:p>
            <w:pPr>
              <w:jc w:val="right"/>
              <w:ind w:right="554"/>
              <w:spacing w:after="0"/>
              <w:rPr>
                <w:sz w:val="20"/>
                <w:szCs w:val="20"/>
                <w:color w:val="auto"/>
              </w:rPr>
            </w:pPr>
            <w:r>
              <w:rPr>
                <w:rFonts w:ascii="Arial" w:cs="Arial" w:eastAsia="Arial" w:hAnsi="Arial"/>
                <w:sz w:val="18"/>
                <w:szCs w:val="18"/>
                <w:color w:val="auto"/>
              </w:rPr>
              <w:t>65</w:t>
            </w: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21.0</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27.7</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Advertising</w:t>
            </w:r>
          </w:p>
        </w:tc>
        <w:tc>
          <w:tcPr>
            <w:tcW w:w="9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563</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631</w:t>
            </w:r>
          </w:p>
        </w:tc>
        <w:tc>
          <w:tcPr>
            <w:tcW w:w="600" w:type="dxa"/>
            <w:vAlign w:val="bottom"/>
          </w:tcPr>
          <w:p>
            <w:pPr>
              <w:spacing w:after="0"/>
              <w:rPr>
                <w:sz w:val="23"/>
                <w:szCs w:val="23"/>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(68)</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(10.7)</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(5.6)</w:t>
            </w:r>
          </w:p>
        </w:tc>
      </w:tr>
      <w:tr>
        <w:trPr>
          <w:trHeight w:val="27"/>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Pr>
          <w:p>
            <w:pPr>
              <w:spacing w:after="0"/>
              <w:rPr>
                <w:sz w:val="20"/>
                <w:szCs w:val="20"/>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4,828</w:t>
            </w:r>
          </w:p>
        </w:tc>
        <w:tc>
          <w:tcPr>
            <w:tcW w:w="42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4,991</w:t>
            </w:r>
          </w:p>
        </w:tc>
        <w:tc>
          <w:tcPr>
            <w:tcW w:w="600" w:type="dxa"/>
            <w:vAlign w:val="bottom"/>
          </w:tcPr>
          <w:p>
            <w:pPr>
              <w:spacing w:after="0"/>
              <w:rPr>
                <w:sz w:val="20"/>
                <w:szCs w:val="20"/>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b w:val="1"/>
                <w:bCs w:val="1"/>
                <w:color w:val="auto"/>
              </w:rPr>
              <w:t>(163)</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(3.3)</w:t>
            </w:r>
          </w:p>
        </w:tc>
        <w:tc>
          <w:tcPr>
            <w:tcW w:w="1500" w:type="dxa"/>
            <w:vAlign w:val="bottom"/>
          </w:tcPr>
          <w:p>
            <w:pPr>
              <w:jc w:val="right"/>
              <w:ind w:right="174"/>
              <w:spacing w:after="0"/>
              <w:rPr>
                <w:sz w:val="20"/>
                <w:szCs w:val="20"/>
                <w:color w:val="auto"/>
              </w:rPr>
            </w:pPr>
            <w:r>
              <w:rPr>
                <w:rFonts w:ascii="Arial" w:cs="Arial" w:eastAsia="Arial" w:hAnsi="Arial"/>
                <w:sz w:val="18"/>
                <w:szCs w:val="18"/>
                <w:b w:val="1"/>
                <w:bCs w:val="1"/>
                <w:color w:val="auto"/>
              </w:rPr>
              <w:t>2.4</w:t>
            </w: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Programming and production</w:t>
            </w:r>
          </w:p>
        </w:tc>
        <w:tc>
          <w:tcPr>
            <w:tcW w:w="9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2,239</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2,222</w:t>
            </w:r>
          </w:p>
        </w:tc>
        <w:tc>
          <w:tcPr>
            <w:tcW w:w="600" w:type="dxa"/>
            <w:vAlign w:val="bottom"/>
          </w:tcPr>
          <w:p>
            <w:pPr>
              <w:spacing w:after="0"/>
              <w:rPr>
                <w:sz w:val="23"/>
                <w:szCs w:val="23"/>
                <w:color w:val="auto"/>
              </w:rPr>
            </w:pPr>
          </w:p>
        </w:tc>
        <w:tc>
          <w:tcPr>
            <w:tcW w:w="1500" w:type="dxa"/>
            <w:vAlign w:val="bottom"/>
          </w:tcPr>
          <w:p>
            <w:pPr>
              <w:jc w:val="right"/>
              <w:ind w:right="554"/>
              <w:spacing w:after="0"/>
              <w:rPr>
                <w:sz w:val="20"/>
                <w:szCs w:val="20"/>
                <w:color w:val="auto"/>
              </w:rPr>
            </w:pPr>
            <w:r>
              <w:rPr>
                <w:rFonts w:ascii="Arial" w:cs="Arial" w:eastAsia="Arial" w:hAnsi="Arial"/>
                <w:sz w:val="18"/>
                <w:szCs w:val="18"/>
                <w:color w:val="auto"/>
              </w:rPr>
              <w:t>17</w:t>
            </w: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0.8</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6.7</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Direct network costs</w:t>
            </w:r>
          </w:p>
        </w:tc>
        <w:tc>
          <w:tcPr>
            <w:tcW w:w="9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600" w:type="dxa"/>
            <w:vAlign w:val="bottom"/>
          </w:tcPr>
          <w:p>
            <w:pPr>
              <w:spacing w:after="0"/>
              <w:rPr>
                <w:sz w:val="23"/>
                <w:szCs w:val="23"/>
                <w:color w:val="auto"/>
              </w:rPr>
            </w:pPr>
          </w:p>
        </w:tc>
        <w:tc>
          <w:tcPr>
            <w:tcW w:w="1500" w:type="dxa"/>
            <w:vAlign w:val="bottom"/>
          </w:tcPr>
          <w:p>
            <w:pPr>
              <w:jc w:val="right"/>
              <w:ind w:right="554"/>
              <w:spacing w:after="0"/>
              <w:rPr>
                <w:sz w:val="20"/>
                <w:szCs w:val="20"/>
                <w:color w:val="auto"/>
              </w:rPr>
            </w:pPr>
            <w:r>
              <w:rPr>
                <w:rFonts w:ascii="Arial" w:cs="Arial" w:eastAsia="Arial" w:hAnsi="Arial"/>
                <w:sz w:val="18"/>
                <w:szCs w:val="18"/>
                <w:color w:val="auto"/>
              </w:rPr>
              <w:t>14</w:t>
            </w: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9.7</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1,403</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1,689</w:t>
            </w:r>
          </w:p>
        </w:tc>
        <w:tc>
          <w:tcPr>
            <w:tcW w:w="600" w:type="dxa"/>
            <w:vAlign w:val="bottom"/>
          </w:tcPr>
          <w:p>
            <w:pPr>
              <w:spacing w:after="0"/>
              <w:rPr>
                <w:sz w:val="23"/>
                <w:szCs w:val="23"/>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(286)</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(16.9)</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(12.1)</w:t>
            </w:r>
          </w:p>
        </w:tc>
      </w:tr>
      <w:tr>
        <w:trPr>
          <w:trHeight w:val="27"/>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operating costs and expenses</w:t>
            </w:r>
          </w:p>
        </w:tc>
        <w:tc>
          <w:tcPr>
            <w:tcW w:w="920" w:type="dxa"/>
            <w:vAlign w:val="bottom"/>
          </w:tcPr>
          <w:p>
            <w:pPr>
              <w:spacing w:after="0"/>
              <w:rPr>
                <w:sz w:val="20"/>
                <w:szCs w:val="20"/>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4,056</w:t>
            </w:r>
          </w:p>
        </w:tc>
        <w:tc>
          <w:tcPr>
            <w:tcW w:w="42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4,311</w:t>
            </w:r>
          </w:p>
        </w:tc>
        <w:tc>
          <w:tcPr>
            <w:tcW w:w="600" w:type="dxa"/>
            <w:vAlign w:val="bottom"/>
          </w:tcPr>
          <w:p>
            <w:pPr>
              <w:spacing w:after="0"/>
              <w:rPr>
                <w:sz w:val="20"/>
                <w:szCs w:val="20"/>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(255)</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(5.9)</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(0.4)</w:t>
            </w:r>
          </w:p>
        </w:tc>
      </w:tr>
      <w:tr>
        <w:trPr>
          <w:trHeight w:val="27"/>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920" w:type="dxa"/>
            <w:vAlign w:val="bottom"/>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772</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680</w:t>
            </w: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54"/>
              <w:spacing w:after="0"/>
              <w:rPr>
                <w:sz w:val="20"/>
                <w:szCs w:val="20"/>
                <w:color w:val="auto"/>
              </w:rPr>
            </w:pPr>
            <w:r>
              <w:rPr>
                <w:rFonts w:ascii="Arial" w:cs="Arial" w:eastAsia="Arial" w:hAnsi="Arial"/>
                <w:sz w:val="18"/>
                <w:szCs w:val="18"/>
                <w:b w:val="1"/>
                <w:bCs w:val="1"/>
                <w:color w:val="auto"/>
              </w:rPr>
              <w:t>92</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13.4 %</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19.9 %</w:t>
            </w:r>
          </w:p>
        </w:tc>
      </w:tr>
      <w:tr>
        <w:trPr>
          <w:trHeight w:val="34"/>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54"/>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gridSpan w:val="3"/>
          </w:tcPr>
          <w:p>
            <w:pPr>
              <w:jc w:val="right"/>
              <w:ind w:right="933"/>
              <w:spacing w:after="0"/>
              <w:rPr>
                <w:sz w:val="20"/>
                <w:szCs w:val="20"/>
                <w:color w:val="auto"/>
              </w:rPr>
            </w:pPr>
            <w:r>
              <w:rPr>
                <w:rFonts w:ascii="Arial" w:cs="Arial" w:eastAsia="Arial" w:hAnsi="Arial"/>
                <w:sz w:val="14"/>
                <w:szCs w:val="14"/>
                <w:color w:val="auto"/>
              </w:rPr>
              <w:t>Six Months Ended</w:t>
            </w: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3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8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43"/>
        </w:trPr>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jc w:val="center"/>
              <w:ind w:left="494"/>
              <w:spacing w:after="0" w:line="143" w:lineRule="exact"/>
              <w:rPr>
                <w:sz w:val="20"/>
                <w:szCs w:val="20"/>
                <w:color w:val="auto"/>
              </w:rPr>
            </w:pPr>
            <w:r>
              <w:rPr>
                <w:rFonts w:ascii="Arial" w:cs="Arial" w:eastAsia="Arial" w:hAnsi="Arial"/>
                <w:sz w:val="14"/>
                <w:szCs w:val="14"/>
                <w:color w:val="auto"/>
                <w:w w:val="90"/>
              </w:rPr>
              <w:t>Increase/</w:t>
            </w:r>
          </w:p>
        </w:tc>
        <w:tc>
          <w:tcPr>
            <w:tcW w:w="1160" w:type="dxa"/>
            <w:vAlign w:val="bottom"/>
          </w:tcPr>
          <w:p>
            <w:pPr>
              <w:spacing w:after="0"/>
              <w:rPr>
                <w:sz w:val="12"/>
                <w:szCs w:val="12"/>
                <w:color w:val="auto"/>
              </w:rPr>
            </w:pPr>
          </w:p>
        </w:tc>
        <w:tc>
          <w:tcPr>
            <w:tcW w:w="1500" w:type="dxa"/>
            <w:vAlign w:val="bottom"/>
          </w:tcPr>
          <w:p>
            <w:pPr>
              <w:jc w:val="center"/>
              <w:spacing w:after="0" w:line="143" w:lineRule="exact"/>
              <w:rPr>
                <w:sz w:val="20"/>
                <w:szCs w:val="20"/>
                <w:color w:val="auto"/>
              </w:rPr>
            </w:pPr>
            <w:r>
              <w:rPr>
                <w:rFonts w:ascii="Arial" w:cs="Arial" w:eastAsia="Arial" w:hAnsi="Arial"/>
                <w:sz w:val="14"/>
                <w:szCs w:val="14"/>
                <w:color w:val="auto"/>
                <w:w w:val="92"/>
              </w:rPr>
              <w:t>Constant Currency</w:t>
            </w:r>
          </w:p>
        </w:tc>
      </w:tr>
      <w:tr>
        <w:trPr>
          <w:trHeight w:val="188"/>
        </w:trPr>
        <w:tc>
          <w:tcPr>
            <w:tcW w:w="3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color w:val="auto"/>
                <w:w w:val="97"/>
              </w:rPr>
              <w:t>Actual</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w w:val="93"/>
              </w:rPr>
              <w:t>Pro Forma</w:t>
            </w: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514"/>
              <w:spacing w:after="0"/>
              <w:rPr>
                <w:sz w:val="20"/>
                <w:szCs w:val="20"/>
                <w:color w:val="auto"/>
              </w:rPr>
            </w:pPr>
            <w:r>
              <w:rPr>
                <w:rFonts w:ascii="Arial" w:cs="Arial" w:eastAsia="Arial" w:hAnsi="Arial"/>
                <w:sz w:val="14"/>
                <w:szCs w:val="14"/>
                <w:color w:val="auto"/>
                <w:w w:val="89"/>
              </w:rPr>
              <w:t>(Decrease)</w:t>
            </w:r>
          </w:p>
        </w:tc>
        <w:tc>
          <w:tcPr>
            <w:tcW w:w="1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64"/>
        </w:trPr>
        <w:tc>
          <w:tcPr>
            <w:tcW w:w="3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color w:val="auto"/>
                <w:w w:val="96"/>
              </w:rPr>
              <w:t>2019</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w w:val="96"/>
              </w:rPr>
              <w:t>2018</w:t>
            </w:r>
          </w:p>
        </w:tc>
        <w:tc>
          <w:tcPr>
            <w:tcW w:w="6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Direct-to-consumer</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7,723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8,181</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(458)</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(5.6)%</w:t>
            </w:r>
          </w:p>
        </w:tc>
        <w:tc>
          <w:tcPr>
            <w:tcW w:w="150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Content</w:t>
            </w:r>
          </w:p>
        </w:tc>
        <w:tc>
          <w:tcPr>
            <w:tcW w:w="920" w:type="dxa"/>
            <w:vAlign w:val="bottom"/>
          </w:tcPr>
          <w:p>
            <w:pPr>
              <w:spacing w:after="0"/>
              <w:rPr>
                <w:sz w:val="23"/>
                <w:szCs w:val="23"/>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746</w:t>
            </w:r>
          </w:p>
        </w:tc>
        <w:tc>
          <w:tcPr>
            <w:tcW w:w="42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597</w:t>
            </w:r>
          </w:p>
        </w:tc>
        <w:tc>
          <w:tcPr>
            <w:tcW w:w="600" w:type="dxa"/>
            <w:vAlign w:val="bottom"/>
          </w:tcPr>
          <w:p>
            <w:pPr>
              <w:spacing w:after="0"/>
              <w:rPr>
                <w:sz w:val="23"/>
                <w:szCs w:val="23"/>
                <w:color w:val="auto"/>
              </w:rPr>
            </w:pPr>
          </w:p>
        </w:tc>
        <w:tc>
          <w:tcPr>
            <w:tcW w:w="1500" w:type="dxa"/>
            <w:vAlign w:val="bottom"/>
          </w:tcPr>
          <w:p>
            <w:pPr>
              <w:jc w:val="right"/>
              <w:ind w:right="554"/>
              <w:spacing w:after="0"/>
              <w:rPr>
                <w:sz w:val="20"/>
                <w:szCs w:val="20"/>
                <w:color w:val="auto"/>
              </w:rPr>
            </w:pPr>
            <w:r>
              <w:rPr>
                <w:rFonts w:ascii="Arial" w:cs="Arial" w:eastAsia="Arial" w:hAnsi="Arial"/>
                <w:sz w:val="18"/>
                <w:szCs w:val="18"/>
                <w:color w:val="auto"/>
              </w:rPr>
              <w:t>149</w:t>
            </w:r>
          </w:p>
        </w:tc>
        <w:tc>
          <w:tcPr>
            <w:tcW w:w="1160" w:type="dxa"/>
            <w:vAlign w:val="bottom"/>
          </w:tcPr>
          <w:p>
            <w:pPr>
              <w:jc w:val="right"/>
              <w:ind w:right="392"/>
              <w:spacing w:after="0"/>
              <w:rPr>
                <w:sz w:val="20"/>
                <w:szCs w:val="20"/>
                <w:color w:val="auto"/>
              </w:rPr>
            </w:pPr>
            <w:r>
              <w:rPr>
                <w:rFonts w:ascii="Arial" w:cs="Arial" w:eastAsia="Arial" w:hAnsi="Arial"/>
                <w:sz w:val="18"/>
                <w:szCs w:val="18"/>
                <w:color w:val="auto"/>
              </w:rPr>
              <w:t>25.1</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32.6</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Advertising</w:t>
            </w:r>
          </w:p>
        </w:tc>
        <w:tc>
          <w:tcPr>
            <w:tcW w:w="920" w:type="dxa"/>
            <w:vAlign w:val="bottom"/>
          </w:tcPr>
          <w:p>
            <w:pPr>
              <w:spacing w:after="0"/>
              <w:rPr>
                <w:sz w:val="23"/>
                <w:szCs w:val="23"/>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1,156</w:t>
            </w:r>
          </w:p>
        </w:tc>
        <w:tc>
          <w:tcPr>
            <w:tcW w:w="42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1,262</w:t>
            </w:r>
          </w:p>
        </w:tc>
        <w:tc>
          <w:tcPr>
            <w:tcW w:w="600" w:type="dxa"/>
            <w:vAlign w:val="bottom"/>
          </w:tcPr>
          <w:p>
            <w:pPr>
              <w:spacing w:after="0"/>
              <w:rPr>
                <w:sz w:val="23"/>
                <w:szCs w:val="23"/>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(106)</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(8.4)</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(2.5)</w:t>
            </w:r>
          </w:p>
        </w:tc>
      </w:tr>
      <w:tr>
        <w:trPr>
          <w:trHeight w:val="27"/>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9,625</w:t>
            </w:r>
          </w:p>
        </w:tc>
        <w:tc>
          <w:tcPr>
            <w:tcW w:w="42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10,040</w:t>
            </w:r>
          </w:p>
        </w:tc>
        <w:tc>
          <w:tcPr>
            <w:tcW w:w="600" w:type="dxa"/>
            <w:vAlign w:val="bottom"/>
          </w:tcPr>
          <w:p>
            <w:pPr>
              <w:spacing w:after="0"/>
              <w:rPr>
                <w:sz w:val="20"/>
                <w:szCs w:val="20"/>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b w:val="1"/>
                <w:bCs w:val="1"/>
                <w:color w:val="auto"/>
              </w:rPr>
              <w:t>(415)</w:t>
            </w: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auto"/>
              </w:rPr>
              <w:t>(4.1)</w:t>
            </w:r>
          </w:p>
        </w:tc>
        <w:tc>
          <w:tcPr>
            <w:tcW w:w="1500" w:type="dxa"/>
            <w:vAlign w:val="bottom"/>
          </w:tcPr>
          <w:p>
            <w:pPr>
              <w:jc w:val="right"/>
              <w:ind w:right="174"/>
              <w:spacing w:after="0"/>
              <w:rPr>
                <w:sz w:val="20"/>
                <w:szCs w:val="20"/>
                <w:color w:val="auto"/>
              </w:rPr>
            </w:pPr>
            <w:r>
              <w:rPr>
                <w:rFonts w:ascii="Arial" w:cs="Arial" w:eastAsia="Arial" w:hAnsi="Arial"/>
                <w:sz w:val="18"/>
                <w:szCs w:val="18"/>
                <w:b w:val="1"/>
                <w:bCs w:val="1"/>
                <w:color w:val="auto"/>
              </w:rPr>
              <w:t>2.1</w:t>
            </w: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Programming and production</w:t>
            </w:r>
          </w:p>
        </w:tc>
        <w:tc>
          <w:tcPr>
            <w:tcW w:w="920" w:type="dxa"/>
            <w:vAlign w:val="bottom"/>
          </w:tcPr>
          <w:p>
            <w:pPr>
              <w:spacing w:after="0"/>
              <w:rPr>
                <w:sz w:val="23"/>
                <w:szCs w:val="23"/>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4,540</w:t>
            </w:r>
          </w:p>
        </w:tc>
        <w:tc>
          <w:tcPr>
            <w:tcW w:w="42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4,483</w:t>
            </w:r>
          </w:p>
        </w:tc>
        <w:tc>
          <w:tcPr>
            <w:tcW w:w="600" w:type="dxa"/>
            <w:vAlign w:val="bottom"/>
          </w:tcPr>
          <w:p>
            <w:pPr>
              <w:spacing w:after="0"/>
              <w:rPr>
                <w:sz w:val="23"/>
                <w:szCs w:val="23"/>
                <w:color w:val="auto"/>
              </w:rPr>
            </w:pPr>
          </w:p>
        </w:tc>
        <w:tc>
          <w:tcPr>
            <w:tcW w:w="1500" w:type="dxa"/>
            <w:vAlign w:val="bottom"/>
          </w:tcPr>
          <w:p>
            <w:pPr>
              <w:jc w:val="right"/>
              <w:ind w:right="554"/>
              <w:spacing w:after="0"/>
              <w:rPr>
                <w:sz w:val="20"/>
                <w:szCs w:val="20"/>
                <w:color w:val="auto"/>
              </w:rPr>
            </w:pPr>
            <w:r>
              <w:rPr>
                <w:rFonts w:ascii="Arial" w:cs="Arial" w:eastAsia="Arial" w:hAnsi="Arial"/>
                <w:sz w:val="18"/>
                <w:szCs w:val="18"/>
                <w:color w:val="auto"/>
              </w:rPr>
              <w:t>57</w:t>
            </w:r>
          </w:p>
        </w:tc>
        <w:tc>
          <w:tcPr>
            <w:tcW w:w="1160" w:type="dxa"/>
            <w:vAlign w:val="bottom"/>
          </w:tcPr>
          <w:p>
            <w:pPr>
              <w:jc w:val="right"/>
              <w:ind w:right="392"/>
              <w:spacing w:after="0"/>
              <w:rPr>
                <w:sz w:val="20"/>
                <w:szCs w:val="20"/>
                <w:color w:val="auto"/>
              </w:rPr>
            </w:pPr>
            <w:r>
              <w:rPr>
                <w:rFonts w:ascii="Arial" w:cs="Arial" w:eastAsia="Arial" w:hAnsi="Arial"/>
                <w:sz w:val="18"/>
                <w:szCs w:val="18"/>
                <w:color w:val="auto"/>
              </w:rPr>
              <w:t>1.3</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8.0</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Direct network costs</w:t>
            </w:r>
          </w:p>
        </w:tc>
        <w:tc>
          <w:tcPr>
            <w:tcW w:w="920" w:type="dxa"/>
            <w:vAlign w:val="bottom"/>
          </w:tcPr>
          <w:p>
            <w:pPr>
              <w:spacing w:after="0"/>
              <w:rPr>
                <w:sz w:val="23"/>
                <w:szCs w:val="23"/>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799</w:t>
            </w:r>
          </w:p>
        </w:tc>
        <w:tc>
          <w:tcPr>
            <w:tcW w:w="42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801</w:t>
            </w:r>
          </w:p>
        </w:tc>
        <w:tc>
          <w:tcPr>
            <w:tcW w:w="600" w:type="dxa"/>
            <w:vAlign w:val="bottom"/>
          </w:tcPr>
          <w:p>
            <w:pPr>
              <w:spacing w:after="0"/>
              <w:rPr>
                <w:sz w:val="23"/>
                <w:szCs w:val="23"/>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(0.3)</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6.2</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3"/>
                <w:szCs w:val="23"/>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2,851</w:t>
            </w:r>
          </w:p>
        </w:tc>
        <w:tc>
          <w:tcPr>
            <w:tcW w:w="42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3,277</w:t>
            </w:r>
          </w:p>
        </w:tc>
        <w:tc>
          <w:tcPr>
            <w:tcW w:w="600" w:type="dxa"/>
            <w:vAlign w:val="bottom"/>
          </w:tcPr>
          <w:p>
            <w:pPr>
              <w:spacing w:after="0"/>
              <w:rPr>
                <w:sz w:val="23"/>
                <w:szCs w:val="23"/>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(426)</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(13.0)</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(7.4)</w:t>
            </w:r>
          </w:p>
        </w:tc>
      </w:tr>
      <w:tr>
        <w:trPr>
          <w:trHeight w:val="27"/>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operating costs and expenses</w:t>
            </w:r>
          </w:p>
        </w:tc>
        <w:tc>
          <w:tcPr>
            <w:tcW w:w="92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8,190</w:t>
            </w:r>
          </w:p>
        </w:tc>
        <w:tc>
          <w:tcPr>
            <w:tcW w:w="42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8,561</w:t>
            </w:r>
          </w:p>
        </w:tc>
        <w:tc>
          <w:tcPr>
            <w:tcW w:w="600" w:type="dxa"/>
            <w:vAlign w:val="bottom"/>
          </w:tcPr>
          <w:p>
            <w:pPr>
              <w:spacing w:after="0"/>
              <w:rPr>
                <w:sz w:val="20"/>
                <w:szCs w:val="20"/>
                <w:color w:val="auto"/>
              </w:rPr>
            </w:pPr>
          </w:p>
        </w:tc>
        <w:tc>
          <w:tcPr>
            <w:tcW w:w="1500" w:type="dxa"/>
            <w:vAlign w:val="bottom"/>
          </w:tcPr>
          <w:p>
            <w:pPr>
              <w:jc w:val="right"/>
              <w:ind w:right="494"/>
              <w:spacing w:after="0"/>
              <w:rPr>
                <w:sz w:val="20"/>
                <w:szCs w:val="20"/>
                <w:color w:val="auto"/>
              </w:rPr>
            </w:pPr>
            <w:r>
              <w:rPr>
                <w:rFonts w:ascii="Arial" w:cs="Arial" w:eastAsia="Arial" w:hAnsi="Arial"/>
                <w:sz w:val="18"/>
                <w:szCs w:val="18"/>
                <w:color w:val="auto"/>
              </w:rPr>
              <w:t>(371)</w:t>
            </w: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(4.3)</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1.9</w:t>
            </w:r>
          </w:p>
        </w:tc>
      </w:tr>
      <w:tr>
        <w:trPr>
          <w:trHeight w:val="27"/>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920" w:type="dxa"/>
            <w:vAlign w:val="bottom"/>
          </w:tcPr>
          <w:p>
            <w:pPr>
              <w:jc w:val="right"/>
              <w:ind w:right="73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1,435</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1,479</w:t>
            </w:r>
          </w:p>
        </w:tc>
        <w:tc>
          <w:tcPr>
            <w:tcW w:w="6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494"/>
              <w:spacing w:after="0"/>
              <w:rPr>
                <w:sz w:val="20"/>
                <w:szCs w:val="20"/>
                <w:color w:val="auto"/>
              </w:rPr>
            </w:pPr>
            <w:r>
              <w:rPr>
                <w:rFonts w:ascii="Arial" w:cs="Arial" w:eastAsia="Arial" w:hAnsi="Arial"/>
                <w:sz w:val="18"/>
                <w:szCs w:val="18"/>
                <w:b w:val="1"/>
                <w:bCs w:val="1"/>
                <w:color w:val="auto"/>
              </w:rPr>
              <w:t>(44)</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(3.0)%</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3.2 %</w:t>
            </w:r>
          </w:p>
        </w:tc>
      </w:tr>
      <w:tr>
        <w:trPr>
          <w:trHeight w:val="34"/>
        </w:trPr>
        <w:tc>
          <w:tcPr>
            <w:tcW w:w="3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63" w:lineRule="exact"/>
        <w:rPr>
          <w:sz w:val="20"/>
          <w:szCs w:val="20"/>
          <w:color w:val="auto"/>
        </w:rPr>
      </w:pPr>
    </w:p>
    <w:p>
      <w:pPr>
        <w:ind w:left="26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43 for additional information, including our definition and our use of constant currency, and for a reconciliation of Sky’s constant currency growth rates.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584"/>
              <w:spacing w:after="0"/>
              <w:rPr>
                <w:sz w:val="20"/>
                <w:szCs w:val="20"/>
                <w:color w:val="auto"/>
              </w:rPr>
            </w:pPr>
            <w:r>
              <w:rPr>
                <w:rFonts w:ascii="Arial" w:cs="Arial" w:eastAsia="Arial" w:hAnsi="Arial"/>
                <w:sz w:val="14"/>
                <w:szCs w:val="14"/>
                <w:color w:val="auto"/>
              </w:rPr>
              <w:t>Net Additions</w:t>
            </w:r>
          </w:p>
        </w:tc>
        <w:tc>
          <w:tcPr>
            <w:tcW w:w="960" w:type="dxa"/>
            <w:vAlign w:val="bottom"/>
            <w:tcBorders>
              <w:bottom w:val="single" w:sz="8" w:color="auto"/>
            </w:tcBorders>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gridSpan w:val="2"/>
          </w:tcPr>
          <w:p>
            <w:pPr>
              <w:jc w:val="center"/>
              <w:ind w:right="4"/>
              <w:spacing w:after="0" w:line="157" w:lineRule="exact"/>
              <w:rPr>
                <w:sz w:val="20"/>
                <w:szCs w:val="20"/>
                <w:color w:val="auto"/>
              </w:rPr>
            </w:pPr>
            <w:r>
              <w:rPr>
                <w:rFonts w:ascii="Arial" w:cs="Arial" w:eastAsia="Arial" w:hAnsi="Arial"/>
                <w:sz w:val="14"/>
                <w:szCs w:val="14"/>
                <w:color w:val="auto"/>
                <w:w w:val="91"/>
              </w:rPr>
              <w:t>Three Months Ended</w:t>
            </w:r>
          </w:p>
        </w:tc>
        <w:tc>
          <w:tcPr>
            <w:tcW w:w="1920" w:type="dxa"/>
            <w:vAlign w:val="bottom"/>
            <w:gridSpan w:val="2"/>
          </w:tcPr>
          <w:p>
            <w:pPr>
              <w:jc w:val="center"/>
              <w:ind w:right="2"/>
              <w:spacing w:after="0" w:line="157" w:lineRule="exact"/>
              <w:rPr>
                <w:sz w:val="20"/>
                <w:szCs w:val="20"/>
                <w:color w:val="auto"/>
              </w:rPr>
            </w:pPr>
            <w:r>
              <w:rPr>
                <w:rFonts w:ascii="Arial" w:cs="Arial" w:eastAsia="Arial" w:hAnsi="Arial"/>
                <w:sz w:val="14"/>
                <w:szCs w:val="14"/>
                <w:color w:val="auto"/>
                <w:w w:val="95"/>
              </w:rPr>
              <w:t>Six Months Ended</w:t>
            </w:r>
          </w:p>
        </w:tc>
      </w:tr>
      <w:tr>
        <w:trPr>
          <w:trHeight w:val="188"/>
        </w:trPr>
        <w:tc>
          <w:tcPr>
            <w:tcW w:w="5260" w:type="dxa"/>
            <w:vAlign w:val="bottom"/>
          </w:tcPr>
          <w:p>
            <w:pPr>
              <w:spacing w:after="0"/>
              <w:rPr>
                <w:sz w:val="16"/>
                <w:szCs w:val="16"/>
                <w:color w:val="auto"/>
              </w:rPr>
            </w:pPr>
          </w:p>
        </w:tc>
        <w:tc>
          <w:tcPr>
            <w:tcW w:w="2080" w:type="dxa"/>
            <w:vAlign w:val="bottom"/>
            <w:tcBorders>
              <w:bottom w:val="single" w:sz="8" w:color="auto"/>
            </w:tcBorders>
            <w:gridSpan w:val="2"/>
          </w:tcPr>
          <w:p>
            <w:pPr>
              <w:jc w:val="right"/>
              <w:ind w:right="722"/>
              <w:spacing w:after="0"/>
              <w:rPr>
                <w:sz w:val="20"/>
                <w:szCs w:val="20"/>
                <w:color w:val="auto"/>
              </w:rPr>
            </w:pPr>
            <w:r>
              <w:rPr>
                <w:rFonts w:ascii="Arial" w:cs="Arial" w:eastAsia="Arial" w:hAnsi="Arial"/>
                <w:sz w:val="14"/>
                <w:szCs w:val="14"/>
                <w:color w:val="auto"/>
              </w:rPr>
              <w:t>June 30</w:t>
            </w:r>
          </w:p>
        </w:tc>
        <w:tc>
          <w:tcPr>
            <w:tcW w:w="216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4"/>
                <w:szCs w:val="14"/>
                <w:color w:val="auto"/>
                <w:w w:val="88"/>
              </w:rPr>
              <w:t>June 30</w:t>
            </w:r>
          </w:p>
        </w:tc>
        <w:tc>
          <w:tcPr>
            <w:tcW w:w="192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4"/>
                <w:szCs w:val="14"/>
                <w:color w:val="auto"/>
                <w:w w:val="88"/>
              </w:rPr>
              <w:t>June 30</w:t>
            </w:r>
          </w:p>
        </w:tc>
      </w:tr>
      <w:tr>
        <w:trPr>
          <w:trHeight w:val="250"/>
        </w:trPr>
        <w:tc>
          <w:tcPr>
            <w:tcW w:w="526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Actual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Pro Forma</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Actual</w:t>
            </w:r>
          </w:p>
        </w:tc>
        <w:tc>
          <w:tcPr>
            <w:tcW w:w="10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w w:val="93"/>
              </w:rPr>
              <w:t>Pro Forma</w:t>
            </w:r>
          </w:p>
        </w:tc>
        <w:tc>
          <w:tcPr>
            <w:tcW w:w="9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rPr>
              <w:t>Actual</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Pro Forma</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color w:val="auto"/>
              </w:rPr>
              <w:t>2019</w:t>
            </w: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color w:val="auto"/>
              </w:rPr>
              <w:t>2018</w:t>
            </w: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color w:val="auto"/>
              </w:rPr>
              <w:t>2019</w:t>
            </w: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080" w:type="dxa"/>
            <w:vAlign w:val="bottom"/>
          </w:tcPr>
          <w:p>
            <w:pPr>
              <w:jc w:val="right"/>
              <w:ind w:right="84"/>
              <w:spacing w:after="0"/>
              <w:rPr>
                <w:sz w:val="20"/>
                <w:szCs w:val="20"/>
                <w:color w:val="auto"/>
              </w:rPr>
            </w:pPr>
            <w:r>
              <w:rPr>
                <w:rFonts w:ascii="Arial" w:cs="Arial" w:eastAsia="Arial" w:hAnsi="Arial"/>
                <w:sz w:val="18"/>
                <w:szCs w:val="18"/>
                <w:color w:val="auto"/>
              </w:rPr>
              <w:t>24,016</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23,010</w:t>
            </w:r>
          </w:p>
        </w:tc>
        <w:tc>
          <w:tcPr>
            <w:tcW w:w="1080" w:type="dxa"/>
            <w:vAlign w:val="bottom"/>
          </w:tcPr>
          <w:p>
            <w:pPr>
              <w:jc w:val="right"/>
              <w:ind w:right="84"/>
              <w:spacing w:after="0"/>
              <w:rPr>
                <w:sz w:val="20"/>
                <w:szCs w:val="20"/>
                <w:color w:val="auto"/>
              </w:rPr>
            </w:pPr>
            <w:r>
              <w:rPr>
                <w:rFonts w:ascii="Arial" w:cs="Arial" w:eastAsia="Arial" w:hAnsi="Arial"/>
                <w:sz w:val="18"/>
                <w:szCs w:val="18"/>
                <w:color w:val="auto"/>
              </w:rPr>
              <w:t>304</w:t>
            </w:r>
          </w:p>
        </w:tc>
        <w:tc>
          <w:tcPr>
            <w:tcW w:w="1080" w:type="dxa"/>
            <w:vAlign w:val="bottom"/>
          </w:tcPr>
          <w:p>
            <w:pPr>
              <w:jc w:val="right"/>
              <w:ind w:right="144"/>
              <w:spacing w:after="0"/>
              <w:rPr>
                <w:sz w:val="20"/>
                <w:szCs w:val="20"/>
                <w:color w:val="auto"/>
              </w:rPr>
            </w:pPr>
            <w:r>
              <w:rPr>
                <w:rFonts w:ascii="Arial" w:cs="Arial" w:eastAsia="Arial" w:hAnsi="Arial"/>
                <w:sz w:val="18"/>
                <w:szCs w:val="18"/>
                <w:color w:val="auto"/>
              </w:rPr>
              <w:t>107</w:t>
            </w:r>
          </w:p>
        </w:tc>
        <w:tc>
          <w:tcPr>
            <w:tcW w:w="960" w:type="dxa"/>
            <w:vAlign w:val="bottom"/>
          </w:tcPr>
          <w:p>
            <w:pPr>
              <w:jc w:val="right"/>
              <w:ind w:right="84"/>
              <w:spacing w:after="0"/>
              <w:rPr>
                <w:sz w:val="20"/>
                <w:szCs w:val="20"/>
                <w:color w:val="auto"/>
              </w:rPr>
            </w:pPr>
            <w:r>
              <w:rPr>
                <w:rFonts w:ascii="Arial" w:cs="Arial" w:eastAsia="Arial" w:hAnsi="Arial"/>
                <w:sz w:val="18"/>
                <w:szCs w:val="18"/>
                <w:color w:val="auto"/>
              </w:rPr>
              <w:t>416</w:t>
            </w: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145</w:t>
            </w:r>
          </w:p>
        </w:tc>
      </w:tr>
      <w:tr>
        <w:trPr>
          <w:trHeight w:val="27"/>
        </w:trPr>
        <w:tc>
          <w:tcPr>
            <w:tcW w:w="5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Sky customer relationships represent the number of residential retail customers that subscribe to at least one of Sky’s four primary services of video, high-speed internet, voice and wireless phone service. Commercial retail customers include hotels, bars, workplaces and restaurants with an active subscription for the purpose of providing Sky services to third party customers. We report commercial customers based on the number of commercial agreements per venue in the U.K., a residential equivalent unit based upon the multiple of residential customer revenue in Italy and the number of active venues (bars and restaurants) or rooms (hotels and clinics) in Germany.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Direct-to-consumer revenue decreased 4.0% and 5.6% for the three and six months ended June 30, 2019, respectively, compared to the same periods in 2018. Excluding the impact of foreign currency, direct-to-consumer revenue increased 1.7% and 0.6% for the three and six months ended June 30, 2019 compared to the same periods in 2018, primarily due to growth in video, mobile and broadband customers, partially offset by a decrease in average revenue per customer relationship. The increase in video customers for the three months ended June 30, 2019 included growth in streaming customers as a result of unique content launches.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revenue increased 21.0% and 25.1% for the three and six months ended June 30, 2019, respectively, compared to the same periods in 2018. Excluding the impact of foreign currency, content revenue increased 27.7% and 32.6% for the three and six months ended June 30, 2019, respectively, compared to the same periods in 2018, reflecting the wholesaling of sports programming, including exclusive sports rights recently acquired in Italy and Germany, as well as monetization of our slate of original programming.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Advertising revenue decreased 10.7% and 8.4% for the three and six months ended June 30, 2019, respectively, compared to the same periods in 2018. Excluding the impact of foreign currency, advertising revenue decreased 5.6% and 2.5% for the three and six months ended June 30, 2019, respectively, compared to the same periods in 2018, primarily reflecting overall market weakness.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and production costs were flat for the three months ended June 30, 2019, compared to the same period in 2018. Programming and production costs increased 1.3% for the six months ended June 30, 2019, compared to the same period in 2018. Excluding the impact of foreign currency, programming and production costs increased 6.7% and 8.0% for the three and six months ended June 30, 2019, respectively, compared to the same periods in 2018 primarily due to new sports programming contracts in Italy and Germany.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network costs increased 3.3% for the three months ended June 30, 2019 and were flat for the six months ended June 30, 2019 compared to the same periods in 2018. Excluding the impact of foreign currency, direct network costs increased 9.7% and 6.2% for the three and six months ended June 30, 2019, respectively, compared to the same periods in 2018 primarily due to increases in costs associated with Sky’s wireless phone service as a result of increases in the number of customers receiving the service.</w:t>
      </w:r>
    </w:p>
    <w:p>
      <w:pPr>
        <w:spacing w:after="0" w:line="13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Other expenses decreased 16.9% and 13.0% for the three and six months ended June 30, 2019, respectively, compared to the same periods in 2018. Excluding the impact of foreign currency, other expenses decreased 12.1% and 7.4% for the three and six months ended June 30, 2019, respectively, compared to the same periods in 2018 primarily due to contract termination costs and costs related to a settlement in the prior year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18"/>
              <w:spacing w:after="0"/>
              <w:rPr>
                <w:sz w:val="20"/>
                <w:szCs w:val="20"/>
                <w:color w:val="auto"/>
              </w:rPr>
            </w:pPr>
            <w:r>
              <w:rPr>
                <w:rFonts w:ascii="Arial" w:cs="Arial" w:eastAsia="Arial" w:hAnsi="Arial"/>
                <w:sz w:val="14"/>
                <w:szCs w:val="14"/>
                <w:color w:val="auto"/>
                <w:w w:val="91"/>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center"/>
              <w:ind w:left="558"/>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8"/>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58"/>
              <w:spacing w:after="0"/>
              <w:rPr>
                <w:sz w:val="20"/>
                <w:szCs w:val="20"/>
                <w:color w:val="auto"/>
              </w:rPr>
            </w:pPr>
            <w:r>
              <w:rPr>
                <w:rFonts w:ascii="Arial" w:cs="Arial" w:eastAsia="Arial" w:hAnsi="Arial"/>
                <w:sz w:val="14"/>
                <w:szCs w:val="14"/>
                <w:color w:val="auto"/>
                <w:w w:val="92"/>
              </w:rPr>
              <w:t>(Decrease)</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8"/>
              <w:spacing w:after="0"/>
              <w:rPr>
                <w:sz w:val="20"/>
                <w:szCs w:val="20"/>
                <w:color w:val="auto"/>
              </w:rPr>
            </w:pPr>
            <w:r>
              <w:rPr>
                <w:rFonts w:ascii="Arial" w:cs="Arial" w:eastAsia="Arial" w:hAnsi="Arial"/>
                <w:sz w:val="18"/>
                <w:szCs w:val="18"/>
                <w:color w:val="auto"/>
              </w:rPr>
              <w:t>56</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96</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58"/>
              <w:spacing w:after="0"/>
              <w:rPr>
                <w:sz w:val="20"/>
                <w:szCs w:val="20"/>
                <w:color w:val="auto"/>
              </w:rPr>
            </w:pPr>
            <w:r>
              <w:rPr>
                <w:rFonts w:ascii="Arial" w:cs="Arial" w:eastAsia="Arial" w:hAnsi="Arial"/>
                <w:sz w:val="18"/>
                <w:szCs w:val="18"/>
                <w:color w:val="auto"/>
              </w:rPr>
              <w:t>(40)</w:t>
            </w: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20" w:type="dxa"/>
            <w:vAlign w:val="bottom"/>
          </w:tcPr>
          <w:p>
            <w:pPr>
              <w:jc w:val="right"/>
              <w:ind w:right="138"/>
              <w:spacing w:after="0"/>
              <w:rPr>
                <w:sz w:val="20"/>
                <w:szCs w:val="20"/>
                <w:color w:val="auto"/>
              </w:rPr>
            </w:pPr>
            <w:r>
              <w:rPr>
                <w:rFonts w:ascii="Arial" w:cs="Arial" w:eastAsia="Arial" w:hAnsi="Arial"/>
                <w:sz w:val="18"/>
                <w:szCs w:val="18"/>
                <w:color w:val="auto"/>
              </w:rPr>
              <w:t>353</w:t>
            </w:r>
          </w:p>
        </w:tc>
        <w:tc>
          <w:tcPr>
            <w:tcW w:w="66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23"/>
                <w:szCs w:val="23"/>
                <w:color w:val="auto"/>
              </w:rPr>
            </w:pPr>
          </w:p>
        </w:tc>
        <w:tc>
          <w:tcPr>
            <w:tcW w:w="1640" w:type="dxa"/>
            <w:vAlign w:val="bottom"/>
          </w:tcPr>
          <w:p>
            <w:pPr>
              <w:jc w:val="right"/>
              <w:ind w:right="618"/>
              <w:spacing w:after="0"/>
              <w:rPr>
                <w:sz w:val="20"/>
                <w:szCs w:val="20"/>
                <w:color w:val="auto"/>
              </w:rPr>
            </w:pPr>
            <w:r>
              <w:rPr>
                <w:rFonts w:ascii="Arial" w:cs="Arial" w:eastAsia="Arial" w:hAnsi="Arial"/>
                <w:sz w:val="18"/>
                <w:szCs w:val="18"/>
                <w:color w:val="auto"/>
              </w:rPr>
              <w:t>65</w:t>
            </w: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Pr>
          <w:p>
            <w:pPr>
              <w:spacing w:after="0"/>
              <w:rPr>
                <w:sz w:val="23"/>
                <w:szCs w:val="23"/>
                <w:color w:val="auto"/>
              </w:rPr>
            </w:pPr>
          </w:p>
        </w:tc>
        <w:tc>
          <w:tcPr>
            <w:tcW w:w="1220" w:type="dxa"/>
            <w:vAlign w:val="bottom"/>
          </w:tcPr>
          <w:p>
            <w:pPr>
              <w:jc w:val="right"/>
              <w:ind w:right="78"/>
              <w:spacing w:after="0"/>
              <w:rPr>
                <w:sz w:val="20"/>
                <w:szCs w:val="20"/>
                <w:color w:val="auto"/>
              </w:rPr>
            </w:pPr>
            <w:r>
              <w:rPr>
                <w:rFonts w:ascii="Arial" w:cs="Arial" w:eastAsia="Arial" w:hAnsi="Arial"/>
                <w:sz w:val="18"/>
                <w:szCs w:val="18"/>
                <w:color w:val="auto"/>
              </w:rPr>
              <w:t>(84)</w:t>
            </w:r>
          </w:p>
        </w:tc>
        <w:tc>
          <w:tcPr>
            <w:tcW w:w="66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40" w:type="dxa"/>
            <w:vAlign w:val="bottom"/>
          </w:tcPr>
          <w:p>
            <w:pPr>
              <w:jc w:val="right"/>
              <w:ind w:right="558"/>
              <w:spacing w:after="0"/>
              <w:rPr>
                <w:sz w:val="20"/>
                <w:szCs w:val="20"/>
                <w:color w:val="auto"/>
              </w:rPr>
            </w:pPr>
            <w:r>
              <w:rPr>
                <w:rFonts w:ascii="Arial" w:cs="Arial" w:eastAsia="Arial" w:hAnsi="Arial"/>
                <w:sz w:val="18"/>
                <w:szCs w:val="18"/>
                <w:color w:val="auto"/>
              </w:rPr>
              <w:t>(84)</w:t>
            </w: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78"/>
              <w:spacing w:after="0"/>
              <w:rPr>
                <w:sz w:val="20"/>
                <w:szCs w:val="20"/>
                <w:color w:val="auto"/>
              </w:rPr>
            </w:pPr>
            <w:r>
              <w:rPr>
                <w:rFonts w:ascii="Arial" w:cs="Arial" w:eastAsia="Arial" w:hAnsi="Arial"/>
                <w:sz w:val="18"/>
                <w:szCs w:val="18"/>
                <w:b w:val="1"/>
                <w:bCs w:val="1"/>
                <w:color w:val="auto"/>
              </w:rPr>
              <w:t>(213)</w:t>
            </w:r>
          </w:p>
        </w:tc>
        <w:tc>
          <w:tcPr>
            <w:tcW w:w="6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(192)</w:t>
            </w:r>
          </w:p>
        </w:tc>
        <w:tc>
          <w:tcPr>
            <w:tcW w:w="5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58"/>
              <w:spacing w:after="0"/>
              <w:rPr>
                <w:sz w:val="20"/>
                <w:szCs w:val="20"/>
                <w:color w:val="auto"/>
              </w:rPr>
            </w:pPr>
            <w:r>
              <w:rPr>
                <w:rFonts w:ascii="Arial" w:cs="Arial" w:eastAsia="Arial" w:hAnsi="Arial"/>
                <w:sz w:val="18"/>
                <w:szCs w:val="18"/>
                <w:b w:val="1"/>
                <w:bCs w:val="1"/>
                <w:color w:val="auto"/>
              </w:rPr>
              <w:t>(21)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54"/>
        </w:trPr>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8"/>
              <w:spacing w:after="0"/>
              <w:rPr>
                <w:sz w:val="20"/>
                <w:szCs w:val="20"/>
                <w:color w:val="auto"/>
              </w:rPr>
            </w:pPr>
            <w:r>
              <w:rPr>
                <w:rFonts w:ascii="Arial" w:cs="Arial" w:eastAsia="Arial" w:hAnsi="Arial"/>
                <w:sz w:val="14"/>
                <w:szCs w:val="14"/>
                <w:color w:val="auto"/>
                <w:w w:val="95"/>
              </w:rPr>
              <w:t>Six Months Ended</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jc w:val="center"/>
              <w:ind w:left="598"/>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8"/>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8"/>
              <w:spacing w:after="0"/>
              <w:rPr>
                <w:sz w:val="20"/>
                <w:szCs w:val="20"/>
                <w:color w:val="auto"/>
              </w:rPr>
            </w:pPr>
            <w:r>
              <w:rPr>
                <w:rFonts w:ascii="Arial" w:cs="Arial" w:eastAsia="Arial" w:hAnsi="Arial"/>
                <w:sz w:val="14"/>
                <w:szCs w:val="14"/>
                <w:color w:val="auto"/>
                <w:w w:val="92"/>
              </w:rPr>
              <w:t>(Decrease)</w:t>
            </w: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4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8"/>
              <w:spacing w:after="0"/>
              <w:rPr>
                <w:sz w:val="20"/>
                <w:szCs w:val="20"/>
                <w:color w:val="auto"/>
              </w:rPr>
            </w:pPr>
            <w:r>
              <w:rPr>
                <w:rFonts w:ascii="Arial" w:cs="Arial" w:eastAsia="Arial" w:hAnsi="Arial"/>
                <w:sz w:val="18"/>
                <w:szCs w:val="18"/>
                <w:color w:val="auto"/>
              </w:rPr>
              <w:t>164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339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(175)</w:t>
            </w:r>
          </w:p>
        </w:tc>
        <w:tc>
          <w:tcPr>
            <w:tcW w:w="1040" w:type="dxa"/>
            <w:vAlign w:val="bottom"/>
          </w:tcPr>
          <w:p>
            <w:pPr>
              <w:jc w:val="right"/>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21"/>
                <w:szCs w:val="21"/>
                <w:color w:val="auto"/>
              </w:rPr>
            </w:pPr>
          </w:p>
        </w:tc>
      </w:tr>
      <w:tr>
        <w:trPr>
          <w:trHeight w:val="270"/>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20" w:type="dxa"/>
            <w:vAlign w:val="bottom"/>
          </w:tcPr>
          <w:p>
            <w:pPr>
              <w:jc w:val="right"/>
              <w:ind w:right="138"/>
              <w:spacing w:after="0"/>
              <w:rPr>
                <w:sz w:val="20"/>
                <w:szCs w:val="20"/>
                <w:color w:val="auto"/>
              </w:rPr>
            </w:pPr>
            <w:r>
              <w:rPr>
                <w:rFonts w:ascii="Arial" w:cs="Arial" w:eastAsia="Arial" w:hAnsi="Arial"/>
                <w:sz w:val="18"/>
                <w:szCs w:val="18"/>
                <w:color w:val="auto"/>
              </w:rPr>
              <w:t>699</w:t>
            </w:r>
          </w:p>
        </w:tc>
        <w:tc>
          <w:tcPr>
            <w:tcW w:w="66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716</w:t>
            </w:r>
          </w:p>
        </w:tc>
        <w:tc>
          <w:tcPr>
            <w:tcW w:w="520" w:type="dxa"/>
            <w:vAlign w:val="bottom"/>
          </w:tcPr>
          <w:p>
            <w:pPr>
              <w:spacing w:after="0"/>
              <w:rPr>
                <w:sz w:val="23"/>
                <w:szCs w:val="23"/>
                <w:color w:val="auto"/>
              </w:rPr>
            </w:pP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3"/>
                <w:szCs w:val="23"/>
                <w:color w:val="auto"/>
              </w:rPr>
            </w:pPr>
          </w:p>
        </w:tc>
      </w:tr>
      <w:tr>
        <w:trPr>
          <w:trHeight w:val="270"/>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Pr>
          <w:p>
            <w:pPr>
              <w:spacing w:after="0"/>
              <w:rPr>
                <w:sz w:val="23"/>
                <w:szCs w:val="23"/>
                <w:color w:val="auto"/>
              </w:rPr>
            </w:pPr>
          </w:p>
        </w:tc>
        <w:tc>
          <w:tcPr>
            <w:tcW w:w="1220" w:type="dxa"/>
            <w:vAlign w:val="bottom"/>
          </w:tcPr>
          <w:p>
            <w:pPr>
              <w:jc w:val="right"/>
              <w:ind w:right="78"/>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(135)</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3"/>
                <w:szCs w:val="23"/>
                <w:color w:val="auto"/>
              </w:rPr>
            </w:pPr>
          </w:p>
        </w:tc>
      </w:tr>
      <w:tr>
        <w:trPr>
          <w:trHeight w:val="27"/>
        </w:trPr>
        <w:tc>
          <w:tcPr>
            <w:tcW w:w="49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8"/>
              <w:spacing w:after="0"/>
              <w:rPr>
                <w:sz w:val="20"/>
                <w:szCs w:val="20"/>
                <w:color w:val="auto"/>
              </w:rPr>
            </w:pPr>
            <w:r>
              <w:rPr>
                <w:rFonts w:ascii="Arial" w:cs="Arial" w:eastAsia="Arial" w:hAnsi="Arial"/>
                <w:sz w:val="18"/>
                <w:szCs w:val="18"/>
                <w:b w:val="1"/>
                <w:bCs w:val="1"/>
                <w:color w:val="auto"/>
              </w:rPr>
              <w:t>(400)</w:t>
            </w:r>
          </w:p>
        </w:tc>
        <w:tc>
          <w:tcPr>
            <w:tcW w:w="6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(377)</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b w:val="1"/>
                <w:bCs w:val="1"/>
                <w:color w:val="auto"/>
              </w:rPr>
              <w:t>(23)</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primarily relates to revenue from Comcast Spectacor, which owns the Philadelphia Flyers and the Wells Fargo Center arena in Philadelphia, Pennsylvania. We sold a controlling interest in our arena management-related businesses in the second quarter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other business development initiatives, and operating costs and expenses associated with Comcast Spectacor.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Other operating costs and expenses increased for the three months ended June 30, 2019 as compared to the same period in 2018 primarily due to transaction-related expenses of $84 million directly related to the Sky transaction, including expenses resulting from the replacement of share-based compensation awards and costs related to integration activities.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operating costs and expenses decreased for the six months ended June 30, 2019 as compared to the same period in 2018 primarily due to the sale of a controlling interest in our arena management-related businesses in the second quarter of 2018, which was partially offset by transaction-related expenses of $135 million directly related to the Sky transaction, including expenses resulting from the replacement of share-based compensation awards and costs related to integration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Adjusted EBITDA excludes transaction-related expenses directly related to the Sky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consolidated Adjusted EBITDA is useful to investors because it is one of the bases for comparing our operating performance with that of other companies in our industries, although our measure of consolidated Adjusted EBITDA may not be directly comparable to similar measures used by other companies.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consolidated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consolidated Adjusted EBITDA the impact of certain events, gains, losses or other charges (such as significant legal settlements) that affect the period-to-period comparability of our operating performance.</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net income attributable to Comcast Corporation, or net cash provided by operating activities that we have reported in accordance with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2019</w:t>
            </w:r>
          </w:p>
        </w:tc>
        <w:tc>
          <w:tcPr>
            <w:tcW w:w="9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3,125</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3,216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6,678</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6,334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noncontrolling interests and</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90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8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w:t>
            </w:r>
          </w:p>
        </w:tc>
        <w:tc>
          <w:tcPr>
            <w:tcW w:w="90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1,077</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2,037</w:t>
            </w:r>
          </w:p>
        </w:tc>
        <w:tc>
          <w:tcPr>
            <w:tcW w:w="8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1,895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w:t>
            </w:r>
          </w:p>
        </w:tc>
        <w:tc>
          <w:tcPr>
            <w:tcW w:w="90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806</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8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90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23"/>
                <w:szCs w:val="23"/>
                <w:color w:val="auto"/>
              </w:rPr>
            </w:pPr>
          </w:p>
        </w:tc>
        <w:tc>
          <w:tcPr>
            <w:tcW w:w="1840" w:type="dxa"/>
            <w:vAlign w:val="bottom"/>
            <w:gridSpan w:val="2"/>
          </w:tcPr>
          <w:p>
            <w:pPr>
              <w:jc w:val="right"/>
              <w:ind w:right="696"/>
              <w:spacing w:after="0"/>
              <w:rPr>
                <w:sz w:val="20"/>
                <w:szCs w:val="20"/>
                <w:color w:val="auto"/>
              </w:rPr>
            </w:pPr>
            <w:r>
              <w:rPr>
                <w:rFonts w:ascii="Arial" w:cs="Arial" w:eastAsia="Arial" w:hAnsi="Arial"/>
                <w:sz w:val="18"/>
                <w:szCs w:val="18"/>
                <w:color w:val="auto"/>
              </w:rPr>
              <w:t>(621)</w:t>
            </w: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2,197</w:t>
            </w:r>
          </w:p>
        </w:tc>
        <w:tc>
          <w:tcPr>
            <w:tcW w:w="90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4,437</w:t>
            </w:r>
          </w:p>
        </w:tc>
        <w:tc>
          <w:tcPr>
            <w:tcW w:w="8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4,032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1,079</w:t>
            </w:r>
          </w:p>
        </w:tc>
        <w:tc>
          <w:tcPr>
            <w:tcW w:w="90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582</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2,159</w:t>
            </w:r>
          </w:p>
        </w:tc>
        <w:tc>
          <w:tcPr>
            <w:tcW w:w="8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90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8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8,716</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7,417</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17,269</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14,661</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tcPr>
          <w:p>
            <w:pPr>
              <w:jc w:val="right"/>
              <w:ind w:right="652"/>
              <w:spacing w:after="0"/>
              <w:rPr>
                <w:sz w:val="20"/>
                <w:szCs w:val="20"/>
                <w:color w:val="auto"/>
              </w:rPr>
            </w:pPr>
            <w:r>
              <w:rPr>
                <w:rFonts w:ascii="Arial" w:cs="Arial" w:eastAsia="Arial" w:hAnsi="Arial"/>
                <w:sz w:val="14"/>
                <w:szCs w:val="14"/>
                <w:color w:val="auto"/>
              </w:rPr>
              <w:t>Three Months Ended</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3"/>
          </w:tcPr>
          <w:p>
            <w:pPr>
              <w:jc w:val="right"/>
              <w:ind w:right="732"/>
              <w:spacing w:after="0"/>
              <w:rPr>
                <w:sz w:val="20"/>
                <w:szCs w:val="20"/>
                <w:color w:val="auto"/>
              </w:rPr>
            </w:pPr>
            <w:r>
              <w:rPr>
                <w:rFonts w:ascii="Arial" w:cs="Arial" w:eastAsia="Arial" w:hAnsi="Arial"/>
                <w:sz w:val="14"/>
                <w:szCs w:val="14"/>
                <w:color w:val="auto"/>
              </w:rPr>
              <w:t>Six Months Ended</w:t>
            </w:r>
          </w:p>
        </w:tc>
        <w:tc>
          <w:tcPr>
            <w:tcW w:w="1380" w:type="dxa"/>
            <w:vAlign w:val="bottom"/>
          </w:tcPr>
          <w:p>
            <w:pPr>
              <w:spacing w:after="0"/>
              <w:rPr>
                <w:sz w:val="14"/>
                <w:szCs w:val="14"/>
                <w:color w:val="auto"/>
              </w:rPr>
            </w:pPr>
          </w:p>
        </w:tc>
      </w:tr>
      <w:tr>
        <w:trPr>
          <w:trHeight w:val="188"/>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56"/>
        </w:trPr>
        <w:tc>
          <w:tcPr>
            <w:tcW w:w="3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2"/>
              </w:rPr>
              <w:t>Constant Currency</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color w:val="auto"/>
                <w:w w:val="92"/>
              </w:rPr>
              <w:t>Constant Currency</w:t>
            </w:r>
          </w:p>
        </w:tc>
      </w:tr>
      <w:tr>
        <w:trPr>
          <w:trHeight w:val="188"/>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Actual</w:t>
            </w:r>
          </w:p>
        </w:tc>
        <w:tc>
          <w:tcPr>
            <w:tcW w:w="14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Constant Currency</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Growth</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Actual</w:t>
            </w:r>
          </w:p>
        </w:tc>
        <w:tc>
          <w:tcPr>
            <w:tcW w:w="14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Constant Currency</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Growth</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2018</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2018</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3,889</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3,824</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1.7 %</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7,723</w:t>
            </w:r>
          </w:p>
        </w:tc>
        <w:tc>
          <w:tcPr>
            <w:tcW w:w="4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7,675</w:t>
            </w:r>
          </w:p>
        </w:tc>
        <w:tc>
          <w:tcPr>
            <w:tcW w:w="13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Content</w:t>
            </w:r>
          </w:p>
        </w:tc>
        <w:tc>
          <w:tcPr>
            <w:tcW w:w="26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376</w:t>
            </w:r>
          </w:p>
        </w:tc>
        <w:tc>
          <w:tcPr>
            <w:tcW w:w="42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295</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746</w:t>
            </w:r>
          </w:p>
        </w:tc>
        <w:tc>
          <w:tcPr>
            <w:tcW w:w="42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563</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32.6</w:t>
            </w: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26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563</w:t>
            </w:r>
          </w:p>
        </w:tc>
        <w:tc>
          <w:tcPr>
            <w:tcW w:w="42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597</w:t>
            </w:r>
          </w:p>
        </w:tc>
        <w:tc>
          <w:tcPr>
            <w:tcW w:w="1440" w:type="dxa"/>
            <w:vAlign w:val="bottom"/>
          </w:tcPr>
          <w:p>
            <w:pPr>
              <w:jc w:val="right"/>
              <w:ind w:right="174"/>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1,156</w:t>
            </w:r>
          </w:p>
        </w:tc>
        <w:tc>
          <w:tcPr>
            <w:tcW w:w="42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1,186</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(2.5)</w:t>
            </w:r>
          </w:p>
        </w:tc>
      </w:tr>
      <w:tr>
        <w:trPr>
          <w:trHeight w:val="27"/>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4,828</w:t>
            </w:r>
          </w:p>
        </w:tc>
        <w:tc>
          <w:tcPr>
            <w:tcW w:w="42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4,716</w:t>
            </w:r>
          </w:p>
        </w:tc>
        <w:tc>
          <w:tcPr>
            <w:tcW w:w="1440" w:type="dxa"/>
            <w:vAlign w:val="bottom"/>
          </w:tcPr>
          <w:p>
            <w:pPr>
              <w:jc w:val="right"/>
              <w:ind w:right="234"/>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20"/>
                <w:szCs w:val="20"/>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b w:val="1"/>
                <w:bCs w:val="1"/>
                <w:color w:val="auto"/>
              </w:rPr>
              <w:t>9,625</w:t>
            </w:r>
          </w:p>
        </w:tc>
        <w:tc>
          <w:tcPr>
            <w:tcW w:w="420" w:type="dxa"/>
            <w:vAlign w:val="bottom"/>
          </w:tcPr>
          <w:p>
            <w:pPr>
              <w:spacing w:after="0"/>
              <w:rPr>
                <w:sz w:val="20"/>
                <w:szCs w:val="20"/>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9,424</w:t>
            </w:r>
          </w:p>
        </w:tc>
        <w:tc>
          <w:tcPr>
            <w:tcW w:w="1380" w:type="dxa"/>
            <w:vAlign w:val="bottom"/>
          </w:tcPr>
          <w:p>
            <w:pPr>
              <w:jc w:val="right"/>
              <w:ind w:right="174"/>
              <w:spacing w:after="0"/>
              <w:rPr>
                <w:sz w:val="20"/>
                <w:szCs w:val="20"/>
                <w:color w:val="auto"/>
              </w:rPr>
            </w:pPr>
            <w:r>
              <w:rPr>
                <w:rFonts w:ascii="Arial" w:cs="Arial" w:eastAsia="Arial" w:hAnsi="Arial"/>
                <w:sz w:val="18"/>
                <w:szCs w:val="18"/>
                <w:b w:val="1"/>
                <w:bCs w:val="1"/>
                <w:color w:val="auto"/>
              </w:rPr>
              <w:t>2.1</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2,239</w:t>
            </w:r>
          </w:p>
        </w:tc>
        <w:tc>
          <w:tcPr>
            <w:tcW w:w="42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2,098</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4,540</w:t>
            </w:r>
          </w:p>
        </w:tc>
        <w:tc>
          <w:tcPr>
            <w:tcW w:w="42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4,203</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8.0</w:t>
            </w: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26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378</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799</w:t>
            </w:r>
          </w:p>
        </w:tc>
        <w:tc>
          <w:tcPr>
            <w:tcW w:w="42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753</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6.2</w:t>
            </w: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1,403</w:t>
            </w:r>
          </w:p>
        </w:tc>
        <w:tc>
          <w:tcPr>
            <w:tcW w:w="42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1,597</w:t>
            </w:r>
          </w:p>
        </w:tc>
        <w:tc>
          <w:tcPr>
            <w:tcW w:w="1440" w:type="dxa"/>
            <w:vAlign w:val="bottom"/>
          </w:tcPr>
          <w:p>
            <w:pPr>
              <w:jc w:val="right"/>
              <w:ind w:right="174"/>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2,851</w:t>
            </w:r>
          </w:p>
        </w:tc>
        <w:tc>
          <w:tcPr>
            <w:tcW w:w="42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3,078</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(7.4)</w:t>
            </w:r>
          </w:p>
        </w:tc>
      </w:tr>
      <w:tr>
        <w:trPr>
          <w:trHeight w:val="27"/>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4,056</w:t>
            </w:r>
          </w:p>
        </w:tc>
        <w:tc>
          <w:tcPr>
            <w:tcW w:w="42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4,073</w:t>
            </w:r>
          </w:p>
        </w:tc>
        <w:tc>
          <w:tcPr>
            <w:tcW w:w="1440" w:type="dxa"/>
            <w:vAlign w:val="bottom"/>
          </w:tcPr>
          <w:p>
            <w:pPr>
              <w:jc w:val="right"/>
              <w:ind w:right="174"/>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0"/>
                <w:szCs w:val="20"/>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8,190</w:t>
            </w:r>
          </w:p>
        </w:tc>
        <w:tc>
          <w:tcPr>
            <w:tcW w:w="420" w:type="dxa"/>
            <w:vAlign w:val="bottom"/>
          </w:tcPr>
          <w:p>
            <w:pPr>
              <w:spacing w:after="0"/>
              <w:rPr>
                <w:sz w:val="20"/>
                <w:szCs w:val="20"/>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8,034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1.9</w:t>
            </w:r>
          </w:p>
        </w:tc>
      </w:tr>
      <w:tr>
        <w:trPr>
          <w:trHeight w:val="27"/>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772</w:t>
            </w:r>
          </w:p>
        </w:tc>
        <w:tc>
          <w:tcPr>
            <w:tcW w:w="420" w:type="dxa"/>
            <w:vAlign w:val="bottom"/>
          </w:tcPr>
          <w:p>
            <w:pPr>
              <w:jc w:val="right"/>
              <w:ind w:right="116"/>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643</w:t>
            </w:r>
          </w:p>
        </w:tc>
        <w:tc>
          <w:tcPr>
            <w:tcW w:w="1440" w:type="dxa"/>
            <w:vAlign w:val="bottom"/>
          </w:tcPr>
          <w:p>
            <w:pPr>
              <w:jc w:val="right"/>
              <w:ind w:right="14"/>
              <w:spacing w:after="0"/>
              <w:rPr>
                <w:sz w:val="20"/>
                <w:szCs w:val="20"/>
                <w:color w:val="auto"/>
              </w:rPr>
            </w:pPr>
            <w:r>
              <w:rPr>
                <w:rFonts w:ascii="Arial" w:cs="Arial" w:eastAsia="Arial" w:hAnsi="Arial"/>
                <w:sz w:val="18"/>
                <w:szCs w:val="18"/>
                <w:b w:val="1"/>
                <w:bCs w:val="1"/>
                <w:color w:val="auto"/>
              </w:rPr>
              <w:t>19.9 %</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6"/>
              <w:spacing w:after="0"/>
              <w:rPr>
                <w:sz w:val="20"/>
                <w:szCs w:val="20"/>
                <w:color w:val="auto"/>
              </w:rPr>
            </w:pPr>
            <w:r>
              <w:rPr>
                <w:rFonts w:ascii="Arial" w:cs="Arial" w:eastAsia="Arial" w:hAnsi="Arial"/>
                <w:sz w:val="18"/>
                <w:szCs w:val="18"/>
                <w:b w:val="1"/>
                <w:bCs w:val="1"/>
                <w:color w:val="auto"/>
              </w:rPr>
              <w:t>1,435</w:t>
            </w:r>
          </w:p>
        </w:tc>
        <w:tc>
          <w:tcPr>
            <w:tcW w:w="420" w:type="dxa"/>
            <w:vAlign w:val="bottom"/>
          </w:tcPr>
          <w:p>
            <w:pPr>
              <w:jc w:val="right"/>
              <w:ind w:right="13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1,390</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3.2 %</w:t>
            </w:r>
          </w:p>
        </w:tc>
      </w:tr>
      <w:tr>
        <w:trPr>
          <w:trHeight w:val="34"/>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75"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10,538</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9,659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amortization &amp; other operating gains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6,596</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5,002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533</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95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(2,111)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(1,634)</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254</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14,271</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12,537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variance in changes in operating assets and liabilities for the six months ended June 30, 2019 compared to the same period in 2018 was primarily due to the timing of film and television costs at Sky, including sports rights, our broadcast of the 2018 PyeongChang Olympics in the prior year period and a reduction in Cable Communications wireless inventory, partially offset by the timing of film and television costs at NBCUniversal and our broadcast of the 2018 Super Bowl in the prior 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investing activities for the six months ended June 30, 2019 consisted primarily of capital expenditures, purchases of investments and cash paid for intangible assets. Capital expenditures increased for the six months ended June 30, 2019 compared to the same period in 2018 primarily due to the inclusion of spending at Sky and an increase in spending by our Theme Parks segment, partially offset by a decrease in spending by our Cable Communications segment due to lower spending on scalable infrastructure and customer premise equipment. Purchases of investments for the six months ended June 30, 2019 consisted primarily of our cash capital contributions of $903 million to Hulu and $463 million to Atairos.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2019 consisted primarily of repayments of debt, dividend payments and repurchases of common stock under our employee plans.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repayments of our term loans and repurchases or exchanges of our outstanding public notes and debentures, depending on various factors, such as market conditions. See Notes 5 and 6 to Comcast’s condensed consolidated financial statements for additional information on our financing activities, including details of our debt repayments and borrowings.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revolving credit facilities and commercial paper programs to meet our short-term liquidity requirements.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amounts available under our revolving credit facilities, net of amounts outstanding under our commercial paper programs and outstanding letters of credit and bank guarantees, totaled $8.7 billion.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We have paused our share repurchase program for 2019 in order to accelerate the reduction of indebtedness we incurred in connection with the acquisition of Sky and no common stock share repurchases were made under this authorization for the six months ended June 30, 2019.</w:t>
      </w:r>
    </w:p>
    <w:p>
      <w:pPr>
        <w:sectPr>
          <w:pgSz w:w="11900" w:h="16838" w:orient="portrait"/>
          <w:cols w:equalWidth="0" w:num="1">
            <w:col w:w="11420"/>
          </w:cols>
          <w:pgMar w:left="240" w:top="17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75"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$350 million for the six months ended June 30, 2019 related to employee taxes associated with the administration of our share-based compensation plans.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2019, our Board of Directors approved a 10% increase in our dividend to $0.84 per share on an annualized basis. In May 2019, our Board of Directors approved our second quarter dividend of $0.21 per share to be paid in July 2019. We expect to continue to pay quarterly dividends, although each dividend is subject to approval by our Board of Directors. On April 24, 2019, we paid dividends totaling $954 million.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2018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to Comcast’s condensed consolidated financial statements and Note 6 to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2018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 except as noted below. On October 9, 2018, we acquired a controlling interest in Sky. See Note 6 to Comcast’s condensed consolidated financial statements for additional information. In connection with the integration of Sky, we are in the process of analyzing and evaluating our internal controls over financial reporting. This process may result in additions or changes to our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ectPr>
          <w:pgSz w:w="11900" w:h="16838" w:orient="portrait"/>
          <w:cols w:equalWidth="0" w:num="1">
            <w:col w:w="11420"/>
          </w:cols>
          <w:pgMar w:left="240" w:top="17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75"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2018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w:t>
      </w:r>
      <w:r>
        <w:rPr>
          <w:rFonts w:ascii="Arial" w:cs="Arial" w:eastAsia="Arial" w:hAnsi="Arial"/>
          <w:sz w:val="17"/>
          <w:szCs w:val="17"/>
          <w:i w:val="1"/>
          <w:iCs w:val="1"/>
          <w:color w:val="auto"/>
        </w:rPr>
        <w:t>de minimis</w:t>
      </w:r>
      <w:r>
        <w:rPr>
          <w:rFonts w:ascii="Arial" w:cs="Arial" w:eastAsia="Arial" w:hAnsi="Arial"/>
          <w:sz w:val="17"/>
          <w:szCs w:val="17"/>
          <w:color w:val="auto"/>
        </w:rPr>
        <w:t>. As of the date of this report, we are not aware of any activity, transaction or dealing during the three months ended June 30, 2019 that requires disclosure under the Act, except with respect to a licensing agreement entered by one of Sky’s non-U.S. subsidiaries prior to our fourth quarter 2018 acquisition of Sky. The agreement entered into in June 2012 and amended in July 2016 licensed 150 hours of programming content for various three-year license terms for a one-time fee of €86,250 to a broadcasting company that is owned and controlled by the Government of Iran. We believe that Sky conducted its licensing activity in compliance with applicable laws and that these licenses are for the permissible exportation of informational materials pursuant to certain statutory and regulatory exemptions from U.S. sanctions.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color w:val="auto"/>
                <w:w w:val="99"/>
              </w:rPr>
              <w:t>Exhibit</w:t>
            </w:r>
          </w:p>
        </w:tc>
        <w:tc>
          <w:tcPr>
            <w:tcW w:w="10640" w:type="dxa"/>
            <w:vAlign w:val="bottom"/>
          </w:tcPr>
          <w:p>
            <w:pPr>
              <w:spacing w:after="0"/>
              <w:rPr>
                <w:sz w:val="14"/>
                <w:szCs w:val="14"/>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No.</w:t>
            </w:r>
          </w:p>
        </w:tc>
        <w:tc>
          <w:tcPr>
            <w:tcW w:w="10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Description</w:t>
            </w:r>
          </w:p>
        </w:tc>
      </w:tr>
      <w:tr>
        <w:trPr>
          <w:trHeight w:val="202"/>
        </w:trPr>
        <w:tc>
          <w:tcPr>
            <w:tcW w:w="360" w:type="dxa"/>
            <w:vAlign w:val="bottom"/>
            <w:gridSpan w:val="2"/>
          </w:tcPr>
          <w:p>
            <w:pPr>
              <w:ind w:left="40"/>
              <w:spacing w:after="0" w:line="202" w:lineRule="exact"/>
              <w:rPr>
                <w:rFonts w:ascii="Arial" w:cs="Arial" w:eastAsia="Arial" w:hAnsi="Arial"/>
                <w:sz w:val="18"/>
                <w:szCs w:val="18"/>
                <w:color w:val="0000FF"/>
                <w:w w:val="79"/>
              </w:rPr>
            </w:pPr>
            <w:hyperlink r:id="rId1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tcPr>
          <w:p>
            <w:pPr>
              <w:ind w:left="180"/>
              <w:spacing w:after="0" w:line="202" w:lineRule="exact"/>
              <w:rPr>
                <w:sz w:val="20"/>
                <w:szCs w:val="20"/>
                <w:color w:val="auto"/>
              </w:rPr>
            </w:pPr>
            <w:r>
              <w:rPr>
                <w:rFonts w:ascii="Arial" w:cs="Arial" w:eastAsia="Arial" w:hAnsi="Arial"/>
                <w:sz w:val="18"/>
                <w:szCs w:val="18"/>
                <w:color w:val="auto"/>
                <w:w w:val="91"/>
              </w:rPr>
              <w:t>Amendment No. 2 to Credit Agreement and Extension Agreement, dated June 18, 2019 (incorporated by reference to Exhibit 10.1 to Comcast’s</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Current Report on Form 8-K filed on June 20, 2019).</w:t>
            </w:r>
          </w:p>
        </w:tc>
      </w:tr>
      <w:tr>
        <w:trPr>
          <w:trHeight w:val="230"/>
        </w:trPr>
        <w:tc>
          <w:tcPr>
            <w:tcW w:w="780" w:type="dxa"/>
            <w:vAlign w:val="bottom"/>
            <w:gridSpan w:val="4"/>
          </w:tcPr>
          <w:p>
            <w:pPr>
              <w:ind w:left="40"/>
              <w:spacing w:after="0"/>
              <w:rPr>
                <w:rFonts w:ascii="Arial" w:cs="Arial" w:eastAsia="Arial" w:hAnsi="Arial"/>
                <w:sz w:val="18"/>
                <w:szCs w:val="18"/>
                <w:color w:val="0000FF"/>
              </w:rPr>
            </w:pPr>
            <w:hyperlink r:id="rId2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640" w:type="dxa"/>
            <w:vAlign w:val="bottom"/>
          </w:tcPr>
          <w:p>
            <w:pPr>
              <w:ind w:left="180"/>
              <w:spacing w:after="0"/>
              <w:rPr>
                <w:sz w:val="20"/>
                <w:szCs w:val="20"/>
                <w:color w:val="auto"/>
              </w:rPr>
            </w:pPr>
            <w:r>
              <w:rPr>
                <w:rFonts w:ascii="Arial" w:cs="Arial" w:eastAsia="Arial" w:hAnsi="Arial"/>
                <w:sz w:val="18"/>
                <w:szCs w:val="18"/>
                <w:color w:val="auto"/>
                <w:w w:val="92"/>
              </w:rPr>
              <w:t>Comcast Corporation 2019 Omnibus Sharesave Plan (incorporated by reference to Appendix A to the Registrant’s Definitive Proxy Statement</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on Schedule 14A for 2019 Annual Meeting of Shareholders filed on April 26, 2019).</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960" w:right="40" w:hanging="925"/>
        <w:spacing w:after="0" w:line="276"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and six months ended June 30, 2019, filed with the Securities and Exchange Commission on July 25, 2019,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Constitutes a management contract or compensatory plan or arrangement.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75"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9"/>
              </w:rPr>
              <w:t>Exhibit</w:t>
            </w:r>
          </w:p>
        </w:tc>
        <w:tc>
          <w:tcPr>
            <w:tcW w:w="10640" w:type="dxa"/>
            <w:vAlign w:val="bottom"/>
          </w:tcPr>
          <w:p>
            <w:pPr>
              <w:spacing w:after="0"/>
              <w:rPr>
                <w:sz w:val="14"/>
                <w:szCs w:val="14"/>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No.</w:t>
            </w:r>
          </w:p>
        </w:tc>
        <w:tc>
          <w:tcPr>
            <w:tcW w:w="10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Description</w:t>
            </w:r>
          </w:p>
        </w:tc>
      </w:tr>
      <w:tr>
        <w:trPr>
          <w:trHeight w:val="202"/>
        </w:trPr>
        <w:tc>
          <w:tcPr>
            <w:tcW w:w="360" w:type="dxa"/>
            <w:vAlign w:val="bottom"/>
            <w:gridSpan w:val="2"/>
          </w:tcPr>
          <w:p>
            <w:pPr>
              <w:jc w:val="right"/>
              <w:spacing w:after="0" w:line="202" w:lineRule="exact"/>
              <w:rPr>
                <w:rFonts w:ascii="Arial" w:cs="Arial" w:eastAsia="Arial" w:hAnsi="Arial"/>
                <w:sz w:val="18"/>
                <w:szCs w:val="18"/>
                <w:color w:val="0000FF"/>
                <w:w w:val="96"/>
              </w:rPr>
            </w:pPr>
            <w:hyperlink r:id="rId1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420" w:type="dxa"/>
            <w:vAlign w:val="bottom"/>
          </w:tcPr>
          <w:p>
            <w:pPr>
              <w:spacing w:after="0"/>
              <w:rPr>
                <w:sz w:val="17"/>
                <w:szCs w:val="17"/>
                <w:color w:val="auto"/>
              </w:rPr>
            </w:pPr>
          </w:p>
        </w:tc>
        <w:tc>
          <w:tcPr>
            <w:tcW w:w="10640" w:type="dxa"/>
            <w:vAlign w:val="bottom"/>
          </w:tcPr>
          <w:p>
            <w:pPr>
              <w:ind w:left="180"/>
              <w:spacing w:after="0" w:line="202" w:lineRule="exact"/>
              <w:rPr>
                <w:sz w:val="20"/>
                <w:szCs w:val="20"/>
                <w:color w:val="auto"/>
              </w:rPr>
            </w:pPr>
            <w:r>
              <w:rPr>
                <w:rFonts w:ascii="Arial" w:cs="Arial" w:eastAsia="Arial" w:hAnsi="Arial"/>
                <w:sz w:val="18"/>
                <w:szCs w:val="18"/>
                <w:color w:val="auto"/>
                <w:w w:val="99"/>
              </w:rPr>
              <w:t>Amendment No. 2 to Credit Agreement and Extension Agreement, dated June 18, 2019 (incorporated by reference to Exhibit 10.1 to</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NBCUniversal’s Current Report on Form 8-K filed on June 20, 2019).</w:t>
            </w:r>
          </w:p>
        </w:tc>
      </w:tr>
      <w:tr>
        <w:trPr>
          <w:trHeight w:val="230"/>
        </w:trPr>
        <w:tc>
          <w:tcPr>
            <w:tcW w:w="360" w:type="dxa"/>
            <w:vAlign w:val="bottom"/>
            <w:gridSpan w:val="2"/>
          </w:tcPr>
          <w:p>
            <w:pPr>
              <w:jc w:val="right"/>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42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9"/>
              </w:rPr>
              <w:t>Certification of Principal Executive Officer and Principal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250"/>
        </w:trPr>
        <w:tc>
          <w:tcPr>
            <w:tcW w:w="360" w:type="dxa"/>
            <w:vAlign w:val="bottom"/>
            <w:gridSpan w:val="2"/>
          </w:tcPr>
          <w:p>
            <w:pPr>
              <w:jc w:val="right"/>
              <w:spacing w:after="0"/>
              <w:rPr>
                <w:rFonts w:ascii="Arial" w:cs="Arial" w:eastAsia="Arial" w:hAnsi="Arial"/>
                <w:sz w:val="18"/>
                <w:szCs w:val="18"/>
                <w:color w:val="0000FF"/>
                <w:w w:val="96"/>
              </w:rPr>
            </w:pPr>
            <w:hyperlink w:anchor="page73">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420" w:type="dxa"/>
            <w:vAlign w:val="bottom"/>
          </w:tcPr>
          <w:p>
            <w:pPr>
              <w:spacing w:after="0"/>
              <w:rPr>
                <w:sz w:val="21"/>
                <w:szCs w:val="21"/>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9"/>
              </w:rPr>
              <w:t>Certification of Principal Executive Officer and Principal Financial Officer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960" w:right="20" w:hanging="925"/>
        <w:spacing w:after="0" w:line="29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six months ended June 30, 2019, filed with the Securities and Exchange Commission on July 25, 2019, formatted in XBRL (eXtensible Business Reporting Language):</w:t>
      </w:r>
    </w:p>
    <w:p>
      <w:pPr>
        <w:jc w:val="both"/>
        <w:ind w:left="960" w:right="40"/>
        <w:spacing w:after="0" w:line="255" w:lineRule="auto"/>
        <w:rPr>
          <w:rFonts w:ascii="Arial" w:cs="Arial" w:eastAsia="Arial" w:hAnsi="Arial"/>
          <w:sz w:val="16"/>
          <w:szCs w:val="16"/>
          <w:color w:val="auto"/>
        </w:rPr>
      </w:pPr>
      <w:r>
        <w:rPr>
          <w:rFonts w:ascii="Arial" w:cs="Arial" w:eastAsia="Arial" w:hAnsi="Arial"/>
          <w:sz w:val="18"/>
          <w:szCs w:val="18"/>
          <w:color w:val="auto"/>
        </w:rPr>
        <w:t>(i)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7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060" w:type="dxa"/>
            <w:vAlign w:val="bottom"/>
            <w:gridSpan w:val="7"/>
          </w:tcPr>
          <w:p>
            <w:pPr>
              <w:spacing w:after="0"/>
              <w:rPr>
                <w:sz w:val="20"/>
                <w:szCs w:val="20"/>
                <w:color w:val="auto"/>
              </w:rPr>
            </w:pPr>
            <w:r>
              <w:rPr>
                <w:rFonts w:ascii="Arial" w:cs="Arial" w:eastAsia="Arial" w:hAnsi="Arial"/>
                <w:sz w:val="18"/>
                <w:szCs w:val="18"/>
                <w:color w:val="auto"/>
              </w:rPr>
              <w:t>Index</w:t>
            </w:r>
          </w:p>
        </w:tc>
        <w:tc>
          <w:tcPr>
            <w:tcW w:w="3320" w:type="dxa"/>
            <w:vAlign w:val="bottom"/>
          </w:tcPr>
          <w:p>
            <w:pPr>
              <w:jc w:val="center"/>
              <w:ind w:left="221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806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Condensed Consolidated Statement of Income (Unaudited)</w:t>
              </w:r>
            </w:hyperlink>
          </w:p>
        </w:tc>
        <w:tc>
          <w:tcPr>
            <w:tcW w:w="3320" w:type="dxa"/>
            <w:vAlign w:val="bottom"/>
          </w:tcPr>
          <w:p>
            <w:pPr>
              <w:jc w:val="center"/>
              <w:ind w:left="2210"/>
              <w:spacing w:after="0" w:line="196" w:lineRule="exact"/>
              <w:rPr>
                <w:rFonts w:ascii="Arial" w:cs="Arial" w:eastAsia="Arial" w:hAnsi="Arial"/>
                <w:sz w:val="18"/>
                <w:szCs w:val="18"/>
                <w:color w:val="2C2C2C"/>
                <w:w w:val="89"/>
              </w:rPr>
            </w:pPr>
            <w:hyperlink w:anchor="page54">
              <w:r>
                <w:rPr>
                  <w:rFonts w:ascii="Arial" w:cs="Arial" w:eastAsia="Arial" w:hAnsi="Arial"/>
                  <w:sz w:val="18"/>
                  <w:szCs w:val="18"/>
                  <w:color w:val="2C2C2C"/>
                  <w:w w:val="89"/>
                </w:rPr>
                <w:t>51</w:t>
              </w:r>
            </w:hyperlink>
          </w:p>
        </w:tc>
      </w:tr>
      <w:tr>
        <w:trPr>
          <w:trHeight w:val="20"/>
        </w:trPr>
        <w:tc>
          <w:tcPr>
            <w:tcW w:w="4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Condensed Consolidated Statement of Comprehensive Income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55">
              <w:r>
                <w:rPr>
                  <w:rFonts w:ascii="Arial" w:cs="Arial" w:eastAsia="Arial" w:hAnsi="Arial"/>
                  <w:sz w:val="18"/>
                  <w:szCs w:val="18"/>
                  <w:color w:val="2C2C2C"/>
                  <w:w w:val="89"/>
                </w:rPr>
                <w:t>52</w:t>
              </w:r>
            </w:hyperlink>
          </w:p>
        </w:tc>
      </w:tr>
      <w:tr>
        <w:trPr>
          <w:trHeight w:val="250"/>
        </w:trPr>
        <w:tc>
          <w:tcPr>
            <w:tcW w:w="4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640" w:type="dxa"/>
            <w:vAlign w:val="bottom"/>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6">
              <w:r>
                <w:rPr>
                  <w:rFonts w:ascii="Arial" w:cs="Arial" w:eastAsia="Arial" w:hAnsi="Arial"/>
                  <w:sz w:val="18"/>
                  <w:szCs w:val="18"/>
                  <w:color w:val="2C2C2C"/>
                  <w:w w:val="89"/>
                </w:rPr>
                <w:t>53</w:t>
              </w:r>
            </w:hyperlink>
          </w:p>
        </w:tc>
      </w:tr>
      <w:tr>
        <w:trPr>
          <w:trHeight w:val="250"/>
        </w:trPr>
        <w:tc>
          <w:tcPr>
            <w:tcW w:w="40" w:type="dxa"/>
            <w:vAlign w:val="bottom"/>
          </w:tcPr>
          <w:p>
            <w:pPr>
              <w:spacing w:after="0"/>
              <w:rPr>
                <w:sz w:val="21"/>
                <w:szCs w:val="21"/>
                <w:color w:val="auto"/>
              </w:rPr>
            </w:pPr>
          </w:p>
        </w:tc>
        <w:tc>
          <w:tcPr>
            <w:tcW w:w="3780" w:type="dxa"/>
            <w:vAlign w:val="bottom"/>
            <w:tcBorders>
              <w:bottom w:val="single" w:sz="8" w:color="0000EE"/>
            </w:tcBorders>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Condensed Consolidated Balance Sheet (Unaudited)</w:t>
              </w:r>
            </w:hyperlink>
          </w:p>
        </w:tc>
        <w:tc>
          <w:tcPr>
            <w:tcW w:w="4280" w:type="dxa"/>
            <w:vAlign w:val="bottom"/>
            <w:gridSpan w:val="6"/>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7">
              <w:r>
                <w:rPr>
                  <w:rFonts w:ascii="Arial" w:cs="Arial" w:eastAsia="Arial" w:hAnsi="Arial"/>
                  <w:sz w:val="18"/>
                  <w:szCs w:val="18"/>
                  <w:color w:val="2C2C2C"/>
                  <w:w w:val="89"/>
                </w:rPr>
                <w:t>54</w:t>
              </w:r>
            </w:hyperlink>
          </w:p>
        </w:tc>
      </w:tr>
      <w:tr>
        <w:trPr>
          <w:trHeight w:val="250"/>
        </w:trPr>
        <w:tc>
          <w:tcPr>
            <w:tcW w:w="40" w:type="dxa"/>
            <w:vAlign w:val="bottom"/>
          </w:tcPr>
          <w:p>
            <w:pPr>
              <w:spacing w:after="0"/>
              <w:rPr>
                <w:sz w:val="21"/>
                <w:szCs w:val="21"/>
                <w:color w:val="auto"/>
              </w:rPr>
            </w:pPr>
          </w:p>
        </w:tc>
        <w:tc>
          <w:tcPr>
            <w:tcW w:w="50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Condensed Consolidated Statement of Changes in Equity (Unaudited)</w:t>
              </w:r>
            </w:hyperlink>
          </w:p>
        </w:tc>
        <w:tc>
          <w:tcPr>
            <w:tcW w:w="3020" w:type="dxa"/>
            <w:vAlign w:val="bottom"/>
            <w:gridSpan w:val="2"/>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8">
              <w:r>
                <w:rPr>
                  <w:rFonts w:ascii="Arial" w:cs="Arial" w:eastAsia="Arial" w:hAnsi="Arial"/>
                  <w:sz w:val="18"/>
                  <w:szCs w:val="18"/>
                  <w:color w:val="2C2C2C"/>
                  <w:w w:val="89"/>
                </w:rPr>
                <w:t>55</w:t>
              </w:r>
            </w:hyperlink>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Notes to Condensed Consolidated Financial Statements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59">
              <w:r>
                <w:rPr>
                  <w:rFonts w:ascii="Arial" w:cs="Arial" w:eastAsia="Arial" w:hAnsi="Arial"/>
                  <w:sz w:val="18"/>
                  <w:szCs w:val="18"/>
                  <w:color w:val="2C2C2C"/>
                  <w:w w:val="89"/>
                </w:rPr>
                <w:t>56</w:t>
              </w:r>
            </w:hyperlink>
          </w:p>
        </w:tc>
      </w:tr>
      <w:tr>
        <w:trPr>
          <w:trHeight w:val="48"/>
        </w:trPr>
        <w:tc>
          <w:tcPr>
            <w:tcW w:w="40" w:type="dxa"/>
            <w:vAlign w:val="bottom"/>
            <w:tcBorders>
              <w:bottom w:val="single" w:sz="8" w:color="auto"/>
            </w:tcBorders>
          </w:tcPr>
          <w:p>
            <w:pPr>
              <w:spacing w:after="0"/>
              <w:rPr>
                <w:sz w:val="4"/>
                <w:szCs w:val="4"/>
                <w:color w:val="auto"/>
              </w:rPr>
            </w:pPr>
          </w:p>
        </w:tc>
        <w:tc>
          <w:tcPr>
            <w:tcW w:w="378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8,227</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8,313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16,572</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17,843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3,217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3,478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6,651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8,051</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2,048</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1,955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3,930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3,927</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651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720</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1,333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1,420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253</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274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295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546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6,443</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6,706</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12,956</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14,461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1,784</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1,607</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3,616</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3,382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(122)</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(253)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280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1,702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1,306</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3,643</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2,950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(176)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1,629</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1,218</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3,467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2,771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1,571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1,247</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3,355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2,760</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3"/>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1,629</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1,218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3,467</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1,690</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1,011</w:t>
            </w:r>
          </w:p>
        </w:tc>
        <w:tc>
          <w:tcPr>
            <w:tcW w:w="480" w:type="dxa"/>
            <w:vAlign w:val="bottom"/>
          </w:tcPr>
          <w:p>
            <w:pPr>
              <w:spacing w:after="0"/>
              <w:rPr>
                <w:sz w:val="20"/>
                <w:szCs w:val="20"/>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3,506</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2,751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0"/>
                <w:szCs w:val="20"/>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1,644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1,069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b w:val="1"/>
                <w:bCs w:val="1"/>
                <w:color w:val="auto"/>
              </w:rPr>
              <w:t>3,396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2,765</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4"/>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3,467</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2,771</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1,042</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1,063</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3,733</w:t>
            </w:r>
          </w:p>
        </w:tc>
        <w:tc>
          <w:tcPr>
            <w:tcW w:w="6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3,435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(1,013)</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(3,011)</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(1,486)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426</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(repayments of) borrowings from Comcast,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(1,254)</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(922)</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(3,012)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1,464</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2,377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1,264</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1,314</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957"/>
        </w:trPr>
        <w:tc>
          <w:tcPr>
            <w:tcW w:w="8340" w:type="dxa"/>
            <w:vAlign w:val="bottom"/>
          </w:tcPr>
          <w:p>
            <w:pPr>
              <w:ind w:left="562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7,194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1,156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1,323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2,534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2,054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1,170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13,298</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13,247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7,596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2,678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$5,424 and $4,994</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14,316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13,189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24,152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24,118</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$9,138 and $8,590</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13,332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13,666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3,519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1,822</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78,891</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75,014</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1,985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1,933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1,683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619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965</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1,484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2,195</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2,198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10,181</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8,224</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11,155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12,731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1,674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1,712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6,668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5,177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47,529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45,618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47,824</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45,872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988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909</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48,812</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46,781</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78,891</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75,014</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040" w:type="dxa"/>
            <w:vAlign w:val="bottom"/>
          </w:tcPr>
          <w:p>
            <w:pPr>
              <w:ind w:left="5620"/>
              <w:spacing w:after="0"/>
              <w:rPr>
                <w:sz w:val="20"/>
                <w:szCs w:val="20"/>
                <w:color w:val="auto"/>
              </w:rPr>
            </w:pPr>
            <w:r>
              <w:rPr>
                <w:rFonts w:ascii="Arial" w:cs="Arial" w:eastAsia="Arial" w:hAnsi="Arial"/>
                <w:sz w:val="18"/>
                <w:szCs w:val="18"/>
                <w:color w:val="auto"/>
              </w:rPr>
              <w:t>54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3"/>
          </w:tcPr>
          <w:p>
            <w:pPr>
              <w:jc w:val="right"/>
              <w:ind w:right="851"/>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Redeemable Noncontrolling Interests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405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401</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391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5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391</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78"/>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Member</w:t>
            </w:r>
            <w:r>
              <w:rPr>
                <w:rFonts w:ascii="Arial" w:cs="Arial" w:eastAsia="Arial" w:hAnsi="Arial"/>
                <w:sz w:val="18"/>
                <w:szCs w:val="18"/>
                <w:color w:val="auto"/>
              </w:rPr>
              <w:t>’</w:t>
            </w:r>
            <w:r>
              <w:rPr>
                <w:rFonts w:ascii="Arial" w:cs="Arial" w:eastAsia="Arial" w:hAnsi="Arial"/>
                <w:sz w:val="18"/>
                <w:szCs w:val="18"/>
                <w:b w:val="1"/>
                <w:bCs w:val="1"/>
                <w:color w:val="auto"/>
              </w:rPr>
              <w:t>s Capital</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47,164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43,228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45,618</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42,148</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(795)</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(1,444)</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1,571</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1,247</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3,355</w:t>
            </w:r>
          </w:p>
        </w:tc>
        <w:tc>
          <w:tcPr>
            <w:tcW w:w="5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2,760</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47,529</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43,777</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47,529</w:t>
            </w:r>
          </w:p>
        </w:tc>
        <w:tc>
          <w:tcPr>
            <w:tcW w:w="5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43,777</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65"/>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396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(178)</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295</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218</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5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218</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65"/>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1,286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909</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988</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1,090</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988</w:t>
            </w:r>
          </w:p>
        </w:tc>
        <w:tc>
          <w:tcPr>
            <w:tcW w:w="5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1,090</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22"/>
        </w:trPr>
        <w:tc>
          <w:tcPr>
            <w:tcW w:w="5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48,812</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45,085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48,812</w:t>
            </w:r>
          </w:p>
        </w:tc>
        <w:tc>
          <w:tcPr>
            <w:tcW w:w="5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45,085</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1"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2018 Annual Report on Form 10-K and the notes within this Form 10-Q.</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Note 6 for a discussion of the effects of the adoption of new accounting pronouncements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NBCUniversal excluded from Adjusted EBITDA are not separately evaluated. To be consistent with our current management reporting presentation, 2018 operating results were reclassified related to certain NBCUniversal businesses now presented in Headquarters and Other. Our financial data by business segment is presented in the tables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274"/>
              <w:spacing w:after="0"/>
              <w:rPr>
                <w:sz w:val="20"/>
                <w:szCs w:val="20"/>
                <w:color w:val="auto"/>
              </w:rPr>
            </w:pPr>
            <w:r>
              <w:rPr>
                <w:rFonts w:ascii="Arial" w:cs="Arial" w:eastAsia="Arial" w:hAnsi="Arial"/>
                <w:sz w:val="14"/>
                <w:szCs w:val="14"/>
                <w:color w:val="auto"/>
                <w:w w:val="91"/>
              </w:rPr>
              <w:t>Three Months Ended June 30, 2019</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2,947</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2,402</w:t>
            </w:r>
          </w:p>
        </w:tc>
        <w:tc>
          <w:tcPr>
            <w:tcW w:w="44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1,457</w:t>
            </w:r>
          </w:p>
        </w:tc>
        <w:tc>
          <w:tcPr>
            <w:tcW w:w="44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1,464</w:t>
            </w:r>
          </w:p>
        </w:tc>
        <w:tc>
          <w:tcPr>
            <w:tcW w:w="44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8,227</w:t>
            </w: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2,311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65</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13"/>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color w:val="auto"/>
                <w:w w:val="91"/>
              </w:rPr>
              <w:t>Three Months Ended June 30,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94"/>
              <w:spacing w:after="0" w:line="157" w:lineRule="exact"/>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2,874</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1,176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2,391</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1,710</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1,361</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8,313</w:t>
            </w: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2,160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166</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86"/>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color w:val="auto"/>
                <w:w w:val="93"/>
              </w:rPr>
              <w:t>Six Months Ended June 30, 2019</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5,815</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4,869</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3,225</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77</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16,572</w:t>
            </w: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4,658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136</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02"/>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color w:val="auto"/>
                <w:w w:val="93"/>
              </w:rPr>
              <w:t>Six Months Ended June 30, 2018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82"/>
        </w:trPr>
        <w:tc>
          <w:tcPr>
            <w:tcW w:w="5040" w:type="dxa"/>
            <w:vAlign w:val="bottom"/>
          </w:tcPr>
          <w:p>
            <w:pPr>
              <w:ind w:left="40"/>
              <w:spacing w:after="0" w:line="282" w:lineRule="exact"/>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6,031</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(d)</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5,888</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3,357</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135</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17,843</w:t>
            </w: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4,445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296</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 for segment reporting, this revenue is recognized as the programming rights asset for the licensed content is amortized based on third party revenue.</w:t>
      </w:r>
    </w:p>
    <w:p>
      <w:pPr>
        <w:spacing w:after="0" w:line="36"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auto"/>
                <w:w w:val="91"/>
              </w:rPr>
              <w:t>Three Months Ended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w w:val="95"/>
              </w:rPr>
              <w:t>Six Months Ended</w:t>
            </w:r>
          </w:p>
        </w:tc>
        <w:tc>
          <w:tcPr>
            <w:tcW w:w="80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2018</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2,311</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w w:val="96"/>
              </w:rPr>
              <w:t>2,160</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w w:val="96"/>
              </w:rPr>
              <w:t>4,658</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4,445</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(258)</w:t>
            </w:r>
          </w:p>
        </w:tc>
        <w:tc>
          <w:tcPr>
            <w:tcW w:w="920" w:type="dxa"/>
            <w:vAlign w:val="bottom"/>
          </w:tcPr>
          <w:p>
            <w:pPr>
              <w:spacing w:after="0"/>
              <w:rPr>
                <w:sz w:val="23"/>
                <w:szCs w:val="23"/>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(496)</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(274)</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(295)</w:t>
            </w:r>
          </w:p>
        </w:tc>
        <w:tc>
          <w:tcPr>
            <w:tcW w:w="920" w:type="dxa"/>
            <w:vAlign w:val="bottom"/>
          </w:tcPr>
          <w:p>
            <w:pPr>
              <w:spacing w:after="0"/>
              <w:rPr>
                <w:sz w:val="23"/>
                <w:szCs w:val="23"/>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(546)</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(563)</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(133)</w:t>
            </w:r>
          </w:p>
        </w:tc>
        <w:tc>
          <w:tcPr>
            <w:tcW w:w="920" w:type="dxa"/>
            <w:vAlign w:val="bottom"/>
          </w:tcPr>
          <w:p>
            <w:pPr>
              <w:spacing w:after="0"/>
              <w:rPr>
                <w:sz w:val="23"/>
                <w:szCs w:val="23"/>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(168)</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280</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1,702</w:t>
            </w:r>
          </w:p>
        </w:tc>
        <w:tc>
          <w:tcPr>
            <w:tcW w:w="9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1,306</w:t>
            </w:r>
          </w:p>
        </w:tc>
        <w:tc>
          <w:tcPr>
            <w:tcW w:w="9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3,643</w:t>
            </w: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2,950</w:t>
            </w:r>
          </w:p>
        </w:tc>
      </w:tr>
    </w:tbl>
    <w:p>
      <w:pPr>
        <w:spacing w:after="0" w:line="265" w:lineRule="exact"/>
        <w:rPr>
          <w:sz w:val="20"/>
          <w:szCs w:val="20"/>
          <w:color w:val="auto"/>
        </w:rPr>
      </w:pPr>
    </w:p>
    <w:p>
      <w:pPr>
        <w:jc w:val="both"/>
        <w:ind w:left="340" w:hanging="332"/>
        <w:spacing w:after="0" w:line="25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entered into with our other segments.</w:t>
      </w:r>
    </w:p>
    <w:p>
      <w:pPr>
        <w:sectPr>
          <w:pgSz w:w="11900" w:h="16838" w:orient="portrait"/>
          <w:cols w:equalWidth="0" w:num="1">
            <w:col w:w="11420"/>
          </w:cols>
          <w:pgMar w:left="240" w:top="121"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w w:val="88"/>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89"/>
              </w:rPr>
              <w:t>2018</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2019</w:t>
            </w:r>
          </w:p>
        </w:tc>
        <w:tc>
          <w:tcPr>
            <w:tcW w:w="8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1,707</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1,650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3,442</w:t>
            </w:r>
          </w:p>
        </w:tc>
        <w:tc>
          <w:tcPr>
            <w:tcW w:w="82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3,511</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931</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929</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1,783</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1,906</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309</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614</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2,947</w:t>
            </w:r>
          </w:p>
        </w:tc>
        <w:tc>
          <w:tcPr>
            <w:tcW w:w="6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2,874</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5,815</w:t>
            </w:r>
          </w:p>
        </w:tc>
        <w:tc>
          <w:tcPr>
            <w:tcW w:w="8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6,031</w:t>
            </w:r>
          </w:p>
        </w:tc>
      </w:tr>
      <w:tr>
        <w:trPr>
          <w:trHeight w:val="432"/>
        </w:trPr>
        <w:tc>
          <w:tcPr>
            <w:tcW w:w="5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1,329</w:t>
            </w:r>
          </w:p>
        </w:tc>
        <w:tc>
          <w:tcPr>
            <w:tcW w:w="64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1,387</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2,646</w:t>
            </w:r>
          </w:p>
        </w:tc>
        <w:tc>
          <w:tcPr>
            <w:tcW w:w="8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3,752</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472</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481</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1,003</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601</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523</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1,133</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2,402</w:t>
            </w:r>
          </w:p>
        </w:tc>
        <w:tc>
          <w:tcPr>
            <w:tcW w:w="6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2,391</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4,869</w:t>
            </w:r>
          </w:p>
        </w:tc>
        <w:tc>
          <w:tcPr>
            <w:tcW w:w="8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5,888</w:t>
            </w:r>
          </w:p>
        </w:tc>
      </w:tr>
      <w:tr>
        <w:trPr>
          <w:trHeight w:val="432"/>
        </w:trPr>
        <w:tc>
          <w:tcPr>
            <w:tcW w:w="53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252</w:t>
            </w:r>
          </w:p>
        </w:tc>
        <w:tc>
          <w:tcPr>
            <w:tcW w:w="64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w:t>
            </w:r>
          </w:p>
        </w:tc>
        <w:tc>
          <w:tcPr>
            <w:tcW w:w="8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963</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712</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648</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1,529</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1,381</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229</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473</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264</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297</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540</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1,457</w:t>
            </w:r>
          </w:p>
        </w:tc>
        <w:tc>
          <w:tcPr>
            <w:tcW w:w="6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1,710</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3,225</w:t>
            </w:r>
          </w:p>
        </w:tc>
        <w:tc>
          <w:tcPr>
            <w:tcW w:w="8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3,357</w:t>
            </w:r>
          </w:p>
        </w:tc>
      </w:tr>
      <w:tr>
        <w:trPr>
          <w:trHeight w:val="432"/>
        </w:trPr>
        <w:tc>
          <w:tcPr>
            <w:tcW w:w="53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1,464</w:t>
            </w:r>
          </w:p>
        </w:tc>
        <w:tc>
          <w:tcPr>
            <w:tcW w:w="64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1,361</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2,740</w:t>
            </w:r>
          </w:p>
        </w:tc>
        <w:tc>
          <w:tcPr>
            <w:tcW w:w="8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2,642</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82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108</w:t>
            </w:r>
          </w:p>
        </w:tc>
      </w:tr>
      <w:tr>
        <w:trPr>
          <w:trHeight w:val="297"/>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(88)</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8"/>
                <w:szCs w:val="18"/>
                <w:color w:val="auto"/>
              </w:rPr>
              <w:t>(173)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b w:val="1"/>
                <w:bCs w:val="1"/>
                <w:color w:val="auto"/>
              </w:rPr>
              <w:t>8,227</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8,313</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16,572</w:t>
            </w:r>
          </w:p>
        </w:tc>
        <w:tc>
          <w:tcPr>
            <w:tcW w:w="820" w:type="dxa"/>
            <w:vAlign w:val="bottom"/>
          </w:tcPr>
          <w:p>
            <w:pPr>
              <w:jc w:val="right"/>
              <w:ind w:right="29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17,843</w:t>
            </w:r>
          </w:p>
        </w:tc>
      </w:tr>
      <w:tr>
        <w:trPr>
          <w:trHeight w:val="34"/>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ind w:left="560"/>
              <w:spacing w:after="0"/>
              <w:rPr>
                <w:sz w:val="20"/>
                <w:szCs w:val="20"/>
                <w:color w:val="auto"/>
              </w:rPr>
            </w:pPr>
            <w:r>
              <w:rPr>
                <w:rFonts w:ascii="Arial" w:cs="Arial" w:eastAsia="Arial" w:hAnsi="Arial"/>
                <w:sz w:val="14"/>
                <w:szCs w:val="14"/>
                <w:color w:val="auto"/>
                <w:w w:val="93"/>
              </w:rPr>
              <w:t>Three Months Ended</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w w:val="88"/>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w w:val="89"/>
              </w:rPr>
              <w:t>2018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2019</w:t>
            </w:r>
          </w:p>
        </w:tc>
        <w:tc>
          <w:tcPr>
            <w:tcW w:w="8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540"/>
              <w:spacing w:after="0"/>
              <w:rPr>
                <w:sz w:val="20"/>
                <w:szCs w:val="20"/>
                <w:color w:val="auto"/>
              </w:rPr>
            </w:pPr>
            <w:r>
              <w:rPr>
                <w:rFonts w:ascii="Arial" w:cs="Arial" w:eastAsia="Arial" w:hAnsi="Arial"/>
                <w:sz w:val="18"/>
                <w:szCs w:val="18"/>
                <w:color w:val="auto"/>
              </w:rPr>
              <w:t>6,669</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6,533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13,292</w:t>
            </w:r>
          </w:p>
        </w:tc>
        <w:tc>
          <w:tcPr>
            <w:tcW w:w="82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14,187</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3"/>
                <w:szCs w:val="23"/>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rPr>
              <w:t>1,558</w:t>
            </w:r>
          </w:p>
        </w:tc>
        <w:tc>
          <w:tcPr>
            <w:tcW w:w="6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1,780</w:t>
            </w: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w:t>
            </w:r>
          </w:p>
        </w:tc>
        <w:tc>
          <w:tcPr>
            <w:tcW w:w="82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3,656</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ind w:left="540"/>
              <w:spacing w:after="0"/>
              <w:rPr>
                <w:sz w:val="20"/>
                <w:szCs w:val="20"/>
                <w:color w:val="auto"/>
              </w:rPr>
            </w:pPr>
            <w:r>
              <w:rPr>
                <w:rFonts w:ascii="Arial" w:cs="Arial" w:eastAsia="Arial" w:hAnsi="Arial"/>
                <w:sz w:val="18"/>
                <w:szCs w:val="18"/>
                <w:b w:val="1"/>
                <w:bCs w:val="1"/>
                <w:color w:val="auto"/>
              </w:rPr>
              <w:t>8,227</w:t>
            </w:r>
          </w:p>
        </w:tc>
        <w:tc>
          <w:tcPr>
            <w:tcW w:w="6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8,313</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16,572</w:t>
            </w:r>
          </w:p>
        </w:tc>
        <w:tc>
          <w:tcPr>
            <w:tcW w:w="820" w:type="dxa"/>
            <w:vAlign w:val="bottom"/>
          </w:tcPr>
          <w:p>
            <w:pPr>
              <w:jc w:val="right"/>
              <w:ind w:right="29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17,843</w:t>
            </w:r>
          </w:p>
        </w:tc>
      </w:tr>
      <w:tr>
        <w:trPr>
          <w:trHeight w:val="34"/>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condensed consolidated balance sheet that relate to the recognition of revenue and collection of the related cash.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580" w:type="dxa"/>
            <w:vAlign w:val="bottom"/>
          </w:tcPr>
          <w:p>
            <w:pPr>
              <w:jc w:val="center"/>
              <w:ind w:left="197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580" w:type="dxa"/>
            <w:vAlign w:val="bottom"/>
            <w:tcBorders>
              <w:bottom w:val="single" w:sz="8" w:color="auto"/>
            </w:tcBorders>
          </w:tcPr>
          <w:p>
            <w:pPr>
              <w:jc w:val="center"/>
              <w:ind w:left="2019"/>
              <w:spacing w:after="0"/>
              <w:rPr>
                <w:sz w:val="20"/>
                <w:szCs w:val="20"/>
                <w:color w:val="auto"/>
              </w:rPr>
            </w:pPr>
            <w:r>
              <w:rPr>
                <w:rFonts w:ascii="Arial" w:cs="Arial" w:eastAsia="Arial" w:hAnsi="Arial"/>
                <w:sz w:val="14"/>
                <w:szCs w:val="14"/>
                <w:color w:val="auto"/>
                <w:w w:val="89"/>
              </w:rPr>
              <w:t>2019</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58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7,304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7,392</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58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23"/>
                <w:szCs w:val="23"/>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99</w:t>
            </w:r>
          </w:p>
        </w:tc>
      </w:tr>
      <w:tr>
        <w:trPr>
          <w:trHeight w:val="27"/>
        </w:trPr>
        <w:tc>
          <w:tcPr>
            <w:tcW w:w="6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258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7,194</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b w:val="1"/>
                <w:bCs w:val="1"/>
                <w:color w:val="auto"/>
              </w:rPr>
              <w:t>7,293</w:t>
            </w:r>
          </w:p>
        </w:tc>
      </w:tr>
      <w:tr>
        <w:trPr>
          <w:trHeight w:val="34"/>
        </w:trPr>
        <w:tc>
          <w:tcPr>
            <w:tcW w:w="6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84"/>
        </w:trPr>
        <w:tc>
          <w:tcPr>
            <w:tcW w:w="6640" w:type="dxa"/>
            <w:vAlign w:val="bottom"/>
          </w:tcPr>
          <w:p>
            <w:pPr>
              <w:spacing w:after="0"/>
              <w:rPr>
                <w:sz w:val="24"/>
                <w:szCs w:val="24"/>
                <w:color w:val="auto"/>
              </w:rPr>
            </w:pPr>
          </w:p>
        </w:tc>
        <w:tc>
          <w:tcPr>
            <w:tcW w:w="2580" w:type="dxa"/>
            <w:vAlign w:val="bottom"/>
          </w:tcPr>
          <w:p>
            <w:pPr>
              <w:jc w:val="center"/>
              <w:ind w:left="197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580" w:type="dxa"/>
            <w:vAlign w:val="bottom"/>
            <w:tcBorders>
              <w:bottom w:val="single" w:sz="8" w:color="auto"/>
            </w:tcBorders>
          </w:tcPr>
          <w:p>
            <w:pPr>
              <w:jc w:val="center"/>
              <w:ind w:left="2019"/>
              <w:spacing w:after="0"/>
              <w:rPr>
                <w:sz w:val="20"/>
                <w:szCs w:val="20"/>
                <w:color w:val="auto"/>
              </w:rPr>
            </w:pPr>
            <w:r>
              <w:rPr>
                <w:rFonts w:ascii="Arial" w:cs="Arial" w:eastAsia="Arial" w:hAnsi="Arial"/>
                <w:sz w:val="14"/>
                <w:szCs w:val="14"/>
                <w:color w:val="auto"/>
                <w:w w:val="89"/>
              </w:rPr>
              <w:t>2019</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258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1,181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1,180</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258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657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481</w:t>
            </w:r>
          </w:p>
        </w:tc>
      </w:tr>
      <w:tr>
        <w:trPr>
          <w:trHeight w:val="27"/>
        </w:trPr>
        <w:tc>
          <w:tcPr>
            <w:tcW w:w="6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65"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1" w:right="239" w:bottom="865"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Long-Term Debt</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2019, our debt, excluding our revolving credit agreement with Comcast, had a carrying value of $13.4 billion and an estimated fair value of $14.2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2019, Universal Beijing Resort borrowed $363 million under its debt financing agreement to fund the construction of a Universal theme park and resort in Beijing, China (see Note 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2019, we repaid $73 million of Universal Studios Japan term loans maturing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$7.6 billion Comcast revolving credit facility due 2022. As of June 30, 2019, $84.4 billion principal amount of outstanding debt securities of Comcast and CCCL Parent were subject to the cross-guarantee structure.</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however, guarantee the obligations of NBCUniversal Enterprise with respect to its $1.5 billion outstanding debt securities, including its revolving credit facility, nor its $725 million liquidation preference of Series A cumulative preferred stock.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Universal Studios Japan term loans are not subject to the cross-guarantee structure, however they have a separate guarantee from Comcast.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Universal Beijing Resort term loans are not guaranteed.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June 30, 2019, Universal Beijing Resort had $936 million principal amount of term loans outstanding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June 30, 2019, our condensed consolidated balance sheet included assets, primarily property and equipment, and liabilities, including the term loans, of Universal Beijing Resort totaling $2.1 billion and $1.5 billion,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Financial Accounting Standards Board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 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adoption, we recorded approximately $1.7 billion and $1.8 billion of operating lease assets and liabilities, respectively, which includes the impact of fair value adjustments, prepaid rent and lease incentives. The adoption of the updated accounting guidance did not impact our recognition of finance leases, which were previously described as capital leases. As of the date of adoption, our liabilities for finance leases were $332 million,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9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predominantly monetized with other owned or licensed content. The updated guidance is effective for us as of January 1, 2020 and early adoption is permitted. We are currently in the process of determining the impact that the updated accounting guidance will have on our consolidated financial statements, however we do not expect there to be a material impact on our consolidated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1,558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1,376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1,063</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3,020</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2,807</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2,165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2,161</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1,014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953</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3,179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3,114</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2,553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2,694</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8,752</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8,615</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1,156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1,323</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7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7,596</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7,292</w:t>
            </w:r>
          </w:p>
        </w:tc>
      </w:tr>
      <w:tr>
        <w:trPr>
          <w:trHeight w:val="34"/>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Investments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2"/>
          </w:tcPr>
          <w:p>
            <w:pPr>
              <w:jc w:val="right"/>
              <w:ind w:right="396"/>
              <w:spacing w:after="0"/>
              <w:rPr>
                <w:sz w:val="20"/>
                <w:szCs w:val="20"/>
                <w:color w:val="auto"/>
              </w:rPr>
            </w:pPr>
            <w:r>
              <w:rPr>
                <w:rFonts w:ascii="Arial" w:cs="Arial" w:eastAsia="Arial" w:hAnsi="Arial"/>
                <w:sz w:val="14"/>
                <w:szCs w:val="14"/>
                <w:color w:val="auto"/>
                <w:w w:val="96"/>
              </w:rPr>
              <w:t>Three Months Ended</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gridSpan w:val="3"/>
          </w:tcPr>
          <w:p>
            <w:pPr>
              <w:jc w:val="right"/>
              <w:ind w:right="955"/>
              <w:spacing w:after="0"/>
              <w:rPr>
                <w:sz w:val="20"/>
                <w:szCs w:val="20"/>
                <w:color w:val="auto"/>
              </w:rPr>
            </w:pPr>
            <w:r>
              <w:rPr>
                <w:rFonts w:ascii="Arial" w:cs="Arial" w:eastAsia="Arial" w:hAnsi="Arial"/>
                <w:sz w:val="14"/>
                <w:szCs w:val="14"/>
                <w:color w:val="auto"/>
              </w:rPr>
              <w:t>Six Months Ended</w:t>
            </w:r>
          </w:p>
        </w:tc>
      </w:tr>
      <w:tr>
        <w:trPr>
          <w:trHeight w:val="188"/>
        </w:trPr>
        <w:tc>
          <w:tcPr>
            <w:tcW w:w="48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776"/>
              <w:spacing w:after="0"/>
              <w:rPr>
                <w:sz w:val="20"/>
                <w:szCs w:val="20"/>
                <w:color w:val="auto"/>
              </w:rPr>
            </w:pPr>
            <w:r>
              <w:rPr>
                <w:rFonts w:ascii="Arial" w:cs="Arial" w:eastAsia="Arial" w:hAnsi="Arial"/>
                <w:sz w:val="14"/>
                <w:szCs w:val="14"/>
                <w:color w:val="auto"/>
              </w:rPr>
              <w:t>June 30</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2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(91)</w:t>
            </w:r>
          </w:p>
        </w:tc>
        <w:tc>
          <w:tcPr>
            <w:tcW w:w="11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100" w:type="dxa"/>
            <w:vAlign w:val="bottom"/>
          </w:tcPr>
          <w:p>
            <w:pPr>
              <w:jc w:val="right"/>
              <w:ind w:right="75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(211)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4"/>
              </w:rPr>
              <w:t>Realized and unrealized gains (losses) on equity securities, net</w:t>
            </w:r>
          </w:p>
        </w:tc>
        <w:tc>
          <w:tcPr>
            <w:tcW w:w="960" w:type="dxa"/>
            <w:vAlign w:val="bottom"/>
          </w:tcPr>
          <w:p>
            <w:pPr>
              <w:spacing w:after="0"/>
              <w:rPr>
                <w:sz w:val="23"/>
                <w:szCs w:val="23"/>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rPr>
              <w:t>97</w:t>
            </w:r>
          </w:p>
        </w:tc>
        <w:tc>
          <w:tcPr>
            <w:tcW w:w="110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100" w:type="dxa"/>
            <w:vAlign w:val="bottom"/>
          </w:tcPr>
          <w:p>
            <w:pPr>
              <w:spacing w:after="0"/>
              <w:rPr>
                <w:sz w:val="23"/>
                <w:szCs w:val="23"/>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960" w:type="dxa"/>
            <w:vAlign w:val="bottom"/>
          </w:tcPr>
          <w:p>
            <w:pPr>
              <w:spacing w:after="0"/>
              <w:rPr>
                <w:sz w:val="23"/>
                <w:szCs w:val="23"/>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rPr>
              <w:t>34</w:t>
            </w:r>
          </w:p>
        </w:tc>
        <w:tc>
          <w:tcPr>
            <w:tcW w:w="110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23"/>
                <w:szCs w:val="23"/>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52</w:t>
            </w:r>
          </w:p>
        </w:tc>
      </w:tr>
      <w:tr>
        <w:trPr>
          <w:trHeight w:val="27"/>
        </w:trPr>
        <w:tc>
          <w:tcPr>
            <w:tcW w:w="4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960" w:type="dxa"/>
            <w:vAlign w:val="bottom"/>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36"/>
              <w:spacing w:after="0"/>
              <w:rPr>
                <w:sz w:val="20"/>
                <w:szCs w:val="20"/>
                <w:color w:val="auto"/>
              </w:rPr>
            </w:pPr>
            <w:r>
              <w:rPr>
                <w:rFonts w:ascii="Arial" w:cs="Arial" w:eastAsia="Arial" w:hAnsi="Arial"/>
                <w:sz w:val="18"/>
                <w:szCs w:val="18"/>
                <w:b w:val="1"/>
                <w:bCs w:val="1"/>
                <w:color w:val="auto"/>
              </w:rPr>
              <w:t>40</w:t>
            </w:r>
          </w:p>
        </w:tc>
        <w:tc>
          <w:tcPr>
            <w:tcW w:w="1100" w:type="dxa"/>
            <w:vAlign w:val="bottom"/>
          </w:tcPr>
          <w:p>
            <w:pPr>
              <w:jc w:val="right"/>
              <w:ind w:right="776"/>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100" w:type="dxa"/>
            <w:vAlign w:val="bottom"/>
          </w:tcPr>
          <w:p>
            <w:pPr>
              <w:jc w:val="right"/>
              <w:ind w:right="758"/>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b w:val="1"/>
                <w:bCs w:val="1"/>
                <w:color w:val="auto"/>
              </w:rPr>
              <w:t>280</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r>
      <w:tr>
        <w:trPr>
          <w:trHeight w:val="34"/>
        </w:trPr>
        <w:tc>
          <w:tcPr>
            <w:tcW w:w="4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21"/>
        </w:trPr>
        <w:tc>
          <w:tcPr>
            <w:tcW w:w="4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275"/>
              <w:spacing w:after="0"/>
              <w:rPr>
                <w:sz w:val="20"/>
                <w:szCs w:val="20"/>
                <w:color w:val="auto"/>
              </w:rPr>
            </w:pPr>
            <w:r>
              <w:rPr>
                <w:rFonts w:ascii="Arial" w:cs="Arial" w:eastAsia="Arial" w:hAnsi="Arial"/>
                <w:sz w:val="14"/>
                <w:szCs w:val="14"/>
                <w:color w:val="auto"/>
              </w:rPr>
              <w:t>December 31,</w:t>
            </w:r>
          </w:p>
        </w:tc>
      </w:tr>
      <w:tr>
        <w:trPr>
          <w:trHeight w:val="18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9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1,342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707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811</w:t>
            </w:r>
          </w:p>
        </w:tc>
      </w:tr>
      <w:tr>
        <w:trPr>
          <w:trHeight w:val="27"/>
        </w:trPr>
        <w:tc>
          <w:tcPr>
            <w:tcW w:w="4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ind w:right="798"/>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b w:val="1"/>
                <w:bCs w:val="1"/>
                <w:color w:val="auto"/>
                <w:w w:val="84"/>
              </w:rPr>
              <w:t>2,678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b w:val="1"/>
                <w:bCs w:val="1"/>
                <w:color w:val="auto"/>
              </w:rPr>
              <w:t>1,680</w:t>
            </w:r>
          </w:p>
        </w:tc>
      </w:tr>
      <w:tr>
        <w:trPr>
          <w:trHeight w:val="34"/>
        </w:trPr>
        <w:tc>
          <w:tcPr>
            <w:tcW w:w="4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1"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we entered into a series of agreements (the “Hulu Transaction”) with The Walt Disney Company (“Disney”), whereby we relinquished our board seats and substantially all voting rights associated with our investment in Hulu, LLC ("Hulu"), and Disney assumed full operational control. We also acquired our proportionate share of the approximate 10% interest in Hulu previously held by AT&amp;T Inc. (“AT&amp;T”) for approximately $477 million, increasing our ownership interest to approximately 33% from approximately 30%.</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Hulu Transaction, we agreed to extend certain Hulu licenses of NBCUniversal content until late 2024. We can terminate most of our content license agreements with Hulu in three years’ time, and in one year’s time we have the right to exhibit certain content that we currently license exclusively to Hulu on our platforms in return for reducing the license fee payable by Hulu.</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our investment using the equity method. For the three and six months ended June 30, 2019, we recognized losses of $109 million and $250 million, respectively, in equity in net income (losses) of investees, net. For the three and six months ended June 30, 2018, we recognized losses of $107 million and $238 million, respectively. For the six months ended June 30, 2019 and 2018, we made cash capital contributions totaling $903 million, inclusive of the funding for the acquisition of the AT&amp;T interest, and $227 million, respectively. As of June 30, 2019 and December 31, 2018, our investment was $857 million and $248 million,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Time Warner Inc., which was acquired by AT&amp;T in 2018, acquired a 10% interest in Hulu, diluting our interest at that time from approximately 33% to approximately 30%. Given the contingent nature of the put and call options related to that interest, we recorded a deferred gain as a result of the dilution. In the first quarter of 2019, the put and call options expired unexercised and we recognized the previously deferred gain of $159 million in other income (loss),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2019, we recognized unrealized gains of $96 million and $258 million, respectively, in realized and unrealized gains (losses) on equity securities, net related to our investment in Snap. For the three and six months ended June 30, 2018, we recognized unrealized losses of $82 million and $45 million, respectively, related to our investment in Snap. As of June 30, 2019 and December 31, 2018, our investment in Snap was $420 million and $162 million,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leases consist primarily of real estate and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condensed consolidated statement of income for the three and six months ended June 30, 2019 were $110 million and $221 million, respectively. These amounts do not include lease costs associated with production activities or other amounts capitalized in our condensed consolidated balance sheet, which are not material.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condensed 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320" w:type="dxa"/>
            <w:vAlign w:val="bottom"/>
          </w:tcPr>
          <w:p>
            <w:pPr>
              <w:jc w:val="right"/>
              <w:ind w:right="2450"/>
              <w:spacing w:after="0"/>
              <w:rPr>
                <w:sz w:val="20"/>
                <w:szCs w:val="20"/>
                <w:color w:val="auto"/>
              </w:rPr>
            </w:pPr>
            <w:r>
              <w:rPr>
                <w:rFonts w:ascii="Arial" w:cs="Arial" w:eastAsia="Arial" w:hAnsi="Arial"/>
                <w:sz w:val="18"/>
                <w:szCs w:val="18"/>
                <w:b w:val="1"/>
                <w:bCs w:val="1"/>
                <w:color w:val="auto"/>
              </w:rPr>
              <w:t>Condensed Consolidated Balance Sheet</w:t>
            </w:r>
          </w:p>
        </w:tc>
        <w:tc>
          <w:tcPr>
            <w:tcW w:w="1440" w:type="dxa"/>
            <w:vAlign w:val="bottom"/>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color w:val="auto"/>
              </w:rPr>
              <w:t>June 30,</w:t>
            </w: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6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1,591</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w w:val="99"/>
              </w:rPr>
              <w:t>Accrued expenses and other current liabilities</w:t>
            </w:r>
          </w:p>
        </w:tc>
        <w:tc>
          <w:tcPr>
            <w:tcW w:w="6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166</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1,535</w:t>
            </w:r>
          </w:p>
        </w:tc>
      </w:tr>
      <w:tr>
        <w:trPr>
          <w:trHeight w:val="27"/>
        </w:trPr>
        <w:tc>
          <w:tcPr>
            <w:tcW w:w="366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future minimum rental commitments for operating leases as of June 30, 2019 applying the new accounting guidance.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tcPr>
          <w:p>
            <w:pPr>
              <w:jc w:val="right"/>
              <w:ind w:right="593"/>
              <w:spacing w:after="0"/>
              <w:rPr>
                <w:sz w:val="20"/>
                <w:szCs w:val="20"/>
                <w:color w:val="auto"/>
              </w:rPr>
            </w:pPr>
            <w:r>
              <w:rPr>
                <w:rFonts w:ascii="Arial" w:cs="Arial" w:eastAsia="Arial" w:hAnsi="Arial"/>
                <w:sz w:val="14"/>
                <w:szCs w:val="14"/>
                <w:color w:val="auto"/>
              </w:rPr>
              <w:t>June 30,</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Remaining six months of 2019</w:t>
            </w:r>
          </w:p>
        </w:tc>
        <w:tc>
          <w:tcPr>
            <w:tcW w:w="3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117</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250</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217</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179</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1,452</w:t>
            </w:r>
          </w:p>
        </w:tc>
      </w:tr>
      <w:tr>
        <w:trPr>
          <w:trHeight w:val="27"/>
        </w:trPr>
        <w:tc>
          <w:tcPr>
            <w:tcW w:w="62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8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2,369</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8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668</w:t>
            </w:r>
          </w:p>
        </w:tc>
      </w:tr>
      <w:tr>
        <w:trPr>
          <w:trHeight w:val="27"/>
        </w:trPr>
        <w:tc>
          <w:tcPr>
            <w:tcW w:w="62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 liability</w:t>
            </w:r>
          </w:p>
        </w:tc>
        <w:tc>
          <w:tcPr>
            <w:tcW w:w="37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b w:val="1"/>
                <w:bCs w:val="1"/>
                <w:color w:val="auto"/>
              </w:rPr>
              <w:t>1,701</w:t>
            </w:r>
          </w:p>
        </w:tc>
      </w:tr>
      <w:tr>
        <w:trPr>
          <w:trHeight w:val="34"/>
        </w:trPr>
        <w:tc>
          <w:tcPr>
            <w:tcW w:w="62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June 30, 2019 were 15 years and 4.11%, respectively.</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six months ended June 30, 2019, cash payments for operating leases recorded in the condensed consolidated balance sheet were $132 million. Leases that have not yet commenced and lease assets and liabilities associated with leases entered into during the period were not material.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summarize our future minimum rental commitments for operating leases as of December 31, 2018 and rent expense for operating leases for the three and six months ended June 30, 2018 using the accounting guidance in effect at that time.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center"/>
              <w:ind w:right="216"/>
              <w:spacing w:after="0"/>
              <w:rPr>
                <w:sz w:val="20"/>
                <w:szCs w:val="20"/>
                <w:color w:val="auto"/>
              </w:rPr>
            </w:pPr>
            <w:r>
              <w:rPr>
                <w:rFonts w:ascii="Arial" w:cs="Arial" w:eastAsia="Arial" w:hAnsi="Arial"/>
                <w:sz w:val="14"/>
                <w:szCs w:val="14"/>
                <w:color w:val="auto"/>
                <w:w w:val="90"/>
              </w:rPr>
              <w:t>December 31,</w:t>
            </w: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89"/>
              </w:rPr>
              <w:t>2018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2019</w:t>
            </w:r>
          </w:p>
        </w:tc>
        <w:tc>
          <w:tcPr>
            <w:tcW w:w="5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248</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2020</w:t>
            </w:r>
          </w:p>
        </w:tc>
        <w:tc>
          <w:tcPr>
            <w:tcW w:w="5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232</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199</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2022</w:t>
            </w:r>
          </w:p>
        </w:tc>
        <w:tc>
          <w:tcPr>
            <w:tcW w:w="5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168</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2023</w:t>
            </w:r>
          </w:p>
        </w:tc>
        <w:tc>
          <w:tcPr>
            <w:tcW w:w="5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144</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1,380</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39"/>
        </w:trPr>
        <w:tc>
          <w:tcPr>
            <w:tcW w:w="2440" w:type="dxa"/>
            <w:vAlign w:val="bottom"/>
          </w:tcPr>
          <w:p>
            <w:pPr>
              <w:spacing w:after="0"/>
              <w:rPr>
                <w:sz w:val="24"/>
                <w:szCs w:val="24"/>
                <w:color w:val="auto"/>
              </w:rPr>
            </w:pPr>
          </w:p>
        </w:tc>
        <w:tc>
          <w:tcPr>
            <w:tcW w:w="7300" w:type="dxa"/>
            <w:vAlign w:val="bottom"/>
            <w:gridSpan w:val="3"/>
          </w:tcPr>
          <w:p>
            <w:pPr>
              <w:jc w:val="right"/>
              <w:ind w:right="2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4"/>
                <w:szCs w:val="24"/>
                <w:color w:val="auto"/>
              </w:rPr>
            </w:pPr>
          </w:p>
        </w:tc>
        <w:tc>
          <w:tcPr>
            <w:tcW w:w="1340" w:type="dxa"/>
            <w:vAlign w:val="bottom"/>
          </w:tcPr>
          <w:p>
            <w:pPr>
              <w:jc w:val="center"/>
              <w:ind w:right="176"/>
              <w:spacing w:after="0"/>
              <w:rPr>
                <w:sz w:val="20"/>
                <w:szCs w:val="20"/>
                <w:color w:val="auto"/>
              </w:rPr>
            </w:pPr>
            <w:r>
              <w:rPr>
                <w:rFonts w:ascii="Arial" w:cs="Arial" w:eastAsia="Arial" w:hAnsi="Arial"/>
                <w:sz w:val="14"/>
                <w:szCs w:val="14"/>
                <w:color w:val="auto"/>
                <w:w w:val="95"/>
              </w:rPr>
              <w:t>Six Months Ended</w:t>
            </w: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w w:val="90"/>
              </w:rPr>
              <w:t>June 30, 2018</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90"/>
              </w:rPr>
              <w:t>June 30, 2018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5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160"/>
              <w:spacing w:after="0"/>
              <w:rPr>
                <w:sz w:val="20"/>
                <w:szCs w:val="20"/>
                <w:color w:val="auto"/>
              </w:rPr>
            </w:pPr>
            <w:r>
              <w:rPr>
                <w:rFonts w:ascii="Arial" w:cs="Arial" w:eastAsia="Arial" w:hAnsi="Arial"/>
                <w:sz w:val="18"/>
                <w:szCs w:val="18"/>
                <w:color w:val="auto"/>
              </w:rPr>
              <w:t>74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143</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655"/>
        </w:trPr>
        <w:tc>
          <w:tcPr>
            <w:tcW w:w="2440" w:type="dxa"/>
            <w:vAlign w:val="bottom"/>
          </w:tcPr>
          <w:p>
            <w:pPr>
              <w:spacing w:after="0"/>
              <w:rPr>
                <w:sz w:val="24"/>
                <w:szCs w:val="24"/>
                <w:color w:val="auto"/>
              </w:rPr>
            </w:pPr>
          </w:p>
        </w:tc>
        <w:tc>
          <w:tcPr>
            <w:tcW w:w="59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Cash Payments for Interest and Income Taxes</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6"/>
        </w:trPr>
        <w:tc>
          <w:tcPr>
            <w:tcW w:w="24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3"/>
          </w:tcPr>
          <w:p>
            <w:pPr>
              <w:jc w:val="right"/>
              <w:ind w:right="956"/>
              <w:spacing w:after="0"/>
              <w:rPr>
                <w:sz w:val="20"/>
                <w:szCs w:val="20"/>
                <w:color w:val="auto"/>
              </w:rPr>
            </w:pPr>
            <w:r>
              <w:rPr>
                <w:rFonts w:ascii="Arial" w:cs="Arial" w:eastAsia="Arial" w:hAnsi="Arial"/>
                <w:sz w:val="14"/>
                <w:szCs w:val="14"/>
                <w:color w:val="auto"/>
              </w:rPr>
              <w:t>Six Months Ended</w:t>
            </w:r>
          </w:p>
        </w:tc>
      </w:tr>
      <w:tr>
        <w:trPr>
          <w:trHeight w:val="188"/>
        </w:trPr>
        <w:tc>
          <w:tcPr>
            <w:tcW w:w="24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340" w:type="dxa"/>
            <w:vAlign w:val="bottom"/>
            <w:tcBorders>
              <w:bottom w:val="single" w:sz="8" w:color="auto"/>
            </w:tcBorders>
          </w:tcPr>
          <w:p>
            <w:pPr>
              <w:spacing w:after="0"/>
              <w:rPr>
                <w:sz w:val="16"/>
                <w:szCs w:val="16"/>
                <w:color w:val="auto"/>
              </w:rPr>
            </w:pPr>
          </w:p>
        </w:tc>
      </w:tr>
      <w:tr>
        <w:trPr>
          <w:trHeight w:val="264"/>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Interest</w:t>
            </w:r>
          </w:p>
        </w:tc>
        <w:tc>
          <w:tcPr>
            <w:tcW w:w="5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217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218</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5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163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225</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2019, we acquired $696 million of property and equipment and intangible assets that were accrued but unpaid.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2019</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1,244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1,444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20</w:t>
            </w: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1,264</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1,464</w:t>
            </w: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21"/>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2"/>
        </w:trPr>
        <w:tc>
          <w:tcPr>
            <w:tcW w:w="8060" w:type="dxa"/>
            <w:vAlign w:val="bottom"/>
          </w:tcPr>
          <w:p>
            <w:pPr>
              <w:spacing w:after="0"/>
              <w:rPr>
                <w:sz w:val="24"/>
                <w:szCs w:val="2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89"/>
              </w:rPr>
              <w:t>June 30,</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2019</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8</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119</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91</w:t>
            </w: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295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218</w:t>
            </w: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June 30, 2019, the carrying value of the liability associated with this contractual obligation was $383 million.</w:t>
      </w:r>
    </w:p>
    <w:p>
      <w:pPr>
        <w:sectPr>
          <w:pgSz w:w="11900" w:h="16838" w:orient="portrait"/>
          <w:cols w:equalWidth="0" w:num="1">
            <w:col w:w="11420"/>
          </w:cols>
          <w:pgMar w:left="240" w:top="121"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93" w:lineRule="exact"/>
        <w:rPr>
          <w:sz w:val="20"/>
          <w:szCs w:val="20"/>
          <w:color w:val="auto"/>
        </w:rPr>
      </w:pPr>
    </w:p>
    <w:p>
      <w:pPr>
        <w:jc w:val="center"/>
        <w:ind w:right="40"/>
        <w:spacing w:after="0" w:line="388"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Statement of Income</w:t>
      </w:r>
    </w:p>
    <w:tbl>
      <w:tblPr>
        <w:tblLayout w:type="fixed"/>
        <w:tblInd w:w="0" w:type="dxa"/>
        <w:tblCellMar>
          <w:top w:w="0" w:type="dxa"/>
          <w:left w:w="0" w:type="dxa"/>
          <w:bottom w:w="0" w:type="dxa"/>
          <w:right w:w="0" w:type="dxa"/>
        </w:tblCellMar>
      </w:tblPr>
      <w:tr>
        <w:trPr>
          <w:trHeight w:val="150"/>
        </w:trPr>
        <w:tc>
          <w:tcPr>
            <w:tcW w:w="5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gridSpan w:val="2"/>
          </w:tcPr>
          <w:p>
            <w:pPr>
              <w:jc w:val="right"/>
              <w:ind w:right="234"/>
              <w:spacing w:after="0" w:line="150" w:lineRule="exact"/>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80" w:type="dxa"/>
            <w:vAlign w:val="bottom"/>
            <w:gridSpan w:val="3"/>
          </w:tcPr>
          <w:p>
            <w:pPr>
              <w:jc w:val="right"/>
              <w:ind w:right="734"/>
              <w:spacing w:after="0" w:line="150" w:lineRule="exact"/>
              <w:rPr>
                <w:sz w:val="20"/>
                <w:szCs w:val="20"/>
                <w:color w:val="auto"/>
              </w:rPr>
            </w:pPr>
            <w:r>
              <w:rPr>
                <w:rFonts w:ascii="Arial" w:cs="Arial" w:eastAsia="Arial" w:hAnsi="Arial"/>
                <w:sz w:val="14"/>
                <w:szCs w:val="14"/>
                <w:color w:val="auto"/>
              </w:rPr>
              <w:t>Six Months Ended</w:t>
            </w:r>
          </w:p>
        </w:tc>
      </w:tr>
      <w:tr>
        <w:trPr>
          <w:trHeight w:val="188"/>
        </w:trPr>
        <w:tc>
          <w:tcPr>
            <w:tcW w:w="5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Revenue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607</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99"/>
              </w:rPr>
              <w:t>480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1,211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1,074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(60)</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 and investment and other income (loss), net</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6</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0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8040" w:type="dxa"/>
            <w:vAlign w:val="bottom"/>
            <w:gridSpan w:val="4"/>
          </w:tcPr>
          <w:p>
            <w:pPr>
              <w:ind w:left="3980"/>
              <w:spacing w:after="0"/>
              <w:rPr>
                <w:sz w:val="20"/>
                <w:szCs w:val="20"/>
                <w:color w:val="auto"/>
              </w:rPr>
            </w:pPr>
            <w:r>
              <w:rPr>
                <w:rFonts w:ascii="Arial" w:cs="Arial" w:eastAsia="Arial" w:hAnsi="Arial"/>
                <w:sz w:val="18"/>
                <w:szCs w:val="18"/>
                <w:b w:val="1"/>
                <w:bCs w:val="1"/>
                <w:color w:val="auto"/>
              </w:rPr>
              <w:t>Condensed Consolidated Balance Sheet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5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23"/>
                <w:szCs w:val="23"/>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color w:val="auto"/>
                <w:w w:val="93"/>
              </w:rPr>
              <w:t>December 31,</w:t>
            </w:r>
          </w:p>
        </w:tc>
      </w:tr>
      <w:tr>
        <w:trPr>
          <w:trHeight w:val="18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484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464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2,534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2,054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Film and television costs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noncurrent assets, net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197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768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701</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494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410</w:t>
            </w:r>
          </w:p>
        </w:tc>
      </w:tr>
      <w:tr>
        <w:trPr>
          <w:trHeight w:val="27"/>
        </w:trPr>
        <w:tc>
          <w:tcPr>
            <w:tcW w:w="5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 For the three months ended June 30, 2019 and 2018, we recognized share-based compensation expense of $57 million and $46 million, respectively. For the six months ended June 30, 2019 and 2018, we recognized share-based compensation expense of $96 million and $78 million,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3" w:right="359" w:bottom="1440" w:gutter="0" w:footer="0" w:header="0"/>
        </w:sectPr>
      </w:pPr>
    </w:p>
    <w:bookmarkStart w:id="71" w:name="page72"/>
    <w:bookmarkEnd w:id="71"/>
    <w:p>
      <w:pPr>
        <w:ind w:left="1048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72" w:name="page73"/>
    <w:bookmarkEnd w:id="72"/>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lowerLetter"/>
      <w:start w:val="1"/>
    </w:lvl>
    <w:lvl w:ilvl="1">
      <w:lvlJc w:val="left"/>
      <w:lvlText w:val="•"/>
      <w:numFmt w:val="bullet"/>
      <w:start w:val="1"/>
    </w:lvl>
  </w:abstractNum>
  <w:abstractNum w:abstractNumId="3">
    <w:nsid w:val="1F16E9E8"/>
    <w:multiLevelType w:val="hybridMultilevel"/>
    <w:lvl w:ilvl="0">
      <w:lvlJc w:val="left"/>
      <w:lvlText w:val="(%1)"/>
      <w:numFmt w:val="lowerLetter"/>
      <w:start w:val="5"/>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101"/>
    </w:lvl>
  </w:abstractNum>
  <w:abstractNum w:abstractNumId="9">
    <w:nsid w:val="DED7263"/>
    <w:multiLevelType w:val="hybridMultilevel"/>
    <w:lvl w:ilvl="0">
      <w:lvlJc w:val="left"/>
      <w:lvlText w:val="%1"/>
      <w:numFmt w:val="decimal"/>
      <w:start w:val="10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4"/>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19" Type="http://schemas.openxmlformats.org/officeDocument/2006/relationships/hyperlink" Target="http://www.sec.gov/Archives/edgar/data/902739/000095010319008213/dp108508_ex1001.htm" TargetMode="External"/><Relationship Id="rId20" Type="http://schemas.openxmlformats.org/officeDocument/2006/relationships/hyperlink" Target="http://www.sec.gov/Archives/edgar/data/1166691/000119312519121456/d696198ddef14a.htm#toc696198_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2019-12-28T10:05:38Z</dcterms:created>
  <dcterms:modified xsi:type="dcterms:W3CDTF">2019-12-28T10:05:38Z</dcterms:modified>
</cp:coreProperties>
</file>