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Filed by Comcast Corporation Pursuant to</w:t>
      </w:r>
    </w:p>
    <w:p>
      <w:pPr>
        <w:ind w:left="3420"/>
        <w:spacing w:after="0" w:line="237" w:lineRule="auto"/>
        <w:rPr>
          <w:sz w:val="20"/>
          <w:szCs w:val="20"/>
          <w:color w:val="auto"/>
        </w:rPr>
      </w:pPr>
      <w:r>
        <w:rPr>
          <w:rFonts w:ascii="Courier New" w:cs="Courier New" w:eastAsia="Courier New" w:hAnsi="Courier New"/>
          <w:sz w:val="15"/>
          <w:szCs w:val="15"/>
          <w:color w:val="auto"/>
        </w:rPr>
        <w:t>Rule 425 under the Securities Act of 1933</w:t>
      </w:r>
    </w:p>
    <w:p>
      <w:pPr>
        <w:ind w:left="3420"/>
        <w:spacing w:after="0" w:line="238" w:lineRule="auto"/>
        <w:rPr>
          <w:sz w:val="20"/>
          <w:szCs w:val="20"/>
          <w:color w:val="auto"/>
        </w:rPr>
      </w:pPr>
      <w:r>
        <w:rPr>
          <w:rFonts w:ascii="Courier New" w:cs="Courier New" w:eastAsia="Courier New" w:hAnsi="Courier New"/>
          <w:sz w:val="15"/>
          <w:szCs w:val="15"/>
          <w:color w:val="auto"/>
        </w:rPr>
        <w:t>and deemed filed pursuant to Rule 14a-12</w:t>
      </w:r>
    </w:p>
    <w:p>
      <w:pPr>
        <w:ind w:left="3420"/>
        <w:spacing w:after="0" w:line="237" w:lineRule="auto"/>
        <w:rPr>
          <w:sz w:val="20"/>
          <w:szCs w:val="20"/>
          <w:color w:val="auto"/>
        </w:rPr>
      </w:pPr>
      <w:r>
        <w:rPr>
          <w:rFonts w:ascii="Courier New" w:cs="Courier New" w:eastAsia="Courier New" w:hAnsi="Courier New"/>
          <w:sz w:val="15"/>
          <w:szCs w:val="15"/>
          <w:color w:val="auto"/>
        </w:rPr>
        <w:t>under the Securities Exchange Act of 1934</w:t>
      </w:r>
    </w:p>
    <w:p>
      <w:pPr>
        <w:spacing w:after="0" w:line="16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Subject Company: AT&amp;T Comcast Corporation</w:t>
      </w:r>
    </w:p>
    <w:p>
      <w:pPr>
        <w:ind w:left="3420"/>
        <w:spacing w:after="0" w:line="237" w:lineRule="auto"/>
        <w:rPr>
          <w:sz w:val="20"/>
          <w:szCs w:val="20"/>
          <w:color w:val="auto"/>
        </w:rPr>
      </w:pPr>
      <w:r>
        <w:rPr>
          <w:rFonts w:ascii="Courier New" w:cs="Courier New" w:eastAsia="Courier New" w:hAnsi="Courier New"/>
          <w:sz w:val="15"/>
          <w:szCs w:val="15"/>
          <w:color w:val="auto"/>
        </w:rPr>
        <w:t>Commission File No. 333-82460</w:t>
      </w:r>
    </w:p>
    <w:p>
      <w:pPr>
        <w:spacing w:after="0" w:line="16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Date: May 1, 2002</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following press release was issued by Comcast Corporation:</w:t>
      </w:r>
    </w:p>
    <w:p>
      <w:pPr>
        <w:spacing w:after="0" w:line="335" w:lineRule="exact"/>
        <w:rPr>
          <w:sz w:val="24"/>
          <w:szCs w:val="24"/>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COMCAST(R)</w:t>
      </w:r>
      <w:r>
        <w:rPr>
          <w:sz w:val="20"/>
          <w:szCs w:val="20"/>
          <w:color w:val="auto"/>
        </w:rPr>
        <w:tab/>
      </w:r>
      <w:r>
        <w:rPr>
          <w:rFonts w:ascii="Courier New" w:cs="Courier New" w:eastAsia="Courier New" w:hAnsi="Courier New"/>
          <w:sz w:val="15"/>
          <w:szCs w:val="15"/>
          <w:color w:val="auto"/>
        </w:rPr>
        <w:t>PRESS RELEASE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Contact:</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Kelley L. Claypool, Director, Investor Relations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(215)</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981-7729</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Marlene S. Dooner, Vice President, Investor Relations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(215)</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981-7392</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E. Dordelman, Vice President, Finance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(215)</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981-7550</w:t>
            </w:r>
          </w:p>
        </w:tc>
      </w:tr>
      <w:tr>
        <w:trPr>
          <w:trHeight w:val="505"/>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FOR IMMEDIATE RELEASE</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05"/>
        </w:trPr>
        <w:tc>
          <w:tcPr>
            <w:tcW w:w="5440" w:type="dxa"/>
            <w:vAlign w:val="bottom"/>
          </w:tcPr>
          <w:p>
            <w:pPr>
              <w:ind w:left="1580"/>
              <w:spacing w:after="0"/>
              <w:rPr>
                <w:sz w:val="20"/>
                <w:szCs w:val="20"/>
                <w:color w:val="auto"/>
              </w:rPr>
            </w:pPr>
            <w:r>
              <w:rPr>
                <w:rFonts w:ascii="Courier New" w:cs="Courier New" w:eastAsia="Courier New" w:hAnsi="Courier New"/>
                <w:sz w:val="15"/>
                <w:szCs w:val="15"/>
                <w:color w:val="auto"/>
                <w:w w:val="96"/>
              </w:rPr>
              <w:t>COMCAST REPORTS STRONG FIRST QUARTER RESULTS</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Reports Consolidated Pro Forma Operating Cash Flow Growth of</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18.3%</w:t>
            </w:r>
          </w:p>
        </w:tc>
      </w:tr>
      <w:tr>
        <w:trPr>
          <w:trHeight w:val="336"/>
        </w:trPr>
        <w:tc>
          <w:tcPr>
            <w:tcW w:w="5440" w:type="dxa"/>
            <w:vAlign w:val="bottom"/>
          </w:tcPr>
          <w:p>
            <w:pPr>
              <w:ind w:left="342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CABLE REPORTS PRO FORMA REVENUE GROWTH OF 12.3% AND PRO</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FORMA OPERATING CASH FLOW GROWTH OF 13.5% New Digital and</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High-Speed Internet Services Drive Record Performance</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QVC ACHIEVES OPERATING CASH FLOW GROWTH OF 11.4%</w:t>
      </w:r>
    </w:p>
    <w:p>
      <w:pPr>
        <w:spacing w:after="0" w:line="341"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Philadelphia, PA - May 1, 2002...Comcast Corporation today reported results for the three months ended March 31, 2002. The Company reported consolidated revenues of $2.673 billion, a 19.7% increase from the $2.232 billion reported in the first quarter of 2001. Consolidated operating cash flow increased 27.5% to $808.2 million from the $634.2 million reported in the first quarter of 2001. On a pro forma basis, the Company's consolidated revenues and operating cash flow for the quarter ended March 31, 2002 increased 12.0% and 18.3%, respectively, over the first quarter of 2001.</w:t>
      </w:r>
    </w:p>
    <w:p>
      <w:pPr>
        <w:spacing w:after="0" w:line="177"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Brian L. Roberts, president of Comcast Corporation said, "We delivered another quarter of outstanding operating and financial results, laying the groundwork to comfortably meet our previously stated year-end 2002 guidance for each of our businesses."</w:t>
      </w:r>
    </w:p>
    <w:p>
      <w:pPr>
        <w:spacing w:after="0" w:line="175"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cable division reported one of its best quarters ever, accelerating revenue and operating cash flow growth and delivering new digital and high-speed Internet customers, even as we completed the huge task of transitioning almost one million customers to our new high-speed Internet service. We are more excited than ever about the opportunities for growth in the cable business and look forward to completing our merger with AT&amp;T Broadband. We believe our strong track record of operating performance, successful system integration and balance sheet strength will help support accelerated growth rates and provide a whole new range of opportunities for the new company."</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Cable Division Results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4"/>
          <w:szCs w:val="24"/>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Cable division results are presented on a pro forma basis, which only adjusts for the timing of acquisitions. Pro forma results assume that all acquisitions were effective on January 1, 2001.</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Pro forma results include the acquisition from AT&amp;T Corp. of 585,000 and 112,000 cable subscribers in April 2001 and June 2001, respectively, and the acquisition of Home Team Sports in February 2001.</w:t>
      </w:r>
    </w:p>
    <w:p>
      <w:pPr>
        <w:spacing w:after="0" w:line="174" w:lineRule="exact"/>
        <w:rPr>
          <w:sz w:val="24"/>
          <w:szCs w:val="24"/>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Cable division revenues for the quarter ended March 31, 2002 were $1.469 billion, representing a pro forma 12.3% increase from the $1.309 billion in the first quarter of 2001. Operating cash flow for the quarter was $597.5 million, a pro forma increase of 13.5% over the $526.3 million for the same period of 2001.</w:t>
      </w:r>
    </w:p>
    <w:p>
      <w:pPr>
        <w:spacing w:after="0" w:line="164"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Cable subscribers grew to 8.512 million, a pro forma twelve-month trailing growth rate of 0.9%. Continuing strong demand for Comcast Digital Cable contributed to a 7.0% increase in pro forma video revenues in the first quarter. High-speed Internet service revenue more than doubled over the first quarter of 2001 reflecting significant growth in the customer base and rate increases. Together, Comcast Digital Cable and High Speed Internet services contributed more than half of the cable division's revenue growth in the first quarter. Operating cash flow margins improved to 40.7% from 40.2% reflecting the successful integration and improved operating performance of recently acquired cable properties.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cable division added 203,700 Digital Cable subscriptions in the first</w:t>
      </w:r>
    </w:p>
    <w:p>
      <w:pPr>
        <w:sectPr>
          <w:pgSz w:w="11900" w:h="16888" w:orient="portrait"/>
          <w:cols w:equalWidth="0" w:num="1">
            <w:col w:w="10239"/>
          </w:cols>
          <w:pgMar w:left="220" w:top="225" w:right="1440" w:bottom="0" w:gutter="0" w:footer="0" w:header="0"/>
        </w:sectPr>
      </w:pPr>
    </w:p>
    <w:bookmarkStart w:id="1" w:name="page2"/>
    <w:bookmarkEnd w:id="1"/>
    <w:p>
      <w:pPr>
        <w:ind w:right="3399"/>
        <w:spacing w:after="0" w:line="236" w:lineRule="auto"/>
        <w:rPr>
          <w:sz w:val="20"/>
          <w:szCs w:val="20"/>
          <w:color w:val="auto"/>
        </w:rPr>
      </w:pPr>
      <w:r>
        <w:rPr>
          <w:rFonts w:ascii="Courier New" w:cs="Courier New" w:eastAsia="Courier New" w:hAnsi="Courier New"/>
          <w:sz w:val="15"/>
          <w:szCs w:val="15"/>
          <w:color w:val="auto"/>
        </w:rPr>
        <w:t>quarter, a weekly average of more than 15,600. Comcast Cable finished the quarter with 2.540 million Digital Cable subscriptions, representing a 51% pro forma increase over 2001 and a subscription penetration rate of over 30%. Comcast Digital Cable is now available to nearly 99% of Comcast's cable subscribers.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the quarter, the cable division added 92,400 high-speed Internet customers, a weekly average of more than 7,100 net additions. Comcast Cable finished the quarter with 1.041 million high-speed Internet customers, representing an 81% pro forma increase over 2001 levels, and a penetration rate of over 9% of marketable homes. Comcast Cable continued to expand the availability of high-speed Internet service. At quarter end nearly 11.3 million homes, or more than 81% of the homes in Comcast's footprint, had access to Comcast's high-speed Internet service.</w:t>
      </w:r>
    </w:p>
    <w:p>
      <w:pPr>
        <w:spacing w:after="0" w:line="177"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Mr. Roberts said, "With our cable system rebuild virtually complete, the power of our upgraded cable systems is evident in the significant contribution to growth by our new digital cable and high-speed Internet services. Building on our success in rolling out new products, we will expand our offering of video-on-demand (VOD) to a broader range of markets this year."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Commerce: QVC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QVC's consolidated revenues for the quarter ended March 31, 2002 were $993.5 million, representing a 12.4% increase from the $884.0 million reported in the first quarter of 2001. Consolidated operating cash flow for the quarter was $192.3 million, an increase of 11.4% over the $172.7 million reported in the prior year quarter.</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Mr. Roberts said, "QVC continues to build its position as the leading global electronic retailer. In the U. S. it is, by far, the largest electronic retailer, with the most consistent financial performance. In the first quarter, QVC's domestic business continued to drive QVC's performance with revenue growth of 11.5%, operating cash flow growth of 11.6% and a stable cash flow margin of 22.6%. At the same time, QVC is continuing to expand its international businesses in QVC-Germany, which is now operating with breakeven cash flow. We are also pleased with the early progress of our new channel, QVC-Japan which has just celebrated its first year of operation."</w:t>
      </w:r>
    </w:p>
    <w:p>
      <w:pPr>
        <w:sectPr>
          <w:pgSz w:w="11900" w:h="16838" w:orient="portrait"/>
          <w:cols w:equalWidth="0" w:num="1">
            <w:col w:w="10239"/>
          </w:cols>
          <w:pgMar w:left="220" w:top="1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Content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Comcast's content businesses include E! Networks, Comcast-Spectacor, The Golf Channel, Outdoor Life Network, and G4. Results are presented on a pro forma basis, assuming that the consolidation of The Golf Channel, effective June 2001, and the acquisition of Outdoor Life Network, effective in October 2001, occurred on January 1, 2001.</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Solid growth in carriage continued to drive the results of E! Networks, Outdoor Life Network and The Golf Channel, contributing to double-digit increases in revenue and operating cash flow. Comcast's content business segment reported pro forma revenue and operating cash flow growth of 11.8% and 33.6%, respectively, in the first quarter.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Company's consolidated results include all acquisitions as of the dates of their closing. For the quarter ended March 31, 2002, the Company's consolidated results include the acquisition from AT&amp;T of 585,000 and 112,000 cable subscribers in April 2001 and June 2001, respectively, the acquisition of Home Team Sports in February 2001, the consolidation of The Golf Channel, effective in June 2001, and the acquisition of Outdoor Life Network, in October 2001. Pro forma results assume that all acquisitions were effective on January 1, 2001.</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 the three months ended March 31, 2002, the Company reported consolidated revenues of $2.673 billion, a 19.7% increase from the $2.232 billion reported in the first quarter of 2001. Consolidated operating cash flow increased 27.5% to $808.2 million from the $634.2 million reported in the first quarter of 2001. On a pro forma basis, the Company's consolidated revenues and operating cash flow for the quarter ended March 31, 2002 increased 12.0% and 18.3%, respectively, over the first quarter of 2001.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three months ended March 31, 2002, the Company reported a consolidated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of $88.9 million or $0.09 per share as compared to net income of $1.001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billion or $1.04 per share in the same prior year period. The consolidated loss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reported for the first quarter of 2002 includes depreciation and amortization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$387.1 million or $0.41 per share and non-operating loss items of $320.6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$0.33 per share. The non-operating items were primarily the net non-cash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losses due to the mark-to-market adjustments on trading securities, derivatives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hedged items of $243.9 million or $0.26 per share. Net income in the first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of 2001 included depreciation and amortization of $734.7 million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$0.76 per share and tax expense of $485.6 million or $0.50 per share as well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non-operating income items of $1.770 billion or $1.83 per share.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non-operating items were primarily income related to the gain from the systems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with Adelphia Communications of $1.199 billion or $1.24 per share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related to the change in accounting for derivative financial instruments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$384.5 million or $0.40 per share.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Statement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On January 1, 2002, the Company adopted a new accounting statement (FAS 142) that addresses how intangible assets, including goodwill, are accounted for in financial statements upon and subsequent to their acquisition. In connection with this adoption the Company completed an assessment of goodwill and other indefinite lived intangible assets, which consist primarily of our cable franchise operating rights. Based on this assessment, the Company determined that no impairment charge resulted from adopting this new accounting statement.</w:t>
      </w:r>
    </w:p>
    <w:p>
      <w:pPr>
        <w:sectPr>
          <w:pgSz w:w="11900" w:h="16838" w:orient="portrait"/>
          <w:cols w:equalWidth="0" w:num="1">
            <w:col w:w="10239"/>
          </w:cols>
          <w:pgMar w:left="220" w:top="617" w:right="1440" w:bottom="1440" w:gutter="0" w:footer="0" w:header="0"/>
        </w:sectPr>
      </w:pPr>
    </w:p>
    <w:bookmarkStart w:id="3" w:name="page4"/>
    <w:bookmarkEnd w:id="3"/>
    <w:p>
      <w:pPr>
        <w:ind w:right="3319"/>
        <w:spacing w:after="0" w:line="256" w:lineRule="auto"/>
        <w:rPr>
          <w:sz w:val="20"/>
          <w:szCs w:val="20"/>
          <w:color w:val="auto"/>
        </w:rPr>
      </w:pPr>
      <w:r>
        <w:rPr>
          <w:rFonts w:ascii="Courier New" w:cs="Courier New" w:eastAsia="Courier New" w:hAnsi="Courier New"/>
          <w:sz w:val="14"/>
          <w:szCs w:val="14"/>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Quarterly Report on Form 10-Q for a description of such risks and uncertainties.</w:t>
      </w:r>
    </w:p>
    <w:p>
      <w:pPr>
        <w:spacing w:after="0" w:line="16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Comcast Corporation will hold its quarterly conference call with the financial community today, May 1, 2002, at 10:30 a.m. Eastern Time (ET). The conference call will be broadcast live via the Internet at the Company's Investor Relations website at www.cmcsk.com. A recording of the call will be available on this website from 12:30 p.m. ET on May 1, 2002 through midnight ET on May 8, 2002.</w:t>
      </w:r>
    </w:p>
    <w:p>
      <w:pPr>
        <w:spacing w:after="0" w:line="16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Those parties interested in participating via telephone should dial (847) 413-3149. A telephone replay will begin immediately following the call until May 2, 2002 at midnight ET. To access the rebroadcast, please dial (630) 652-3000 and enter code 5605377.</w:t>
      </w:r>
    </w:p>
    <w:p>
      <w:pPr>
        <w:spacing w:after="0" w:line="175"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To automatically receive Comcast financial news by email, please visit www.cmcsk.com and subscribe to e-mail Alerts.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Comcast Corporation (www.comcast.com) is principally involved in the development, management and operation of broadband cable networks, and in the provision of electronic commerce and programming content. Comcast Cable is the third largest cable company in the United States serving more than 8.5 million cable subscribers. Comcast's commerce and content businesses include majority ownership of QVC, Comcast-Spectacor, Comcast SportsNet, The Golf Channel, Outdoor Life Network, G4, a controlling interest in E! Networks, and other programming investments. Comcast's Class A Special and Class A Common Stock are traded on The Nasdaq Stock Market under the symbols CMCSK and CMCSA, respectively.</w:t>
      </w:r>
    </w:p>
    <w:p>
      <w:pPr>
        <w:sectPr>
          <w:pgSz w:w="11900" w:h="16838" w:orient="portrait"/>
          <w:cols w:equalWidth="0" w:num="1">
            <w:col w:w="10239"/>
          </w:cols>
          <w:pgMar w:left="220" w:top="624" w:right="1440" w:bottom="1440" w:gutter="0" w:footer="0" w:header="0"/>
        </w:sectPr>
      </w:pPr>
    </w:p>
    <w:bookmarkStart w:id="4" w:name="page5"/>
    <w:bookmarkEnd w:id="4"/>
    <w:p>
      <w:pPr>
        <w:jc w:val="center"/>
        <w:ind w:right="3219"/>
        <w:spacing w:after="0"/>
        <w:rPr>
          <w:sz w:val="20"/>
          <w:szCs w:val="20"/>
          <w:color w:val="auto"/>
        </w:rPr>
      </w:pPr>
      <w:r>
        <w:rPr>
          <w:rFonts w:ascii="Courier New" w:cs="Courier New" w:eastAsia="Courier New" w:hAnsi="Courier New"/>
          <w:sz w:val="15"/>
          <w:szCs w:val="15"/>
          <w:color w:val="auto"/>
        </w:rPr>
        <w:t>COMCAST(R)</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Condensed Consolidated Balance Sheet (Unaudited)</w:t>
      </w:r>
    </w:p>
    <w:tbl>
      <w:tblPr>
        <w:tblLayout w:type="fixed"/>
        <w:tblInd w:w="0" w:type="dxa"/>
        <w:tblCellMar>
          <w:top w:w="0" w:type="dxa"/>
          <w:left w:w="0" w:type="dxa"/>
          <w:bottom w:w="0" w:type="dxa"/>
          <w:right w:w="0" w:type="dxa"/>
        </w:tblCellMar>
      </w:tblPr>
      <w:tr>
        <w:trPr>
          <w:trHeight w:val="168"/>
        </w:trPr>
        <w:tc>
          <w:tcPr>
            <w:tcW w:w="5920" w:type="dxa"/>
            <w:vAlign w:val="bottom"/>
          </w:tcPr>
          <w:p>
            <w:pPr>
              <w:ind w:left="2980"/>
              <w:spacing w:after="0" w:line="168" w:lineRule="exact"/>
              <w:rPr>
                <w:sz w:val="20"/>
                <w:szCs w:val="20"/>
                <w:color w:val="auto"/>
              </w:rPr>
            </w:pPr>
            <w:r>
              <w:rPr>
                <w:rFonts w:ascii="Courier New" w:cs="Courier New" w:eastAsia="Courier New" w:hAnsi="Courier New"/>
                <w:sz w:val="15"/>
                <w:szCs w:val="15"/>
                <w:color w:val="auto"/>
              </w:rPr>
              <w:t>(in millions)</w:t>
            </w:r>
          </w:p>
        </w:tc>
        <w:tc>
          <w:tcPr>
            <w:tcW w:w="2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505"/>
        </w:trPr>
        <w:tc>
          <w:tcPr>
            <w:tcW w:w="5920" w:type="dxa"/>
            <w:vAlign w:val="bottom"/>
          </w:tcPr>
          <w:p>
            <w:pPr>
              <w:spacing w:after="0"/>
              <w:rPr>
                <w:sz w:val="24"/>
                <w:szCs w:val="24"/>
                <w:color w:val="auto"/>
              </w:rPr>
            </w:pPr>
          </w:p>
        </w:tc>
        <w:tc>
          <w:tcPr>
            <w:tcW w:w="2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March 31,</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CURRENT ASSETS</w:t>
            </w:r>
          </w:p>
        </w:tc>
        <w:tc>
          <w:tcPr>
            <w:tcW w:w="2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$543.1</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w:t>
            </w: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Investments</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2,087.4</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2,623.2</w:t>
            </w: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979.9</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967.4</w:t>
            </w: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Inventories, net</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426.1</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454.5</w:t>
            </w: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193.3</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153.7</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4,229.8</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4,548.8</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INVESTMENTS</w:t>
            </w:r>
          </w:p>
        </w:tc>
        <w:tc>
          <w:tcPr>
            <w:tcW w:w="2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1,065.3</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1,679.2</w:t>
            </w: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PROPERTY AND EQUIPMENT, net of accumulated depreciation</w:t>
            </w:r>
          </w:p>
        </w:tc>
        <w:tc>
          <w:tcPr>
            <w:tcW w:w="2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$2,991.0 and $2,725.7</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7,034.0</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7,011.1</w:t>
            </w: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GOODWILL</w:t>
            </w:r>
          </w:p>
        </w:tc>
        <w:tc>
          <w:tcPr>
            <w:tcW w:w="2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6,441.2</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6,289.4</w:t>
            </w: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CABLE FRANCHISE OPERATING RIGHTS</w:t>
            </w:r>
          </w:p>
        </w:tc>
        <w:tc>
          <w:tcPr>
            <w:tcW w:w="2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16,491.1</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16,486.4</w:t>
            </w: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OTHER INTANGIBLE ASSETS, net of accumulated amortization</w:t>
            </w:r>
          </w:p>
        </w:tc>
        <w:tc>
          <w:tcPr>
            <w:tcW w:w="2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$745.4 and $664.6</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1,534.2</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1,733.5</w:t>
            </w: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OTHER NONCURRENT ASSETS, net</w:t>
            </w:r>
          </w:p>
        </w:tc>
        <w:tc>
          <w:tcPr>
            <w:tcW w:w="2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349.8</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383.4</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4"/>
                <w:szCs w:val="24"/>
                <w:color w:val="auto"/>
              </w:rPr>
            </w:pPr>
          </w:p>
        </w:tc>
        <w:tc>
          <w:tcPr>
            <w:tcW w:w="2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$37,145.4</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$38,131.8</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CURRENT LIABILITIES</w:t>
            </w:r>
          </w:p>
        </w:tc>
        <w:tc>
          <w:tcPr>
            <w:tcW w:w="2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$794.7</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$698.2</w:t>
            </w: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Accrued expenses and other current liabilities</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1,637.0</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1,695.5</w:t>
            </w: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89.9</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275.4</w:t>
            </w: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267.5</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460.2</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2,789.1</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3,129.3</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LONG-TERM DEBT, less current portion</w:t>
            </w:r>
          </w:p>
        </w:tc>
        <w:tc>
          <w:tcPr>
            <w:tcW w:w="2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11,356.0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11,741.6</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DEFERRED INCOME TAXES</w:t>
            </w:r>
          </w:p>
        </w:tc>
        <w:tc>
          <w:tcPr>
            <w:tcW w:w="2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6,406.7</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6,375.7</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OTHER NONCURRENT LIABILITIES</w:t>
            </w:r>
          </w:p>
        </w:tc>
        <w:tc>
          <w:tcPr>
            <w:tcW w:w="2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1,418.0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1,532.0</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MINORITY INTEREST</w:t>
            </w:r>
          </w:p>
        </w:tc>
        <w:tc>
          <w:tcPr>
            <w:tcW w:w="2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926.6</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880.2</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STOCKHOLDERS' EQUITY</w:t>
            </w:r>
          </w:p>
        </w:tc>
        <w:tc>
          <w:tcPr>
            <w:tcW w:w="2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Class A special common stock</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914.5</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913.9</w:t>
            </w: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Class A common stock</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21.8</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w:t>
            </w: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Class B common stock</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11,769.9</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11,752.0</w:t>
            </w: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1,541.4</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1,631.5</w:t>
            </w: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Accumulated other comprehensive income (loss)</w:t>
            </w:r>
          </w:p>
        </w:tc>
        <w:tc>
          <w:tcPr>
            <w:tcW w:w="2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144.4</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14,249.0</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14,473.0</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4"/>
                <w:szCs w:val="24"/>
                <w:color w:val="auto"/>
              </w:rPr>
            </w:pPr>
          </w:p>
        </w:tc>
        <w:tc>
          <w:tcPr>
            <w:tcW w:w="2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$37,145.4</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$38,131.8</w:t>
            </w:r>
          </w:p>
        </w:tc>
      </w:tr>
      <w:tr>
        <w:trPr>
          <w:trHeight w:val="168"/>
        </w:trPr>
        <w:tc>
          <w:tcPr>
            <w:tcW w:w="592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1440" w:gutter="0" w:footer="0" w:header="0"/>
        </w:sectPr>
      </w:pPr>
    </w:p>
    <w:bookmarkStart w:id="5" w:name="page6"/>
    <w:bookmarkEnd w:id="5"/>
    <w:p>
      <w:pPr>
        <w:jc w:val="center"/>
        <w:ind w:right="3219"/>
        <w:spacing w:after="0"/>
        <w:rPr>
          <w:sz w:val="20"/>
          <w:szCs w:val="20"/>
          <w:color w:val="auto"/>
        </w:rPr>
      </w:pPr>
      <w:r>
        <w:rPr>
          <w:rFonts w:ascii="Courier New" w:cs="Courier New" w:eastAsia="Courier New" w:hAnsi="Courier New"/>
          <w:sz w:val="15"/>
          <w:szCs w:val="15"/>
          <w:color w:val="auto"/>
        </w:rPr>
        <w:t>COMCAST(R)</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Condensed Consolidated Statement of Operations (Unaudited)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millions, except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32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5860" w:type="dxa"/>
            <w:vAlign w:val="bottom"/>
          </w:tcPr>
          <w:p>
            <w:pPr>
              <w:spacing w:after="0"/>
              <w:rPr>
                <w:sz w:val="14"/>
                <w:szCs w:val="14"/>
                <w:color w:val="auto"/>
              </w:rPr>
            </w:pPr>
          </w:p>
        </w:tc>
        <w:tc>
          <w:tcPr>
            <w:tcW w:w="32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2002</w:t>
            </w:r>
          </w:p>
        </w:tc>
        <w:tc>
          <w:tcPr>
            <w:tcW w:w="13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Service revenues</w:t>
            </w:r>
          </w:p>
        </w:tc>
        <w:tc>
          <w:tcPr>
            <w:tcW w:w="1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$1,679.0</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$1,348.0</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993.5</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884.0</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4"/>
                <w:szCs w:val="24"/>
                <w:color w:val="auto"/>
              </w:rPr>
            </w:pPr>
          </w:p>
        </w:tc>
        <w:tc>
          <w:tcPr>
            <w:tcW w:w="1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2,672.5</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2,232.0</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631.2</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556.6</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 expenses</w:t>
            </w: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1,233.1</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1,041.2</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Operating cash flow</w:t>
            </w:r>
          </w:p>
        </w:tc>
        <w:tc>
          <w:tcPr>
            <w:tcW w:w="1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808.2</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634.2</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1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333.8</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240.8</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53.3</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493.9</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421.1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(100.5)</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(186.7)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(182.3)</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income (expense)</w:t>
            </w:r>
          </w:p>
        </w:tc>
        <w:tc>
          <w:tcPr>
            <w:tcW w:w="1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(248.0)</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214.7</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income (losses) of affiliates</w:t>
            </w:r>
          </w:p>
        </w:tc>
        <w:tc>
          <w:tcPr>
            <w:tcW w:w="1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1,194.2</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(463.7)</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1,229.5</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ind w:left="100"/>
              <w:spacing w:after="0"/>
              <w:rPr>
                <w:sz w:val="20"/>
                <w:szCs w:val="20"/>
                <w:color w:val="auto"/>
              </w:rPr>
            </w:pPr>
            <w:r>
              <w:rPr>
                <w:rFonts w:ascii="Courier New" w:cs="Courier New" w:eastAsia="Courier New" w:hAnsi="Courier New"/>
                <w:sz w:val="15"/>
                <w:szCs w:val="15"/>
                <w:color w:val="auto"/>
              </w:rPr>
              <w:t>Income (loss) before income taxes, minority interest</w:t>
            </w: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cumulative effect of accounting change</w:t>
            </w:r>
          </w:p>
        </w:tc>
        <w:tc>
          <w:tcPr>
            <w:tcW w:w="1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(42.6)</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1,129.0</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(485.6)</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(43.6)</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 accounting change</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(88.9)</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616.7</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1900" w:type="dxa"/>
            <w:vAlign w:val="bottom"/>
          </w:tcPr>
          <w:p>
            <w:pPr>
              <w:spacing w:after="0"/>
              <w:rPr>
                <w:sz w:val="24"/>
                <w:szCs w:val="2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384.5</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($88.9)</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$1,001.2</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before cumulative effect of accounting change</w:t>
            </w:r>
          </w:p>
        </w:tc>
        <w:tc>
          <w:tcPr>
            <w:tcW w:w="1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($0.09)</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$0.65</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90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0.41</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1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($0.09)</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common shares outstanding</w:t>
            </w:r>
          </w:p>
        </w:tc>
        <w:tc>
          <w:tcPr>
            <w:tcW w:w="1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951.4</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945.3</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before cumulative effect of accounting change</w:t>
            </w:r>
          </w:p>
        </w:tc>
        <w:tc>
          <w:tcPr>
            <w:tcW w:w="1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($0.09)</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$0.64</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90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0.40</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1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($0.09)</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common shares outstanding</w:t>
            </w:r>
          </w:p>
        </w:tc>
        <w:tc>
          <w:tcPr>
            <w:tcW w:w="1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951.4</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965.0</w:t>
            </w:r>
          </w:p>
        </w:tc>
      </w:tr>
      <w:tr>
        <w:trPr>
          <w:trHeight w:val="168"/>
        </w:trPr>
        <w:tc>
          <w:tcPr>
            <w:tcW w:w="5860" w:type="dxa"/>
            <w:vAlign w:val="bottom"/>
          </w:tcPr>
          <w:p>
            <w:pPr>
              <w:spacing w:after="0"/>
              <w:rPr>
                <w:sz w:val="14"/>
                <w:szCs w:val="14"/>
                <w:color w:val="auto"/>
              </w:rPr>
            </w:pPr>
          </w:p>
        </w:tc>
        <w:tc>
          <w:tcPr>
            <w:tcW w:w="19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1440" w:gutter="0" w:footer="0" w:header="0"/>
        </w:sectPr>
      </w:pPr>
    </w:p>
    <w:bookmarkStart w:id="6" w:name="page7"/>
    <w:bookmarkEnd w:id="6"/>
    <w:p>
      <w:pPr>
        <w:jc w:val="center"/>
        <w:ind w:right="4520"/>
        <w:spacing w:after="0"/>
        <w:rPr>
          <w:sz w:val="20"/>
          <w:szCs w:val="20"/>
          <w:color w:val="auto"/>
        </w:rPr>
      </w:pPr>
      <w:r>
        <w:rPr>
          <w:rFonts w:ascii="Courier New" w:cs="Courier New" w:eastAsia="Courier New" w:hAnsi="Courier New"/>
          <w:sz w:val="15"/>
          <w:szCs w:val="15"/>
          <w:color w:val="auto"/>
        </w:rPr>
        <w:t>COMCAST(R)</w:t>
      </w:r>
    </w:p>
    <w:p>
      <w:pPr>
        <w:spacing w:after="0" w:line="166"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Pro Forma Financial Data by Business Segment (Unaudited) (1)</w:t>
      </w:r>
    </w:p>
    <w:p>
      <w:pPr>
        <w:jc w:val="center"/>
        <w:ind w:right="4620"/>
        <w:spacing w:after="0" w:line="237" w:lineRule="auto"/>
        <w:rPr>
          <w:sz w:val="20"/>
          <w:szCs w:val="20"/>
          <w:color w:val="auto"/>
        </w:rPr>
      </w:pPr>
      <w:r>
        <w:rPr>
          <w:rFonts w:ascii="Courier New" w:cs="Courier New" w:eastAsia="Courier New" w:hAnsi="Courier New"/>
          <w:sz w:val="15"/>
          <w:szCs w:val="15"/>
          <w:color w:val="auto"/>
        </w:rPr>
        <w:t>(in millions, except margin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w:t>
            </w:r>
          </w:p>
        </w:tc>
        <w:tc>
          <w:tcPr>
            <w:tcW w:w="144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w:t>
            </w:r>
          </w:p>
        </w:tc>
        <w:tc>
          <w:tcPr>
            <w:tcW w:w="112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Cable</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Commerce</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Content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040" w:type="dxa"/>
            <w:vAlign w:val="bottom"/>
          </w:tcPr>
          <w:p>
            <w:pPr>
              <w:spacing w:after="0"/>
              <w:rPr>
                <w:sz w:val="14"/>
                <w:szCs w:val="14"/>
                <w:color w:val="auto"/>
              </w:rPr>
            </w:pPr>
          </w:p>
        </w:tc>
        <w:tc>
          <w:tcPr>
            <w:tcW w:w="2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Three Months Ended March 31, 2002</w:t>
            </w:r>
          </w:p>
        </w:tc>
        <w:tc>
          <w:tcPr>
            <w:tcW w:w="2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$1,469.4</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$993.5</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$218.9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$2,672.5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(Deficit)</w:t>
            </w:r>
          </w:p>
        </w:tc>
        <w:tc>
          <w:tcPr>
            <w:tcW w:w="2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$597.5</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$192.3</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$55.9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($37.5)</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Margin</w:t>
            </w: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40.7%</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19.4%</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25.5%</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NM</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(5)</w:t>
            </w:r>
          </w:p>
        </w:tc>
        <w:tc>
          <w:tcPr>
            <w:tcW w:w="2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$358.1</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$31.8</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Debt (6)</w:t>
            </w:r>
          </w:p>
        </w:tc>
        <w:tc>
          <w:tcPr>
            <w:tcW w:w="2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$8,700.7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$246.2</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$374.4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$2,302.2</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$11,623.5</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Three Months Ended March 31, 2001</w:t>
            </w:r>
          </w:p>
        </w:tc>
        <w:tc>
          <w:tcPr>
            <w:tcW w:w="2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$1,308.9</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$884.0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$195.7</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$2,385.5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(Deficit)</w:t>
            </w:r>
          </w:p>
        </w:tc>
        <w:tc>
          <w:tcPr>
            <w:tcW w:w="2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$526.3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$172.7</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($57.5)</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Margin</w:t>
            </w: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40.2%</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NM</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(5)</w:t>
            </w:r>
          </w:p>
        </w:tc>
        <w:tc>
          <w:tcPr>
            <w:tcW w:w="2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$437.7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$26.1</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$9.1</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$516.9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Debt (6)</w:t>
            </w:r>
          </w:p>
        </w:tc>
        <w:tc>
          <w:tcPr>
            <w:tcW w:w="2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$8,195.0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$451.7</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$435.5</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$1,703.8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$10,786.0</w:t>
            </w:r>
          </w:p>
        </w:tc>
      </w:tr>
    </w:tbl>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right="706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Information - Cable &amp; Content Segments Pro Forma Historical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FY '01</w:t>
            </w:r>
          </w:p>
        </w:tc>
        <w:tc>
          <w:tcPr>
            <w:tcW w:w="1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4Q01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3Q01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2Q01</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1Q01</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Cable (2)</w:t>
            </w: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$5,488.1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$1,424.6</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$1,378.1</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$1,376.5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$1,308.9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(7)</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$2,251.2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$583.3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$575.0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$566.6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$526.3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Margin (7)</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41.7%</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w:t>
            </w:r>
          </w:p>
        </w:tc>
      </w:tr>
      <w:tr>
        <w:trPr>
          <w:trHeight w:val="505"/>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Content (3)</w:t>
            </w: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$701.1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$191.9</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$138.3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$175.2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$152.7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$30.9</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$30.7</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Margin</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440" w:right="4540" w:hanging="430"/>
        <w:spacing w:after="0" w:line="255"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data is presented as if acquisitions occurred at the beginning of 2001. The information presented above is not necessarily indicative of what the results would have been had the Company operated the acquired businesses since the beginning of 2001. Historical financial data by business segment, as required under generally accepted accounting principles, is available in the Company's Quarterly Report on Form 10-Q.</w:t>
      </w:r>
    </w:p>
    <w:p>
      <w:pPr>
        <w:spacing w:after="0" w:line="166" w:lineRule="exact"/>
        <w:rPr>
          <w:rFonts w:ascii="Courier New" w:cs="Courier New" w:eastAsia="Courier New" w:hAnsi="Courier New"/>
          <w:sz w:val="14"/>
          <w:szCs w:val="14"/>
          <w:color w:val="auto"/>
        </w:rPr>
      </w:pPr>
    </w:p>
    <w:p>
      <w:pPr>
        <w:ind w:left="440" w:right="4700" w:hanging="430"/>
        <w:spacing w:after="0" w:line="235"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2001, the Company acquired Home Team Sports and in April 2001 and June 2001, the Company acquired cable systems serving 585,000 and 112,000 subscribers, respectively, from AT&amp;T Corp.</w:t>
      </w:r>
    </w:p>
    <w:p>
      <w:pPr>
        <w:spacing w:after="0" w:line="173" w:lineRule="exact"/>
        <w:rPr>
          <w:rFonts w:ascii="Courier New" w:cs="Courier New" w:eastAsia="Courier New" w:hAnsi="Courier New"/>
          <w:sz w:val="15"/>
          <w:szCs w:val="15"/>
          <w:color w:val="auto"/>
        </w:rPr>
      </w:pPr>
    </w:p>
    <w:p>
      <w:pPr>
        <w:ind w:left="440" w:right="454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adoption of a new accounting standard related to the income statement characterization of reimbursements (EITF No. 01-14), the Company reclassified its franchise fees collected from cable subscribers from a reduction of selling, general and administrative expenses to service revenue for all periods presented.</w:t>
      </w:r>
    </w:p>
    <w:p>
      <w:pPr>
        <w:spacing w:after="0" w:line="173" w:lineRule="exact"/>
        <w:rPr>
          <w:rFonts w:ascii="Courier New" w:cs="Courier New" w:eastAsia="Courier New" w:hAnsi="Courier New"/>
          <w:sz w:val="15"/>
          <w:szCs w:val="15"/>
          <w:color w:val="auto"/>
        </w:rPr>
      </w:pPr>
    </w:p>
    <w:p>
      <w:pPr>
        <w:ind w:left="440" w:right="4540" w:hanging="430"/>
        <w:spacing w:after="0" w:line="258"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Content includes E! Networks, Comcast-Spectacor, The Golf Channel, Outdoor Life Network and G4. The Company consolidated The Golf Channel and acquired Outdoor Life Network in June 2001 and October 2001, respectively.</w:t>
      </w:r>
    </w:p>
    <w:p>
      <w:pPr>
        <w:spacing w:after="0" w:line="161" w:lineRule="exact"/>
        <w:rPr>
          <w:rFonts w:ascii="Courier New" w:cs="Courier New" w:eastAsia="Courier New" w:hAnsi="Courier New"/>
          <w:sz w:val="14"/>
          <w:szCs w:val="14"/>
          <w:color w:val="auto"/>
        </w:rPr>
      </w:pPr>
    </w:p>
    <w:p>
      <w:pPr>
        <w:ind w:left="440" w:right="4540"/>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adoption of a new accounting standard related to the consideration paid to customers (EITF No. 01-09), the Company reclassified the amortization of distribution fees paid by certain content subsidiaries to cable television and satellite broadcast systems for carriage of their programming from expense to a revenue reduction for all periods presented.</w:t>
      </w:r>
    </w:p>
    <w:p>
      <w:pPr>
        <w:spacing w:after="0" w:line="163" w:lineRule="exact"/>
        <w:rPr>
          <w:rFonts w:ascii="Courier New" w:cs="Courier New" w:eastAsia="Courier New" w:hAnsi="Courier New"/>
          <w:sz w:val="14"/>
          <w:szCs w:val="14"/>
          <w:color w:val="auto"/>
        </w:rPr>
      </w:pPr>
    </w:p>
    <w:p>
      <w:pPr>
        <w:ind w:left="440" w:right="4540" w:hanging="430"/>
        <w:spacing w:after="0" w:line="235"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the Company's domestic wireline telecommunications business, international wireless operations, Corporate and elimination entries related to the segments presented.</w:t>
      </w:r>
    </w:p>
    <w:p>
      <w:pPr>
        <w:spacing w:after="0" w:line="173" w:lineRule="exact"/>
        <w:rPr>
          <w:rFonts w:ascii="Courier New" w:cs="Courier New" w:eastAsia="Courier New" w:hAnsi="Courier New"/>
          <w:sz w:val="15"/>
          <w:szCs w:val="15"/>
          <w:color w:val="auto"/>
        </w:rPr>
      </w:pPr>
    </w:p>
    <w:p>
      <w:pPr>
        <w:ind w:left="440" w:right="4620" w:hanging="430"/>
        <w:spacing w:after="0" w:line="234"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acquired businesses, includes capital expenditures made by the Company subsequent to the date of acquisition by the Company.</w:t>
      </w:r>
    </w:p>
    <w:p>
      <w:pPr>
        <w:spacing w:after="0" w:line="173" w:lineRule="exact"/>
        <w:rPr>
          <w:rFonts w:ascii="Courier New" w:cs="Courier New" w:eastAsia="Courier New" w:hAnsi="Courier New"/>
          <w:sz w:val="15"/>
          <w:szCs w:val="15"/>
          <w:color w:val="auto"/>
        </w:rPr>
      </w:pPr>
    </w:p>
    <w:p>
      <w:pPr>
        <w:ind w:left="440" w:right="4540" w:hanging="430"/>
        <w:spacing w:after="0" w:line="258"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debt includes both current and long-term portions as reported in the Company's consolidated balance sheet. Total Cable debt as of March 31, 2001 includes $1.152 billion of intercompany borrowings due to parent.</w:t>
      </w:r>
    </w:p>
    <w:p>
      <w:pPr>
        <w:spacing w:after="0" w:line="161" w:lineRule="exact"/>
        <w:rPr>
          <w:rFonts w:ascii="Courier New" w:cs="Courier New" w:eastAsia="Courier New" w:hAnsi="Courier New"/>
          <w:sz w:val="14"/>
          <w:szCs w:val="14"/>
          <w:color w:val="auto"/>
        </w:rPr>
      </w:pPr>
    </w:p>
    <w:p>
      <w:pPr>
        <w:jc w:val="both"/>
        <w:ind w:left="440" w:right="4800" w:hanging="430"/>
        <w:spacing w:after="0" w:line="235"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the incremental expenses of $140 million incurred in the fourth quarter of 2001 related to the transition of Comcast High-Speed Internet customers from Excite@Home to Comcast's network.</w:t>
      </w:r>
    </w:p>
    <w:p>
      <w:pPr>
        <w:sectPr>
          <w:pgSz w:w="11900" w:h="16838" w:orient="portrait"/>
          <w:cols w:equalWidth="0" w:num="1">
            <w:col w:w="11540"/>
          </w:cols>
          <w:pgMar w:left="220" w:top="785" w:right="139" w:bottom="1022" w:gutter="0" w:footer="0" w:header="0"/>
        </w:sectPr>
      </w:pPr>
    </w:p>
    <w:bookmarkStart w:id="7" w:name="page8"/>
    <w:bookmarkEnd w:id="7"/>
    <w:p>
      <w:pPr>
        <w:jc w:val="center"/>
        <w:ind w:right="4520"/>
        <w:spacing w:after="0"/>
        <w:rPr>
          <w:sz w:val="20"/>
          <w:szCs w:val="20"/>
          <w:color w:val="auto"/>
        </w:rPr>
      </w:pPr>
      <w:r>
        <w:rPr>
          <w:rFonts w:ascii="Courier New" w:cs="Courier New" w:eastAsia="Courier New" w:hAnsi="Courier New"/>
          <w:sz w:val="15"/>
          <w:szCs w:val="15"/>
          <w:color w:val="auto"/>
        </w:rPr>
        <w:t>COMCAST(R)</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Pro Forma Data - Cable Segment (Unaudited) (1) (2)</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Comcast</w:t>
            </w:r>
          </w:p>
        </w:tc>
        <w:tc>
          <w:tcPr>
            <w:tcW w:w="900" w:type="dxa"/>
            <w:vAlign w:val="bottom"/>
          </w:tcPr>
          <w:p>
            <w:pPr>
              <w:spacing w:after="0"/>
              <w:rPr>
                <w:sz w:val="14"/>
                <w:szCs w:val="14"/>
                <w:color w:val="auto"/>
              </w:rPr>
            </w:pPr>
          </w:p>
        </w:tc>
        <w:tc>
          <w:tcPr>
            <w:tcW w:w="1100" w:type="dxa"/>
            <w:vAlign w:val="bottom"/>
          </w:tcPr>
          <w:p>
            <w:pPr>
              <w:ind w:left="500"/>
              <w:spacing w:after="0"/>
              <w:rPr>
                <w:sz w:val="20"/>
                <w:szCs w:val="20"/>
                <w:color w:val="auto"/>
              </w:rPr>
            </w:pPr>
            <w:r>
              <w:rPr>
                <w:rFonts w:ascii="Courier New" w:cs="Courier New" w:eastAsia="Courier New" w:hAnsi="Courier New"/>
                <w:sz w:val="15"/>
                <w:szCs w:val="15"/>
                <w:color w:val="auto"/>
              </w:rPr>
              <w:t>(5)</w:t>
            </w:r>
          </w:p>
        </w:tc>
        <w:tc>
          <w:tcPr>
            <w:tcW w:w="8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High-Speed</w:t>
            </w:r>
          </w:p>
        </w:tc>
        <w:tc>
          <w:tcPr>
            <w:tcW w:w="9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(4)</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Franchise</w:t>
            </w:r>
          </w:p>
        </w:tc>
        <w:tc>
          <w:tcPr>
            <w:tcW w:w="8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Video</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Advertising</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Internet</w:t>
            </w:r>
          </w:p>
        </w:tc>
        <w:tc>
          <w:tcPr>
            <w:tcW w:w="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Other</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Fees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3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Three Months Ended March 31, 2002</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$1,149.6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$81.1</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$119.6</w:t>
            </w:r>
          </w:p>
        </w:tc>
        <w:tc>
          <w:tcPr>
            <w:tcW w:w="9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$67.9</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$51.2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$1,469.4</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Monthly average revenue per cable subscriber</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$45.13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$3.18</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$4.69</w:t>
            </w:r>
          </w:p>
        </w:tc>
        <w:tc>
          <w:tcPr>
            <w:tcW w:w="9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$2.67</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$2.01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$57.68</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Three Months Ended March 31, 2001</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$1,074.8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$71.4</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$58.4</w:t>
            </w:r>
          </w:p>
        </w:tc>
        <w:tc>
          <w:tcPr>
            <w:tcW w:w="9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$56.7</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$47.6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$1,308.9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Monthly average revenue per cable subscriber</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$2.31</w:t>
            </w:r>
          </w:p>
        </w:tc>
        <w:tc>
          <w:tcPr>
            <w:tcW w:w="9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$2.24</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$1.89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$51.87</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05"/>
        </w:trPr>
        <w:tc>
          <w:tcPr>
            <w:tcW w:w="4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Growth</w:t>
            </w:r>
          </w:p>
        </w:tc>
        <w:tc>
          <w:tcPr>
            <w:tcW w:w="1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Growth</w:t>
            </w:r>
          </w:p>
        </w:tc>
      </w:tr>
      <w:tr>
        <w:trPr>
          <w:trHeight w:val="168"/>
        </w:trPr>
        <w:tc>
          <w:tcPr>
            <w:tcW w:w="442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1Q02</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4Q01</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1Q01</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vs. 4Q01</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vs. 1Q01</w:t>
            </w:r>
          </w:p>
        </w:tc>
      </w:tr>
      <w:tr>
        <w:trPr>
          <w:trHeight w:val="168"/>
        </w:trPr>
        <w:tc>
          <w:tcPr>
            <w:tcW w:w="4420" w:type="dxa"/>
            <w:vAlign w:val="bottom"/>
          </w:tcPr>
          <w:p>
            <w:pPr>
              <w:spacing w:after="0"/>
              <w:rPr>
                <w:sz w:val="14"/>
                <w:szCs w:val="14"/>
                <w:color w:val="auto"/>
              </w:rPr>
            </w:pP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Cable</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Homes Passed (000's)</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13,921.0</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13,836.3</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13,625.7</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0.6%</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Subscribers (000's)</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8,511.7</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8,471.1</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8,434.5</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Penetration</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61.1%</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61.2%</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61.9%</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 pts</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 pts</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Quarterly Net Subscriber Additions (000's)</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40.6</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34.1</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47.7</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19.1%</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Digital Cable (6)</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"Digital Ready" Subscribers (000's)</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8,400.2</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8,375.3</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7,696.4</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0.3%</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Subscriptions (000's) (7)</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2,539.5</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2,335.8</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1,678.3</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8.7%</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Penetration (8)</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30.2%</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27.9%</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21.8%</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 pts</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 pts</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Quarterly Net Subscription Additions (000's)</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203.7</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213.8</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158.4</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Monthly Average Revenue per Subscription</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$10.61</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$10.53</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$10.46</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0.8%</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Comcast High-Speed Internet</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"Marketable" Homes Passed (000's)</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11,299.0</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10,399.6</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7,913.0</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8.6%</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Subscribers (000's)</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1,040.5</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948.1</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574.3</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9.7%</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"Marketable" Homes Penetration</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 pts</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 pts</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Quarterly Net Subscriber Additions (000's)</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92.4</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155.4</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94.9</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(40.5%)</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Monthly Average Revenue per Subscriber</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$40.10</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$35.08</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$36.95</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14.3%</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4540" w:hanging="430"/>
        <w:spacing w:after="0" w:line="235"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data is presented as if acquisitions occurred at the beginning of 2001. The information presented above is not necessarily indicative of what the results would have been had the Company operated the acquired businesses since the beginning of 2001.</w:t>
      </w:r>
    </w:p>
    <w:p>
      <w:pPr>
        <w:spacing w:after="0" w:line="175" w:lineRule="exact"/>
        <w:rPr>
          <w:rFonts w:ascii="Courier New" w:cs="Courier New" w:eastAsia="Courier New" w:hAnsi="Courier New"/>
          <w:sz w:val="15"/>
          <w:szCs w:val="15"/>
          <w:color w:val="auto"/>
        </w:rPr>
      </w:pPr>
    </w:p>
    <w:p>
      <w:pPr>
        <w:ind w:left="440" w:right="4700" w:hanging="430"/>
        <w:spacing w:after="0" w:line="235"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2001, the Company acquired Home Team Sports and in April 2001 and June 2001, the Company acquired cable systems serving 585,000 and 112,000 subscribers, respectively, from AT&amp;T Corp.</w:t>
      </w:r>
    </w:p>
    <w:p>
      <w:pPr>
        <w:spacing w:after="0" w:line="341" w:lineRule="exact"/>
        <w:rPr>
          <w:rFonts w:ascii="Courier New" w:cs="Courier New" w:eastAsia="Courier New" w:hAnsi="Courier New"/>
          <w:sz w:val="15"/>
          <w:szCs w:val="15"/>
          <w:color w:val="auto"/>
        </w:rPr>
      </w:pPr>
    </w:p>
    <w:p>
      <w:pPr>
        <w:ind w:left="440" w:right="4540" w:hanging="430"/>
        <w:spacing w:after="0" w:line="234"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 revenues consist of our basic, expanded basic, premium, pay-per-view, equipment, and digital services.</w:t>
      </w:r>
    </w:p>
    <w:p>
      <w:pPr>
        <w:spacing w:after="0" w:line="173" w:lineRule="exact"/>
        <w:rPr>
          <w:rFonts w:ascii="Courier New" w:cs="Courier New" w:eastAsia="Courier New" w:hAnsi="Courier New"/>
          <w:sz w:val="15"/>
          <w:szCs w:val="15"/>
          <w:color w:val="auto"/>
        </w:rPr>
      </w:pPr>
    </w:p>
    <w:p>
      <w:pPr>
        <w:ind w:left="440" w:right="4800" w:hanging="430"/>
        <w:spacing w:after="0" w:line="235"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Cable subscriber revenues include installation revenues, guide revenues, commissions from electronic retailing, other product offerings and revenues of our regional sports programming networks.</w:t>
      </w:r>
    </w:p>
    <w:p>
      <w:pPr>
        <w:spacing w:after="0" w:line="173" w:lineRule="exact"/>
        <w:rPr>
          <w:rFonts w:ascii="Courier New" w:cs="Courier New" w:eastAsia="Courier New" w:hAnsi="Courier New"/>
          <w:sz w:val="15"/>
          <w:szCs w:val="15"/>
          <w:color w:val="auto"/>
        </w:rPr>
      </w:pPr>
    </w:p>
    <w:p>
      <w:pPr>
        <w:ind w:left="440" w:right="4540" w:hanging="430"/>
        <w:spacing w:after="0" w:line="236"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adoption of a new accounting standard related to the income statement characterization of reimbursements (EITF No. 01-14), the Company reclassified its franchise fees collected from cable subscribers from a reduction of selling, general, and administrative expenses to service revenue for all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jc w:val="right"/>
              <w:ind w:right="3587"/>
              <w:spacing w:after="0"/>
              <w:rPr>
                <w:sz w:val="20"/>
                <w:szCs w:val="20"/>
                <w:color w:val="auto"/>
              </w:rPr>
            </w:pPr>
            <w:r>
              <w:rPr>
                <w:rFonts w:ascii="Courier New" w:cs="Courier New" w:eastAsia="Courier New" w:hAnsi="Courier New"/>
                <w:sz w:val="15"/>
                <w:szCs w:val="15"/>
                <w:color w:val="auto"/>
                <w:w w:val="96"/>
              </w:rPr>
              <w:t>(6)</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1Q02</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4Q01</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1Q01</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Digital Subscribers (000's)</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1,856</w:t>
            </w:r>
          </w:p>
        </w:tc>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1,742</w:t>
            </w:r>
          </w:p>
        </w:tc>
        <w:tc>
          <w:tcPr>
            <w:tcW w:w="8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1,321</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Digital Subscriber Penetration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22.1%</w:t>
            </w:r>
          </w:p>
        </w:tc>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20.8%</w:t>
            </w:r>
          </w:p>
        </w:tc>
        <w:tc>
          <w:tcPr>
            <w:tcW w:w="8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Average Revenue per Digital Subscriber</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$14.38</w:t>
            </w:r>
          </w:p>
        </w:tc>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$13.95</w:t>
            </w:r>
          </w:p>
        </w:tc>
        <w:tc>
          <w:tcPr>
            <w:tcW w:w="8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$13.25</w:t>
            </w:r>
          </w:p>
        </w:tc>
      </w:tr>
    </w:tbl>
    <w:p>
      <w:pPr>
        <w:spacing w:after="0" w:line="166"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digital converter box counts as one digital cable subscription.</w:t>
      </w:r>
    </w:p>
    <w:p>
      <w:pPr>
        <w:spacing w:after="0" w:line="172" w:lineRule="exact"/>
        <w:rPr>
          <w:rFonts w:ascii="Courier New" w:cs="Courier New" w:eastAsia="Courier New" w:hAnsi="Courier New"/>
          <w:sz w:val="15"/>
          <w:szCs w:val="15"/>
          <w:color w:val="auto"/>
        </w:rPr>
      </w:pPr>
    </w:p>
    <w:p>
      <w:pPr>
        <w:ind w:left="440" w:right="4540" w:hanging="430"/>
        <w:spacing w:after="0" w:line="261"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Digital cable subscriptions as a percentage of "digital ready" subscribers. Certain subscribers may have multiple digital cable subscriptions.</w:t>
      </w:r>
    </w:p>
    <w:p>
      <w:pPr>
        <w:sectPr>
          <w:pgSz w:w="11900" w:h="16838" w:orient="portrait"/>
          <w:cols w:equalWidth="0" w:num="1">
            <w:col w:w="11540"/>
          </w:cols>
          <w:pgMar w:left="220" w:top="785" w:right="139" w:bottom="1440" w:gutter="0" w:footer="0" w:header="0"/>
        </w:sectPr>
      </w:pPr>
    </w:p>
    <w:bookmarkStart w:id="8" w:name="page9"/>
    <w:bookmarkEnd w:id="8"/>
    <w:p>
      <w:pPr>
        <w:ind w:left="3080"/>
        <w:spacing w:after="0"/>
        <w:rPr>
          <w:sz w:val="20"/>
          <w:szCs w:val="20"/>
          <w:color w:val="auto"/>
        </w:rPr>
      </w:pPr>
      <w:r>
        <w:rPr>
          <w:rFonts w:ascii="Courier New" w:cs="Courier New" w:eastAsia="Courier New" w:hAnsi="Courier New"/>
          <w:sz w:val="15"/>
          <w:szCs w:val="15"/>
          <w:color w:val="auto"/>
        </w:rPr>
        <w:t>COMCAST(R)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gridSpan w:val="4"/>
          </w:tcPr>
          <w:p>
            <w:pPr>
              <w:ind w:left="1320"/>
              <w:spacing w:after="0"/>
              <w:rPr>
                <w:sz w:val="20"/>
                <w:szCs w:val="20"/>
                <w:color w:val="auto"/>
              </w:rPr>
            </w:pPr>
            <w:r>
              <w:rPr>
                <w:rFonts w:ascii="Courier New" w:cs="Courier New" w:eastAsia="Courier New" w:hAnsi="Courier New"/>
                <w:sz w:val="15"/>
                <w:szCs w:val="15"/>
                <w:color w:val="auto"/>
              </w:rPr>
              <w:t>Pro Forma Data - Commerce Segment (QVC) (Unaudited)</w:t>
            </w: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Base (1)</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UK</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Germany</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Other (2)</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w w:val="98"/>
              </w:rPr>
              <w:t>Three Months Ended March 31,</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$841.9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$67.6</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$60.5</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$993.5</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36.9%</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31.1%</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(Deficit) (millions)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$0.5</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$192.3</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Margin</w:t>
            </w:r>
          </w:p>
        </w:tc>
        <w:tc>
          <w:tcPr>
            <w:tcW w:w="2020" w:type="dxa"/>
            <w:vAlign w:val="bottom"/>
          </w:tcPr>
          <w:p>
            <w:pPr>
              <w:spacing w:after="0"/>
              <w:rPr>
                <w:sz w:val="14"/>
                <w:szCs w:val="14"/>
                <w:color w:val="auto"/>
              </w:rPr>
            </w:pP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0.8%</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Average Homes (millions) (3)</w:t>
            </w:r>
          </w:p>
        </w:tc>
        <w:tc>
          <w:tcPr>
            <w:tcW w:w="202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73.5</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24.2</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 per Average</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Home (in</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local currency)</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$11.46</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(pound)4.82</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(euro)2.84</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505"/>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w w:val="98"/>
              </w:rPr>
              <w:t>Three Months Ended March 31,</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$755.1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$68.7</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$46.1</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$14.1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$884.0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37.5%</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34.9%</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28.9%</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(Deficit) (millions)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$170.6</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($0.8)</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$172.7</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Margin</w:t>
            </w:r>
          </w:p>
        </w:tc>
        <w:tc>
          <w:tcPr>
            <w:tcW w:w="2020" w:type="dxa"/>
            <w:vAlign w:val="bottom"/>
          </w:tcPr>
          <w:p>
            <w:pPr>
              <w:spacing w:after="0"/>
              <w:rPr>
                <w:sz w:val="14"/>
                <w:szCs w:val="14"/>
                <w:color w:val="auto"/>
              </w:rPr>
            </w:pP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Average Homes (millions) (3)</w:t>
            </w:r>
          </w:p>
        </w:tc>
        <w:tc>
          <w:tcPr>
            <w:tcW w:w="202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70.8</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23.1</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 per Average</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Home (in</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local currency)</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$10.67</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(pound)5.31</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(euro)2.15</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Business includes domestic channel and QVC.com.</w:t>
      </w:r>
    </w:p>
    <w:p>
      <w:pPr>
        <w:spacing w:after="0" w:line="172" w:lineRule="exact"/>
        <w:rPr>
          <w:rFonts w:ascii="Courier New" w:cs="Courier New" w:eastAsia="Courier New" w:hAnsi="Courier New"/>
          <w:sz w:val="15"/>
          <w:szCs w:val="15"/>
          <w:color w:val="auto"/>
        </w:rPr>
      </w:pPr>
    </w:p>
    <w:p>
      <w:pPr>
        <w:ind w:left="440" w:right="4560" w:hanging="430"/>
        <w:spacing w:after="0" w:line="23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domestic and international infomercial businesses and QVC Japan.</w:t>
      </w:r>
    </w:p>
    <w:p>
      <w:pPr>
        <w:spacing w:after="0" w:line="173" w:lineRule="exact"/>
        <w:rPr>
          <w:rFonts w:ascii="Courier New" w:cs="Courier New" w:eastAsia="Courier New" w:hAnsi="Courier New"/>
          <w:sz w:val="15"/>
          <w:szCs w:val="15"/>
          <w:color w:val="auto"/>
        </w:rPr>
      </w:pPr>
    </w:p>
    <w:p>
      <w:pPr>
        <w:ind w:left="440" w:right="4380" w:hanging="430"/>
        <w:spacing w:after="0" w:line="235"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that while QVC has the potential to serve this many homes in Germany, it is estimated that only approximately 40% of the homes in Germany are programmed to receive the QVC channel.</w:t>
      </w:r>
    </w:p>
    <w:p>
      <w:pPr>
        <w:sectPr>
          <w:pgSz w:w="11900" w:h="16838" w:orient="portrait"/>
          <w:cols w:equalWidth="0" w:num="1">
            <w:col w:w="11300"/>
          </w:cols>
          <w:pgMar w:left="220" w:top="617" w:right="379" w:bottom="1440" w:gutter="0" w:footer="0" w:header="0"/>
        </w:sectPr>
      </w:pPr>
    </w:p>
    <w:bookmarkStart w:id="9" w:name="page10"/>
    <w:bookmarkEnd w:id="9"/>
    <w:p>
      <w:pPr>
        <w:jc w:val="center"/>
        <w:ind w:right="3480"/>
        <w:spacing w:after="0"/>
        <w:rPr>
          <w:sz w:val="20"/>
          <w:szCs w:val="20"/>
          <w:color w:val="auto"/>
        </w:rPr>
      </w:pPr>
      <w:r>
        <w:rPr>
          <w:rFonts w:ascii="Courier New" w:cs="Courier New" w:eastAsia="Courier New" w:hAnsi="Courier New"/>
          <w:sz w:val="15"/>
          <w:szCs w:val="15"/>
          <w:color w:val="auto"/>
        </w:rPr>
        <w:t>COMCAST(R)</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Reconciliation of Diluted EPS to OCF per share (Unaudited)</w:t>
      </w:r>
    </w:p>
    <w:p>
      <w:pPr>
        <w:ind w:left="980"/>
        <w:spacing w:after="0" w:line="237" w:lineRule="auto"/>
        <w:rPr>
          <w:sz w:val="20"/>
          <w:szCs w:val="20"/>
          <w:color w:val="auto"/>
        </w:rPr>
      </w:pPr>
      <w:r>
        <w:rPr>
          <w:rFonts w:ascii="Courier New" w:cs="Courier New" w:eastAsia="Courier New" w:hAnsi="Courier New"/>
          <w:sz w:val="15"/>
          <w:szCs w:val="15"/>
          <w:color w:val="auto"/>
        </w:rPr>
        <w:t>----------------------------------------------------------</w:t>
      </w:r>
    </w:p>
    <w:p>
      <w:pPr>
        <w:ind w:left="1580"/>
        <w:spacing w:after="0" w:line="238" w:lineRule="auto"/>
        <w:rPr>
          <w:sz w:val="20"/>
          <w:szCs w:val="20"/>
          <w:color w:val="auto"/>
        </w:rPr>
      </w:pPr>
      <w:r>
        <w:rPr>
          <w:rFonts w:ascii="Courier New" w:cs="Courier New" w:eastAsia="Courier New" w:hAnsi="Courier New"/>
          <w:sz w:val="15"/>
          <w:szCs w:val="15"/>
          <w:color w:val="auto"/>
        </w:rPr>
        <w:t>(dollars in millions, except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Three Months Ended</w:t>
            </w:r>
          </w:p>
        </w:tc>
        <w:tc>
          <w:tcPr>
            <w:tcW w:w="126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March 31,</w:t>
            </w:r>
          </w:p>
        </w:tc>
        <w:tc>
          <w:tcPr>
            <w:tcW w:w="126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94"/>
              </w:rPr>
              <w:t>2002</w:t>
            </w:r>
          </w:p>
        </w:tc>
        <w:tc>
          <w:tcPr>
            <w:tcW w:w="1140" w:type="dxa"/>
            <w:vAlign w:val="bottom"/>
          </w:tcPr>
          <w:p>
            <w:pPr>
              <w:spacing w:after="0"/>
              <w:rPr>
                <w:sz w:val="14"/>
                <w:szCs w:val="14"/>
                <w:color w:val="auto"/>
              </w:rPr>
            </w:pPr>
          </w:p>
        </w:tc>
        <w:tc>
          <w:tcPr>
            <w:tcW w:w="12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spacing w:after="0"/>
              <w:rPr>
                <w:sz w:val="14"/>
                <w:szCs w:val="14"/>
                <w:color w:val="auto"/>
              </w:rPr>
            </w:pPr>
          </w:p>
        </w:tc>
        <w:tc>
          <w:tcPr>
            <w:tcW w:w="12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per</w:t>
            </w:r>
          </w:p>
        </w:tc>
        <w:tc>
          <w:tcPr>
            <w:tcW w:w="11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per</w:t>
            </w:r>
          </w:p>
        </w:tc>
      </w:tr>
      <w:tr>
        <w:trPr>
          <w:trHeight w:val="168"/>
        </w:trPr>
        <w:tc>
          <w:tcPr>
            <w:tcW w:w="548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w:t>
            </w:r>
          </w:p>
        </w:tc>
      </w:tr>
      <w:tr>
        <w:trPr>
          <w:trHeight w:val="168"/>
        </w:trPr>
        <w:tc>
          <w:tcPr>
            <w:tcW w:w="548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Net income (loss) as reported</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($88.9)</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($0.09)</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$1,001.2</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Items to reconcile net income (loss) to operating cash flow:</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&amp; amortization</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387.1</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0.41</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734.7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0.76</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186.7</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182.3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0.19</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485.6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Non-operating items (1)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320.6</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(1,769.6)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5480" w:type="dxa"/>
            <w:vAlign w:val="bottom"/>
          </w:tcPr>
          <w:p>
            <w:pPr>
              <w:spacing w:after="0"/>
              <w:rPr>
                <w:sz w:val="14"/>
                <w:szCs w:val="14"/>
                <w:color w:val="auto"/>
              </w:rPr>
            </w:pPr>
          </w:p>
        </w:tc>
        <w:tc>
          <w:tcPr>
            <w:tcW w:w="2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Operating Cash Flow as reported</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$808.2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$0.85</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$634.2</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$0.66</w:t>
            </w:r>
          </w:p>
        </w:tc>
      </w:tr>
      <w:tr>
        <w:trPr>
          <w:trHeight w:val="168"/>
        </w:trPr>
        <w:tc>
          <w:tcPr>
            <w:tcW w:w="5480" w:type="dxa"/>
            <w:vAlign w:val="bottom"/>
          </w:tcPr>
          <w:p>
            <w:pPr>
              <w:spacing w:after="0"/>
              <w:rPr>
                <w:sz w:val="14"/>
                <w:szCs w:val="14"/>
                <w:color w:val="auto"/>
              </w:rPr>
            </w:pPr>
          </w:p>
        </w:tc>
        <w:tc>
          <w:tcPr>
            <w:tcW w:w="2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480" w:type="dxa"/>
            <w:vAlign w:val="bottom"/>
          </w:tcPr>
          <w:p>
            <w:pPr>
              <w:spacing w:after="0"/>
              <w:rPr>
                <w:sz w:val="20"/>
                <w:szCs w:val="20"/>
                <w:color w:val="auto"/>
              </w:rPr>
            </w:pPr>
            <w:r>
              <w:rPr>
                <w:rFonts w:ascii="Courier New" w:cs="Courier New" w:eastAsia="Courier New" w:hAnsi="Courier New"/>
                <w:sz w:val="15"/>
                <w:szCs w:val="15"/>
                <w:color w:val="auto"/>
              </w:rPr>
              <w:t>Diluted weighted average shares outstanding</w:t>
            </w:r>
          </w:p>
        </w:tc>
        <w:tc>
          <w:tcPr>
            <w:tcW w:w="1260" w:type="dxa"/>
            <w:vAlign w:val="bottom"/>
          </w:tcPr>
          <w:p>
            <w:pPr>
              <w:spacing w:after="0"/>
              <w:rPr>
                <w:sz w:val="24"/>
                <w:szCs w:val="2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951.4</w:t>
            </w:r>
          </w:p>
        </w:tc>
        <w:tc>
          <w:tcPr>
            <w:tcW w:w="114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965.0</w:t>
            </w:r>
          </w:p>
        </w:tc>
      </w:tr>
      <w:tr>
        <w:trPr>
          <w:trHeight w:val="168"/>
        </w:trPr>
        <w:tc>
          <w:tcPr>
            <w:tcW w:w="5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Detail of non-operating items: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(income) expense  - mark to market adjustments on</w:t>
      </w:r>
    </w:p>
    <w:tbl>
      <w:tblPr>
        <w:tblLayout w:type="fixed"/>
        <w:tblInd w:w="0" w:type="dxa"/>
        <w:tblCellMar>
          <w:top w:w="0" w:type="dxa"/>
          <w:left w:w="0" w:type="dxa"/>
          <w:bottom w:w="0" w:type="dxa"/>
          <w:right w:w="0" w:type="dxa"/>
        </w:tblCellMar>
      </w:tblPr>
      <w:tr>
        <w:trPr>
          <w:trHeight w:val="169"/>
        </w:trPr>
        <w:tc>
          <w:tcPr>
            <w:tcW w:w="548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trading securities, derivatives and hedged items, net</w:t>
            </w:r>
          </w:p>
        </w:tc>
        <w:tc>
          <w:tcPr>
            <w:tcW w:w="144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$243.9</w:t>
            </w:r>
          </w:p>
        </w:tc>
        <w:tc>
          <w:tcPr>
            <w:tcW w:w="11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$0.26</w:t>
            </w:r>
          </w:p>
        </w:tc>
        <w:tc>
          <w:tcPr>
            <w:tcW w:w="148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12.8</w:t>
            </w:r>
          </w:p>
        </w:tc>
        <w:tc>
          <w:tcPr>
            <w:tcW w:w="96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$0.01</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expense - investment impairment losses (2)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0.01</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894.1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0.93</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income - reclassification of unrealized gains (3)</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(1,092.4)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 gain on Adelphia systems exchange (4)</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(1,198.6)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 net of tax (5)</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(384.5)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 net (6)</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0.06</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2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non-operating items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$320.6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$0.33</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($1,769.6)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5480" w:type="dxa"/>
            <w:vAlign w:val="bottom"/>
          </w:tcPr>
          <w:p>
            <w:pPr>
              <w:spacing w:after="0"/>
              <w:rPr>
                <w:sz w:val="14"/>
                <w:szCs w:val="14"/>
                <w:color w:val="auto"/>
              </w:rPr>
            </w:pPr>
          </w:p>
        </w:tc>
        <w:tc>
          <w:tcPr>
            <w:tcW w:w="2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40" w:right="3660" w:hanging="430"/>
        <w:spacing w:after="0" w:line="256"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records losses on its investments for which the Company has determined that a decline in value of the investment was considered other than temporary. The loss for 2001 relates principally to the Company's investment in AT&amp;T, a portion of which was exchanged on April 30, 2001.</w:t>
      </w:r>
    </w:p>
    <w:p>
      <w:pPr>
        <w:spacing w:after="0" w:line="164" w:lineRule="exact"/>
        <w:rPr>
          <w:rFonts w:ascii="Courier New" w:cs="Courier New" w:eastAsia="Courier New" w:hAnsi="Courier New"/>
          <w:sz w:val="14"/>
          <w:szCs w:val="14"/>
          <w:color w:val="auto"/>
        </w:rPr>
      </w:pPr>
    </w:p>
    <w:p>
      <w:pPr>
        <w:ind w:left="440" w:right="3500" w:hanging="430"/>
        <w:spacing w:after="0" w:line="235"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adoption of a new accounting standard for the accounting of derivative instruments and hedging activities in the first quarter of 2001, the Company reclassified its investment in Sprint PCS from an available for sale security to a trading security.</w:t>
      </w:r>
    </w:p>
    <w:p>
      <w:pPr>
        <w:spacing w:after="0" w:line="175" w:lineRule="exact"/>
        <w:rPr>
          <w:rFonts w:ascii="Courier New" w:cs="Courier New" w:eastAsia="Courier New" w:hAnsi="Courier New"/>
          <w:sz w:val="15"/>
          <w:szCs w:val="15"/>
          <w:color w:val="auto"/>
        </w:rPr>
      </w:pPr>
    </w:p>
    <w:p>
      <w:pPr>
        <w:ind w:left="440" w:right="3580" w:hanging="430"/>
        <w:spacing w:after="0" w:line="261"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gain recognized upon the completion of the Company's cable systems exchange with Adelphia Communications Corporation in January 2001.</w:t>
      </w:r>
    </w:p>
    <w:p>
      <w:pPr>
        <w:spacing w:after="0" w:line="159" w:lineRule="exact"/>
        <w:rPr>
          <w:rFonts w:ascii="Courier New" w:cs="Courier New" w:eastAsia="Courier New" w:hAnsi="Courier New"/>
          <w:sz w:val="14"/>
          <w:szCs w:val="14"/>
          <w:color w:val="auto"/>
        </w:rPr>
      </w:pPr>
    </w:p>
    <w:p>
      <w:pPr>
        <w:ind w:left="440" w:right="4020" w:hanging="430"/>
        <w:spacing w:after="0" w:line="23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effect of adopting the new accounting standard for the accounting of derivative instruments and hedging activities.</w:t>
      </w:r>
    </w:p>
    <w:p>
      <w:pPr>
        <w:spacing w:after="0" w:line="173" w:lineRule="exact"/>
        <w:rPr>
          <w:rFonts w:ascii="Courier New" w:cs="Courier New" w:eastAsia="Courier New" w:hAnsi="Courier New"/>
          <w:sz w:val="15"/>
          <w:szCs w:val="15"/>
          <w:color w:val="auto"/>
        </w:rPr>
      </w:pPr>
    </w:p>
    <w:p>
      <w:pPr>
        <w:ind w:left="440" w:right="3660" w:hanging="430"/>
        <w:spacing w:after="0" w:line="261"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investment, interest and dividend income, equity in net (income) losses of affiliates, other income (expense) and minority interest.</w:t>
      </w:r>
    </w:p>
    <w:p>
      <w:pPr>
        <w:sectPr>
          <w:pgSz w:w="11900" w:h="16838" w:orient="portrait"/>
          <w:cols w:equalWidth="0" w:num="1">
            <w:col w:w="10500"/>
          </w:cols>
          <w:pgMar w:left="220" w:top="617" w:right="1179" w:bottom="1440" w:gutter="0" w:footer="0" w:header="0"/>
        </w:sectPr>
      </w:pPr>
    </w:p>
    <w:bookmarkStart w:id="10" w:name="page11"/>
    <w:bookmarkEnd w:id="10"/>
    <w:p>
      <w:pPr>
        <w:jc w:val="center"/>
        <w:ind w:right="3239"/>
        <w:spacing w:after="0"/>
        <w:rPr>
          <w:sz w:val="20"/>
          <w:szCs w:val="20"/>
          <w:color w:val="auto"/>
        </w:rPr>
      </w:pPr>
      <w:r>
        <w:rPr>
          <w:rFonts w:ascii="Courier New" w:cs="Courier New" w:eastAsia="Courier New" w:hAnsi="Courier New"/>
          <w:sz w:val="15"/>
          <w:szCs w:val="15"/>
          <w:color w:val="auto"/>
        </w:rPr>
        <w:t>Note: The following notice is included to meet certain legal requirements: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businesses of AT&amp;T Corp. ("AT&amp;T"), Comcast Corporation ("Comcast") and, after the completion of the proposed transaction between AT&amp;T and Comcast, AT&amp;T Comcast Corporation ("AT&amp;T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AT&amp;T's, Comcast's and AT&amp;T Comcast's filings with the Securities and Exchange Commission ("SEC"), including risks and uncertainties relating to: failure to obtain and retain expected synergies from the proposed transaction, delays in obtaining, or adverse conditions contained in, any required regulatory approvals, changes in laws or regulations, availability and cost of capital and other similar factors. Readers are referred to AT&amp;T's and Comcast's most recent reports filed with the SEC. AT&amp;T, Comcast and AT&amp;T Comcast are under no obligation to (and expressly disclaim any such obligation to) update or alter their forward-looking statements whether as a result of new information, future events or otherwise.</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proposed transaction, AT&amp;T, Comcast and AT&amp;T Comcast have filed a joint proxy statement / prospectus with the SEC. INVESTORS AND SECURITY HOLDERS ARE URGED TO CAREFULLY READ THE JOINT PROXY STATEMENT / PROSPECTUS REGARDING THE PROPOSED TRANSACTION BECAUSE IT CONTAINS IMPORTANT INFORMATION. Investors and security holders may obtain a free copy of the joint proxy statement/prospectus and other documents containing information about AT&amp;T, Comcast and AT&amp;T Comcast, without charge, at the SEC's web site at http://www.sec.gov. Free copies of AT&amp;T's filings may be obtained by directing a request to AT&amp;T Corp., 295 North Maple Avenue, Basking Ridge, N.J. 07920, Attention: Investor Relations. Free copies of Comcast's and AT&amp;T Comcast's filings may be obtained by directing a request to Comcast Corporation, 1500 Market Street, Philadelphia, Pennsylvania 19102-2148, Attention: General Counsel.</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AT&amp;T, Comcast and their respective directors, executive officers and other members of their management and employees may be soliciting proxies from their respective stockholders in connection with the proposed transaction. Information concerning Comcast's participants in the solicitation is contained in a filing made by Comcast with the Commission pursuant to Rule 14a-12 on July 9, 2001.</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7"/>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2019-12-12T02:24:01Z</dcterms:created>
  <dcterms:modified xsi:type="dcterms:W3CDTF">2019-12-12T02:24:01Z</dcterms:modified>
</cp:coreProperties>
</file>