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doc4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Bell Madeline S.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72"/>
        <w:gridCol w:w="908"/>
        <w:gridCol w:w="775"/>
        <w:gridCol w:w="604"/>
        <w:gridCol w:w="362"/>
        <w:gridCol w:w="855"/>
        <w:gridCol w:w="492"/>
        <w:gridCol w:w="654"/>
        <w:gridCol w:w="1227"/>
        <w:gridCol w:w="1045"/>
        <w:gridCol w:w="94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4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4,185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22,902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161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44.215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22,741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convert on a one-to-one basis.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elected to defer receipt of shares of Class A Common Stock issuable as a grant for director fees, resulting in an accrual to his account of additional phantom shares. Phantom stock may be re-deferred at future dates.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Although the reporting person elected to defer receipt of the shares of Class A common stock underlying the phantom shares, these shares were withheld for payment of tax liability.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667583" TargetMode="External"/><Relationship Id="rId4" Type="http://schemas.openxmlformats.org/officeDocument/2006/relationships/hyperlink" Target="../../../../cgi-bin/browse-edgar%3F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614</Words>
  <CharactersWithSpaces>3842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