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34121d424b2.htm"/>
        <w:bookmarkStart w:id="1" w:name="ksd834121d424b2"/>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424(b)(2) </w:t>
        <w:br/>
        <w:t xml:space="preserve">Registration No. 333-266390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sz w:val="18"/>
        </w:rPr>
      </w:pPr>
      <w:r>
        <w:rPr>
          <w:rFonts w:ascii="Times New Roman" w:hAnsi="Times New Roman"/>
          <w:b/>
          <w:i/>
          <w:sz w:val="18"/>
        </w:rPr>
        <w:t>(To prospectus dated July</w:t>
      </w:r>
      <w:r>
        <w:rPr>
          <w:rFonts w:ascii="Times New Roman" w:hAnsi="Times New Roman"/>
          <w:sz w:val="18"/>
        </w:rPr>
        <w:t> </w:t>
      </w:r>
      <w:r>
        <w:rPr>
          <w:rFonts w:ascii="Times New Roman" w:hAnsi="Times New Roman"/>
          <w:b/>
          <w:i/>
          <w:sz w:val="18"/>
        </w:rPr>
        <w:t>29, 2022)</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20574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72390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32"/>
        </w:rPr>
      </w:pPr>
      <w:r>
        <w:rPr>
          <w:rFonts w:ascii="Times New Roman" w:hAnsi="Times New Roman"/>
          <w:b/>
          <w:sz w:val="32"/>
        </w:rPr>
        <w:t xml:space="preserve">$750,000,000 5.100% Notes due 2029 </w:t>
      </w:r>
    </w:p>
    <w:p>
      <w:pPr>
        <w:pStyle w:val="TextBody"/>
        <w:bidi w:val="0"/>
        <w:spacing w:before="0" w:after="0"/>
        <w:jc w:val="center"/>
        <w:rPr>
          <w:rFonts w:ascii="Times New Roman" w:hAnsi="Times New Roman"/>
          <w:b/>
          <w:sz w:val="32"/>
        </w:rPr>
      </w:pPr>
      <w:r>
        <w:rPr>
          <w:rFonts w:ascii="Times New Roman" w:hAnsi="Times New Roman"/>
          <w:b/>
          <w:sz w:val="32"/>
        </w:rPr>
        <w:t xml:space="preserve">$1,300,000,000 5.300% Notes due 2034 </w:t>
      </w:r>
    </w:p>
    <w:p>
      <w:pPr>
        <w:pStyle w:val="TextBody"/>
        <w:bidi w:val="0"/>
        <w:spacing w:before="0" w:after="0"/>
        <w:jc w:val="center"/>
        <w:rPr>
          <w:rFonts w:ascii="Times New Roman" w:hAnsi="Times New Roman"/>
          <w:b/>
          <w:sz w:val="32"/>
        </w:rPr>
      </w:pPr>
      <w:r>
        <w:rPr>
          <w:rFonts w:ascii="Times New Roman" w:hAnsi="Times New Roman"/>
          <w:b/>
          <w:sz w:val="32"/>
        </w:rPr>
        <w:t xml:space="preserve">$1,200,000,000 5.650% Notes due 2054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18"/>
        </w:rPr>
      </w:pPr>
      <w:r>
        <w:rPr>
          <w:rFonts w:ascii="Times New Roman" w:hAnsi="Times New Roman"/>
          <w:sz w:val="18"/>
        </w:rPr>
        <w:t xml:space="preserve">We are offering $750,000,000 of 5.100% Notes due 2029 (the Notes due 2029), $1,300,000,000 of 5.300% Notes due 2034 (the Notes due 2034) and $1,200,000,000 of 5.650% Notes due 2054 (the Notes due 2054). The Notes due 2029 will bear interest at a rate of 5.100% per year and will mature on June 1, 2029, the Notes due 2034 will bear interest at a rate of 5.300% per year and will mature on June 1, 2034 and the Notes due 2054 will bear interest at a rate of 5.650% per year and will mature on June 1, 2054. We refer to the Notes due 2029, the Notes due 2034 and the Notes due 2054 collectively as the notes. We will pay interest on the Notes due 2029, Notes due 2034 and Notes due 2054 on June 1 and December 1 of each year, beginning on December 1, 2024. We may redeem any of the notes at any time by paying the applicable redemption price described under the heading Description of the NotesOptional Redemption. </w:t>
      </w:r>
    </w:p>
    <w:p>
      <w:pPr>
        <w:pStyle w:val="TextBody"/>
        <w:bidi w:val="0"/>
        <w:spacing w:before="160" w:after="0"/>
        <w:jc w:val="left"/>
        <w:rPr>
          <w:rFonts w:ascii="Times New Roman" w:hAnsi="Times New Roman"/>
          <w:sz w:val="18"/>
        </w:rPr>
      </w:pPr>
      <w:r>
        <w:rPr>
          <w:rFonts w:ascii="Times New Roman" w:hAnsi="Times New Roman"/>
          <w:sz w:val="18"/>
        </w:rPr>
        <w:t xml:space="preserve">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b/>
          <w:sz w:val="18"/>
        </w:rPr>
      </w:pPr>
      <w:r>
        <w:rPr>
          <w:rFonts w:ascii="Times New Roman" w:hAnsi="Times New Roman"/>
          <w:b/>
          <w:sz w:val="18"/>
        </w:rPr>
        <w:t xml:space="preserve">Investing in these securities involves certain risks. See Item 1ARisk Factors beginning on page 20 of Comcast Corporations (Comcast) Annual Report on Form 10-K for the year ended December 31, 2023, which is incorporated by reference herein.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43"/>
        <w:gridCol w:w="322"/>
        <w:gridCol w:w="140"/>
        <w:gridCol w:w="1510"/>
        <w:gridCol w:w="275"/>
        <w:gridCol w:w="233"/>
        <w:gridCol w:w="188"/>
        <w:gridCol w:w="1321"/>
        <w:gridCol w:w="275"/>
        <w:gridCol w:w="233"/>
        <w:gridCol w:w="140"/>
        <w:gridCol w:w="1510"/>
        <w:gridCol w:w="282"/>
      </w:tblGrid>
      <w:tr>
        <w:trPr/>
        <w:tc>
          <w:tcPr>
            <w:tcW w:w="2143"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b/>
              </w:rPr>
              <w:t>Price to</w:t>
            </w:r>
            <w:r>
              <w:rPr/>
              <w:br/>
            </w:r>
            <w:r>
              <w:rPr>
                <w:b/>
              </w:rPr>
              <w:t>Investors</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Underwriters</w:t>
              <w:br/>
              <w:t>Discount</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b/>
              </w:rPr>
              <w:t>Proceeds to Us</w:t>
              <w:br/>
              <w:t>Before</w:t>
            </w:r>
            <w:r>
              <w:rPr/>
              <w:br/>
            </w:r>
            <w:r>
              <w:rPr>
                <w:b/>
              </w:rPr>
              <w:t>Expenses</w:t>
            </w:r>
          </w:p>
        </w:tc>
        <w:tc>
          <w:tcPr>
            <w:tcW w:w="282"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 due 2029 (1)</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99.928</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0.250</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99.678</w:t>
            </w:r>
          </w:p>
        </w:tc>
        <w:tc>
          <w:tcPr>
            <w:tcW w:w="282"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749,460,000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1,875,000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747,585,000</w:t>
            </w:r>
          </w:p>
        </w:tc>
        <w:tc>
          <w:tcPr>
            <w:tcW w:w="282"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 due 2034 (1)</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99.668</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0.400</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99.268</w:t>
            </w:r>
          </w:p>
        </w:tc>
        <w:tc>
          <w:tcPr>
            <w:tcW w:w="282"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1,295,684,000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5,200,000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1,290,484,000</w:t>
            </w:r>
          </w:p>
        </w:tc>
        <w:tc>
          <w:tcPr>
            <w:tcW w:w="282"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 due 2054 (1)</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99.554</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0.750</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98.804</w:t>
            </w:r>
          </w:p>
        </w:tc>
        <w:tc>
          <w:tcPr>
            <w:tcW w:w="282"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1,194,648,000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9,000,000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1,185,648,000</w:t>
            </w:r>
          </w:p>
        </w:tc>
        <w:tc>
          <w:tcPr>
            <w:tcW w:w="28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May 22, 2024, if settlement occurs after that date. </w:t>
            </w:r>
          </w:p>
        </w:tc>
      </w:tr>
    </w:tbl>
    <w:p>
      <w:pPr>
        <w:pStyle w:val="TextBody"/>
        <w:bidi w:val="0"/>
        <w:spacing w:before="160" w:after="0"/>
        <w:jc w:val="left"/>
        <w:rPr>
          <w:rFonts w:ascii="Times New Roman" w:hAnsi="Times New Roman"/>
          <w:b/>
          <w:sz w:val="18"/>
        </w:rPr>
      </w:pPr>
      <w:r>
        <w:rPr>
          <w:rFonts w:ascii="Times New Roman" w:hAnsi="Times New Roman"/>
          <w:b/>
          <w:sz w:val="18"/>
        </w:rPr>
        <w:t xml:space="preserve">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60" w:after="0"/>
        <w:jc w:val="left"/>
        <w:rPr>
          <w:rFonts w:ascii="Times New Roman" w:hAnsi="Times New Roman"/>
          <w:sz w:val="18"/>
        </w:rPr>
      </w:pPr>
      <w:r>
        <w:rPr>
          <w:rFonts w:ascii="Times New Roman" w:hAnsi="Times New Roman"/>
          <w:sz w:val="18"/>
        </w:rPr>
        <w:t xml:space="preserve">The notes will be ready for delivery only through The Depository Trust Company and its participants, including Euroclear SA/NV (Euroclear) and Clearstream Banking SA (Clearstream), in book-entry form on or about May 22, 2024 which is the second business day following the date of this prospectus supplement. See Underwriting (Conflicts of Interest).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i/>
          <w:sz w:val="18"/>
        </w:rPr>
      </w:pPr>
      <w:r>
        <w:rPr>
          <w:rFonts w:ascii="Times New Roman" w:hAnsi="Times New Roman"/>
          <w:b/>
          <w:i/>
          <w:sz w:val="18"/>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Barclays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Santander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Deutsche Bank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TD Securities</w:t>
            </w:r>
          </w:p>
        </w:tc>
      </w:tr>
    </w:tbl>
    <w:p>
      <w:pPr>
        <w:pStyle w:val="TextBody"/>
        <w:bidi w:val="0"/>
        <w:spacing w:before="160" w:after="0"/>
        <w:jc w:val="center"/>
        <w:rPr>
          <w:rFonts w:ascii="Times New Roman" w:hAnsi="Times New Roman"/>
          <w:b/>
          <w:sz w:val="18"/>
        </w:rPr>
      </w:pPr>
      <w:r>
        <w:rPr>
          <w:rFonts w:ascii="Times New Roman" w:hAnsi="Times New Roman"/>
          <w:b/>
          <w:sz w:val="18"/>
        </w:rPr>
        <w:t xml:space="preserve">The date of this prospectus supplement is May 20,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3"/>
        <w:gridCol w:w="136"/>
        <w:gridCol w:w="60"/>
        <w:gridCol w:w="434"/>
        <w:gridCol w:w="62"/>
      </w:tblGrid>
      <w:tr>
        <w:trPr/>
        <w:tc>
          <w:tcPr>
            <w:tcW w:w="951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1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494"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513" w:type="dxa"/>
            <w:tcBorders/>
          </w:tcPr>
          <w:p>
            <w:pPr>
              <w:pStyle w:val="TableContents"/>
              <w:bidi w:val="0"/>
              <w:spacing w:before="0" w:after="283"/>
              <w:jc w:val="center"/>
              <w:rPr>
                <w:b/>
              </w:rPr>
            </w:pPr>
            <w:r>
              <w:rPr>
                <w:b/>
              </w:rPr>
              <w:t>Prospectus Supplement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434"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240" w:hRule="atLeast"/>
        </w:trPr>
        <w:tc>
          <w:tcPr>
            <w:tcW w:w="9513" w:type="dxa"/>
            <w:tcBorders/>
            <w:vAlign w:val="center"/>
          </w:tcPr>
          <w:p>
            <w:pPr>
              <w:pStyle w:val="TableContents"/>
              <w:bidi w:val="0"/>
              <w:spacing w:before="0" w:after="283"/>
              <w:jc w:val="left"/>
              <w:rPr>
                <w:sz w:val="4"/>
                <w:szCs w:val="4"/>
              </w:rPr>
            </w:pPr>
            <w:r>
              <w:rPr>
                <w:sz w:val="4"/>
                <w:szCs w:val="4"/>
              </w:rPr>
            </w:r>
          </w:p>
        </w:tc>
        <w:tc>
          <w:tcPr>
            <w:tcW w:w="692" w:type="dxa"/>
            <w:gridSpan w:val="4"/>
            <w:tcBorders/>
            <w:vAlign w:val="center"/>
          </w:tcPr>
          <w:p>
            <w:pPr>
              <w:pStyle w:val="TableContents"/>
              <w:bidi w:val="0"/>
              <w:spacing w:before="0" w:after="283"/>
              <w:jc w:val="left"/>
              <w:rPr>
                <w:sz w:val="4"/>
                <w:szCs w:val="4"/>
              </w:rPr>
            </w:pPr>
            <w:r>
              <w:rPr>
                <w:sz w:val="4"/>
                <w:szCs w:val="4"/>
              </w:rPr>
            </w:r>
          </w:p>
        </w:tc>
      </w:tr>
      <w:tr>
        <w:trPr/>
        <w:tc>
          <w:tcPr>
            <w:tcW w:w="9513" w:type="dxa"/>
            <w:tcBorders/>
          </w:tcPr>
          <w:p>
            <w:pPr>
              <w:pStyle w:val="TableContents"/>
              <w:bidi w:val="0"/>
              <w:spacing w:before="0" w:after="283"/>
              <w:jc w:val="left"/>
              <w:rPr/>
            </w:pPr>
            <w:hyperlink w:anchor="supptx834121_1">
              <w:r>
                <w:rPr>
                  <w:rStyle w:val="InternetLink"/>
                </w:rPr>
                <w:t>Where You Can Find More Information</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ii</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2">
              <w:r>
                <w:rPr>
                  <w:rStyle w:val="InternetLink"/>
                </w:rPr>
                <w:t>Prospectus Supplement Summary</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S-1</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3">
              <w:r>
                <w:rPr>
                  <w:rStyle w:val="InternetLink"/>
                </w:rPr>
                <w:t>Use of Proceeds</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S-5</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4">
              <w:r>
                <w:rPr>
                  <w:rStyle w:val="InternetLink"/>
                </w:rPr>
                <w:t>Description of the Notes</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S-6</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5">
              <w:r>
                <w:rPr>
                  <w:rStyle w:val="InternetLink"/>
                </w:rPr>
                <w:t>Material U.S. Federal Income Tax Consequences for Non-U.S. Holders</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S-12</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6">
              <w:r>
                <w:rPr>
                  <w:rStyle w:val="InternetLink"/>
                </w:rPr>
                <w:t>Underwriting (Conflicts of Interest)</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S-15</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7">
              <w:r>
                <w:rPr>
                  <w:rStyle w:val="InternetLink"/>
                </w:rPr>
                <w:t>Legal Matters</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S-21</w:t>
            </w:r>
          </w:p>
        </w:tc>
        <w:tc>
          <w:tcPr>
            <w:tcW w:w="62" w:type="dxa"/>
            <w:tcBorders/>
          </w:tcPr>
          <w:p>
            <w:pPr>
              <w:pStyle w:val="TableContents"/>
              <w:bidi w:val="0"/>
              <w:spacing w:before="0" w:after="283"/>
              <w:jc w:val="left"/>
              <w:rPr/>
            </w:pPr>
            <w:r>
              <w:rPr/>
              <w:t> </w:t>
            </w:r>
          </w:p>
        </w:tc>
      </w:tr>
      <w:tr>
        <w:trPr/>
        <w:tc>
          <w:tcPr>
            <w:tcW w:w="9513" w:type="dxa"/>
            <w:tcBorders/>
          </w:tcPr>
          <w:p>
            <w:pPr>
              <w:pStyle w:val="TableContents"/>
              <w:bidi w:val="0"/>
              <w:spacing w:before="0" w:after="283"/>
              <w:jc w:val="left"/>
              <w:rPr/>
            </w:pPr>
            <w:hyperlink w:anchor="supptx834121_8">
              <w:r>
                <w:rPr>
                  <w:rStyle w:val="InternetLink"/>
                </w:rPr>
                <w:t>Experts</w:t>
              </w:r>
            </w:hyperlink>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34" w:type="dxa"/>
            <w:tcBorders/>
          </w:tcPr>
          <w:p>
            <w:pPr>
              <w:pStyle w:val="TableContents"/>
              <w:bidi w:val="0"/>
              <w:spacing w:before="0" w:after="283"/>
              <w:jc w:val="right"/>
              <w:rPr/>
            </w:pPr>
            <w:r>
              <w:rPr/>
              <w:t>S-21</w:t>
            </w:r>
          </w:p>
        </w:tc>
        <w:tc>
          <w:tcPr>
            <w:tcW w:w="62" w:type="dxa"/>
            <w:tcBorders/>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69"/>
        <w:gridCol w:w="60"/>
        <w:gridCol w:w="265"/>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283"/>
              <w:jc w:val="left"/>
              <w:rPr/>
            </w:pPr>
            <w:hyperlink w:anchor="toc834121_2">
              <w:r>
                <w:rPr>
                  <w:rStyle w:val="InternetLink"/>
                </w:rPr>
                <w:t>The Companies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3">
              <w:r>
                <w:rPr>
                  <w:rStyle w:val="InternetLink"/>
                </w:rPr>
                <w:t>Caution Concerning Forward-Looking Statements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4</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4">
              <w:r>
                <w:rPr>
                  <w:rStyle w:val="InternetLink"/>
                </w:rPr>
                <w:t>Use of Proceeds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6</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5">
              <w:r>
                <w:rPr>
                  <w:rStyle w:val="InternetLink"/>
                </w:rPr>
                <w:t>Dividend Policy</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6</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6">
              <w:r>
                <w:rPr>
                  <w:rStyle w:val="InternetLink"/>
                </w:rPr>
                <w:t>Description of Debt Securities and Guarantees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7</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7">
              <w:r>
                <w:rPr>
                  <w:rStyle w:val="InternetLink"/>
                </w:rPr>
                <w:t>Global Securities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20</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8">
              <w:r>
                <w:rPr>
                  <w:rStyle w:val="InternetLink"/>
                </w:rPr>
                <w:t>Description of Capital Stock</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22</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9">
              <w:r>
                <w:rPr>
                  <w:rStyle w:val="InternetLink"/>
                </w:rPr>
                <w:t>Plan of Distribution</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24</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10">
              <w:r>
                <w:rPr>
                  <w:rStyle w:val="InternetLink"/>
                </w:rPr>
                <w:t>Legal Matters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25</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11">
              <w:r>
                <w:rPr>
                  <w:rStyle w:val="InternetLink"/>
                </w:rPr>
                <w:t>Experts</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25</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12">
              <w:r>
                <w:rPr>
                  <w:rStyle w:val="InternetLink"/>
                </w:rPr>
                <w:t>Available Information</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25</w:t>
            </w:r>
          </w:p>
        </w:tc>
        <w:tc>
          <w:tcPr>
            <w:tcW w:w="62" w:type="dxa"/>
            <w:tcBorders/>
          </w:tcPr>
          <w:p>
            <w:pPr>
              <w:pStyle w:val="TableContents"/>
              <w:bidi w:val="0"/>
              <w:spacing w:before="0" w:after="283"/>
              <w:jc w:val="left"/>
              <w:rPr/>
            </w:pPr>
            <w:r>
              <w:rPr/>
              <w:t> </w:t>
            </w:r>
          </w:p>
        </w:tc>
      </w:tr>
      <w:tr>
        <w:trPr/>
        <w:tc>
          <w:tcPr>
            <w:tcW w:w="9649" w:type="dxa"/>
            <w:tcBorders/>
          </w:tcPr>
          <w:p>
            <w:pPr>
              <w:pStyle w:val="TableContents"/>
              <w:bidi w:val="0"/>
              <w:spacing w:before="0" w:after="283"/>
              <w:jc w:val="left"/>
              <w:rPr/>
            </w:pPr>
            <w:hyperlink w:anchor="toc834121_13">
              <w:r>
                <w:rPr>
                  <w:rStyle w:val="InternetLink"/>
                </w:rPr>
                <w:t>Incorporation of Certain Documents by Reference</w:t>
              </w:r>
            </w:hyperlink>
          </w:p>
        </w:tc>
        <w:tc>
          <w:tcPr>
            <w:tcW w:w="16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26</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refer to Comcast Corporation in this prospectus supplement as Comcast, and Comcast and its consolidated subsidiaries as we, us, our or comparable terms. We refer to Comcast Cable Communications, LLC and its consolidated subsidiaries as Comcast Cable, NBCUniversal Media, LLC and its consolidated subsidiaries as NBCUniversal, and both of them collectively as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tx834121_1"/>
      <w:bookmarkEnd w:id="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of Comcast set forth below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Comcasts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2023, filed on January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Comcasts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2024, filed on April 25,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Comcasts Current Reports on Form 8-K, filed on </w:t>
            </w:r>
            <w:hyperlink r:id="rId5">
              <w:r>
                <w:rPr>
                  <w:rStyle w:val="InternetLink"/>
                  <w:rFonts w:ascii="Times New Roman" w:hAnsi="Times New Roman"/>
                  <w:sz w:val="20"/>
                </w:rPr>
                <w:t>April  15, 2024</w:t>
              </w:r>
            </w:hyperlink>
            <w:r>
              <w:rPr>
                <w:rFonts w:ascii="Times New Roman" w:hAnsi="Times New Roman"/>
                <w:sz w:val="20"/>
              </w:rPr>
              <w:t xml:space="preserve"> and </w:t>
            </w:r>
            <w:hyperlink r:id="rId6">
              <w:r>
                <w:rPr>
                  <w:rStyle w:val="InternetLink"/>
                  <w:rFonts w:ascii="Times New Roman" w:hAnsi="Times New Roman"/>
                  <w:sz w:val="20"/>
                </w:rPr>
                <w:t>May 17,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of Comcasts </w:t>
            </w:r>
            <w:hyperlink r:id="rId7">
              <w:r>
                <w:rPr>
                  <w:rStyle w:val="InternetLink"/>
                  <w:rFonts w:ascii="Times New Roman" w:hAnsi="Times New Roman"/>
                  <w:sz w:val="20"/>
                </w:rPr>
                <w:t>Definitive Proxy Statement</w:t>
              </w:r>
            </w:hyperlink>
            <w:r>
              <w:rPr>
                <w:rFonts w:ascii="Times New Roman" w:hAnsi="Times New Roman"/>
                <w:sz w:val="20"/>
              </w:rPr>
              <w:t xml:space="preserve"> on Schedule 14A for the 2024 annual meeting of shareholders incorporated by reference in Comcasts Annual Report on </w:t>
            </w:r>
            <w:hyperlink r:id="rId8">
              <w:r>
                <w:rPr>
                  <w:rStyle w:val="InternetLink"/>
                  <w:rFonts w:ascii="Times New Roman" w:hAnsi="Times New Roman"/>
                  <w:sz w:val="20"/>
                </w:rPr>
                <w:t>Form 10-K</w:t>
              </w:r>
            </w:hyperlink>
            <w:r>
              <w:rPr>
                <w:rFonts w:ascii="Times New Roman" w:hAnsi="Times New Roman"/>
                <w:sz w:val="20"/>
              </w:rPr>
              <w:t xml:space="preserve">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834121_2"/>
      <w:bookmarkEnd w:id="4"/>
      <w:r>
        <w:rPr>
          <w:rFonts w:ascii="Times New Roman" w:hAnsi="Times New Roman"/>
          <w:b/>
          <w:sz w:val="20"/>
          <w:bdr w:val="single" w:sz="8" w:space="1" w:color="000000"/>
        </w:rPr>
        <w:t xml:space="preserve">PROSPECTUS SUPPLEMENT SUMMARY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Comcast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and Sky brands; produce, distribute and stream leading entertainment, sports and news through brands including NBC, Telemundo, Universal, Peacock and Sky; and own and operate Universal theme parks.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two primary businesses: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Connectivity</w:t>
            </w:r>
            <w:r>
              <w:rPr>
                <w:rFonts w:ascii="Times New Roman" w:hAnsi="Times New Roman"/>
                <w:sz w:val="20"/>
              </w:rPr>
              <w:t> </w:t>
            </w:r>
            <w:r>
              <w:rPr>
                <w:rFonts w:ascii="Times New Roman" w:hAnsi="Times New Roman"/>
                <w:b/>
                <w:sz w:val="20"/>
              </w:rPr>
              <w:t>&amp; Platforms</w:t>
            </w:r>
            <w:r>
              <w:rPr>
                <w:rFonts w:ascii="Times New Roman" w:hAnsi="Times New Roman"/>
                <w:sz w:val="20"/>
              </w:rPr>
              <w:t xml:space="preserve">: Contains our broadband, wireless, video and wireline voice businesses in the United States, United Kingdom and Italy (collectively, the Connectivity &amp; Platforms markets). Also includes the operations of our Sky-branded entertainment television networks in the United Kingdom and Italy. Our Connectivity &amp; Platforms business is reported in two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Residential Connectivity</w:t>
            </w:r>
            <w:r>
              <w:rPr>
                <w:rFonts w:ascii="Times New Roman" w:hAnsi="Times New Roman"/>
                <w:sz w:val="20"/>
              </w:rPr>
              <w:t> </w:t>
            </w:r>
            <w:r>
              <w:rPr>
                <w:rFonts w:ascii="Times New Roman" w:hAnsi="Times New Roman"/>
                <w:b/>
                <w:sz w:val="20"/>
              </w:rPr>
              <w:t>&amp; Platforms Segment</w:t>
            </w:r>
            <w:r>
              <w:rPr>
                <w:rFonts w:ascii="Times New Roman" w:hAnsi="Times New Roman"/>
                <w:sz w:val="20"/>
              </w:rPr>
              <w:t xml:space="preserve">: Includes our residential broadband and wireless services, residential and business video services, Sky-branded entertainment television networks and advertising.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Business Services Connectivity Segment</w:t>
            </w:r>
            <w:r>
              <w:rPr>
                <w:rFonts w:ascii="Times New Roman" w:hAnsi="Times New Roman"/>
                <w:sz w:val="20"/>
              </w:rPr>
              <w:t xml:space="preserve">: Includes our service offerings for small business locations in the United States, which include broadband, wireline voice and wireless services, as well as our service offerings for medium-sized customers and larger enterprises.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Content</w:t>
            </w:r>
            <w:r>
              <w:rPr>
                <w:rFonts w:ascii="Times New Roman" w:hAnsi="Times New Roman"/>
                <w:sz w:val="20"/>
              </w:rPr>
              <w:t> </w:t>
            </w:r>
            <w:r>
              <w:rPr>
                <w:rFonts w:ascii="Times New Roman" w:hAnsi="Times New Roman"/>
                <w:b/>
                <w:sz w:val="20"/>
              </w:rPr>
              <w:t>&amp; Experiences</w:t>
            </w:r>
            <w:r>
              <w:rPr>
                <w:rFonts w:ascii="Times New Roman" w:hAnsi="Times New Roman"/>
                <w:sz w:val="20"/>
              </w:rPr>
              <w:t xml:space="preserve">: Contains our media and entertainment businesses that produce and distribute entertainment, sports, news and other content for global audiences and that own and operate theme parks and attractions in the United States and Asia. Our Content &amp; Experiences business is reported in three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Media Segment</w:t>
            </w:r>
            <w:r>
              <w:rPr>
                <w:rFonts w:ascii="Times New Roman" w:hAnsi="Times New Roman"/>
                <w:sz w:val="20"/>
              </w:rPr>
              <w:t xml:space="preserve">: Includes primarily NBCUniversals national and regional cable networks, NBC and Telemundo broadcast networks and owned local broadcast television stations, Peacock direct-to-consumer streaming service and international television networks, including Sky Sports networks in the United Kingdom and Italy.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Studios Segment</w:t>
            </w:r>
            <w:r>
              <w:rPr>
                <w:rFonts w:ascii="Times New Roman" w:hAnsi="Times New Roman"/>
                <w:sz w:val="20"/>
              </w:rPr>
              <w:t xml:space="preserve">: Includes primarily our NBCUniversal and Sky film and television studio production and distribution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Theme Parks Segment</w:t>
            </w:r>
            <w:r>
              <w:rPr>
                <w:rFonts w:ascii="Times New Roman" w:hAnsi="Times New Roman"/>
                <w:sz w:val="20"/>
              </w:rPr>
              <w:t xml:space="preserve">: Includes primarily the operations of the following Universal theme parks: Universal Orlando Resort, Universal Studios Hollywood, Universal Studios Japan and Universal Beijing Resort.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 formed in June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Guarantors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guarantees will not contain any restrictions on the ability of any guarantor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 Cables principal place of business is One Comcast Center, Philadelphia, Pennsylvania 19103-2838. NBCUniversals principal executive offices are located at 30 Rockefeller Plaza, New York, New York 10112-0015.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Comcast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$750,000,000 aggregate principal amount of 5.100%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$1,300,000,000 aggregate principal amount of 5.300% Notes due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$1,200,000,000 aggregate principal amount of 5.650% Notes due 2054.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9" w:type="dxa"/>
            <w:tcBorders/>
          </w:tcPr>
          <w:p>
            <w:pPr>
              <w:pStyle w:val="TableContents"/>
              <w:bidi w:val="0"/>
              <w:spacing w:before="0" w:after="283"/>
              <w:jc w:val="left"/>
              <w:rPr/>
            </w:pPr>
            <w:r>
              <w:rPr/>
              <w:t xml:space="preserve">The Notes due 2029 will mature on June 1,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vAlign w:val="center"/>
          </w:tcPr>
          <w:p>
            <w:pPr>
              <w:pStyle w:val="TableContents"/>
              <w:bidi w:val="0"/>
              <w:spacing w:before="0" w:after="283"/>
              <w:jc w:val="left"/>
              <w:rPr/>
            </w:pPr>
            <w:r>
              <w:rPr/>
              <w:t> </w:t>
            </w:r>
          </w:p>
        </w:tc>
        <w:tc>
          <w:tcPr>
            <w:tcW w:w="6326" w:type="dxa"/>
            <w:tcBorders/>
          </w:tcPr>
          <w:p>
            <w:pPr>
              <w:pStyle w:val="TableContents"/>
              <w:bidi w:val="0"/>
              <w:spacing w:before="0" w:after="283"/>
              <w:jc w:val="left"/>
              <w:rPr/>
            </w:pPr>
            <w:r>
              <w:rPr/>
              <w:t xml:space="preserve">The Notes due 2034 will mature on June 1,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vAlign w:val="center"/>
          </w:tcPr>
          <w:p>
            <w:pPr>
              <w:pStyle w:val="TableContents"/>
              <w:bidi w:val="0"/>
              <w:spacing w:before="0" w:after="283"/>
              <w:jc w:val="left"/>
              <w:rPr/>
            </w:pPr>
            <w:r>
              <w:rPr/>
              <w:t> </w:t>
            </w:r>
          </w:p>
        </w:tc>
        <w:tc>
          <w:tcPr>
            <w:tcW w:w="6326" w:type="dxa"/>
            <w:tcBorders/>
          </w:tcPr>
          <w:p>
            <w:pPr>
              <w:pStyle w:val="TableContents"/>
              <w:bidi w:val="0"/>
              <w:spacing w:before="0" w:after="283"/>
              <w:jc w:val="left"/>
              <w:rPr/>
            </w:pPr>
            <w:r>
              <w:rPr/>
              <w:t xml:space="preserve">The Notes due 2054 will mature on June 1, 2054.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9" w:type="dxa"/>
            <w:tcBorders/>
          </w:tcPr>
          <w:p>
            <w:pPr>
              <w:pStyle w:val="TableContents"/>
              <w:bidi w:val="0"/>
              <w:spacing w:before="0" w:after="283"/>
              <w:jc w:val="left"/>
              <w:rPr/>
            </w:pPr>
            <w:r>
              <w:rPr/>
              <w:t xml:space="preserve">Interest on the Notes due 2029 will accrue at the rate of 5.100% per year, payable semiannually in cash in arrears on each June 1 and December 1, beginning December 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Interest on the Notes due 2034 will accrue at the rate of 5.300% per year, payable semiannually in cash in arrears on each June 1 and December 1, beginning December 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Interest on the Notes due 2054 will accrue at the rate of 5.650% per year, payable semiannually in cash in arrears on each June 1 and December 1, beginning December 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unsecured and will rank equally with all of our and the guarantors unsecured and unsubordinated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Guarantors </w:t>
            </w:r>
          </w:p>
        </w:tc>
        <w:tc>
          <w:tcPr>
            <w:tcW w:w="6327" w:type="dxa"/>
            <w:tcBorders/>
          </w:tcPr>
          <w:p>
            <w:pPr>
              <w:pStyle w:val="TableContents"/>
              <w:bidi w:val="0"/>
              <w:spacing w:before="0" w:after="283"/>
              <w:jc w:val="left"/>
              <w:rPr/>
            </w:pPr>
            <w:r>
              <w:rPr/>
              <w:t xml:space="preserve">Comcast Cable and NBCUniversal.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Guarantees </w:t>
            </w:r>
          </w:p>
        </w:tc>
        <w:tc>
          <w:tcPr>
            <w:tcW w:w="6327" w:type="dxa"/>
            <w:tcBorders/>
          </w:tcPr>
          <w:p>
            <w:pPr>
              <w:pStyle w:val="TableContents"/>
              <w:bidi w:val="0"/>
              <w:spacing w:before="0" w:after="283"/>
              <w:jc w:val="left"/>
              <w:rPr/>
            </w:pPr>
            <w:r>
              <w:rPr/>
              <w:t xml:space="preserve">The guarantors will fully and unconditionally guarantee the notes, including the payment of principal, premium, if any, and interest. The guarantees will rank equally with all other general unsecured and unsubordinated obligations of the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any series of notes, in whole or in part, at any time at the applicable redemption price determined as set forth under the heading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after deducting underwriters discount and expenses, for the repayment of some or all of our outstanding commercial paper, and for working capital and general corporate purposes. Our outstanding commercial paper of $2.638 billion had a weighted average annual interest rate of approximately 5.521% and a weighted average remaining maturity of approximately 17 days as of May 17, 2024.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Book-Entry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Clearstream, and these beneficial interests may not be exchanged for certificated notes, except in limited circumstances. See Description of the NotesBook-Entry System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Additional Notes </w:t>
            </w:r>
          </w:p>
        </w:tc>
        <w:tc>
          <w:tcPr>
            <w:tcW w:w="6327" w:type="dxa"/>
            <w:tcBorders/>
          </w:tcPr>
          <w:p>
            <w:pPr>
              <w:pStyle w:val="TableContents"/>
              <w:bidi w:val="0"/>
              <w:spacing w:before="0" w:after="283"/>
              <w:jc w:val="left"/>
              <w:rPr/>
            </w:pPr>
            <w:r>
              <w:rPr/>
              <w:t xml:space="preserve">We have the ability to reopen a series of these notes and issue additional notes of such series. Additional notes of such series will be consolidated with and form a single series with the notes then outstanding of such series; provided that the additional notes are fungible with the notes of such series for U.S. federal income tax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the notes involves certain risks. See Item 1ARisk Factors beginning on page 20 of our Annual Report on Form 10-K for the year ended December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9" w:type="dxa"/>
            <w:tcBorders/>
          </w:tcPr>
          <w:p>
            <w:pPr>
              <w:pStyle w:val="TableContents"/>
              <w:bidi w:val="0"/>
              <w:spacing w:before="0" w:after="283"/>
              <w:jc w:val="left"/>
              <w:rPr/>
            </w:pPr>
            <w:r>
              <w:rPr/>
              <w:t xml:space="preserve">Because certain of the underwriters or their affiliates may receive at least 5% of the net proceeds from this offering, such underwriters could be deemed to have a conflict of interest under Rule 5121 (Rule 5121) of the Financial Industry Regulatory Authority, Inc. (FINRA). Accordingly, this offering is being made in compliance with the requirements of Rule 5121. The appointment of a qualified independent underwriter is not required in connection with this offering because the notes are investment grade rated as defined in Rule 5121. For additional information about these matters, see Use of Proceeds and Underwriting (Conflicts of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tx834121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after deducting underwriters discount and expenses, for the repayment of some or all of our outstanding commercial paper, and for working capital and general corporate purposes. Our outstanding commercial paper of $2.638 billion had a weighted average annual interest rate of approximately 5.521% and a weighted average remaining maturity of approximately 17 days as of May 17, 2024. </w:t>
      </w:r>
    </w:p>
    <w:p>
      <w:pPr>
        <w:pStyle w:val="TextBody"/>
        <w:bidi w:val="0"/>
        <w:spacing w:before="240" w:after="0"/>
        <w:jc w:val="left"/>
        <w:rPr>
          <w:rFonts w:ascii="Times New Roman" w:hAnsi="Times New Roman"/>
          <w:sz w:val="20"/>
        </w:rPr>
      </w:pPr>
      <w:r>
        <w:rPr>
          <w:rFonts w:ascii="Times New Roman" w:hAnsi="Times New Roman"/>
          <w:sz w:val="20"/>
        </w:rPr>
        <w:t xml:space="preserve">Certain affiliates of the underwriters may receive at least 5% of the net proceeds of this offering, after deducting underwriting discounts and commission and estimated offering expenses, as a result of our repayment of our outstanding commercial paper. Because 5% or more of the net proceeds of this offering may be paid to an underwriter, which is considered a conflict of interest under FINRA Rule 5121, this offering will be made in accordance with the applicable requirements of Rule 5121 regarding the underwriting of securities of a company with a member that has a conflict of interest within the meaning of those rules. See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x834121_4"/>
      <w:bookmarkEnd w:id="6"/>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We are offering $750,000,000 aggregate principal amount of our 5.100% Notes due 2029, $1,300,000,000 aggregate principal amount of our 5.300% Notes due 2034 and $1,200,000,000 aggregate principal amount of our 5.650% Notes due 2054. The Notes due 2029, the Notes due 2034 and the Notes due 2054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the additional notes are fungible with the notes of such series for U.S. federal income tax purposes. Copies of the indenture and the form of notes are available from us upon request.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Basic Terms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debt and will be entitled to the benefits of the guarantees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an initial aggregate principal amount of $3,250,000,000 comprised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$750,000,000 initial aggregate principal amount of 5.100% Notes due 2029, maturing on June 1, 2029, with interest payable semiannually on each June 1 and December 1, beginning December 1, 2024, to holders of record on the preceding May 15 and November 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$1,300,000,000 initial aggregate principal amount of 5.300% Notes due 2034, maturing on June 1, 2034, with interest payable semiannually on each June 1 and December 1, beginning December 1, 2024, to holders of record on the preceding May 15 and November 15;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$1,200,000,000 initial aggregate principal amount of 5.650% Notes due 2054, maturing on June 1, 2054, with interest payable semiannually on each June 1 and December 1, beginning December 1, 2024, to holders of record on the preceding May 15 and November 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issuable in fully registered form, in denominations of $2,000 and in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notes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(i) the earlier of May 22, 2024 and the date of original issuance or (ii) from the most recent interest payment date to which interest has been paid, and will be payable semiannually on the interest payment dates described for each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payment and transfer procedures for the notes, see Book-Entry System below.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including the payment of principal, premium, if any, and interest, will be fully and unconditionally guaranteed by each of the guarantors as described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May 1, 2029 (one (1) month prior to the maturity date of the Notes due 2029) with respect to the Notes due 2029 (the 2029 Notes Par Call Date), prior to March 1, 2034 (three (3) months prior to the maturity date of the Notes due 2034) with respect to the Notes due 2034 (the 2034 Notes Par Call Date) and prior to December 1, 2053 (six (6) months prior to the maturity date of the Notes due 2054) with respect to the Notes due 2054 (the 2054 Notes Par Call Date and, together with the 2029 Notes Par Call Date and the 2034 Notes Par Call Date, each a Par Call Date), we may redeem such notes at our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such notes mature on the applicable Par Call Date) on a semi-annual basis (assuming a 360-day year consisting of twelve 30-day months) at the Treasury Rate plus 10 basis points, in the case of the Notes due 2029, 15 basis points, in the case of the Notes due 2034 and 20 basis points, in the case of the Notes due 2054, as applicable,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of the applicable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2029 Notes Par Call Date, in the case of the Notes due 2029, the 2034 Notes Par Call Date, in the case of the Notes due 2034 and the 2054 Notes Par Call Date, in the case of the Notes due 2054, as applicable, we may redeem such series of notes, in whole or in part, at any time and from time to time, at a redemption price equal to 100% of the principal amount of the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applicable series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applicable series of notes for redemption will be made, if such series of notes are in the form of one or more global securities, in accordance with the procedures of The Depository Trust Company (or another depositary) or, if such series of notes are not in the form of one or more global securities, by lot. No notes of any series of a principal amount of $2,000 or less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The Depository Trust Company (or another depositary) or such depositarys nominee, the redemption of such series of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applicable series of notes or portions thereof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Debt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we may issue under the indenture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Holders may hold interests in the notes outside the United States through Euroclear or Clearstream if they are participants in those systems, or indirectly through organizations which are participants in those systems.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certain purchasers of securities take physical delivery of such securities in definitive form. Such limits and laws may impair the ability to transfer or pledge beneficial interests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premium, if any, and interest on the notes represented by the Global Notes registered in the name of and held by DTC or its nominee to DTC or its nominee, as the case may be, as the registered owner and holder of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notes represented by the Global Notes are exchangeable for certificated notes in definitive form of like tenor in minimum denominations of $2,000 principal amount and multiples of $1,000 in excess thereof if: </w:t>
      </w:r>
    </w:p>
    <w:p>
      <w:pPr>
        <w:pStyle w:val="TextBody"/>
        <w:bidi w:val="0"/>
        <w:spacing w:before="120" w:after="0"/>
        <w:jc w:val="left"/>
        <w:rPr>
          <w:rFonts w:ascii="Times New Roman" w:hAnsi="Times New Roman"/>
          <w:sz w:val="20"/>
        </w:rPr>
      </w:pPr>
      <w:r>
        <w:rPr>
          <w:rFonts w:ascii="Times New Roman" w:hAnsi="Times New Roman"/>
          <w:sz w:val="20"/>
        </w:rPr>
        <w:t xml:space="preserve">(1) DTC provides notification that it is unwilling or unable to continue as depositary for the Global Notes or DTC ceases to be a clearing agency registered under the Exchange Act and, in either case, a successor is not appointed within 90 days; </w:t>
      </w:r>
    </w:p>
    <w:p>
      <w:pPr>
        <w:pStyle w:val="TextBody"/>
        <w:bidi w:val="0"/>
        <w:spacing w:before="120" w:after="0"/>
        <w:jc w:val="left"/>
        <w:rPr>
          <w:rFonts w:ascii="Times New Roman" w:hAnsi="Times New Roman"/>
          <w:sz w:val="20"/>
        </w:rPr>
      </w:pPr>
      <w:r>
        <w:rPr>
          <w:rFonts w:ascii="Times New Roman" w:hAnsi="Times New Roman"/>
          <w:sz w:val="20"/>
        </w:rPr>
        <w:t xml:space="preserve">(2) we in our discretion at any time determine not to have all the notes represented by the Global Notes; or </w:t>
      </w:r>
    </w:p>
    <w:p>
      <w:pPr>
        <w:pStyle w:val="TextBody"/>
        <w:bidi w:val="0"/>
        <w:spacing w:before="120" w:after="0"/>
        <w:jc w:val="left"/>
        <w:rPr>
          <w:rFonts w:ascii="Times New Roman" w:hAnsi="Times New Roman"/>
          <w:sz w:val="20"/>
        </w:rPr>
      </w:pPr>
      <w:r>
        <w:rPr>
          <w:rFonts w:ascii="Times New Roman" w:hAnsi="Times New Roman"/>
          <w:sz w:val="20"/>
        </w:rPr>
        <w:t xml:space="preserve">(3) a default entitling the holders of the applicable notes to accelerate the maturity thereof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Same-Day Payment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 xml:space="preserve">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x834121_5"/>
      <w:bookmarkEnd w:id="7"/>
      <w:r>
        <w:rPr>
          <w:rFonts w:ascii="Times New Roman" w:hAnsi="Times New Roman"/>
          <w:b/>
          <w:sz w:val="20"/>
        </w:rPr>
        <w:t xml:space="preserve">MATERIAL U.S. FEDERAL INCOME TAX CONSEQUENCES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the material U.S. federal income tax consequences of ownership and disposition of the notes. This discussion only applies to notes that meet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are held as capital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are beneficially owned by Non-U.S. Holders (as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describe all of the tax consequences that may be relevant to beneficial owners of notes in light of their particular circumstances or to beneficial owners of notes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notes as part of a hedge, straddle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arrangements or entities classified as partnerships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income accruals with respect to the notes to their financial statements under Section 451 of the Internal Revenue Code of 1986, as amended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a note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not a U.S. citizen and who is classified as a nonresident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estate or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a Note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does not own, actually or constructively, 10% or more of the total combined voting power of all classes of our stock entitled to vote and is not a controlled foreign corporation related, directly or indirectly, to us through stock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certification requirement described below has been fulfilled with respect to the beneficial owner, as discussed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the applicable withholding agent.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Redemption or Other Disposition of a Note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Internal Revenue Service in connection with interest payments on the notes. Unless a Non-U.S. Holder complies with certification procedures to establish that it is not a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w:t>
      </w:r>
    </w:p>
    <w:p>
      <w:pPr>
        <w:pStyle w:val="TextBody"/>
        <w:bidi w:val="0"/>
        <w:spacing w:before="240" w:after="0"/>
        <w:jc w:val="left"/>
        <w:rPr>
          <w:rFonts w:ascii="Times New Roman" w:hAnsi="Times New Roman"/>
          <w:sz w:val="20"/>
        </w:rPr>
      </w:pPr>
      <w:r>
        <w:rPr>
          <w:rFonts w:ascii="Times New Roman" w:hAnsi="Times New Roman"/>
          <w:sz w:val="20"/>
        </w:rPr>
        <w:t xml:space="preserve">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effects of FATCA on their investment in the notes. We will not pay additional amounts with respect to any withholding taxes imposed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x834121_6"/>
      <w:bookmarkEnd w:id="8"/>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76"/>
        <w:gridCol w:w="288"/>
        <w:gridCol w:w="154"/>
        <w:gridCol w:w="1517"/>
        <w:gridCol w:w="60"/>
        <w:gridCol w:w="288"/>
        <w:gridCol w:w="145"/>
        <w:gridCol w:w="1550"/>
        <w:gridCol w:w="60"/>
        <w:gridCol w:w="288"/>
        <w:gridCol w:w="145"/>
        <w:gridCol w:w="1550"/>
        <w:gridCol w:w="67"/>
      </w:tblGrid>
      <w:tr>
        <w:trPr/>
        <w:tc>
          <w:tcPr>
            <w:tcW w:w="3276"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7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Underwriter</w:t>
            </w:r>
          </w:p>
        </w:tc>
        <w:tc>
          <w:tcPr>
            <w:tcW w:w="288" w:type="dxa"/>
            <w:tcBorders/>
            <w:vAlign w:val="bottom"/>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 due 2029</w:t>
              <w:br/>
              <w:t>To Be</w:t>
              <w:br/>
              <w:t>Purchased</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 due 2034</w:t>
              <w:br/>
              <w:t>To Be</w:t>
              <w:br/>
              <w:t>Purchased</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 due 2054</w:t>
              <w:br/>
              <w:t>To Be</w:t>
              <w:br/>
              <w:t>Purchased</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17" w:type="dxa"/>
            <w:tcBorders/>
            <w:shd w:fill="CCEEFF" w:val="clear"/>
            <w:vAlign w:val="bottom"/>
          </w:tcPr>
          <w:p>
            <w:pPr>
              <w:pStyle w:val="TableContents"/>
              <w:bidi w:val="0"/>
              <w:spacing w:before="0" w:after="283"/>
              <w:jc w:val="right"/>
              <w:rPr/>
            </w:pPr>
            <w:r>
              <w:rPr/>
              <w:t>91,875,000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159,250,000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147,000,000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91,875,000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159,250,000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147,000,000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91,875,000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159,250,000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147,000,000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63,750,000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110,500,000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102,000,000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63,750,000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110,500,000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102,000,000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63,750,000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110,500,000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102,000,000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16,875,000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16,875,000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16,875,000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16,875,000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16,875,000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16,875,000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16,875,000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16,875,000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16,875,000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29,250,000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27,000,000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16,875,000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29,250,000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27,000,000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11,250,000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19,500,000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18,000,000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Lloyds Securities Inc.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11,250,000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19,500,000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18,000,000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11,250,000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19,500,000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18,000,000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11,250,000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19,500,000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18,000,000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11,250,000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19,500,000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18,000,000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13,000,000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12,000,000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13,000,000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12,000,000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Commerz Markets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13,000,000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12,000,000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13,000,000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12,000,000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13,000,000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12,000,000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13,000,000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12,000,000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Bancroft Capital,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2,625,000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4,550,000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4,200,000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Cabrera Capital Markets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2,625,000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4,550,000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4,200,000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CastleOak Securities, L.P.</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2,625,000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4,550,000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4,200,000</w:t>
            </w:r>
          </w:p>
        </w:tc>
        <w:tc>
          <w:tcPr>
            <w:tcW w:w="67" w:type="dxa"/>
            <w:tcBorders/>
            <w:vAlign w:val="bottom"/>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2,625,000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4,550,000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4,200,000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tcPr>
          <w:p>
            <w:pPr>
              <w:pStyle w:val="TableContents"/>
              <w:bidi w:val="0"/>
              <w:spacing w:before="0" w:after="0"/>
              <w:jc w:val="left"/>
              <w:rPr>
                <w:rFonts w:ascii="Times New Roman" w:hAnsi="Times New Roman"/>
                <w:sz w:val="20"/>
              </w:rPr>
            </w:pPr>
            <w:r>
              <w:rPr>
                <w:rFonts w:ascii="Times New Roman" w:hAnsi="Times New Roman"/>
                <w:sz w:val="20"/>
              </w:rPr>
              <w:t>Telsey Advisory Group LLC</w:t>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2,625,000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4,550,000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4,200,000</w:t>
            </w:r>
          </w:p>
        </w:tc>
        <w:tc>
          <w:tcPr>
            <w:tcW w:w="67" w:type="dxa"/>
            <w:tcBorders/>
            <w:vAlign w:val="bottom"/>
          </w:tcPr>
          <w:p>
            <w:pPr>
              <w:pStyle w:val="TableContents"/>
              <w:bidi w:val="0"/>
              <w:spacing w:before="0" w:after="283"/>
              <w:jc w:val="left"/>
              <w:rPr/>
            </w:pPr>
            <w:r>
              <w:rPr/>
              <w:t> </w:t>
            </w:r>
          </w:p>
        </w:tc>
      </w:tr>
      <w:tr>
        <w:trPr/>
        <w:tc>
          <w:tcPr>
            <w:tcW w:w="327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17" w:type="dxa"/>
            <w:tcBorders/>
            <w:shd w:fill="CCEEFF" w:val="clear"/>
            <w:vAlign w:val="bottom"/>
          </w:tcPr>
          <w:p>
            <w:pPr>
              <w:pStyle w:val="TableContents"/>
              <w:bidi w:val="0"/>
              <w:spacing w:before="0" w:after="283"/>
              <w:jc w:val="right"/>
              <w:rPr/>
            </w:pPr>
            <w:r>
              <w:rPr/>
              <w:t> </w:t>
            </w:r>
            <w:r>
              <w:rPr/>
              <w:t>750,000,000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 </w:t>
            </w:r>
            <w:r>
              <w:rPr/>
              <w:t>1,300,000,000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 </w:t>
            </w:r>
            <w:r>
              <w:rPr/>
              <w:t>1,200,000,000</w:t>
            </w:r>
          </w:p>
        </w:tc>
        <w:tc>
          <w:tcPr>
            <w:tcW w:w="67" w:type="dxa"/>
            <w:tcBorders/>
            <w:shd w:fill="CCEEFF" w:val="clear"/>
            <w:vAlign w:val="bottom"/>
          </w:tcPr>
          <w:p>
            <w:pPr>
              <w:pStyle w:val="TableContents"/>
              <w:bidi w:val="0"/>
              <w:spacing w:before="0" w:after="283"/>
              <w:jc w:val="left"/>
              <w:rPr/>
            </w:pPr>
            <w:r>
              <w:rPr/>
              <w:t> </w:t>
            </w:r>
          </w:p>
        </w:tc>
      </w:tr>
      <w:tr>
        <w:trPr/>
        <w:tc>
          <w:tcPr>
            <w:tcW w:w="327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5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5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55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0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of 1933, as amended, or to contribute to payments the several underwriters may be required to make in respect of those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initially to offer the notes to the public at the public offering price on the cover page of this prospectus supplement, and to dealers at that price less a concession not in excess of 0.150%, 0.250% and 0.450% of the principal amount of the Notes due 2029, the Notes due 2034 and the Notes due 2054, respectively. The underwriters may allow, and the dealers may reallow, a discount not in excess of 0.100%, 0.150% and 0.300% of the principal amount of the Notes due 2029, the Notes due 2034 and the Notes due 2054, respectively, to other dealers. After the initial public offering, the public offering prices, concessions and discounts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to be $850,000. </w:t>
      </w:r>
    </w:p>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our commercial paper. Therefore, since proceeds from this offering will be used to repay commercial paper, certain of the underwriters and/or their respective affiliates may receive proceeds from this offering. In addition,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BNY Mellon Capital Markets, LLC, one of the underwriters, is an affiliate of The Bank of New York Mellon, the trustee under the indenture that will govern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or their affiliates may be holders of our commercial paper and may receive a portion of the net proceeds of the offering used to repay our outstanding commercial paper. Because certain of the underwriters or their affiliates may receive at least 5% of the net proceeds from this offering, such underwriters could be deemed to have a conflict of interest under Rule 5121. Accordingly, this offering is being made in compliance with the requirements of Rule 5121. The appointment of a qualified independent underwriter is not required in connection with this offering because the notes are investment grade rated as defined in Rule 5121.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and (b)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or to a relevant person,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 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 </w:t>
      </w:r>
    </w:p>
    <w:p>
      <w:pPr>
        <w:pStyle w:val="TextBody"/>
        <w:bidi w:val="0"/>
        <w:spacing w:before="120" w:after="0"/>
        <w:jc w:val="left"/>
        <w:rPr>
          <w:rFonts w:ascii="Times New Roman" w:hAnsi="Times New Roman"/>
          <w:sz w:val="20"/>
        </w:rPr>
      </w:pPr>
      <w:r>
        <w:rPr>
          <w:rFonts w:ascii="Times New Roman" w:hAnsi="Times New Roman"/>
          <w:sz w:val="20"/>
        </w:rPr>
        <w:t xml:space="preserve">(a) who meet the criteria of a Qualified Investor as defined in the SCA Board of Directors Decision No. 3 R.M. of 2017 (but excluding subparagraph 1(d) in the Qualified Investor definition relating to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(b) upon their request and confirmation that they understand that the notes have not been approved or licensed by or registered with the UAE Central Bank, the SCA, DFSA or any other relevant licensing authorities or governmental agencies in the UAE; and </w:t>
      </w:r>
    </w:p>
    <w:p>
      <w:pPr>
        <w:pStyle w:val="TextBody"/>
        <w:bidi w:val="0"/>
        <w:spacing w:before="120" w:after="0"/>
        <w:jc w:val="left"/>
        <w:rPr>
          <w:rFonts w:ascii="Times New Roman" w:hAnsi="Times New Roman"/>
          <w:sz w:val="20"/>
        </w:rPr>
      </w:pPr>
      <w:r>
        <w:rPr>
          <w:rFonts w:ascii="Times New Roman" w:hAnsi="Times New Roman"/>
          <w:sz w:val="20"/>
        </w:rPr>
        <w:t xml:space="preserve">(c) upon their confirmation that they understand that the prospectus supplement must not be provided to any person other than the original recipient, and may not be reproduced or used for any other purpose.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x834121_7"/>
      <w:bookmarkEnd w:id="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 </w:t>
      </w:r>
    </w:p>
    <w:p>
      <w:pPr>
        <w:pStyle w:val="TextBody"/>
        <w:bidi w:val="0"/>
        <w:spacing w:before="480" w:after="0"/>
        <w:jc w:val="center"/>
        <w:rPr>
          <w:rFonts w:ascii="Times New Roman" w:hAnsi="Times New Roman"/>
          <w:b/>
          <w:sz w:val="20"/>
        </w:rPr>
      </w:pPr>
      <w:bookmarkStart w:id="10" w:name="supptx834121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2023 and 2022, and for each of the three years in the period ended December 31, 2023, incorporated by reference in this Prospectus Supplement by reference to Comcast Corporations annual report on Form 10-K for the year ended December 31, 2023,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55257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552575"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may be offered and sold from time to time by Comcast Corporation or by selling security holders under this prospectus: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281"/>
        <w:gridCol w:w="4319"/>
      </w:tblGrid>
      <w:tr>
        <w:trPr/>
        <w:tc>
          <w:tcPr>
            <w:tcW w:w="478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  Unsecured senior debt securities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  Purchase contracts</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  Preferred stock</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  Class A common stock</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  Warrants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  Units</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  Depositary shares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indicated in the relevant prospectus supplement, the securities may be fully and unconditionally guaranteed by a number of our wholly owned subsidiaries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quoted on the Nasdaq Global Select Market under the ticker symbol CMCSA. On July 28, 2022, the reported last sale price on the Nasdaq Global Select Market for our Class A common stock was $39.41.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which must accompany this prospectus, the securities we are offering and selling, as well as the specific terms of the securities. Those terms may include: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03"/>
        <w:gridCol w:w="94"/>
        <w:gridCol w:w="3287"/>
        <w:gridCol w:w="93"/>
        <w:gridCol w:w="2911"/>
      </w:tblGrid>
      <w:tr>
        <w:trPr/>
        <w:tc>
          <w:tcPr>
            <w:tcW w:w="3003"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  Maturity</w:t>
            </w:r>
          </w:p>
        </w:tc>
        <w:tc>
          <w:tcPr>
            <w:tcW w:w="94"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  Redemption terms</w:t>
            </w:r>
          </w:p>
        </w:tc>
        <w:tc>
          <w:tcPr>
            <w:tcW w:w="93"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  Subsidiary guarantees</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  Dividends</w:t>
            </w:r>
          </w:p>
        </w:tc>
        <w:tc>
          <w:tcPr>
            <w:tcW w:w="94"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  Liquidation amount</w:t>
            </w:r>
          </w:p>
        </w:tc>
        <w:tc>
          <w:tcPr>
            <w:tcW w:w="93"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  Currency of payments</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  Conversion or exchange rights</w:t>
            </w:r>
          </w:p>
        </w:tc>
        <w:tc>
          <w:tcPr>
            <w:tcW w:w="94"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  Sinking fund terms</w:t>
            </w:r>
          </w:p>
        </w:tc>
        <w:tc>
          <w:tcPr>
            <w:tcW w:w="93"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  Amount payable at maturity</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  Interest rate</w:t>
            </w:r>
          </w:p>
        </w:tc>
        <w:tc>
          <w:tcPr>
            <w:tcW w:w="94"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  Listing on a securities exchange</w:t>
            </w:r>
          </w:p>
        </w:tc>
        <w:tc>
          <w:tcPr>
            <w:tcW w:w="93" w:type="dxa"/>
            <w:tcBorders/>
            <w:vAlign w:val="bottom"/>
          </w:tcPr>
          <w:p>
            <w:pPr>
              <w:pStyle w:val="TableContents"/>
              <w:bidi w:val="0"/>
              <w:spacing w:before="0" w:after="283"/>
              <w:jc w:val="left"/>
              <w:rPr/>
            </w:pPr>
            <w:r>
              <w:rPr/>
              <w:t> </w:t>
            </w:r>
          </w:p>
        </w:tc>
        <w:tc>
          <w:tcPr>
            <w:tcW w:w="291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Investing in these securities involves certain risks. See Item 1ARisk Factors beginning on page 22 of our Annual Report on Form 10-K for the fiscal year ended December 31, 2021, which is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The Securities and Exchange Commission (the SEC or the Commission) and state securities regulators have not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29,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1"/>
      <w:bookmarkEnd w:id="11"/>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8"/>
        <w:gridCol w:w="249"/>
        <w:gridCol w:w="90"/>
        <w:gridCol w:w="406"/>
        <w:gridCol w:w="62"/>
      </w:tblGrid>
      <w:tr>
        <w:trPr/>
        <w:tc>
          <w:tcPr>
            <w:tcW w:w="9398"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9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49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
              <w:r>
                <w:rPr>
                  <w:rStyle w:val="InternetLink"/>
                  <w:rFonts w:ascii="Times New Roman" w:hAnsi="Times New Roman"/>
                  <w:sz w:val="20"/>
                </w:rPr>
                <w:t>About This Prospectus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2">
              <w:r>
                <w:rPr>
                  <w:rStyle w:val="InternetLink"/>
                  <w:rFonts w:ascii="Times New Roman" w:hAnsi="Times New Roman"/>
                  <w:sz w:val="20"/>
                </w:rPr>
                <w:t>The Companies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3">
              <w:r>
                <w:rPr>
                  <w:rStyle w:val="InternetLink"/>
                  <w:rFonts w:ascii="Times New Roman" w:hAnsi="Times New Roman"/>
                  <w:sz w:val="20"/>
                </w:rPr>
                <w:t>Caution Concerning Forward-Looking Statements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4">
              <w:r>
                <w:rPr>
                  <w:rStyle w:val="InternetLink"/>
                  <w:rFonts w:ascii="Times New Roman" w:hAnsi="Times New Roman"/>
                  <w:sz w:val="20"/>
                </w:rPr>
                <w:t>Use of Proceeds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5">
              <w:r>
                <w:rPr>
                  <w:rStyle w:val="InternetLink"/>
                  <w:rFonts w:ascii="Times New Roman" w:hAnsi="Times New Roman"/>
                  <w:sz w:val="20"/>
                </w:rPr>
                <w:t>Dividend Policy</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6">
              <w:r>
                <w:rPr>
                  <w:rStyle w:val="InternetLink"/>
                  <w:rFonts w:ascii="Times New Roman" w:hAnsi="Times New Roman"/>
                  <w:sz w:val="20"/>
                </w:rPr>
                <w:t>Description of Debt Securities and Guarantees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7">
              <w:r>
                <w:rPr>
                  <w:rStyle w:val="InternetLink"/>
                  <w:rFonts w:ascii="Times New Roman" w:hAnsi="Times New Roman"/>
                  <w:sz w:val="20"/>
                </w:rPr>
                <w:t>Global Securities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8">
              <w:r>
                <w:rPr>
                  <w:rStyle w:val="InternetLink"/>
                  <w:rFonts w:ascii="Times New Roman" w:hAnsi="Times New Roman"/>
                  <w:sz w:val="20"/>
                </w:rPr>
                <w:t>Description of Capital Stock</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9">
              <w:r>
                <w:rPr>
                  <w:rStyle w:val="InternetLink"/>
                  <w:rFonts w:ascii="Times New Roman" w:hAnsi="Times New Roman"/>
                  <w:sz w:val="20"/>
                </w:rPr>
                <w:t>Plan of Distribution</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0">
              <w:r>
                <w:rPr>
                  <w:rStyle w:val="InternetLink"/>
                  <w:rFonts w:ascii="Times New Roman" w:hAnsi="Times New Roman"/>
                  <w:sz w:val="20"/>
                </w:rPr>
                <w:t>Legal Matters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1">
              <w:r>
                <w:rPr>
                  <w:rStyle w:val="InternetLink"/>
                  <w:rFonts w:ascii="Times New Roman" w:hAnsi="Times New Roman"/>
                  <w:sz w:val="20"/>
                </w:rPr>
                <w:t>Experts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2">
              <w:r>
                <w:rPr>
                  <w:rStyle w:val="InternetLink"/>
                  <w:rFonts w:ascii="Times New Roman" w:hAnsi="Times New Roman"/>
                  <w:sz w:val="20"/>
                </w:rPr>
                <w:t>Available Information</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3">
              <w:r>
                <w:rPr>
                  <w:rStyle w:val="InternetLink"/>
                  <w:rFonts w:ascii="Times New Roman" w:hAnsi="Times New Roman"/>
                  <w:sz w:val="20"/>
                </w:rPr>
                <w:t>Incorporation of Certain Documents by Reference</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98" w:type="dxa"/>
            <w:tcBorders/>
          </w:tcPr>
          <w:p>
            <w:pPr>
              <w:pStyle w:val="TableContents"/>
              <w:bidi w:val="0"/>
              <w:spacing w:before="0" w:after="0"/>
              <w:jc w:val="left"/>
              <w:rPr/>
            </w:pPr>
            <w:hyperlink w:anchor="toc834121_14">
              <w:r>
                <w:rPr>
                  <w:rStyle w:val="InternetLink"/>
                  <w:rFonts w:ascii="Times New Roman" w:hAnsi="Times New Roman"/>
                  <w:sz w:val="20"/>
                </w:rPr>
                <w:t>Part II Information Not Required in Prospectus</w:t>
              </w:r>
            </w:hyperlink>
          </w:p>
        </w:tc>
        <w:tc>
          <w:tcPr>
            <w:tcW w:w="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pPr>
            <w:r>
              <w:rPr/>
              <w:t>II-1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834121_1"/>
      <w:bookmarkEnd w:id="1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834121_2"/>
      <w:bookmarkEnd w:id="13"/>
      <w:r>
        <w:rPr>
          <w:rFonts w:ascii="Times New Roman" w:hAnsi="Times New Roman"/>
          <w:b/>
          <w:sz w:val="20"/>
        </w:rPr>
        <w:t xml:space="preserve">THE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media and technology company with three primary businesses, Comcast Cable, NBCUniversal and Sky. </w:t>
      </w:r>
    </w:p>
    <w:p>
      <w:pPr>
        <w:pStyle w:val="TextBody"/>
        <w:bidi w:val="0"/>
        <w:spacing w:before="240" w:after="0"/>
        <w:jc w:val="left"/>
        <w:rPr>
          <w:rFonts w:ascii="Times New Roman" w:hAnsi="Times New Roman"/>
          <w:sz w:val="20"/>
        </w:rPr>
      </w:pPr>
      <w:r>
        <w:rPr>
          <w:rFonts w:ascii="Times New Roman" w:hAnsi="Times New Roman"/>
          <w:sz w:val="20"/>
        </w:rPr>
        <w:t xml:space="preserve">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Cable Communications:</w:t>
            </w:r>
            <w:r>
              <w:rPr>
                <w:rFonts w:ascii="Times New Roman" w:hAnsi="Times New Roman"/>
                <w:sz w:val="20"/>
              </w:rPr>
              <w:t xml:space="preserve"> Consists of the operations of Comcast Cable, which is a leading provider of broadband, video, voice, wireless, and other services to residential customers in the United States under the Xfinity brand; we also provide these and other services to business customers and sell advertising.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Consists primarily of NBCUniversals television and streaming platforms, including national, regional and international cable networks; the NBC and Telemundo broadcast networks, NBC and Telemundo owned local broadcast television stations; and Peacock.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Studios:</w:t>
            </w:r>
            <w:r>
              <w:rPr>
                <w:rFonts w:ascii="Times New Roman" w:hAnsi="Times New Roman"/>
                <w:sz w:val="20"/>
              </w:rPr>
              <w:t xml:space="preserve"> Consists primarily of NBCUniversals film and television studio production and distribution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Theme Parks:</w:t>
            </w:r>
            <w:r>
              <w:rPr>
                <w:rFonts w:ascii="Times New Roman" w:hAnsi="Times New Roman"/>
                <w:sz w:val="20"/>
              </w:rPr>
              <w:t xml:space="preserve"> Consists primarily of our Universal theme parks in Orlando, Florida; Hollywood, California; Osaka, Japan; and Beijing,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Sky:</w:t>
            </w:r>
            <w:r>
              <w:rPr>
                <w:rFonts w:ascii="Times New Roman" w:hAnsi="Times New Roman"/>
                <w:sz w:val="20"/>
              </w:rPr>
              <w:t xml:space="preserve"> Consists of the operations of Sky, one of Europes leading entertainment companies, which primarily includes a direct-to-consumer business, providing video, broadband, voice and wireless phone services, and a content business, operating entertainment networks, the Sky News broadcast network and Sky Sports networks.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other business interests consist primarily of the operations of Comcast Spectacor, which owns the Philadelphia Flyers and the Wells Fargo Center arena in Philadelphia, Pennsylvania, and other business initiatives.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Guarantors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Comcast Cable Communications, LLC </w:t>
      </w:r>
    </w:p>
    <w:p>
      <w:pPr>
        <w:pStyle w:val="TextBody"/>
        <w:bidi w:val="0"/>
        <w:spacing w:before="120" w:after="0"/>
        <w:jc w:val="left"/>
        <w:rPr>
          <w:rFonts w:ascii="Times New Roman" w:hAnsi="Times New Roman"/>
          <w:sz w:val="20"/>
        </w:rPr>
      </w:pPr>
      <w:r>
        <w:rPr>
          <w:rFonts w:ascii="Times New Roman" w:hAnsi="Times New Roman"/>
          <w:sz w:val="20"/>
        </w:rPr>
        <w:t xml:space="preserve">Comcast Cable, which was incorporated in 1981 as a Delaware corporation, became a Delaware limited liability company in 2003 and is an indirect wholly owned subsidiary of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NBCUniversal Media, LLC </w:t>
      </w:r>
    </w:p>
    <w:p>
      <w:pPr>
        <w:pStyle w:val="TextBody"/>
        <w:bidi w:val="0"/>
        <w:spacing w:before="120" w:after="0"/>
        <w:jc w:val="left"/>
        <w:rPr>
          <w:rFonts w:ascii="Times New Roman" w:hAnsi="Times New Roman"/>
          <w:sz w:val="20"/>
        </w:rPr>
      </w:pPr>
      <w:r>
        <w:rPr>
          <w:rFonts w:ascii="Times New Roman" w:hAnsi="Times New Roman"/>
          <w:sz w:val="20"/>
        </w:rPr>
        <w:t xml:space="preserve">NBCUniversal is one of the worlds leading media and entertainment companies that develops, produces and distributes entertainment, news and information, sports, and other content for global audiences, and owns and operates theme parks worldwide.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Comcast and Comcast Cable are located at One Comcast Center, Philadelphia, Pennsylvania 19103-2838, and our telephone number is (215) 286-1700.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NBCUniversal are located at 30 Rockefeller Plaza, New York, New York 10112-0015, and its telephone number is (212) 664-4444.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http://www.comcastcorporation.com where general information about us is available. We are not incorporating the contents of the website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834121_3"/>
      <w:bookmarkEnd w:id="14"/>
      <w:r>
        <w:rPr>
          <w:rFonts w:ascii="Times New Roman" w:hAnsi="Times New Roman"/>
          <w:b/>
          <w:sz w:val="20"/>
        </w:rPr>
        <w:t xml:space="preserve">CAUTION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businesses may be affected by,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COVID-19 pandemic has had, and may continue to have, a material adverse effect on our businesses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operate in highly competitive and dynamic industries, and our businesses and results of operations could be adversely affected if we do not compete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 behavior continue to adversely affect our businesses and challenge existing business models;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advertisers expenditures or changes in advertising markets could negatively impact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programming expenses for our video services are increasing, which could adversely affect our Cable Communications video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NBCUniversals and Skys success depends on consumer acceptance of their content, and their businesses may be adversely affected if their content fails to achieve sufficient consumer acceptance or the costs to create or acquire content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programming distribution and licensing agreements, or the renewal of these agreements on less favorable terms, could adversely affect its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favorable European telecommunications access regulations, the loss of Skys transmission access agreements with satellite or telecommunications providers or the renewal of these agreements on less favorable terms could adversely affect Skys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depend on using and protecting certain intellectual property rights and on not infringing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obtain necessary hardware, software and operational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depend on keeping pace with technological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cyber attack, information or security breach, or technology disruption or failure may negatively impact our ability to conduct our business or result in the misuse of confidential information, all of which could adversely affect our business, reputation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 economic conditions may have a negative impact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including our acquisitions of Sky, and other strategic initiatives present many risks, and we may not realize the financial and strategic goals that we had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relating to doing business internationally that could adversely affect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severe weather and other uncontrollable events could adversely affect our business, reputation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management personnel or popular on-air and creative talent could have an adverse effect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regulation by federal, state, local and foreign authorities, which impose additional costs and restrictions on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litigation or governmental investigation results could require us to pay significant amounts or lead to onerous operating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whether involving employees or sports organizations, may disrupt our operations and adversely affect our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834121_4"/>
      <w:bookmarkEnd w:id="1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 </w:t>
      </w:r>
    </w:p>
    <w:p>
      <w:pPr>
        <w:pStyle w:val="TextBody"/>
        <w:bidi w:val="0"/>
        <w:spacing w:before="360" w:after="0"/>
        <w:jc w:val="center"/>
        <w:rPr>
          <w:rFonts w:ascii="Times New Roman" w:hAnsi="Times New Roman"/>
          <w:b/>
          <w:sz w:val="20"/>
        </w:rPr>
      </w:pPr>
      <w:bookmarkStart w:id="16" w:name="toc834121_5"/>
      <w:bookmarkEnd w:id="1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intend to pay quarterly dividends at an annualized rate currently of $1.08 per share, although each dividend is subject to approval by our Board of Directors. Our Board of Directors retains the right to change our dividend policy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834121_6"/>
      <w:bookmarkEnd w:id="17"/>
      <w:r>
        <w:rPr>
          <w:rFonts w:ascii="Times New Roman" w:hAnsi="Times New Roman"/>
          <w:b/>
          <w:sz w:val="20"/>
        </w:rPr>
        <w:t xml:space="preserve">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is included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w:t>
      </w:r>
    </w:p>
    <w:p>
      <w:pPr>
        <w:pStyle w:val="TextBody"/>
        <w:bidi w:val="0"/>
        <w:spacing w:before="240" w:after="0"/>
        <w:jc w:val="left"/>
        <w:rPr>
          <w:rFonts w:ascii="Times New Roman" w:hAnsi="Times New Roman"/>
          <w:sz w:val="20"/>
        </w:rPr>
      </w:pPr>
      <w:r>
        <w:rPr>
          <w:rFonts w:ascii="Times New Roman" w:hAnsi="Times New Roman"/>
          <w:sz w:val="20"/>
        </w:rPr>
        <w:t xml:space="preserve">You should look in the applicable prospectus supplement for the following terms of the debt securities being offered: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their principal amount (i.e., price)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debt securities will mature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per year,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for which you may purchase the debt securities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if any, within which, the price or prices of which, and the terms and conditions upon which the debt securities may be redeemed, in whole or in part, at our option or at your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payment of additional amounts for taxes and any provision for redemption, if we must pay such additional amounts in respect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may have to repay the debt securities early at your option and the price or prices in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pursuant to which the debt securities may be converted or exchanged for the cash value of other securities issued by us or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reopen a series of the debt securities and issue additional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including any additional events of default or covenants provided for with respect to the debt securities, and any terms which may be required by or advisable under applicable laws or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Aggregate Debt means, with respect to an Obligor, the sum of the following as of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Obligors Indebtedness incurred after the date of initial issuance of the senior debt securities and secured by Liens not permitted by the first sentence under Limitation on Liens Securing Indebtedness;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such Obligors Attributable Liens in respect of sale and lease-back transactions entered into after the date of the initial issuance of the senior debt securities pursuant to the second paragraph of Limitation on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Attributable Liens means in connection with a sale and lease-back transaction of an Obligor the lesser of: </w:t>
      </w:r>
    </w:p>
    <w:p>
      <w:pPr>
        <w:pStyle w:val="TextBody"/>
        <w:bidi w:val="0"/>
        <w:spacing w:before="240" w:after="0"/>
        <w:jc w:val="left"/>
        <w:rPr>
          <w:rFonts w:ascii="Times New Roman" w:hAnsi="Times New Roman"/>
          <w:sz w:val="20"/>
        </w:rPr>
      </w:pPr>
      <w:r>
        <w:rPr>
          <w:rFonts w:ascii="Times New Roman" w:hAnsi="Times New Roman"/>
          <w:sz w:val="20"/>
        </w:rPr>
        <w:t xml:space="preserve">(a) the fair market value of the assets subject to such transaction (as determined in good faith by our board of directors (in our case) or the equivalent governing body of any Guarantor); and </w:t>
      </w:r>
    </w:p>
    <w:p>
      <w:pPr>
        <w:pStyle w:val="TextBody"/>
        <w:bidi w:val="0"/>
        <w:spacing w:before="240" w:after="0"/>
        <w:jc w:val="left"/>
        <w:rPr>
          <w:rFonts w:ascii="Times New Roman" w:hAnsi="Times New Roman"/>
          <w:sz w:val="20"/>
        </w:rPr>
      </w:pPr>
      <w:r>
        <w:rPr>
          <w:rFonts w:ascii="Times New Roman" w:hAnsi="Times New Roman"/>
          <w:sz w:val="20"/>
        </w:rPr>
        <w:t xml:space="preserve">(b) 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 </w:t>
      </w:r>
    </w:p>
    <w:p>
      <w:pPr>
        <w:pStyle w:val="TextBody"/>
        <w:bidi w:val="0"/>
        <w:spacing w:before="240" w:after="0"/>
        <w:jc w:val="left"/>
        <w:rPr>
          <w:rFonts w:ascii="Times New Roman" w:hAnsi="Times New Roman"/>
          <w:sz w:val="20"/>
        </w:rPr>
      </w:pPr>
      <w:r>
        <w:rPr>
          <w:rFonts w:ascii="Times New Roman" w:hAnsi="Times New Roman"/>
          <w:sz w:val="20"/>
        </w:rPr>
        <w:t xml:space="preserve">Capital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Consolidated Net Worth of any Person means, as of any date of determination, stockholders equity or members capital of such Person as reflected on the most recent consolidated balance sheet of such Person and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 </w:t>
      </w:r>
    </w:p>
    <w:p>
      <w:pPr>
        <w:pStyle w:val="TextBody"/>
        <w:bidi w:val="0"/>
        <w:spacing w:before="240" w:after="0"/>
        <w:jc w:val="left"/>
        <w:rPr>
          <w:rFonts w:ascii="Times New Roman" w:hAnsi="Times New Roman"/>
          <w:sz w:val="20"/>
        </w:rPr>
      </w:pPr>
      <w:r>
        <w:rPr>
          <w:rFonts w:ascii="Times New Roman" w:hAnsi="Times New Roman"/>
          <w:sz w:val="20"/>
        </w:rPr>
        <w:t xml:space="preserve">Lien means any lien, security interest, charge or encumbrance of any kind (including any conditional sale or other title retention agreement, any lease in the nature thereof, and any agreement to give any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Obligor means us and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Permitted Liens means, with respect to an Obligor: </w:t>
      </w:r>
    </w:p>
    <w:p>
      <w:pPr>
        <w:pStyle w:val="TextBody"/>
        <w:bidi w:val="0"/>
        <w:spacing w:before="120" w:after="0"/>
        <w:jc w:val="left"/>
        <w:rPr>
          <w:rFonts w:ascii="Times New Roman" w:hAnsi="Times New Roman"/>
          <w:sz w:val="20"/>
        </w:rPr>
      </w:pPr>
      <w:r>
        <w:rPr>
          <w:rFonts w:ascii="Times New Roman" w:hAnsi="Times New Roman"/>
          <w:sz w:val="20"/>
        </w:rPr>
        <w:t xml:space="preserve">(a) 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(c)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(d) Liens for taxes not yet due or that are being contested in good faith by appropriate proceedings, provided that adequate reserves with respect thereto are maintained on such Obligors books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(e) Liens securing reimbursement obligations with respect to letters of credit that encumber documents and other Property relating to such letters of credit and the products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(f) 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 </w:t>
      </w:r>
    </w:p>
    <w:p>
      <w:pPr>
        <w:pStyle w:val="TextBody"/>
        <w:bidi w:val="0"/>
        <w:spacing w:before="240" w:after="0"/>
        <w:jc w:val="left"/>
        <w:rPr>
          <w:rFonts w:ascii="Times New Roman" w:hAnsi="Times New Roman"/>
          <w:sz w:val="20"/>
        </w:rPr>
      </w:pPr>
      <w:r>
        <w:rPr>
          <w:rFonts w:ascii="Times New Roman" w:hAnsi="Times New Roman"/>
          <w:sz w:val="20"/>
        </w:rPr>
        <w:t xml:space="preserve">(g) Liens in favor of us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(h)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(i)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pledges or deposits to secure obligations under workers compensation laws or similar legislation, including Liens of judgments thereunder which are not currently dischargeable; </w:t>
      </w:r>
    </w:p>
    <w:p>
      <w:pPr>
        <w:pStyle w:val="TextBody"/>
        <w:bidi w:val="0"/>
        <w:spacing w:before="240" w:after="0"/>
        <w:jc w:val="left"/>
        <w:rPr>
          <w:rFonts w:ascii="Times New Roman" w:hAnsi="Times New Roman"/>
          <w:sz w:val="20"/>
        </w:rPr>
      </w:pPr>
      <w:r>
        <w:rPr>
          <w:rFonts w:ascii="Times New Roman" w:hAnsi="Times New Roman"/>
          <w:sz w:val="20"/>
        </w:rPr>
        <w:t xml:space="preserve">(k) 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 </w:t>
      </w:r>
    </w:p>
    <w:p>
      <w:pPr>
        <w:pStyle w:val="TextBody"/>
        <w:bidi w:val="0"/>
        <w:spacing w:before="240" w:after="0"/>
        <w:jc w:val="left"/>
        <w:rPr>
          <w:rFonts w:ascii="Times New Roman" w:hAnsi="Times New Roman"/>
          <w:sz w:val="20"/>
        </w:rPr>
      </w:pPr>
      <w:r>
        <w:rPr>
          <w:rFonts w:ascii="Times New Roman" w:hAnsi="Times New Roman"/>
          <w:sz w:val="20"/>
        </w:rPr>
        <w:t xml:space="preserve">(l) Liens consisting of deposits of Property to secure such Obligors statutory obligations in the ordinary course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Liens consisting of deposits of Property to secure (or in lieu of) surety, appeal or customs bonds in proceedings to which such Obligor is a party in the ordinary course of its business, but not in excess of $25,000,000; </w:t>
      </w:r>
    </w:p>
    <w:p>
      <w:pPr>
        <w:pStyle w:val="TextBody"/>
        <w:bidi w:val="0"/>
        <w:spacing w:before="120" w:after="0"/>
        <w:jc w:val="left"/>
        <w:rPr>
          <w:rFonts w:ascii="Times New Roman" w:hAnsi="Times New Roman"/>
          <w:sz w:val="20"/>
        </w:rPr>
      </w:pPr>
      <w:r>
        <w:rPr>
          <w:rFonts w:ascii="Times New Roman" w:hAnsi="Times New Roman"/>
          <w:sz w:val="20"/>
        </w:rPr>
        <w:t xml:space="preserve">(n) Liens on margin stock (as defined in Regulation U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(o) Liens permitted under sale and lease-back transactions, and any renewals or extensions thereof, so long as the Indebtedness secured thereby does not exceed $300,000,000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(p) Liens arising in connection with asset securitization transactions, so long as the aggregate outstanding principal amount of the obligations of all Obligors secured thereby does not exceed $300,000,000 at any one time; </w:t>
      </w:r>
    </w:p>
    <w:p>
      <w:pPr>
        <w:pStyle w:val="TextBody"/>
        <w:bidi w:val="0"/>
        <w:spacing w:before="120" w:after="0"/>
        <w:jc w:val="left"/>
        <w:rPr>
          <w:rFonts w:ascii="Times New Roman" w:hAnsi="Times New Roman"/>
          <w:sz w:val="20"/>
        </w:rPr>
      </w:pPr>
      <w:r>
        <w:rPr>
          <w:rFonts w:ascii="Times New Roman" w:hAnsi="Times New Roman"/>
          <w:sz w:val="20"/>
        </w:rPr>
        <w:t xml:space="preserve">(q) 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 </w:t>
      </w:r>
    </w:p>
    <w:p>
      <w:pPr>
        <w:pStyle w:val="TextBody"/>
        <w:bidi w:val="0"/>
        <w:spacing w:before="120" w:after="0"/>
        <w:jc w:val="left"/>
        <w:rPr>
          <w:rFonts w:ascii="Times New Roman" w:hAnsi="Times New Roman"/>
          <w:sz w:val="20"/>
        </w:rPr>
      </w:pPr>
      <w:r>
        <w:rPr>
          <w:rFonts w:ascii="Times New Roman" w:hAnsi="Times New Roman"/>
          <w:sz w:val="20"/>
        </w:rPr>
        <w:t xml:space="preserve">(r) 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(s) Take-or-pay obligations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Person means any individual, corporation, limited liability company, partnership, joint venture, association, joint stock company, trust, unincorporated organization, or any other entity, including any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Property means with respect to any Person any property or asset, whether real, personal or mixed, or tangible or intangible, including shares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and the Guarantors have agreed to some restrictions on our activities for the benefit of holders of all series of senior debt securities issued under the senior indenture. The restrictive covenants summarized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apply, unless the covenants are waived or amended, so long as any of the senior debt securities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Liens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the date of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after the date of initial issuance of the senior debt securities of such series, created in favor of the registered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such Obligor of any Property by one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would be entitled to incur Indebtedness secured by a mortgage on the Property to be leased in an amount equal to the Attributable Liens with respect to such sale and lease-back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equally and ratably securing the senior debt securities of such series pursuant to the first paragraph of Limitation on Liens Securing Indebtedness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will expressly assume all of our obligations under the senior debt securities and the indenture and will execute a supplemental indenture, in a form satisfactory to the trustee, which will be delivered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or series of transactions on a pro forma basis, no default has occurred and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third bullet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as if such successor person had been named in our place in the indenture. We will (except in the case of a lease) be discharged from all obligations and covenants under the indenture and any debt securities issued thereunder (including the senior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will constitute an event of default in the senior indenture with respect to the senior debt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(a) default in paying interest on the senior debt securities of such series when it becomes due and the default continues for a period of 30 days or more; </w:t>
      </w:r>
    </w:p>
    <w:p>
      <w:pPr>
        <w:pStyle w:val="TextBody"/>
        <w:bidi w:val="0"/>
        <w:spacing w:before="240" w:after="0"/>
        <w:jc w:val="left"/>
        <w:rPr>
          <w:rFonts w:ascii="Times New Roman" w:hAnsi="Times New Roman"/>
          <w:sz w:val="20"/>
        </w:rPr>
      </w:pPr>
      <w:r>
        <w:rPr>
          <w:rFonts w:ascii="Times New Roman" w:hAnsi="Times New Roman"/>
          <w:sz w:val="20"/>
        </w:rPr>
        <w:t xml:space="preserve">(b) default in paying principal on the senior debt securities of such series when due; </w:t>
      </w:r>
    </w:p>
    <w:p>
      <w:pPr>
        <w:pStyle w:val="TextBody"/>
        <w:bidi w:val="0"/>
        <w:spacing w:before="240" w:after="0"/>
        <w:jc w:val="left"/>
        <w:rPr>
          <w:rFonts w:ascii="Times New Roman" w:hAnsi="Times New Roman"/>
          <w:sz w:val="20"/>
        </w:rPr>
      </w:pPr>
      <w:r>
        <w:rPr>
          <w:rFonts w:ascii="Times New Roman" w:hAnsi="Times New Roman"/>
          <w:sz w:val="20"/>
        </w:rPr>
        <w:t xml:space="preserve">(c) 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(d) certain events of bankruptcy, insolvency, reorganization, administration or similar proceedings with respect to us or any Obligor have occurred; or </w:t>
      </w:r>
    </w:p>
    <w:p>
      <w:pPr>
        <w:pStyle w:val="TextBody"/>
        <w:bidi w:val="0"/>
        <w:spacing w:before="240" w:after="0"/>
        <w:jc w:val="left"/>
        <w:rPr>
          <w:rFonts w:ascii="Times New Roman" w:hAnsi="Times New Roman"/>
          <w:sz w:val="20"/>
        </w:rPr>
      </w:pPr>
      <w:r>
        <w:rPr>
          <w:rFonts w:ascii="Times New Roman" w:hAnsi="Times New Roman"/>
          <w:sz w:val="20"/>
        </w:rPr>
        <w:t xml:space="preserve">(e) any Guarantee shall not be (or shall be claimed by the relevant Guarantor not to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furnish to the trustee an annual statement as to compliance with all conditions and covenants under the senior indenture within 120 days of the end of each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and the obligations of the Guarantors under the indenture with respect to the senior debt securities of any series and the Guarantees of such series of senior debt securities,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that have been authenticated and delivered have been canceled or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with respect to the senior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senior debt securities of such series to receive principal or interest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provisions relating to the resignation and removal of the trustee and the appointment of a successor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senior debt securities and Guarantees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(measured with respect to the scheduled payments of principal and interest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cash and U.S. Government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senior debt securities of such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with respect to the legal defeasance or covenant defeasance have been complied with.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the Guarantors and the trustee may amend or modify the senior indenture or the senior debt securities of any series without notice to or the consent of any holder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ambiguities, omissions, defects or inconsistencies in the senior indenture in a manner that does not adversely affect the interests of the holders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add guarantors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senior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our successor, if any, to our or their obligations to holders of any outstanding senior debt securities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Debt Securities and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senior debt securities of such series or alter or waive the redemption provisions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of the senior debt securities of such series to receive payment of principal or interest on the senior debt securities of such series on and after the due dates for such principal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senior debt securities of such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senior debt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including any Guarantee, and each senior debt security is governed by and construed in accordance with the laws of the State of New York.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senior indenture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834121_7"/>
      <w:bookmarkEnd w:id="18"/>
      <w:r>
        <w:rPr>
          <w:rFonts w:ascii="Times New Roman" w:hAnsi="Times New Roman"/>
          <w:b/>
          <w:sz w:val="20"/>
        </w:rPr>
        <w:t xml:space="preserve">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834121_8"/>
      <w:bookmarkEnd w:id="1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intend to pay quarterly dividends at an annualized rate currently of $1.08 per share, although each dividend is subject to approval by our Board of Directors. See Dividend Policy above.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Shareholder </w:t>
      </w:r>
    </w:p>
    <w:p>
      <w:pPr>
        <w:pStyle w:val="TextBody"/>
        <w:bidi w:val="0"/>
        <w:spacing w:before="120" w:after="0"/>
        <w:jc w:val="left"/>
        <w:rPr>
          <w:rFonts w:ascii="Times New Roman" w:hAnsi="Times New Roman"/>
          <w:sz w:val="20"/>
        </w:rPr>
      </w:pPr>
      <w:r>
        <w:rPr>
          <w:rFonts w:ascii="Times New Roman" w:hAnsi="Times New Roman"/>
          <w:sz w:val="20"/>
        </w:rPr>
        <w:t xml:space="preserve">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of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Class B common stock is convertible share for share into Class A common stock, subject to certain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Preference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 </w:t>
      </w:r>
    </w:p>
    <w:p>
      <w:pPr>
        <w:pStyle w:val="TextBody"/>
        <w:bidi w:val="0"/>
        <w:spacing w:before="360" w:after="0"/>
        <w:jc w:val="left"/>
        <w:rPr>
          <w:rFonts w:ascii="Times New Roman" w:hAnsi="Times New Roman"/>
          <w:b/>
          <w:sz w:val="20"/>
        </w:rPr>
      </w:pPr>
      <w:r>
        <w:rPr>
          <w:rFonts w:ascii="Times New Roman" w:hAnsi="Times New Roman"/>
          <w:b/>
          <w:sz w:val="20"/>
        </w:rPr>
        <w:t xml:space="preserve">Mergers, Consolidations, Etc.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D/B/A EQ Shareowner Services, P.O. Box 64854, St. Paul, Minnesota 55164-0854. Its telephone number is (888) 883-8903.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834121_9"/>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 holders may sell the securities being offered hereby in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customers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agent or dealer utilized in the initial offering of securities will not confirm sales to accounts over which it exercises discretionary authority without the prior specific written approval of its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834121_10"/>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 </w:t>
      </w:r>
    </w:p>
    <w:p>
      <w:pPr>
        <w:pStyle w:val="TextBody"/>
        <w:bidi w:val="0"/>
        <w:spacing w:before="480" w:after="0"/>
        <w:jc w:val="center"/>
        <w:rPr>
          <w:rFonts w:ascii="Times New Roman" w:hAnsi="Times New Roman"/>
          <w:b/>
          <w:sz w:val="20"/>
        </w:rPr>
      </w:pPr>
      <w:bookmarkStart w:id="22" w:name="toc834121_11"/>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 </w:t>
      </w:r>
    </w:p>
    <w:p>
      <w:pPr>
        <w:pStyle w:val="TextBody"/>
        <w:bidi w:val="0"/>
        <w:spacing w:before="480" w:after="0"/>
        <w:jc w:val="center"/>
        <w:rPr>
          <w:rFonts w:ascii="Times New Roman" w:hAnsi="Times New Roman"/>
          <w:b/>
          <w:sz w:val="20"/>
        </w:rPr>
      </w:pPr>
      <w:bookmarkStart w:id="23" w:name="toc834121_12"/>
      <w:bookmarkEnd w:id="23"/>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834121_13"/>
      <w:bookmarkEnd w:id="24"/>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Comcasts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2021, filed on February 2,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Comcasts Quarterly Reports on Form 10-Q for the quarters ended </w:t>
            </w:r>
            <w:hyperlink r:id="rId11">
              <w:r>
                <w:rPr>
                  <w:rStyle w:val="InternetLink"/>
                  <w:rFonts w:ascii="Times New Roman" w:hAnsi="Times New Roman"/>
                  <w:sz w:val="20"/>
                </w:rPr>
                <w:t>March 31, 2022</w:t>
              </w:r>
            </w:hyperlink>
            <w:r>
              <w:rPr>
                <w:rFonts w:ascii="Times New Roman" w:hAnsi="Times New Roman"/>
                <w:sz w:val="20"/>
              </w:rPr>
              <w:t xml:space="preserve"> and </w:t>
            </w:r>
            <w:hyperlink r:id="rId12">
              <w:r>
                <w:rPr>
                  <w:rStyle w:val="InternetLink"/>
                  <w:rFonts w:ascii="Times New Roman" w:hAnsi="Times New Roman"/>
                  <w:sz w:val="20"/>
                </w:rPr>
                <w:t>June 30, 2022</w:t>
              </w:r>
            </w:hyperlink>
            <w:r>
              <w:rPr>
                <w:rFonts w:ascii="Times New Roman" w:hAnsi="Times New Roman"/>
                <w:sz w:val="20"/>
              </w:rPr>
              <w:t xml:space="preserve">, filed on April 28, 2022 and July 28, 2022,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Comcasts Current Report on Form 8-K filed on </w:t>
            </w:r>
            <w:hyperlink r:id="rId13">
              <w:r>
                <w:rPr>
                  <w:rStyle w:val="InternetLink"/>
                  <w:rFonts w:ascii="Times New Roman" w:hAnsi="Times New Roman"/>
                  <w:sz w:val="20"/>
                </w:rPr>
                <w:t>June 3, 2022</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of Comcasts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for the 2022 annual meeting of shareholders incorporated by reference in Comcasts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included in Item 3.02 under the caption Amended and Restated Description of our Class A Common Stock in Comcasts Current Report on </w:t>
            </w:r>
            <w:hyperlink r:id="rId16">
              <w:r>
                <w:rPr>
                  <w:rStyle w:val="InternetLink"/>
                  <w:rFonts w:ascii="Times New Roman" w:hAnsi="Times New Roman"/>
                  <w:sz w:val="20"/>
                </w:rPr>
                <w:t>Form 8-K</w:t>
              </w:r>
            </w:hyperlink>
            <w:r>
              <w:rPr>
                <w:rFonts w:ascii="Times New Roman" w:hAnsi="Times New Roman"/>
                <w:sz w:val="20"/>
              </w:rPr>
              <w:t xml:space="preserve"> filed on December 15, 2015, as the same may be further amended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$750,000,000 5.100% Notes due 2029 </w:t>
      </w:r>
    </w:p>
    <w:p>
      <w:pPr>
        <w:pStyle w:val="TextBody"/>
        <w:bidi w:val="0"/>
        <w:spacing w:before="120" w:after="0"/>
        <w:jc w:val="center"/>
        <w:rPr>
          <w:rFonts w:ascii="Times New Roman" w:hAnsi="Times New Roman"/>
          <w:b/>
          <w:sz w:val="32"/>
        </w:rPr>
      </w:pPr>
      <w:r>
        <w:rPr>
          <w:rFonts w:ascii="Times New Roman" w:hAnsi="Times New Roman"/>
          <w:b/>
          <w:sz w:val="32"/>
        </w:rPr>
        <w:t xml:space="preserve">$1,300,000,000 5.300% Notes due 2034 </w:t>
      </w:r>
    </w:p>
    <w:p>
      <w:pPr>
        <w:pStyle w:val="TextBody"/>
        <w:bidi w:val="0"/>
        <w:spacing w:before="120" w:after="0"/>
        <w:jc w:val="center"/>
        <w:rPr>
          <w:rFonts w:ascii="Times New Roman" w:hAnsi="Times New Roman"/>
          <w:b/>
          <w:sz w:val="32"/>
        </w:rPr>
      </w:pPr>
      <w:r>
        <w:rPr>
          <w:rFonts w:ascii="Times New Roman" w:hAnsi="Times New Roman"/>
          <w:b/>
          <w:sz w:val="32"/>
        </w:rPr>
        <w:t xml:space="preserve">$1,200,000,000 5.650% Notes due 2054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Barclays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Santander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Deutsche Bank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TD Securities</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May 20, 2024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25" w:name="d834121dexfilingfees.htm"/>
      <w:bookmarkStart w:id="26" w:name="ksd834121dexfilingfees"/>
      <w:bookmarkEnd w:id="25"/>
      <w:bookmarkEnd w:id="26"/>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sz w:val="20"/>
        </w:rPr>
      </w:pPr>
      <w:r>
        <w:rPr>
          <w:rFonts w:ascii="Times New Roman" w:hAnsi="Times New Roman"/>
          <w:sz w:val="20"/>
        </w:rPr>
        <w:t xml:space="preserve">Issuer: </w:t>
      </w:r>
    </w:p>
    <w:p>
      <w:pPr>
        <w:pStyle w:val="TextBody"/>
        <w:bidi w:val="0"/>
        <w:spacing w:before="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240" w:after="0"/>
        <w:jc w:val="center"/>
        <w:rPr>
          <w:rFonts w:ascii="Times New Roman" w:hAnsi="Times New Roman"/>
          <w:sz w:val="20"/>
        </w:rPr>
      </w:pPr>
      <w:r>
        <w:rPr>
          <w:rFonts w:ascii="Times New Roman" w:hAnsi="Times New Roman"/>
          <w:sz w:val="20"/>
        </w:rPr>
        <w:t xml:space="preserve">Guarantors: </w:t>
      </w:r>
    </w:p>
    <w:p>
      <w:pPr>
        <w:pStyle w:val="TextBody"/>
        <w:bidi w:val="0"/>
        <w:spacing w:before="0" w:after="0"/>
        <w:jc w:val="center"/>
        <w:rPr>
          <w:rFonts w:ascii="Times New Roman" w:hAnsi="Times New Roman"/>
          <w:b/>
          <w:sz w:val="20"/>
        </w:rPr>
      </w:pPr>
      <w:r>
        <w:rPr>
          <w:rFonts w:ascii="Times New Roman" w:hAnsi="Times New Roman"/>
          <w:b/>
          <w:sz w:val="20"/>
        </w:rPr>
        <w:t xml:space="preserve">Comcast Cable Communications,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12825" w:type="dxa"/>
        <w:jc w:val="center"/>
        <w:tblInd w:w="0" w:type="dxa"/>
        <w:tblLayout w:type="fixed"/>
        <w:tblCellMar>
          <w:top w:w="0" w:type="dxa"/>
          <w:left w:w="0" w:type="dxa"/>
          <w:bottom w:w="0" w:type="dxa"/>
          <w:right w:w="0" w:type="dxa"/>
        </w:tblCellMar>
      </w:tblPr>
      <w:tblGrid>
        <w:gridCol w:w="575"/>
        <w:gridCol w:w="60"/>
        <w:gridCol w:w="800"/>
        <w:gridCol w:w="60"/>
        <w:gridCol w:w="2315"/>
        <w:gridCol w:w="60"/>
        <w:gridCol w:w="1100"/>
        <w:gridCol w:w="60"/>
        <w:gridCol w:w="1520"/>
        <w:gridCol w:w="60"/>
        <w:gridCol w:w="995"/>
        <w:gridCol w:w="60"/>
        <w:gridCol w:w="1520"/>
        <w:gridCol w:w="60"/>
        <w:gridCol w:w="2300"/>
        <w:gridCol w:w="60"/>
        <w:gridCol w:w="1220"/>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57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7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Security</w:t>
              <w:br/>
              <w:t>Type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Security Class Title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Amount Registered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Maximum</w:t>
              <w:br/>
              <w:t>Aggregate Offering</w:t>
              <w:br/>
              <w:t>Price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Fee Rate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Amount of</w:t>
              <w:br/>
              <w:t>Registration</w:t>
              <w:br/>
              <w:t>Fee</w:t>
            </w:r>
          </w:p>
        </w:tc>
      </w:tr>
      <w:tr>
        <w:trPr/>
        <w:tc>
          <w:tcPr>
            <w:tcW w:w="12825" w:type="dxa"/>
            <w:gridSpan w:val="17"/>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57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75" w:type="dxa"/>
            <w:vMerge w:val="restart"/>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Fees  to  Be  Paid 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Debt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5.100% Notes due 2029 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457(r)</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$750,000,000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99.928%</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$749,460,000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$147.60 per $1,000,000 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$110,620.30</w:t>
            </w:r>
          </w:p>
        </w:tc>
      </w:tr>
      <w:tr>
        <w:trPr/>
        <w:tc>
          <w:tcPr>
            <w:tcW w:w="5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Guarantees of 5.100% Notes due 2029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Other (2) 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 </w:t>
            </w:r>
          </w:p>
        </w:tc>
      </w:tr>
      <w:tr>
        <w:trPr/>
        <w:tc>
          <w:tcPr>
            <w:tcW w:w="5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5.300% Notes due 2034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$1,300,000,000 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99.668% 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$1,295,684,000 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$147.60 per $1,000,000 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$191,242.96</w:t>
            </w:r>
          </w:p>
        </w:tc>
      </w:tr>
      <w:tr>
        <w:trPr/>
        <w:tc>
          <w:tcPr>
            <w:tcW w:w="5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Guarantees of 5.300% Notes due 2034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Other (2)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 </w:t>
            </w:r>
          </w:p>
        </w:tc>
      </w:tr>
      <w:tr>
        <w:trPr/>
        <w:tc>
          <w:tcPr>
            <w:tcW w:w="5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5.650% Notes due 2054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$1,200,000,000 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99.554% 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$1,194,648,000 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$147.60 per $1,000,000 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$176,330.04</w:t>
            </w:r>
          </w:p>
        </w:tc>
      </w:tr>
      <w:tr>
        <w:trPr/>
        <w:tc>
          <w:tcPr>
            <w:tcW w:w="575" w:type="dxa"/>
            <w:vMerge w:val="continue"/>
            <w:tcBorders>
              <w:left w:val="single" w:sz="2" w:space="0" w:color="000000"/>
              <w:bottom w:val="single" w:sz="2" w:space="0" w:color="000000"/>
              <w:right w:val="single" w:sz="2" w:space="0" w:color="000000"/>
            </w:tcBorders>
            <w:tcMar>
              <w:left w:w="160" w:type="dxa"/>
              <w:bottom w:w="28" w:type="dxa"/>
              <w:right w:w="28" w:type="dxa"/>
            </w:tcMar>
            <w:vAlign w:val="center"/>
          </w:tcPr>
          <w:p>
            <w:pPr>
              <w:pStyle w:val="Normal"/>
              <w:bidi w:val="0"/>
              <w:jc w:val="left"/>
              <w:rPr/>
            </w:pPr>
            <w:r>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Guarantees of 5.650% Notes due 2054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Other (2)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 </w:t>
            </w:r>
          </w:p>
        </w:tc>
      </w:tr>
      <w:tr>
        <w:trPr>
          <w:trHeight w:val="15" w:hRule="atLeast"/>
        </w:trPr>
        <w:tc>
          <w:tcPr>
            <w:tcW w:w="57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975"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7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915"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Total Offering Amounts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$3,239,792,000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$478,193.30</w:t>
            </w:r>
          </w:p>
        </w:tc>
      </w:tr>
      <w:tr>
        <w:trPr>
          <w:trHeight w:val="15" w:hRule="atLeast"/>
        </w:trPr>
        <w:tc>
          <w:tcPr>
            <w:tcW w:w="57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975"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7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915"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$478,193.30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Cable Communications, LLC and NBCUniversal Media, LLC have each provided a guarantee with respect to the 5.100% Notes due 2029, 5.300% Notes due 2034 and 5.650% Notes due 2054 issued by Comcast Corporation.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457(n) under the Securities Act of 1933, as amended, no additional registration fee is due with respect to the guarantees.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66691/000116669124000011/cmcsa-20231231.htm" TargetMode="External"/><Relationship Id="rId4" Type="http://schemas.openxmlformats.org/officeDocument/2006/relationships/hyperlink" Target="http://www.sec.gov/Archives/edgar/data/../../../ix?doc=/Archives/edgar/data/1166691/000116669124000031/cmcsa-20240331.htm" TargetMode="External"/><Relationship Id="rId5" Type="http://schemas.openxmlformats.org/officeDocument/2006/relationships/hyperlink" Target="http://www.sec.gov/Archives/edgar/data/../../../ix?doc=/Archives/edgar/data/1166691/000116669124000019/cmcsa-20240415.htm" TargetMode="External"/><Relationship Id="rId6" Type="http://schemas.openxmlformats.org/officeDocument/2006/relationships/hyperlink" Target="http://www.sec.gov/Archives/edgar/data/../../../ix?doc=/Archives/edgar/data/1166691/000095010324006839/dp211362_8k.htm" TargetMode="External"/><Relationship Id="rId7" Type="http://schemas.openxmlformats.org/officeDocument/2006/relationships/hyperlink" Target="http://www.sec.gov/Archives/edgar/data/../../../ix?doc=/Archives/edgar/data/1166691/000130817924000600/cmcsa4226581-def14a.htm" TargetMode="External"/><Relationship Id="rId8" Type="http://schemas.openxmlformats.org/officeDocument/2006/relationships/hyperlink" Target="http://www.sec.gov/Archives/edgar/data/../../../ix?doc=/Archives/edgar/data/1166691/000116669124000011/cmcsa-20231231.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1166691/000116669122000009/cmcsa-20211231.htm" TargetMode="External"/><Relationship Id="rId11" Type="http://schemas.openxmlformats.org/officeDocument/2006/relationships/hyperlink" Target="http://www.sec.gov/Archives/edgar/data/../../../ix?doc=/Archives/edgar/data/1166691/000116669122000018/cmcsa-20220331.htm" TargetMode="External"/><Relationship Id="rId12" Type="http://schemas.openxmlformats.org/officeDocument/2006/relationships/hyperlink" Target="http://www.sec.gov/Archives/edgar/data/../../../ix?doc=/Archives/edgar/data/1166691/000116669122000030/cmcsa-20220630.htm" TargetMode="External"/><Relationship Id="rId13" Type="http://schemas.openxmlformats.org/officeDocument/2006/relationships/hyperlink" Target="http://www.sec.gov/Archives/edgar/data/../../../ix?doc=/Archives/edgar/data/1166691/000095010322010112/dp174738_8k.htm" TargetMode="External"/><Relationship Id="rId14" Type="http://schemas.openxmlformats.org/officeDocument/2006/relationships/hyperlink" Target="http://www.sec.gov/Archives/edgar/data/1166691/000120677422001186/cmcsa4011221-def14a.htm" TargetMode="External"/><Relationship Id="rId15" Type="http://schemas.openxmlformats.org/officeDocument/2006/relationships/hyperlink" Target="http://www.sec.gov/Archives/edgar/data/../../../ix?doc=/Archives/edgar/data/1166691/000116669122000009/cmcsa-20211231.htm" TargetMode="External"/><Relationship Id="rId16" Type="http://schemas.openxmlformats.org/officeDocument/2006/relationships/hyperlink" Target="http://www.sec.gov/Archives/edgar/data/1166691/000095010315009516/dp61838_8k.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26596</Words>
  <Characters>136440</Characters>
  <CharactersWithSpaces>163283</CharactersWithSpaces>
  <Paragraphs>2310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