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30, 2008</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w:t>
      </w:r>
    </w:p>
    <w:p>
      <w:pPr>
        <w:jc w:val="center"/>
        <w:ind w:right="-19"/>
        <w:spacing w:after="0"/>
        <w:rPr>
          <w:sz w:val="20"/>
          <w:szCs w:val="20"/>
          <w:color w:val="auto"/>
        </w:rPr>
      </w:pPr>
      <w:r>
        <w:rPr>
          <w:rFonts w:ascii="Arial" w:cs="Arial" w:eastAsia="Arial" w:hAnsi="Arial"/>
          <w:sz w:val="14"/>
          <w:szCs w:val="14"/>
          <w:b w:val="1"/>
          <w:bCs w:val="1"/>
          <w:color w:val="auto"/>
        </w:rPr>
        <w:t>as Specified in Charter)</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7"/>
              </w:rPr>
              <w:t>One Comcast Center</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July 30, 2008, Comcast Corporation (“Comcast”) issued a press release reporting the results of its operations for the three and six months ended June 30, 2008.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Exhibits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0</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93"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July 30, 2008.</w:t>
      </w:r>
    </w:p>
    <w:p>
      <w:pPr>
        <w:sectPr>
          <w:pgSz w:w="11900" w:h="16838" w:orient="portrait"/>
          <w:cols w:equalWidth="0" w:num="1">
            <w:col w:w="11420"/>
          </w:cols>
          <w:pgMar w:left="240" w:top="2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660" w:type="dxa"/>
            <w:vAlign w:val="bottom"/>
          </w:tcPr>
          <w:p>
            <w:pPr>
              <w:spacing w:after="0"/>
              <w:rPr>
                <w:sz w:val="24"/>
                <w:szCs w:val="24"/>
                <w:color w:val="auto"/>
              </w:rPr>
            </w:pPr>
          </w:p>
        </w:tc>
        <w:tc>
          <w:tcPr>
            <w:tcW w:w="7760" w:type="dxa"/>
            <w:vAlign w:val="bottom"/>
            <w:gridSpan w:val="2"/>
          </w:tcPr>
          <w:p>
            <w:pPr>
              <w:ind w:left="2260"/>
              <w:spacing w:after="0"/>
              <w:rPr>
                <w:sz w:val="20"/>
                <w:szCs w:val="20"/>
                <w:color w:val="auto"/>
              </w:rPr>
            </w:pPr>
            <w:r>
              <w:rPr>
                <w:rFonts w:ascii="Arial" w:cs="Arial" w:eastAsia="Arial" w:hAnsi="Arial"/>
                <w:sz w:val="22"/>
                <w:szCs w:val="22"/>
                <w:b w:val="1"/>
                <w:bCs w:val="1"/>
                <w:color w:val="auto"/>
              </w:rPr>
              <w:t>COMCAST CORPORATION</w:t>
            </w:r>
          </w:p>
        </w:tc>
      </w:tr>
      <w:tr>
        <w:trPr>
          <w:trHeight w:val="421"/>
        </w:trPr>
        <w:tc>
          <w:tcPr>
            <w:tcW w:w="3660" w:type="dxa"/>
            <w:vAlign w:val="bottom"/>
          </w:tcPr>
          <w:p>
            <w:pPr>
              <w:spacing w:after="0"/>
              <w:rPr>
                <w:sz w:val="20"/>
                <w:szCs w:val="20"/>
                <w:color w:val="auto"/>
              </w:rPr>
            </w:pPr>
            <w:r>
              <w:rPr>
                <w:rFonts w:ascii="Arial" w:cs="Arial" w:eastAsia="Arial" w:hAnsi="Arial"/>
                <w:sz w:val="18"/>
                <w:szCs w:val="18"/>
                <w:color w:val="auto"/>
              </w:rPr>
              <w:t>Date: July 30, 2008</w:t>
            </w:r>
          </w:p>
        </w:tc>
        <w:tc>
          <w:tcPr>
            <w:tcW w:w="7760" w:type="dxa"/>
            <w:vAlign w:val="bottom"/>
            <w:gridSpan w:val="2"/>
          </w:tcPr>
          <w:p>
            <w:pPr>
              <w:ind w:left="2260"/>
              <w:spacing w:after="0"/>
              <w:rPr>
                <w:sz w:val="20"/>
                <w:szCs w:val="20"/>
                <w:color w:val="auto"/>
              </w:rPr>
            </w:pPr>
            <w:r>
              <w:rPr>
                <w:rFonts w:ascii="Arial" w:cs="Arial" w:eastAsia="Arial" w:hAnsi="Arial"/>
                <w:sz w:val="18"/>
                <w:szCs w:val="18"/>
                <w:color w:val="auto"/>
              </w:rPr>
              <w:t>By: /s/ Lawrence J. Salva</w:t>
            </w:r>
          </w:p>
        </w:tc>
      </w:tr>
      <w:tr>
        <w:trPr>
          <w:trHeight w:val="202"/>
        </w:trPr>
        <w:tc>
          <w:tcPr>
            <w:tcW w:w="36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Lawrence J. Salva</w:t>
            </w:r>
          </w:p>
        </w:tc>
      </w:tr>
      <w:tr>
        <w:trPr>
          <w:trHeight w:val="216"/>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Chief Accounting Officer and Controller</w:t>
            </w:r>
          </w:p>
        </w:tc>
      </w:tr>
      <w:tr>
        <w:trPr>
          <w:trHeight w:val="222"/>
        </w:trPr>
        <w:tc>
          <w:tcPr>
            <w:tcW w:w="3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256"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80" w:type="dxa"/>
            <w:vAlign w:val="bottom"/>
            <w:gridSpan w:val="2"/>
          </w:tcPr>
          <w:p>
            <w:pPr>
              <w:ind w:left="1660"/>
              <w:spacing w:after="0"/>
              <w:rPr>
                <w:sz w:val="20"/>
                <w:szCs w:val="20"/>
                <w:color w:val="auto"/>
              </w:rPr>
            </w:pPr>
            <w:r>
              <w:rPr>
                <w:rFonts w:ascii="Arial" w:cs="Arial" w:eastAsia="Arial" w:hAnsi="Arial"/>
                <w:sz w:val="18"/>
                <w:szCs w:val="18"/>
                <w:b w:val="1"/>
                <w:bCs w:val="1"/>
                <w:color w:val="auto"/>
                <w:w w:val="89"/>
              </w:rPr>
              <w:t>Exhibit 99.1</w:t>
            </w:r>
          </w:p>
        </w:tc>
      </w:tr>
      <w:tr>
        <w:trPr>
          <w:trHeight w:val="1043"/>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20" w:type="dxa"/>
            <w:vAlign w:val="bottom"/>
            <w:gridSpan w:val="3"/>
          </w:tcPr>
          <w:p>
            <w:pPr>
              <w:jc w:val="center"/>
              <w:ind w:left="47"/>
              <w:spacing w:after="0"/>
              <w:rPr>
                <w:sz w:val="20"/>
                <w:szCs w:val="20"/>
                <w:color w:val="auto"/>
              </w:rPr>
            </w:pPr>
            <w:r>
              <w:rPr>
                <w:rFonts w:ascii="Arial" w:cs="Arial" w:eastAsia="Arial" w:hAnsi="Arial"/>
                <w:sz w:val="32"/>
                <w:szCs w:val="32"/>
                <w:b w:val="1"/>
                <w:bCs w:val="1"/>
                <w:color w:val="auto"/>
              </w:rPr>
              <w:t>PRESS RELEASE</w:t>
            </w:r>
          </w:p>
        </w:tc>
      </w:tr>
      <w:tr>
        <w:trPr>
          <w:trHeight w:val="201"/>
        </w:trPr>
        <w:tc>
          <w:tcPr>
            <w:tcW w:w="1900" w:type="dxa"/>
            <w:vAlign w:val="bottom"/>
            <w:gridSpan w:val="2"/>
          </w:tcPr>
          <w:p>
            <w:pPr>
              <w:spacing w:after="0"/>
              <w:rPr>
                <w:sz w:val="17"/>
                <w:szCs w:val="17"/>
                <w:color w:val="auto"/>
              </w:rPr>
            </w:pPr>
          </w:p>
        </w:tc>
        <w:tc>
          <w:tcPr>
            <w:tcW w:w="3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40" w:type="dxa"/>
            <w:vAlign w:val="bottom"/>
            <w:gridSpan w:val="2"/>
          </w:tcPr>
          <w:p>
            <w:pPr>
              <w:spacing w:after="0"/>
              <w:rPr>
                <w:sz w:val="17"/>
                <w:szCs w:val="17"/>
                <w:color w:val="auto"/>
              </w:rPr>
            </w:pPr>
          </w:p>
        </w:tc>
        <w:tc>
          <w:tcPr>
            <w:tcW w:w="2580" w:type="dxa"/>
            <w:vAlign w:val="bottom"/>
            <w:gridSpan w:val="2"/>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880" w:type="dxa"/>
            <w:vAlign w:val="bottom"/>
            <w:tcBorders>
              <w:top w:val="single" w:sz="8" w:color="auto"/>
            </w:tcBorders>
          </w:tcPr>
          <w:p>
            <w:pPr>
              <w:spacing w:after="0" w:line="223" w:lineRule="exact"/>
              <w:rPr>
                <w:sz w:val="20"/>
                <w:szCs w:val="20"/>
                <w:color w:val="auto"/>
              </w:rPr>
            </w:pPr>
            <w:r>
              <w:rPr>
                <w:rFonts w:ascii="Arial" w:cs="Arial" w:eastAsia="Arial" w:hAnsi="Arial"/>
                <w:sz w:val="22"/>
                <w:szCs w:val="22"/>
                <w:b w:val="1"/>
                <w:bCs w:val="1"/>
                <w:color w:val="auto"/>
                <w:w w:val="96"/>
              </w:rPr>
              <w:t>Investor Contacts:</w:t>
            </w:r>
          </w:p>
        </w:tc>
        <w:tc>
          <w:tcPr>
            <w:tcW w:w="3580" w:type="dxa"/>
            <w:vAlign w:val="bottom"/>
            <w:tcBorders>
              <w:top w:val="single" w:sz="8" w:color="auto"/>
            </w:tcBorders>
          </w:tcPr>
          <w:p>
            <w:pPr>
              <w:spacing w:after="0"/>
              <w:rPr>
                <w:sz w:val="19"/>
                <w:szCs w:val="19"/>
                <w:color w:val="auto"/>
              </w:rPr>
            </w:pPr>
          </w:p>
        </w:tc>
        <w:tc>
          <w:tcPr>
            <w:tcW w:w="5940" w:type="dxa"/>
            <w:vAlign w:val="bottom"/>
            <w:tcBorders>
              <w:top w:val="single" w:sz="8" w:color="auto"/>
            </w:tcBorders>
            <w:gridSpan w:val="4"/>
          </w:tcPr>
          <w:p>
            <w:pPr>
              <w:ind w:left="1740"/>
              <w:spacing w:after="0" w:line="223" w:lineRule="exact"/>
              <w:rPr>
                <w:sz w:val="20"/>
                <w:szCs w:val="20"/>
                <w:color w:val="auto"/>
              </w:rPr>
            </w:pPr>
            <w:r>
              <w:rPr>
                <w:rFonts w:ascii="Arial" w:cs="Arial" w:eastAsia="Arial" w:hAnsi="Arial"/>
                <w:sz w:val="22"/>
                <w:szCs w:val="22"/>
                <w:b w:val="1"/>
                <w:bCs w:val="1"/>
                <w:color w:val="auto"/>
              </w:rPr>
              <w:t>Press Contacts:</w:t>
            </w:r>
          </w:p>
        </w:tc>
        <w:tc>
          <w:tcPr>
            <w:tcW w:w="20" w:type="dxa"/>
            <w:vAlign w:val="bottom"/>
          </w:tcPr>
          <w:p>
            <w:pPr>
              <w:spacing w:after="0"/>
              <w:rPr>
                <w:sz w:val="19"/>
                <w:szCs w:val="19"/>
                <w:color w:val="auto"/>
              </w:rPr>
            </w:pPr>
          </w:p>
        </w:tc>
      </w:tr>
      <w:tr>
        <w:trPr>
          <w:trHeight w:val="20"/>
        </w:trPr>
        <w:tc>
          <w:tcPr>
            <w:tcW w:w="1900" w:type="dxa"/>
            <w:vAlign w:val="bottom"/>
            <w:gridSpan w:val="2"/>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900" w:type="dxa"/>
            <w:vAlign w:val="bottom"/>
            <w:gridSpan w:val="2"/>
          </w:tcPr>
          <w:p>
            <w:pPr>
              <w:spacing w:after="0"/>
              <w:rPr>
                <w:sz w:val="20"/>
                <w:szCs w:val="20"/>
                <w:color w:val="auto"/>
              </w:rPr>
            </w:pPr>
            <w:r>
              <w:rPr>
                <w:rFonts w:ascii="Arial" w:cs="Arial" w:eastAsia="Arial" w:hAnsi="Arial"/>
                <w:sz w:val="18"/>
                <w:szCs w:val="18"/>
                <w:color w:val="auto"/>
              </w:rPr>
              <w:t>Marlene S. Dooner</w:t>
            </w:r>
          </w:p>
        </w:tc>
        <w:tc>
          <w:tcPr>
            <w:tcW w:w="3580" w:type="dxa"/>
            <w:vAlign w:val="bottom"/>
          </w:tcPr>
          <w:p>
            <w:pPr>
              <w:jc w:val="right"/>
              <w:ind w:right="1652"/>
              <w:spacing w:after="0"/>
              <w:rPr>
                <w:sz w:val="20"/>
                <w:szCs w:val="20"/>
                <w:color w:val="auto"/>
              </w:rPr>
            </w:pPr>
            <w:r>
              <w:rPr>
                <w:rFonts w:ascii="Arial" w:cs="Arial" w:eastAsia="Arial" w:hAnsi="Arial"/>
                <w:sz w:val="18"/>
                <w:szCs w:val="18"/>
                <w:color w:val="auto"/>
              </w:rPr>
              <w:t>(215) 286-7392</w:t>
            </w:r>
          </w:p>
        </w:tc>
        <w:tc>
          <w:tcPr>
            <w:tcW w:w="3040" w:type="dxa"/>
            <w:vAlign w:val="bottom"/>
            <w:gridSpan w:val="2"/>
          </w:tcPr>
          <w:p>
            <w:pPr>
              <w:ind w:left="1740"/>
              <w:spacing w:after="0"/>
              <w:rPr>
                <w:sz w:val="20"/>
                <w:szCs w:val="20"/>
                <w:color w:val="auto"/>
              </w:rPr>
            </w:pPr>
            <w:r>
              <w:rPr>
                <w:rFonts w:ascii="Arial" w:cs="Arial" w:eastAsia="Arial" w:hAnsi="Arial"/>
                <w:sz w:val="18"/>
                <w:szCs w:val="18"/>
                <w:color w:val="auto"/>
              </w:rPr>
              <w:t>D’Arcy Rudnay</w:t>
            </w:r>
          </w:p>
        </w:tc>
        <w:tc>
          <w:tcPr>
            <w:tcW w:w="2900" w:type="dxa"/>
            <w:vAlign w:val="bottom"/>
            <w:gridSpan w:val="2"/>
          </w:tcPr>
          <w:p>
            <w:pPr>
              <w:jc w:val="center"/>
              <w:ind w:left="7"/>
              <w:spacing w:after="0"/>
              <w:rPr>
                <w:sz w:val="20"/>
                <w:szCs w:val="20"/>
                <w:color w:val="auto"/>
              </w:rPr>
            </w:pPr>
            <w:r>
              <w:rPr>
                <w:rFonts w:ascii="Arial" w:cs="Arial" w:eastAsia="Arial" w:hAnsi="Arial"/>
                <w:sz w:val="18"/>
                <w:szCs w:val="18"/>
                <w:color w:val="auto"/>
                <w:w w:val="89"/>
              </w:rPr>
              <w:t>(215) 286-8582</w:t>
            </w:r>
          </w:p>
        </w:tc>
        <w:tc>
          <w:tcPr>
            <w:tcW w:w="20" w:type="dxa"/>
            <w:vAlign w:val="bottom"/>
          </w:tcPr>
          <w:p>
            <w:pPr>
              <w:spacing w:after="0"/>
              <w:rPr>
                <w:sz w:val="19"/>
                <w:szCs w:val="19"/>
                <w:color w:val="auto"/>
              </w:rPr>
            </w:pPr>
          </w:p>
        </w:tc>
      </w:tr>
      <w:tr>
        <w:trPr>
          <w:trHeight w:val="222"/>
        </w:trPr>
        <w:tc>
          <w:tcPr>
            <w:tcW w:w="1900" w:type="dxa"/>
            <w:vAlign w:val="bottom"/>
            <w:gridSpan w:val="2"/>
          </w:tcPr>
          <w:p>
            <w:pPr>
              <w:spacing w:after="0"/>
              <w:rPr>
                <w:sz w:val="20"/>
                <w:szCs w:val="20"/>
                <w:color w:val="auto"/>
              </w:rPr>
            </w:pPr>
            <w:r>
              <w:rPr>
                <w:rFonts w:ascii="Arial" w:cs="Arial" w:eastAsia="Arial" w:hAnsi="Arial"/>
                <w:sz w:val="18"/>
                <w:szCs w:val="18"/>
                <w:color w:val="auto"/>
              </w:rPr>
              <w:t>Michael A. Kelman</w:t>
            </w:r>
          </w:p>
        </w:tc>
        <w:tc>
          <w:tcPr>
            <w:tcW w:w="3580" w:type="dxa"/>
            <w:vAlign w:val="bottom"/>
          </w:tcPr>
          <w:p>
            <w:pPr>
              <w:jc w:val="right"/>
              <w:ind w:right="1652"/>
              <w:spacing w:after="0"/>
              <w:rPr>
                <w:sz w:val="20"/>
                <w:szCs w:val="20"/>
                <w:color w:val="auto"/>
              </w:rPr>
            </w:pPr>
            <w:r>
              <w:rPr>
                <w:rFonts w:ascii="Arial" w:cs="Arial" w:eastAsia="Arial" w:hAnsi="Arial"/>
                <w:sz w:val="18"/>
                <w:szCs w:val="18"/>
                <w:color w:val="auto"/>
              </w:rPr>
              <w:t>(215) 286-3035</w:t>
            </w:r>
          </w:p>
        </w:tc>
        <w:tc>
          <w:tcPr>
            <w:tcW w:w="3040" w:type="dxa"/>
            <w:vAlign w:val="bottom"/>
            <w:gridSpan w:val="2"/>
          </w:tcPr>
          <w:p>
            <w:pPr>
              <w:ind w:left="1740"/>
              <w:spacing w:after="0"/>
              <w:rPr>
                <w:sz w:val="20"/>
                <w:szCs w:val="20"/>
                <w:color w:val="auto"/>
              </w:rPr>
            </w:pPr>
            <w:r>
              <w:rPr>
                <w:rFonts w:ascii="Arial" w:cs="Arial" w:eastAsia="Arial" w:hAnsi="Arial"/>
                <w:sz w:val="18"/>
                <w:szCs w:val="18"/>
                <w:color w:val="auto"/>
              </w:rPr>
              <w:t>John Demming</w:t>
            </w:r>
          </w:p>
        </w:tc>
        <w:tc>
          <w:tcPr>
            <w:tcW w:w="2900" w:type="dxa"/>
            <w:vAlign w:val="bottom"/>
            <w:gridSpan w:val="2"/>
          </w:tcPr>
          <w:p>
            <w:pPr>
              <w:jc w:val="center"/>
              <w:ind w:left="7"/>
              <w:spacing w:after="0"/>
              <w:rPr>
                <w:sz w:val="20"/>
                <w:szCs w:val="20"/>
                <w:color w:val="auto"/>
              </w:rPr>
            </w:pPr>
            <w:r>
              <w:rPr>
                <w:rFonts w:ascii="Arial" w:cs="Arial" w:eastAsia="Arial" w:hAnsi="Arial"/>
                <w:sz w:val="18"/>
                <w:szCs w:val="18"/>
                <w:color w:val="auto"/>
                <w:w w:val="89"/>
              </w:rPr>
              <w:t>(215) 286-8011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-1189990</wp:posOffset>
            </wp:positionV>
            <wp:extent cx="2092325" cy="591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5918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SECOND QUARTER 2008 RESULTS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Revenue Increased 11%; Pro Forma Growth of 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Operating Cash Flow Increased 11%; Pro Forma Growth of 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Operating Income Increased 19%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EPS Increased 11% to $0.21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Free Cash Flow Increased 216% to $1.2 Billion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Repurchased 48 Million Common Shares for $1.0 Billion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Philadelphia, PA – July 30, 2008…Comcast Corporation (NASDAQ: CMCSA, CMCSK) today reported results for the quarter ended June 30, 2008. The following table highlights financial results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2nd Quarter</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8"/>
              </w:rPr>
              <w:t>Six Months</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Consolidated</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24"/>
                <w:szCs w:val="24"/>
                <w:color w:val="auto"/>
              </w:rPr>
            </w:pPr>
          </w:p>
        </w:tc>
        <w:tc>
          <w:tcPr>
            <w:tcW w:w="620" w:type="dxa"/>
            <w:vAlign w:val="bottom"/>
            <w:tcBorders>
              <w:top w:val="single" w:sz="8" w:color="auto"/>
            </w:tcBorders>
            <w:gridSpan w:val="2"/>
          </w:tcPr>
          <w:p>
            <w:pPr>
              <w:jc w:val="center"/>
              <w:ind w:left="75"/>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5"/>
              </w:rPr>
              <w:t>Growth</w:t>
            </w:r>
          </w:p>
        </w:tc>
        <w:tc>
          <w:tcPr>
            <w:tcW w:w="92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24"/>
                <w:szCs w:val="24"/>
                <w:color w:val="auto"/>
              </w:rPr>
            </w:pPr>
          </w:p>
        </w:tc>
        <w:tc>
          <w:tcPr>
            <w:tcW w:w="660" w:type="dxa"/>
            <w:vAlign w:val="bottom"/>
            <w:tcBorders>
              <w:top w:val="single" w:sz="8" w:color="auto"/>
            </w:tcBorders>
            <w:gridSpan w:val="2"/>
          </w:tcPr>
          <w:p>
            <w:pPr>
              <w:jc w:val="center"/>
              <w:ind w:left="35"/>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89"/>
              </w:rPr>
              <w:t>Growth</w:t>
            </w:r>
          </w:p>
        </w:tc>
        <w:tc>
          <w:tcPr>
            <w:tcW w:w="0" w:type="dxa"/>
            <w:vAlign w:val="bottom"/>
          </w:tcPr>
          <w:p>
            <w:pPr>
              <w:spacing w:after="0"/>
              <w:rPr>
                <w:sz w:val="1"/>
                <w:szCs w:val="1"/>
                <w:color w:val="auto"/>
              </w:rPr>
            </w:pPr>
          </w:p>
        </w:tc>
      </w:tr>
      <w:tr>
        <w:trPr>
          <w:trHeight w:val="201"/>
        </w:trPr>
        <w:tc>
          <w:tcPr>
            <w:tcW w:w="6680" w:type="dxa"/>
            <w:vAlign w:val="bottom"/>
            <w:vMerge w:val="continue"/>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Revenue</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$8,553</w:t>
            </w:r>
          </w:p>
        </w:tc>
        <w:tc>
          <w:tcPr>
            <w:tcW w:w="200" w:type="dxa"/>
            <w:vAlign w:val="bottom"/>
          </w:tcPr>
          <w:p>
            <w:pPr>
              <w:spacing w:after="0"/>
              <w:rPr>
                <w:sz w:val="18"/>
                <w:szCs w:val="18"/>
                <w:color w:val="auto"/>
              </w:rPr>
            </w:pPr>
          </w:p>
        </w:tc>
        <w:tc>
          <w:tcPr>
            <w:tcW w:w="620" w:type="dxa"/>
            <w:vAlign w:val="bottom"/>
            <w:gridSpan w:val="2"/>
          </w:tcPr>
          <w:p>
            <w:pPr>
              <w:jc w:val="center"/>
              <w:ind w:left="55"/>
              <w:spacing w:after="0"/>
              <w:rPr>
                <w:sz w:val="20"/>
                <w:szCs w:val="20"/>
                <w:color w:val="auto"/>
              </w:rPr>
            </w:pPr>
            <w:r>
              <w:rPr>
                <w:rFonts w:ascii="Arial" w:cs="Arial" w:eastAsia="Arial" w:hAnsi="Arial"/>
                <w:sz w:val="18"/>
                <w:szCs w:val="18"/>
                <w:color w:val="auto"/>
                <w:w w:val="87"/>
              </w:rPr>
              <w:t>$7,712</w:t>
            </w:r>
          </w:p>
        </w:tc>
        <w:tc>
          <w:tcPr>
            <w:tcW w:w="120" w:type="dxa"/>
            <w:vAlign w:val="bottom"/>
          </w:tcPr>
          <w:p>
            <w:pPr>
              <w:spacing w:after="0"/>
              <w:rPr>
                <w:sz w:val="18"/>
                <w:szCs w:val="18"/>
                <w:color w:val="auto"/>
              </w:rPr>
            </w:pPr>
          </w:p>
        </w:tc>
        <w:tc>
          <w:tcPr>
            <w:tcW w:w="68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11%</w:t>
            </w:r>
          </w:p>
        </w:tc>
        <w:tc>
          <w:tcPr>
            <w:tcW w:w="92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$16,942</w:t>
            </w:r>
          </w:p>
        </w:tc>
        <w:tc>
          <w:tcPr>
            <w:tcW w:w="240" w:type="dxa"/>
            <w:vAlign w:val="bottom"/>
          </w:tcPr>
          <w:p>
            <w:pPr>
              <w:spacing w:after="0"/>
              <w:rPr>
                <w:sz w:val="18"/>
                <w:szCs w:val="18"/>
                <w:color w:val="auto"/>
              </w:rPr>
            </w:pPr>
          </w:p>
        </w:tc>
        <w:tc>
          <w:tcPr>
            <w:tcW w:w="680" w:type="dxa"/>
            <w:vAlign w:val="bottom"/>
            <w:gridSpan w:val="3"/>
          </w:tcPr>
          <w:p>
            <w:pPr>
              <w:jc w:val="center"/>
              <w:ind w:left="15"/>
              <w:spacing w:after="0"/>
              <w:rPr>
                <w:sz w:val="20"/>
                <w:szCs w:val="20"/>
                <w:color w:val="auto"/>
              </w:rPr>
            </w:pPr>
            <w:r>
              <w:rPr>
                <w:rFonts w:ascii="Arial" w:cs="Arial" w:eastAsia="Arial" w:hAnsi="Arial"/>
                <w:sz w:val="18"/>
                <w:szCs w:val="18"/>
                <w:color w:val="auto"/>
                <w:w w:val="89"/>
              </w:rPr>
              <w:t>$15,100</w:t>
            </w: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Operating Cash Flow</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$3,351</w:t>
            </w:r>
          </w:p>
        </w:tc>
        <w:tc>
          <w:tcPr>
            <w:tcW w:w="200" w:type="dxa"/>
            <w:vAlign w:val="bottom"/>
          </w:tcPr>
          <w:p>
            <w:pPr>
              <w:spacing w:after="0"/>
              <w:rPr>
                <w:sz w:val="18"/>
                <w:szCs w:val="18"/>
                <w:color w:val="auto"/>
              </w:rPr>
            </w:pPr>
          </w:p>
        </w:tc>
        <w:tc>
          <w:tcPr>
            <w:tcW w:w="620" w:type="dxa"/>
            <w:vAlign w:val="bottom"/>
            <w:gridSpan w:val="2"/>
          </w:tcPr>
          <w:p>
            <w:pPr>
              <w:jc w:val="center"/>
              <w:ind w:left="55"/>
              <w:spacing w:after="0"/>
              <w:rPr>
                <w:sz w:val="20"/>
                <w:szCs w:val="20"/>
                <w:color w:val="auto"/>
              </w:rPr>
            </w:pPr>
            <w:r>
              <w:rPr>
                <w:rFonts w:ascii="Arial" w:cs="Arial" w:eastAsia="Arial" w:hAnsi="Arial"/>
                <w:sz w:val="18"/>
                <w:szCs w:val="18"/>
                <w:color w:val="auto"/>
                <w:w w:val="87"/>
              </w:rPr>
              <w:t>$3,012</w:t>
            </w:r>
          </w:p>
        </w:tc>
        <w:tc>
          <w:tcPr>
            <w:tcW w:w="120" w:type="dxa"/>
            <w:vAlign w:val="bottom"/>
          </w:tcPr>
          <w:p>
            <w:pPr>
              <w:spacing w:after="0"/>
              <w:rPr>
                <w:sz w:val="18"/>
                <w:szCs w:val="18"/>
                <w:color w:val="auto"/>
              </w:rPr>
            </w:pPr>
          </w:p>
        </w:tc>
        <w:tc>
          <w:tcPr>
            <w:tcW w:w="68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11%</w:t>
            </w:r>
          </w:p>
        </w:tc>
        <w:tc>
          <w:tcPr>
            <w:tcW w:w="920" w:type="dxa"/>
            <w:vAlign w:val="bottom"/>
            <w:gridSpan w:val="2"/>
          </w:tcPr>
          <w:p>
            <w:pPr>
              <w:jc w:val="center"/>
              <w:ind w:left="274"/>
              <w:spacing w:after="0"/>
              <w:rPr>
                <w:sz w:val="20"/>
                <w:szCs w:val="20"/>
                <w:color w:val="auto"/>
              </w:rPr>
            </w:pPr>
            <w:r>
              <w:rPr>
                <w:rFonts w:ascii="Arial" w:cs="Arial" w:eastAsia="Arial" w:hAnsi="Arial"/>
                <w:sz w:val="18"/>
                <w:szCs w:val="18"/>
                <w:color w:val="auto"/>
                <w:w w:val="87"/>
              </w:rPr>
              <w:t>$6,525</w:t>
            </w:r>
          </w:p>
        </w:tc>
        <w:tc>
          <w:tcPr>
            <w:tcW w:w="240" w:type="dxa"/>
            <w:vAlign w:val="bottom"/>
          </w:tcPr>
          <w:p>
            <w:pPr>
              <w:spacing w:after="0"/>
              <w:rPr>
                <w:sz w:val="18"/>
                <w:szCs w:val="18"/>
                <w:color w:val="auto"/>
              </w:rPr>
            </w:pPr>
          </w:p>
        </w:tc>
        <w:tc>
          <w:tcPr>
            <w:tcW w:w="660" w:type="dxa"/>
            <w:vAlign w:val="bottom"/>
            <w:gridSpan w:val="2"/>
          </w:tcPr>
          <w:p>
            <w:pPr>
              <w:jc w:val="center"/>
              <w:ind w:left="55"/>
              <w:spacing w:after="0"/>
              <w:rPr>
                <w:sz w:val="20"/>
                <w:szCs w:val="20"/>
                <w:color w:val="auto"/>
              </w:rPr>
            </w:pPr>
            <w:r>
              <w:rPr>
                <w:rFonts w:ascii="Arial" w:cs="Arial" w:eastAsia="Arial" w:hAnsi="Arial"/>
                <w:sz w:val="18"/>
                <w:szCs w:val="18"/>
                <w:color w:val="auto"/>
                <w:w w:val="87"/>
              </w:rPr>
              <w:t>$5,775</w:t>
            </w:r>
          </w:p>
        </w:tc>
        <w:tc>
          <w:tcPr>
            <w:tcW w:w="20" w:type="dxa"/>
            <w:vAlign w:val="bottom"/>
          </w:tcPr>
          <w:p>
            <w:pPr>
              <w:spacing w:after="0"/>
              <w:rPr>
                <w:sz w:val="18"/>
                <w:szCs w:val="18"/>
                <w:color w:val="auto"/>
              </w:rPr>
            </w:pP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Operating Income</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$1,750</w:t>
            </w:r>
          </w:p>
        </w:tc>
        <w:tc>
          <w:tcPr>
            <w:tcW w:w="200" w:type="dxa"/>
            <w:vAlign w:val="bottom"/>
          </w:tcPr>
          <w:p>
            <w:pPr>
              <w:spacing w:after="0"/>
              <w:rPr>
                <w:sz w:val="18"/>
                <w:szCs w:val="18"/>
                <w:color w:val="auto"/>
              </w:rPr>
            </w:pPr>
          </w:p>
        </w:tc>
        <w:tc>
          <w:tcPr>
            <w:tcW w:w="620" w:type="dxa"/>
            <w:vAlign w:val="bottom"/>
            <w:gridSpan w:val="2"/>
          </w:tcPr>
          <w:p>
            <w:pPr>
              <w:jc w:val="center"/>
              <w:ind w:left="55"/>
              <w:spacing w:after="0"/>
              <w:rPr>
                <w:sz w:val="20"/>
                <w:szCs w:val="20"/>
                <w:color w:val="auto"/>
              </w:rPr>
            </w:pPr>
            <w:r>
              <w:rPr>
                <w:rFonts w:ascii="Arial" w:cs="Arial" w:eastAsia="Arial" w:hAnsi="Arial"/>
                <w:sz w:val="18"/>
                <w:szCs w:val="18"/>
                <w:color w:val="auto"/>
                <w:w w:val="87"/>
              </w:rPr>
              <w:t>$1,468</w:t>
            </w:r>
          </w:p>
        </w:tc>
        <w:tc>
          <w:tcPr>
            <w:tcW w:w="120" w:type="dxa"/>
            <w:vAlign w:val="bottom"/>
          </w:tcPr>
          <w:p>
            <w:pPr>
              <w:spacing w:after="0"/>
              <w:rPr>
                <w:sz w:val="18"/>
                <w:szCs w:val="18"/>
                <w:color w:val="auto"/>
              </w:rPr>
            </w:pPr>
          </w:p>
        </w:tc>
        <w:tc>
          <w:tcPr>
            <w:tcW w:w="68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19%</w:t>
            </w:r>
          </w:p>
        </w:tc>
        <w:tc>
          <w:tcPr>
            <w:tcW w:w="920" w:type="dxa"/>
            <w:vAlign w:val="bottom"/>
            <w:gridSpan w:val="2"/>
          </w:tcPr>
          <w:p>
            <w:pPr>
              <w:jc w:val="center"/>
              <w:ind w:left="274"/>
              <w:spacing w:after="0"/>
              <w:rPr>
                <w:sz w:val="20"/>
                <w:szCs w:val="20"/>
                <w:color w:val="auto"/>
              </w:rPr>
            </w:pPr>
            <w:r>
              <w:rPr>
                <w:rFonts w:ascii="Arial" w:cs="Arial" w:eastAsia="Arial" w:hAnsi="Arial"/>
                <w:sz w:val="18"/>
                <w:szCs w:val="18"/>
                <w:color w:val="auto"/>
                <w:w w:val="87"/>
              </w:rPr>
              <w:t>$3,305</w:t>
            </w:r>
          </w:p>
        </w:tc>
        <w:tc>
          <w:tcPr>
            <w:tcW w:w="240" w:type="dxa"/>
            <w:vAlign w:val="bottom"/>
          </w:tcPr>
          <w:p>
            <w:pPr>
              <w:spacing w:after="0"/>
              <w:rPr>
                <w:sz w:val="18"/>
                <w:szCs w:val="18"/>
                <w:color w:val="auto"/>
              </w:rPr>
            </w:pPr>
          </w:p>
        </w:tc>
        <w:tc>
          <w:tcPr>
            <w:tcW w:w="660" w:type="dxa"/>
            <w:vAlign w:val="bottom"/>
            <w:gridSpan w:val="2"/>
          </w:tcPr>
          <w:p>
            <w:pPr>
              <w:jc w:val="center"/>
              <w:ind w:left="55"/>
              <w:spacing w:after="0"/>
              <w:rPr>
                <w:sz w:val="20"/>
                <w:szCs w:val="20"/>
                <w:color w:val="auto"/>
              </w:rPr>
            </w:pPr>
            <w:r>
              <w:rPr>
                <w:rFonts w:ascii="Arial" w:cs="Arial" w:eastAsia="Arial" w:hAnsi="Arial"/>
                <w:sz w:val="18"/>
                <w:szCs w:val="18"/>
                <w:color w:val="auto"/>
                <w:w w:val="87"/>
              </w:rPr>
              <w:t>$2,729</w:t>
            </w:r>
          </w:p>
        </w:tc>
        <w:tc>
          <w:tcPr>
            <w:tcW w:w="20" w:type="dxa"/>
            <w:vAlign w:val="bottom"/>
          </w:tcPr>
          <w:p>
            <w:pPr>
              <w:spacing w:after="0"/>
              <w:rPr>
                <w:sz w:val="18"/>
                <w:szCs w:val="18"/>
                <w:color w:val="auto"/>
              </w:rPr>
            </w:pP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$2,669</w:t>
            </w:r>
          </w:p>
        </w:tc>
        <w:tc>
          <w:tcPr>
            <w:tcW w:w="200" w:type="dxa"/>
            <w:vAlign w:val="bottom"/>
          </w:tcPr>
          <w:p>
            <w:pPr>
              <w:spacing w:after="0"/>
              <w:rPr>
                <w:sz w:val="18"/>
                <w:szCs w:val="18"/>
                <w:color w:val="auto"/>
              </w:rPr>
            </w:pPr>
          </w:p>
        </w:tc>
        <w:tc>
          <w:tcPr>
            <w:tcW w:w="620" w:type="dxa"/>
            <w:vAlign w:val="bottom"/>
            <w:gridSpan w:val="2"/>
          </w:tcPr>
          <w:p>
            <w:pPr>
              <w:jc w:val="center"/>
              <w:ind w:left="55"/>
              <w:spacing w:after="0"/>
              <w:rPr>
                <w:sz w:val="20"/>
                <w:szCs w:val="20"/>
                <w:color w:val="auto"/>
              </w:rPr>
            </w:pPr>
            <w:r>
              <w:rPr>
                <w:rFonts w:ascii="Arial" w:cs="Arial" w:eastAsia="Arial" w:hAnsi="Arial"/>
                <w:sz w:val="18"/>
                <w:szCs w:val="18"/>
                <w:color w:val="auto"/>
                <w:w w:val="87"/>
              </w:rPr>
              <w:t>$1,942</w:t>
            </w:r>
          </w:p>
        </w:tc>
        <w:tc>
          <w:tcPr>
            <w:tcW w:w="120" w:type="dxa"/>
            <w:vAlign w:val="bottom"/>
          </w:tcPr>
          <w:p>
            <w:pPr>
              <w:spacing w:after="0"/>
              <w:rPr>
                <w:sz w:val="18"/>
                <w:szCs w:val="18"/>
                <w:color w:val="auto"/>
              </w:rPr>
            </w:pPr>
          </w:p>
        </w:tc>
        <w:tc>
          <w:tcPr>
            <w:tcW w:w="68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37%</w:t>
            </w:r>
          </w:p>
        </w:tc>
        <w:tc>
          <w:tcPr>
            <w:tcW w:w="920" w:type="dxa"/>
            <w:vAlign w:val="bottom"/>
            <w:gridSpan w:val="2"/>
          </w:tcPr>
          <w:p>
            <w:pPr>
              <w:jc w:val="center"/>
              <w:ind w:left="274"/>
              <w:spacing w:after="0"/>
              <w:rPr>
                <w:sz w:val="20"/>
                <w:szCs w:val="20"/>
                <w:color w:val="auto"/>
              </w:rPr>
            </w:pPr>
            <w:r>
              <w:rPr>
                <w:rFonts w:ascii="Arial" w:cs="Arial" w:eastAsia="Arial" w:hAnsi="Arial"/>
                <w:sz w:val="18"/>
                <w:szCs w:val="18"/>
                <w:color w:val="auto"/>
                <w:w w:val="87"/>
              </w:rPr>
              <w:t>$4,928</w:t>
            </w:r>
          </w:p>
        </w:tc>
        <w:tc>
          <w:tcPr>
            <w:tcW w:w="240" w:type="dxa"/>
            <w:vAlign w:val="bottom"/>
          </w:tcPr>
          <w:p>
            <w:pPr>
              <w:spacing w:after="0"/>
              <w:rPr>
                <w:sz w:val="18"/>
                <w:szCs w:val="18"/>
                <w:color w:val="auto"/>
              </w:rPr>
            </w:pPr>
          </w:p>
        </w:tc>
        <w:tc>
          <w:tcPr>
            <w:tcW w:w="660" w:type="dxa"/>
            <w:vAlign w:val="bottom"/>
            <w:gridSpan w:val="2"/>
          </w:tcPr>
          <w:p>
            <w:pPr>
              <w:jc w:val="center"/>
              <w:ind w:left="55"/>
              <w:spacing w:after="0"/>
              <w:rPr>
                <w:sz w:val="20"/>
                <w:szCs w:val="20"/>
                <w:color w:val="auto"/>
              </w:rPr>
            </w:pPr>
            <w:r>
              <w:rPr>
                <w:rFonts w:ascii="Arial" w:cs="Arial" w:eastAsia="Arial" w:hAnsi="Arial"/>
                <w:sz w:val="18"/>
                <w:szCs w:val="18"/>
                <w:color w:val="auto"/>
                <w:w w:val="87"/>
              </w:rPr>
              <w:t>$3,907</w:t>
            </w:r>
          </w:p>
        </w:tc>
        <w:tc>
          <w:tcPr>
            <w:tcW w:w="20" w:type="dxa"/>
            <w:vAlign w:val="bottom"/>
          </w:tcPr>
          <w:p>
            <w:pPr>
              <w:spacing w:after="0"/>
              <w:rPr>
                <w:sz w:val="18"/>
                <w:szCs w:val="18"/>
                <w:color w:val="auto"/>
              </w:rPr>
            </w:pP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Free Cash Flow</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$1,163</w:t>
            </w:r>
          </w:p>
        </w:tc>
        <w:tc>
          <w:tcPr>
            <w:tcW w:w="200" w:type="dxa"/>
            <w:vAlign w:val="bottom"/>
          </w:tcPr>
          <w:p>
            <w:pPr>
              <w:spacing w:after="0"/>
              <w:rPr>
                <w:sz w:val="19"/>
                <w:szCs w:val="19"/>
                <w:color w:val="auto"/>
              </w:rPr>
            </w:pPr>
          </w:p>
        </w:tc>
        <w:tc>
          <w:tcPr>
            <w:tcW w:w="620" w:type="dxa"/>
            <w:vAlign w:val="bottom"/>
            <w:gridSpan w:val="2"/>
          </w:tcPr>
          <w:p>
            <w:pPr>
              <w:jc w:val="center"/>
              <w:ind w:left="75"/>
              <w:spacing w:after="0"/>
              <w:rPr>
                <w:sz w:val="20"/>
                <w:szCs w:val="20"/>
                <w:color w:val="auto"/>
              </w:rPr>
            </w:pPr>
            <w:r>
              <w:rPr>
                <w:rFonts w:ascii="Arial" w:cs="Arial" w:eastAsia="Arial" w:hAnsi="Arial"/>
                <w:sz w:val="18"/>
                <w:szCs w:val="18"/>
                <w:color w:val="auto"/>
                <w:w w:val="84"/>
              </w:rPr>
              <w:t>$368</w:t>
            </w:r>
          </w:p>
        </w:tc>
        <w:tc>
          <w:tcPr>
            <w:tcW w:w="120" w:type="dxa"/>
            <w:vAlign w:val="bottom"/>
          </w:tcPr>
          <w:p>
            <w:pPr>
              <w:spacing w:after="0"/>
              <w:rPr>
                <w:sz w:val="19"/>
                <w:szCs w:val="19"/>
                <w:color w:val="auto"/>
              </w:rPr>
            </w:pPr>
          </w:p>
        </w:tc>
        <w:tc>
          <w:tcPr>
            <w:tcW w:w="680" w:type="dxa"/>
            <w:vAlign w:val="bottom"/>
            <w:gridSpan w:val="2"/>
          </w:tcPr>
          <w:p>
            <w:pPr>
              <w:jc w:val="center"/>
              <w:ind w:left="152"/>
              <w:spacing w:after="0"/>
              <w:rPr>
                <w:sz w:val="20"/>
                <w:szCs w:val="20"/>
                <w:color w:val="auto"/>
              </w:rPr>
            </w:pPr>
            <w:r>
              <w:rPr>
                <w:rFonts w:ascii="Arial" w:cs="Arial" w:eastAsia="Arial" w:hAnsi="Arial"/>
                <w:sz w:val="18"/>
                <w:szCs w:val="18"/>
                <w:color w:val="auto"/>
                <w:w w:val="86"/>
              </w:rPr>
              <w:t>216%</w:t>
            </w:r>
          </w:p>
        </w:tc>
        <w:tc>
          <w:tcPr>
            <w:tcW w:w="920" w:type="dxa"/>
            <w:vAlign w:val="bottom"/>
            <w:gridSpan w:val="2"/>
          </w:tcPr>
          <w:p>
            <w:pPr>
              <w:jc w:val="center"/>
              <w:ind w:left="274"/>
              <w:spacing w:after="0"/>
              <w:rPr>
                <w:sz w:val="20"/>
                <w:szCs w:val="20"/>
                <w:color w:val="auto"/>
              </w:rPr>
            </w:pPr>
            <w:r>
              <w:rPr>
                <w:rFonts w:ascii="Arial" w:cs="Arial" w:eastAsia="Arial" w:hAnsi="Arial"/>
                <w:sz w:val="18"/>
                <w:szCs w:val="18"/>
                <w:color w:val="auto"/>
                <w:w w:val="87"/>
              </w:rPr>
              <w:t>$1,865</w:t>
            </w:r>
          </w:p>
        </w:tc>
        <w:tc>
          <w:tcPr>
            <w:tcW w:w="240" w:type="dxa"/>
            <w:vAlign w:val="bottom"/>
          </w:tcPr>
          <w:p>
            <w:pPr>
              <w:spacing w:after="0"/>
              <w:rPr>
                <w:sz w:val="19"/>
                <w:szCs w:val="19"/>
                <w:color w:val="auto"/>
              </w:rPr>
            </w:pPr>
          </w:p>
        </w:tc>
        <w:tc>
          <w:tcPr>
            <w:tcW w:w="660" w:type="dxa"/>
            <w:vAlign w:val="bottom"/>
            <w:gridSpan w:val="2"/>
          </w:tcPr>
          <w:p>
            <w:pPr>
              <w:jc w:val="center"/>
              <w:ind w:left="35"/>
              <w:spacing w:after="0"/>
              <w:rPr>
                <w:sz w:val="20"/>
                <w:szCs w:val="20"/>
                <w:color w:val="auto"/>
              </w:rPr>
            </w:pPr>
            <w:r>
              <w:rPr>
                <w:rFonts w:ascii="Arial" w:cs="Arial" w:eastAsia="Arial" w:hAnsi="Arial"/>
                <w:sz w:val="18"/>
                <w:szCs w:val="18"/>
                <w:color w:val="auto"/>
                <w:w w:val="84"/>
              </w:rPr>
              <w:t>$810</w:t>
            </w:r>
          </w:p>
        </w:tc>
        <w:tc>
          <w:tcPr>
            <w:tcW w:w="20" w:type="dxa"/>
            <w:vAlign w:val="bottom"/>
          </w:tcPr>
          <w:p>
            <w:pPr>
              <w:spacing w:after="0"/>
              <w:rPr>
                <w:sz w:val="19"/>
                <w:szCs w:val="19"/>
                <w:color w:val="auto"/>
              </w:rPr>
            </w:pP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91"/>
              </w:rPr>
              <w:t>130%</w:t>
            </w:r>
          </w:p>
        </w:tc>
        <w:tc>
          <w:tcPr>
            <w:tcW w:w="0" w:type="dxa"/>
            <w:vAlign w:val="bottom"/>
          </w:tcPr>
          <w:p>
            <w:pPr>
              <w:spacing w:after="0"/>
              <w:rPr>
                <w:sz w:val="1"/>
                <w:szCs w:val="1"/>
                <w:color w:val="auto"/>
              </w:rPr>
            </w:pPr>
          </w:p>
        </w:tc>
      </w:tr>
      <w:tr>
        <w:trPr>
          <w:trHeight w:val="318"/>
        </w:trPr>
        <w:tc>
          <w:tcPr>
            <w:tcW w:w="668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$632</w:t>
            </w:r>
          </w:p>
        </w:tc>
        <w:tc>
          <w:tcPr>
            <w:tcW w:w="200" w:type="dxa"/>
            <w:vAlign w:val="bottom"/>
          </w:tcPr>
          <w:p>
            <w:pPr>
              <w:spacing w:after="0"/>
              <w:rPr>
                <w:sz w:val="24"/>
                <w:szCs w:val="24"/>
                <w:color w:val="auto"/>
              </w:rPr>
            </w:pPr>
          </w:p>
        </w:tc>
        <w:tc>
          <w:tcPr>
            <w:tcW w:w="620" w:type="dxa"/>
            <w:vAlign w:val="bottom"/>
            <w:gridSpan w:val="2"/>
          </w:tcPr>
          <w:p>
            <w:pPr>
              <w:jc w:val="center"/>
              <w:ind w:left="75"/>
              <w:spacing w:after="0"/>
              <w:rPr>
                <w:sz w:val="20"/>
                <w:szCs w:val="20"/>
                <w:color w:val="auto"/>
              </w:rPr>
            </w:pPr>
            <w:r>
              <w:rPr>
                <w:rFonts w:ascii="Arial" w:cs="Arial" w:eastAsia="Arial" w:hAnsi="Arial"/>
                <w:sz w:val="18"/>
                <w:szCs w:val="18"/>
                <w:color w:val="auto"/>
                <w:w w:val="84"/>
              </w:rPr>
              <w:t>$588</w:t>
            </w:r>
          </w:p>
        </w:tc>
        <w:tc>
          <w:tcPr>
            <w:tcW w:w="120" w:type="dxa"/>
            <w:vAlign w:val="bottom"/>
          </w:tcPr>
          <w:p>
            <w:pPr>
              <w:spacing w:after="0"/>
              <w:rPr>
                <w:sz w:val="24"/>
                <w:szCs w:val="24"/>
                <w:color w:val="auto"/>
              </w:rPr>
            </w:pPr>
          </w:p>
        </w:tc>
        <w:tc>
          <w:tcPr>
            <w:tcW w:w="680" w:type="dxa"/>
            <w:vAlign w:val="bottom"/>
            <w:gridSpan w:val="2"/>
          </w:tcPr>
          <w:p>
            <w:pPr>
              <w:jc w:val="center"/>
              <w:ind w:left="152"/>
              <w:spacing w:after="0"/>
              <w:rPr>
                <w:sz w:val="20"/>
                <w:szCs w:val="20"/>
                <w:color w:val="auto"/>
              </w:rPr>
            </w:pPr>
            <w:r>
              <w:rPr>
                <w:rFonts w:ascii="Arial" w:cs="Arial" w:eastAsia="Arial" w:hAnsi="Arial"/>
                <w:sz w:val="18"/>
                <w:szCs w:val="18"/>
                <w:color w:val="auto"/>
                <w:w w:val="92"/>
              </w:rPr>
              <w:t>8%</w:t>
            </w:r>
          </w:p>
        </w:tc>
        <w:tc>
          <w:tcPr>
            <w:tcW w:w="920" w:type="dxa"/>
            <w:vAlign w:val="bottom"/>
            <w:gridSpan w:val="2"/>
          </w:tcPr>
          <w:p>
            <w:pPr>
              <w:jc w:val="center"/>
              <w:ind w:left="274"/>
              <w:spacing w:after="0"/>
              <w:rPr>
                <w:sz w:val="20"/>
                <w:szCs w:val="20"/>
                <w:color w:val="auto"/>
              </w:rPr>
            </w:pPr>
            <w:r>
              <w:rPr>
                <w:rFonts w:ascii="Arial" w:cs="Arial" w:eastAsia="Arial" w:hAnsi="Arial"/>
                <w:sz w:val="18"/>
                <w:szCs w:val="18"/>
                <w:color w:val="auto"/>
                <w:w w:val="87"/>
              </w:rPr>
              <w:t>$1,364</w:t>
            </w:r>
          </w:p>
        </w:tc>
        <w:tc>
          <w:tcPr>
            <w:tcW w:w="240" w:type="dxa"/>
            <w:vAlign w:val="bottom"/>
          </w:tcPr>
          <w:p>
            <w:pPr>
              <w:spacing w:after="0"/>
              <w:rPr>
                <w:sz w:val="24"/>
                <w:szCs w:val="24"/>
                <w:color w:val="auto"/>
              </w:rPr>
            </w:pPr>
          </w:p>
        </w:tc>
        <w:tc>
          <w:tcPr>
            <w:tcW w:w="660" w:type="dxa"/>
            <w:vAlign w:val="bottom"/>
            <w:gridSpan w:val="2"/>
          </w:tcPr>
          <w:p>
            <w:pPr>
              <w:jc w:val="center"/>
              <w:ind w:left="55"/>
              <w:spacing w:after="0"/>
              <w:rPr>
                <w:sz w:val="20"/>
                <w:szCs w:val="20"/>
                <w:color w:val="auto"/>
              </w:rPr>
            </w:pPr>
            <w:r>
              <w:rPr>
                <w:rFonts w:ascii="Arial" w:cs="Arial" w:eastAsia="Arial" w:hAnsi="Arial"/>
                <w:sz w:val="18"/>
                <w:szCs w:val="18"/>
                <w:color w:val="auto"/>
                <w:w w:val="87"/>
              </w:rPr>
              <w:t>$1,425</w:t>
            </w:r>
          </w:p>
        </w:tc>
        <w:tc>
          <w:tcPr>
            <w:tcW w:w="20" w:type="dxa"/>
            <w:vAlign w:val="bottom"/>
          </w:tcPr>
          <w:p>
            <w:pPr>
              <w:spacing w:after="0"/>
              <w:rPr>
                <w:sz w:val="24"/>
                <w:szCs w:val="24"/>
                <w:color w:val="auto"/>
              </w:rPr>
            </w:pP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(4%)</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Earnings per Share</w:t>
            </w: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$0.21</w:t>
            </w:r>
          </w:p>
        </w:tc>
        <w:tc>
          <w:tcPr>
            <w:tcW w:w="200" w:type="dxa"/>
            <w:vAlign w:val="bottom"/>
          </w:tcPr>
          <w:p>
            <w:pPr>
              <w:spacing w:after="0"/>
              <w:rPr>
                <w:sz w:val="19"/>
                <w:szCs w:val="19"/>
                <w:color w:val="auto"/>
              </w:rPr>
            </w:pPr>
          </w:p>
        </w:tc>
        <w:tc>
          <w:tcPr>
            <w:tcW w:w="620" w:type="dxa"/>
            <w:vAlign w:val="bottom"/>
            <w:gridSpan w:val="2"/>
          </w:tcPr>
          <w:p>
            <w:pPr>
              <w:jc w:val="center"/>
              <w:ind w:left="55"/>
              <w:spacing w:after="0"/>
              <w:rPr>
                <w:sz w:val="20"/>
                <w:szCs w:val="20"/>
                <w:color w:val="auto"/>
              </w:rPr>
            </w:pPr>
            <w:r>
              <w:rPr>
                <w:rFonts w:ascii="Arial" w:cs="Arial" w:eastAsia="Arial" w:hAnsi="Arial"/>
                <w:sz w:val="18"/>
                <w:szCs w:val="18"/>
                <w:color w:val="auto"/>
                <w:w w:val="88"/>
              </w:rPr>
              <w:t>$0.19</w:t>
            </w:r>
          </w:p>
        </w:tc>
        <w:tc>
          <w:tcPr>
            <w:tcW w:w="120" w:type="dxa"/>
            <w:vAlign w:val="bottom"/>
          </w:tcPr>
          <w:p>
            <w:pPr>
              <w:spacing w:after="0"/>
              <w:rPr>
                <w:sz w:val="19"/>
                <w:szCs w:val="19"/>
                <w:color w:val="auto"/>
              </w:rPr>
            </w:pPr>
          </w:p>
        </w:tc>
        <w:tc>
          <w:tcPr>
            <w:tcW w:w="68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11%</w:t>
            </w:r>
          </w:p>
        </w:tc>
        <w:tc>
          <w:tcPr>
            <w:tcW w:w="920" w:type="dxa"/>
            <w:vAlign w:val="bottom"/>
            <w:gridSpan w:val="2"/>
          </w:tcPr>
          <w:p>
            <w:pPr>
              <w:jc w:val="center"/>
              <w:ind w:left="274"/>
              <w:spacing w:after="0"/>
              <w:rPr>
                <w:sz w:val="20"/>
                <w:szCs w:val="20"/>
                <w:color w:val="auto"/>
              </w:rPr>
            </w:pPr>
            <w:r>
              <w:rPr>
                <w:rFonts w:ascii="Arial" w:cs="Arial" w:eastAsia="Arial" w:hAnsi="Arial"/>
                <w:sz w:val="18"/>
                <w:szCs w:val="18"/>
                <w:color w:val="auto"/>
                <w:w w:val="88"/>
              </w:rPr>
              <w:t>$0.46</w:t>
            </w:r>
          </w:p>
        </w:tc>
        <w:tc>
          <w:tcPr>
            <w:tcW w:w="240" w:type="dxa"/>
            <w:vAlign w:val="bottom"/>
          </w:tcPr>
          <w:p>
            <w:pPr>
              <w:spacing w:after="0"/>
              <w:rPr>
                <w:sz w:val="19"/>
                <w:szCs w:val="19"/>
                <w:color w:val="auto"/>
              </w:rPr>
            </w:pPr>
          </w:p>
        </w:tc>
        <w:tc>
          <w:tcPr>
            <w:tcW w:w="660" w:type="dxa"/>
            <w:vAlign w:val="bottom"/>
            <w:gridSpan w:val="2"/>
          </w:tcPr>
          <w:p>
            <w:pPr>
              <w:jc w:val="center"/>
              <w:ind w:left="55"/>
              <w:spacing w:after="0"/>
              <w:rPr>
                <w:sz w:val="20"/>
                <w:szCs w:val="20"/>
                <w:color w:val="auto"/>
              </w:rPr>
            </w:pPr>
            <w:r>
              <w:rPr>
                <w:rFonts w:ascii="Arial" w:cs="Arial" w:eastAsia="Arial" w:hAnsi="Arial"/>
                <w:sz w:val="18"/>
                <w:szCs w:val="18"/>
                <w:color w:val="auto"/>
                <w:w w:val="88"/>
              </w:rPr>
              <w:t>$0.45</w:t>
            </w:r>
          </w:p>
        </w:tc>
        <w:tc>
          <w:tcPr>
            <w:tcW w:w="20" w:type="dxa"/>
            <w:vAlign w:val="bottom"/>
          </w:tcPr>
          <w:p>
            <w:pPr>
              <w:spacing w:after="0"/>
              <w:rPr>
                <w:sz w:val="19"/>
                <w:szCs w:val="19"/>
                <w:color w:val="auto"/>
              </w:rPr>
            </w:pP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2%</w:t>
            </w:r>
          </w:p>
        </w:tc>
        <w:tc>
          <w:tcPr>
            <w:tcW w:w="0" w:type="dxa"/>
            <w:vAlign w:val="bottom"/>
          </w:tcPr>
          <w:p>
            <w:pPr>
              <w:spacing w:after="0"/>
              <w:rPr>
                <w:sz w:val="1"/>
                <w:szCs w:val="1"/>
                <w:color w:val="auto"/>
              </w:rPr>
            </w:pPr>
          </w:p>
        </w:tc>
      </w:tr>
      <w:tr>
        <w:trPr>
          <w:trHeight w:val="318"/>
        </w:trPr>
        <w:tc>
          <w:tcPr>
            <w:tcW w:w="668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2"/>
                <w:szCs w:val="22"/>
                <w:color w:val="auto"/>
                <w:vertAlign w:val="superscript"/>
              </w:rPr>
              <w:t>1</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$632</w:t>
            </w:r>
          </w:p>
        </w:tc>
        <w:tc>
          <w:tcPr>
            <w:tcW w:w="200" w:type="dxa"/>
            <w:vAlign w:val="bottom"/>
          </w:tcPr>
          <w:p>
            <w:pPr>
              <w:spacing w:after="0"/>
              <w:rPr>
                <w:sz w:val="24"/>
                <w:szCs w:val="24"/>
                <w:color w:val="auto"/>
              </w:rPr>
            </w:pPr>
          </w:p>
        </w:tc>
        <w:tc>
          <w:tcPr>
            <w:tcW w:w="620" w:type="dxa"/>
            <w:vAlign w:val="bottom"/>
            <w:gridSpan w:val="2"/>
          </w:tcPr>
          <w:p>
            <w:pPr>
              <w:jc w:val="center"/>
              <w:ind w:left="75"/>
              <w:spacing w:after="0"/>
              <w:rPr>
                <w:sz w:val="20"/>
                <w:szCs w:val="20"/>
                <w:color w:val="auto"/>
              </w:rPr>
            </w:pPr>
            <w:r>
              <w:rPr>
                <w:rFonts w:ascii="Arial" w:cs="Arial" w:eastAsia="Arial" w:hAnsi="Arial"/>
                <w:sz w:val="18"/>
                <w:szCs w:val="18"/>
                <w:color w:val="auto"/>
                <w:w w:val="84"/>
              </w:rPr>
              <w:t>$588</w:t>
            </w:r>
          </w:p>
        </w:tc>
        <w:tc>
          <w:tcPr>
            <w:tcW w:w="120" w:type="dxa"/>
            <w:vAlign w:val="bottom"/>
          </w:tcPr>
          <w:p>
            <w:pPr>
              <w:spacing w:after="0"/>
              <w:rPr>
                <w:sz w:val="24"/>
                <w:szCs w:val="24"/>
                <w:color w:val="auto"/>
              </w:rPr>
            </w:pPr>
          </w:p>
        </w:tc>
        <w:tc>
          <w:tcPr>
            <w:tcW w:w="680" w:type="dxa"/>
            <w:vAlign w:val="bottom"/>
            <w:gridSpan w:val="2"/>
          </w:tcPr>
          <w:p>
            <w:pPr>
              <w:jc w:val="center"/>
              <w:ind w:left="152"/>
              <w:spacing w:after="0"/>
              <w:rPr>
                <w:sz w:val="20"/>
                <w:szCs w:val="20"/>
                <w:color w:val="auto"/>
              </w:rPr>
            </w:pPr>
            <w:r>
              <w:rPr>
                <w:rFonts w:ascii="Arial" w:cs="Arial" w:eastAsia="Arial" w:hAnsi="Arial"/>
                <w:sz w:val="18"/>
                <w:szCs w:val="18"/>
                <w:color w:val="auto"/>
                <w:w w:val="92"/>
              </w:rPr>
              <w:t>8%</w:t>
            </w:r>
          </w:p>
        </w:tc>
        <w:tc>
          <w:tcPr>
            <w:tcW w:w="920" w:type="dxa"/>
            <w:vAlign w:val="bottom"/>
            <w:gridSpan w:val="2"/>
          </w:tcPr>
          <w:p>
            <w:pPr>
              <w:jc w:val="center"/>
              <w:ind w:left="274"/>
              <w:spacing w:after="0"/>
              <w:rPr>
                <w:sz w:val="20"/>
                <w:szCs w:val="20"/>
                <w:color w:val="auto"/>
              </w:rPr>
            </w:pPr>
            <w:r>
              <w:rPr>
                <w:rFonts w:ascii="Arial" w:cs="Arial" w:eastAsia="Arial" w:hAnsi="Arial"/>
                <w:sz w:val="18"/>
                <w:szCs w:val="18"/>
                <w:color w:val="auto"/>
                <w:w w:val="87"/>
              </w:rPr>
              <w:t>$1,220</w:t>
            </w:r>
          </w:p>
        </w:tc>
        <w:tc>
          <w:tcPr>
            <w:tcW w:w="240" w:type="dxa"/>
            <w:vAlign w:val="bottom"/>
          </w:tcPr>
          <w:p>
            <w:pPr>
              <w:spacing w:after="0"/>
              <w:rPr>
                <w:sz w:val="24"/>
                <w:szCs w:val="24"/>
                <w:color w:val="auto"/>
              </w:rPr>
            </w:pPr>
          </w:p>
        </w:tc>
        <w:tc>
          <w:tcPr>
            <w:tcW w:w="660" w:type="dxa"/>
            <w:vAlign w:val="bottom"/>
            <w:gridSpan w:val="2"/>
          </w:tcPr>
          <w:p>
            <w:pPr>
              <w:jc w:val="center"/>
              <w:ind w:left="55"/>
              <w:spacing w:after="0"/>
              <w:rPr>
                <w:sz w:val="20"/>
                <w:szCs w:val="20"/>
                <w:color w:val="auto"/>
              </w:rPr>
            </w:pPr>
            <w:r>
              <w:rPr>
                <w:rFonts w:ascii="Arial" w:cs="Arial" w:eastAsia="Arial" w:hAnsi="Arial"/>
                <w:sz w:val="18"/>
                <w:szCs w:val="18"/>
                <w:color w:val="auto"/>
                <w:w w:val="87"/>
              </w:rPr>
              <w:t>$1,125</w:t>
            </w:r>
          </w:p>
        </w:tc>
        <w:tc>
          <w:tcPr>
            <w:tcW w:w="20" w:type="dxa"/>
            <w:vAlign w:val="bottom"/>
          </w:tcPr>
          <w:p>
            <w:pPr>
              <w:spacing w:after="0"/>
              <w:rPr>
                <w:sz w:val="24"/>
                <w:szCs w:val="24"/>
                <w:color w:val="auto"/>
              </w:rPr>
            </w:pP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9%</w:t>
            </w:r>
          </w:p>
        </w:tc>
        <w:tc>
          <w:tcPr>
            <w:tcW w:w="0" w:type="dxa"/>
            <w:vAlign w:val="bottom"/>
          </w:tcPr>
          <w:p>
            <w:pPr>
              <w:spacing w:after="0"/>
              <w:rPr>
                <w:sz w:val="1"/>
                <w:szCs w:val="1"/>
                <w:color w:val="auto"/>
              </w:rPr>
            </w:pPr>
          </w:p>
        </w:tc>
      </w:tr>
      <w:tr>
        <w:trPr>
          <w:trHeight w:val="299"/>
        </w:trPr>
        <w:tc>
          <w:tcPr>
            <w:tcW w:w="6680" w:type="dxa"/>
            <w:vAlign w:val="bottom"/>
          </w:tcPr>
          <w:p>
            <w:pPr>
              <w:spacing w:after="0"/>
              <w:rPr>
                <w:sz w:val="20"/>
                <w:szCs w:val="20"/>
                <w:color w:val="auto"/>
              </w:rPr>
            </w:pPr>
            <w:r>
              <w:rPr>
                <w:rFonts w:ascii="Arial" w:cs="Arial" w:eastAsia="Arial" w:hAnsi="Arial"/>
                <w:sz w:val="18"/>
                <w:szCs w:val="18"/>
                <w:color w:val="auto"/>
              </w:rPr>
              <w:t>Adjusted Earnings per Share</w:t>
            </w:r>
            <w:r>
              <w:rPr>
                <w:rFonts w:ascii="Arial" w:cs="Arial" w:eastAsia="Arial" w:hAnsi="Arial"/>
                <w:sz w:val="22"/>
                <w:szCs w:val="22"/>
                <w:color w:val="auto"/>
                <w:vertAlign w:val="superscript"/>
              </w:rPr>
              <w:t>1</w:t>
            </w: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$0.21</w:t>
            </w:r>
          </w:p>
        </w:tc>
        <w:tc>
          <w:tcPr>
            <w:tcW w:w="200" w:type="dxa"/>
            <w:vAlign w:val="bottom"/>
          </w:tcPr>
          <w:p>
            <w:pPr>
              <w:spacing w:after="0"/>
              <w:rPr>
                <w:sz w:val="24"/>
                <w:szCs w:val="24"/>
                <w:color w:val="auto"/>
              </w:rPr>
            </w:pPr>
          </w:p>
        </w:tc>
        <w:tc>
          <w:tcPr>
            <w:tcW w:w="620" w:type="dxa"/>
            <w:vAlign w:val="bottom"/>
            <w:gridSpan w:val="2"/>
          </w:tcPr>
          <w:p>
            <w:pPr>
              <w:jc w:val="center"/>
              <w:ind w:left="55"/>
              <w:spacing w:after="0"/>
              <w:rPr>
                <w:sz w:val="20"/>
                <w:szCs w:val="20"/>
                <w:color w:val="auto"/>
              </w:rPr>
            </w:pPr>
            <w:r>
              <w:rPr>
                <w:rFonts w:ascii="Arial" w:cs="Arial" w:eastAsia="Arial" w:hAnsi="Arial"/>
                <w:sz w:val="18"/>
                <w:szCs w:val="18"/>
                <w:color w:val="auto"/>
                <w:w w:val="88"/>
              </w:rPr>
              <w:t>$0.19</w:t>
            </w:r>
          </w:p>
        </w:tc>
        <w:tc>
          <w:tcPr>
            <w:tcW w:w="120" w:type="dxa"/>
            <w:vAlign w:val="bottom"/>
          </w:tcPr>
          <w:p>
            <w:pPr>
              <w:spacing w:after="0"/>
              <w:rPr>
                <w:sz w:val="24"/>
                <w:szCs w:val="24"/>
                <w:color w:val="auto"/>
              </w:rPr>
            </w:pPr>
          </w:p>
        </w:tc>
        <w:tc>
          <w:tcPr>
            <w:tcW w:w="68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11%</w:t>
            </w:r>
          </w:p>
        </w:tc>
        <w:tc>
          <w:tcPr>
            <w:tcW w:w="920" w:type="dxa"/>
            <w:vAlign w:val="bottom"/>
            <w:gridSpan w:val="2"/>
          </w:tcPr>
          <w:p>
            <w:pPr>
              <w:jc w:val="center"/>
              <w:ind w:left="274"/>
              <w:spacing w:after="0"/>
              <w:rPr>
                <w:sz w:val="20"/>
                <w:szCs w:val="20"/>
                <w:color w:val="auto"/>
              </w:rPr>
            </w:pPr>
            <w:r>
              <w:rPr>
                <w:rFonts w:ascii="Arial" w:cs="Arial" w:eastAsia="Arial" w:hAnsi="Arial"/>
                <w:sz w:val="18"/>
                <w:szCs w:val="18"/>
                <w:color w:val="auto"/>
                <w:w w:val="88"/>
              </w:rPr>
              <w:t>$0.41</w:t>
            </w:r>
          </w:p>
        </w:tc>
        <w:tc>
          <w:tcPr>
            <w:tcW w:w="240" w:type="dxa"/>
            <w:vAlign w:val="bottom"/>
          </w:tcPr>
          <w:p>
            <w:pPr>
              <w:spacing w:after="0"/>
              <w:rPr>
                <w:sz w:val="24"/>
                <w:szCs w:val="24"/>
                <w:color w:val="auto"/>
              </w:rPr>
            </w:pPr>
          </w:p>
        </w:tc>
        <w:tc>
          <w:tcPr>
            <w:tcW w:w="660" w:type="dxa"/>
            <w:vAlign w:val="bottom"/>
            <w:gridSpan w:val="2"/>
          </w:tcPr>
          <w:p>
            <w:pPr>
              <w:jc w:val="center"/>
              <w:ind w:left="55"/>
              <w:spacing w:after="0"/>
              <w:rPr>
                <w:sz w:val="20"/>
                <w:szCs w:val="20"/>
                <w:color w:val="auto"/>
              </w:rPr>
            </w:pPr>
            <w:r>
              <w:rPr>
                <w:rFonts w:ascii="Arial" w:cs="Arial" w:eastAsia="Arial" w:hAnsi="Arial"/>
                <w:sz w:val="18"/>
                <w:szCs w:val="18"/>
                <w:color w:val="auto"/>
                <w:w w:val="88"/>
              </w:rPr>
              <w:t>$0.36</w:t>
            </w:r>
          </w:p>
        </w:tc>
        <w:tc>
          <w:tcPr>
            <w:tcW w:w="20" w:type="dxa"/>
            <w:vAlign w:val="bottom"/>
          </w:tcPr>
          <w:p>
            <w:pPr>
              <w:spacing w:after="0"/>
              <w:rPr>
                <w:sz w:val="24"/>
                <w:szCs w:val="24"/>
                <w:color w:val="auto"/>
              </w:rPr>
            </w:pP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41"/>
        </w:trPr>
        <w:tc>
          <w:tcPr>
            <w:tcW w:w="6680" w:type="dxa"/>
            <w:vAlign w:val="bottom"/>
          </w:tcPr>
          <w:p>
            <w:pPr>
              <w:spacing w:after="0" w:line="242" w:lineRule="exact"/>
              <w:rPr>
                <w:sz w:val="20"/>
                <w:szCs w:val="20"/>
                <w:color w:val="auto"/>
              </w:rPr>
            </w:pPr>
            <w:r>
              <w:rPr>
                <w:rFonts w:ascii="Arial" w:cs="Arial" w:eastAsia="Arial" w:hAnsi="Arial"/>
                <w:sz w:val="18"/>
                <w:szCs w:val="18"/>
                <w:color w:val="auto"/>
              </w:rPr>
              <w:t>Pro Forma Revenue</w:t>
            </w:r>
            <w:r>
              <w:rPr>
                <w:rFonts w:ascii="Arial" w:cs="Arial" w:eastAsia="Arial" w:hAnsi="Arial"/>
                <w:sz w:val="22"/>
                <w:szCs w:val="22"/>
                <w:color w:val="auto"/>
                <w:vertAlign w:val="superscript"/>
              </w:rPr>
              <w:t>2</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$8,553</w:t>
            </w:r>
          </w:p>
        </w:tc>
        <w:tc>
          <w:tcPr>
            <w:tcW w:w="200" w:type="dxa"/>
            <w:vAlign w:val="bottom"/>
          </w:tcPr>
          <w:p>
            <w:pPr>
              <w:spacing w:after="0"/>
              <w:rPr>
                <w:sz w:val="20"/>
                <w:szCs w:val="20"/>
                <w:color w:val="auto"/>
              </w:rPr>
            </w:pPr>
          </w:p>
        </w:tc>
        <w:tc>
          <w:tcPr>
            <w:tcW w:w="620" w:type="dxa"/>
            <w:vAlign w:val="bottom"/>
            <w:gridSpan w:val="2"/>
          </w:tcPr>
          <w:p>
            <w:pPr>
              <w:jc w:val="center"/>
              <w:ind w:left="55"/>
              <w:spacing w:after="0"/>
              <w:rPr>
                <w:sz w:val="20"/>
                <w:szCs w:val="20"/>
                <w:color w:val="auto"/>
              </w:rPr>
            </w:pPr>
            <w:r>
              <w:rPr>
                <w:rFonts w:ascii="Arial" w:cs="Arial" w:eastAsia="Arial" w:hAnsi="Arial"/>
                <w:sz w:val="18"/>
                <w:szCs w:val="18"/>
                <w:color w:val="auto"/>
                <w:w w:val="87"/>
              </w:rPr>
              <w:t>$7,939</w:t>
            </w:r>
          </w:p>
        </w:tc>
        <w:tc>
          <w:tcPr>
            <w:tcW w:w="120" w:type="dxa"/>
            <w:vAlign w:val="bottom"/>
          </w:tcPr>
          <w:p>
            <w:pPr>
              <w:spacing w:after="0"/>
              <w:rPr>
                <w:sz w:val="20"/>
                <w:szCs w:val="20"/>
                <w:color w:val="auto"/>
              </w:rPr>
            </w:pPr>
          </w:p>
        </w:tc>
        <w:tc>
          <w:tcPr>
            <w:tcW w:w="680" w:type="dxa"/>
            <w:vAlign w:val="bottom"/>
            <w:gridSpan w:val="2"/>
          </w:tcPr>
          <w:p>
            <w:pPr>
              <w:jc w:val="center"/>
              <w:ind w:left="152"/>
              <w:spacing w:after="0"/>
              <w:rPr>
                <w:sz w:val="20"/>
                <w:szCs w:val="20"/>
                <w:color w:val="auto"/>
              </w:rPr>
            </w:pPr>
            <w:r>
              <w:rPr>
                <w:rFonts w:ascii="Arial" w:cs="Arial" w:eastAsia="Arial" w:hAnsi="Arial"/>
                <w:sz w:val="18"/>
                <w:szCs w:val="18"/>
                <w:color w:val="auto"/>
                <w:w w:val="92"/>
              </w:rPr>
              <w:t>8%</w:t>
            </w:r>
          </w:p>
        </w:tc>
        <w:tc>
          <w:tcPr>
            <w:tcW w:w="92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$16,942</w:t>
            </w:r>
          </w:p>
        </w:tc>
        <w:tc>
          <w:tcPr>
            <w:tcW w:w="240" w:type="dxa"/>
            <w:vAlign w:val="bottom"/>
          </w:tcPr>
          <w:p>
            <w:pPr>
              <w:spacing w:after="0"/>
              <w:rPr>
                <w:sz w:val="20"/>
                <w:szCs w:val="20"/>
                <w:color w:val="auto"/>
              </w:rPr>
            </w:pPr>
          </w:p>
        </w:tc>
        <w:tc>
          <w:tcPr>
            <w:tcW w:w="680" w:type="dxa"/>
            <w:vAlign w:val="bottom"/>
            <w:gridSpan w:val="3"/>
          </w:tcPr>
          <w:p>
            <w:pPr>
              <w:jc w:val="center"/>
              <w:ind w:left="15"/>
              <w:spacing w:after="0"/>
              <w:rPr>
                <w:sz w:val="20"/>
                <w:szCs w:val="20"/>
                <w:color w:val="auto"/>
              </w:rPr>
            </w:pPr>
            <w:r>
              <w:rPr>
                <w:rFonts w:ascii="Arial" w:cs="Arial" w:eastAsia="Arial" w:hAnsi="Arial"/>
                <w:sz w:val="18"/>
                <w:szCs w:val="18"/>
                <w:color w:val="auto"/>
                <w:w w:val="89"/>
              </w:rPr>
              <w:t>$15,541</w:t>
            </w: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9%</w:t>
            </w:r>
          </w:p>
        </w:tc>
        <w:tc>
          <w:tcPr>
            <w:tcW w:w="0" w:type="dxa"/>
            <w:vAlign w:val="bottom"/>
          </w:tcPr>
          <w:p>
            <w:pPr>
              <w:spacing w:after="0"/>
              <w:rPr>
                <w:sz w:val="1"/>
                <w:szCs w:val="1"/>
                <w:color w:val="auto"/>
              </w:rPr>
            </w:pPr>
          </w:p>
        </w:tc>
      </w:tr>
      <w:tr>
        <w:trPr>
          <w:trHeight w:val="299"/>
        </w:trPr>
        <w:tc>
          <w:tcPr>
            <w:tcW w:w="6680" w:type="dxa"/>
            <w:vAlign w:val="bottom"/>
          </w:tcPr>
          <w:p>
            <w:pPr>
              <w:spacing w:after="0"/>
              <w:rPr>
                <w:sz w:val="20"/>
                <w:szCs w:val="20"/>
                <w:color w:val="auto"/>
              </w:rPr>
            </w:pPr>
            <w:r>
              <w:rPr>
                <w:rFonts w:ascii="Arial" w:cs="Arial" w:eastAsia="Arial" w:hAnsi="Arial"/>
                <w:sz w:val="18"/>
                <w:szCs w:val="18"/>
                <w:color w:val="auto"/>
              </w:rPr>
              <w:t>Pro Forma Operating Cash Flow</w:t>
            </w:r>
            <w:r>
              <w:rPr>
                <w:rFonts w:ascii="Arial" w:cs="Arial" w:eastAsia="Arial" w:hAnsi="Arial"/>
                <w:sz w:val="22"/>
                <w:szCs w:val="22"/>
                <w:color w:val="auto"/>
                <w:vertAlign w:val="superscript"/>
              </w:rPr>
              <w:t>2</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$3,351</w:t>
            </w:r>
          </w:p>
        </w:tc>
        <w:tc>
          <w:tcPr>
            <w:tcW w:w="200" w:type="dxa"/>
            <w:vAlign w:val="bottom"/>
          </w:tcPr>
          <w:p>
            <w:pPr>
              <w:spacing w:after="0"/>
              <w:rPr>
                <w:sz w:val="24"/>
                <w:szCs w:val="24"/>
                <w:color w:val="auto"/>
              </w:rPr>
            </w:pPr>
          </w:p>
        </w:tc>
        <w:tc>
          <w:tcPr>
            <w:tcW w:w="620" w:type="dxa"/>
            <w:vAlign w:val="bottom"/>
            <w:gridSpan w:val="2"/>
          </w:tcPr>
          <w:p>
            <w:pPr>
              <w:jc w:val="center"/>
              <w:ind w:left="55"/>
              <w:spacing w:after="0"/>
              <w:rPr>
                <w:sz w:val="20"/>
                <w:szCs w:val="20"/>
                <w:color w:val="auto"/>
              </w:rPr>
            </w:pPr>
            <w:r>
              <w:rPr>
                <w:rFonts w:ascii="Arial" w:cs="Arial" w:eastAsia="Arial" w:hAnsi="Arial"/>
                <w:sz w:val="18"/>
                <w:szCs w:val="18"/>
                <w:color w:val="auto"/>
                <w:w w:val="87"/>
              </w:rPr>
              <w:t>$3,106</w:t>
            </w:r>
          </w:p>
        </w:tc>
        <w:tc>
          <w:tcPr>
            <w:tcW w:w="120" w:type="dxa"/>
            <w:vAlign w:val="bottom"/>
          </w:tcPr>
          <w:p>
            <w:pPr>
              <w:spacing w:after="0"/>
              <w:rPr>
                <w:sz w:val="24"/>
                <w:szCs w:val="24"/>
                <w:color w:val="auto"/>
              </w:rPr>
            </w:pPr>
          </w:p>
        </w:tc>
        <w:tc>
          <w:tcPr>
            <w:tcW w:w="680" w:type="dxa"/>
            <w:vAlign w:val="bottom"/>
            <w:gridSpan w:val="2"/>
          </w:tcPr>
          <w:p>
            <w:pPr>
              <w:jc w:val="center"/>
              <w:ind w:left="152"/>
              <w:spacing w:after="0"/>
              <w:rPr>
                <w:sz w:val="20"/>
                <w:szCs w:val="20"/>
                <w:color w:val="auto"/>
              </w:rPr>
            </w:pPr>
            <w:r>
              <w:rPr>
                <w:rFonts w:ascii="Arial" w:cs="Arial" w:eastAsia="Arial" w:hAnsi="Arial"/>
                <w:sz w:val="18"/>
                <w:szCs w:val="18"/>
                <w:color w:val="auto"/>
                <w:w w:val="92"/>
              </w:rPr>
              <w:t>8%</w:t>
            </w:r>
          </w:p>
        </w:tc>
        <w:tc>
          <w:tcPr>
            <w:tcW w:w="920" w:type="dxa"/>
            <w:vAlign w:val="bottom"/>
            <w:gridSpan w:val="2"/>
          </w:tcPr>
          <w:p>
            <w:pPr>
              <w:jc w:val="center"/>
              <w:ind w:left="274"/>
              <w:spacing w:after="0"/>
              <w:rPr>
                <w:sz w:val="20"/>
                <w:szCs w:val="20"/>
                <w:color w:val="auto"/>
              </w:rPr>
            </w:pPr>
            <w:r>
              <w:rPr>
                <w:rFonts w:ascii="Arial" w:cs="Arial" w:eastAsia="Arial" w:hAnsi="Arial"/>
                <w:sz w:val="18"/>
                <w:szCs w:val="18"/>
                <w:color w:val="auto"/>
                <w:w w:val="87"/>
              </w:rPr>
              <w:t>$6,525</w:t>
            </w:r>
          </w:p>
        </w:tc>
        <w:tc>
          <w:tcPr>
            <w:tcW w:w="240" w:type="dxa"/>
            <w:vAlign w:val="bottom"/>
          </w:tcPr>
          <w:p>
            <w:pPr>
              <w:spacing w:after="0"/>
              <w:rPr>
                <w:sz w:val="24"/>
                <w:szCs w:val="24"/>
                <w:color w:val="auto"/>
              </w:rPr>
            </w:pPr>
          </w:p>
        </w:tc>
        <w:tc>
          <w:tcPr>
            <w:tcW w:w="660" w:type="dxa"/>
            <w:vAlign w:val="bottom"/>
            <w:gridSpan w:val="2"/>
          </w:tcPr>
          <w:p>
            <w:pPr>
              <w:jc w:val="center"/>
              <w:ind w:left="55"/>
              <w:spacing w:after="0"/>
              <w:rPr>
                <w:sz w:val="20"/>
                <w:szCs w:val="20"/>
                <w:color w:val="auto"/>
              </w:rPr>
            </w:pPr>
            <w:r>
              <w:rPr>
                <w:rFonts w:ascii="Arial" w:cs="Arial" w:eastAsia="Arial" w:hAnsi="Arial"/>
                <w:sz w:val="18"/>
                <w:szCs w:val="18"/>
                <w:color w:val="auto"/>
                <w:w w:val="87"/>
              </w:rPr>
              <w:t>$5,951</w:t>
            </w:r>
          </w:p>
        </w:tc>
        <w:tc>
          <w:tcPr>
            <w:tcW w:w="20" w:type="dxa"/>
            <w:vAlign w:val="bottom"/>
          </w:tcPr>
          <w:p>
            <w:pPr>
              <w:spacing w:after="0"/>
              <w:rPr>
                <w:sz w:val="24"/>
                <w:szCs w:val="24"/>
                <w:color w:val="auto"/>
              </w:rPr>
            </w:pPr>
          </w:p>
        </w:tc>
        <w:tc>
          <w:tcPr>
            <w:tcW w:w="800" w:type="dxa"/>
            <w:vAlign w:val="bottom"/>
            <w:gridSpan w:val="2"/>
          </w:tcPr>
          <w:p>
            <w:pPr>
              <w:jc w:val="center"/>
              <w:ind w:left="252"/>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See notes on page 4</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Brian L. Roberts, Chairman and CEO of Comcast Corporation, said, “We delivered solid results in the second quarter of 2008, highlighting the strength of our businesses even in a challenging economic environment. We continue to manage the business for profitable growth, resulting in healthy revenue, operating cash flow, earning per share, and free cash flow generation. Importantly, we remain very focused on delivering superior products and services to our customers, and continue to aggressively invest in projects to extend our long-term competitive advantage and to improve the customer experience.”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Consolidated Results</w:t>
      </w:r>
    </w:p>
    <w:p>
      <w:pPr>
        <w:spacing w:after="0" w:line="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increased 11% in the second quarter of 2008 to $8.6 billion while</w:t>
      </w:r>
      <w:r>
        <w:rPr>
          <w:rFonts w:ascii="Arial" w:cs="Arial" w:eastAsia="Arial" w:hAnsi="Arial"/>
          <w:sz w:val="16"/>
          <w:szCs w:val="16"/>
          <w:b w:val="1"/>
          <w:bCs w:val="1"/>
          <w:i w:val="1"/>
          <w:iCs w:val="1"/>
          <w:color w:val="auto"/>
        </w:rPr>
        <w:t xml:space="preserve"> Operating Cash Flow </w:t>
      </w:r>
      <w:r>
        <w:rPr>
          <w:rFonts w:ascii="Arial" w:cs="Arial" w:eastAsia="Arial" w:hAnsi="Arial"/>
          <w:sz w:val="16"/>
          <w:szCs w:val="16"/>
          <w:color w:val="auto"/>
        </w:rPr>
        <w:t>(as defined in Table 7) increased 11% to $3.4 billion and</w:t>
      </w:r>
      <w:r>
        <w:rPr>
          <w:rFonts w:ascii="Arial" w:cs="Arial" w:eastAsia="Arial" w:hAnsi="Arial"/>
          <w:sz w:val="16"/>
          <w:szCs w:val="16"/>
          <w:b w:val="1"/>
          <w:bCs w:val="1"/>
          <w:i w:val="1"/>
          <w:iCs w:val="1"/>
          <w:color w:val="auto"/>
        </w:rPr>
        <w:t xml:space="preserve"> Operating Income </w:t>
      </w:r>
      <w:r>
        <w:rPr>
          <w:rFonts w:ascii="Arial" w:cs="Arial" w:eastAsia="Arial" w:hAnsi="Arial"/>
          <w:sz w:val="16"/>
          <w:szCs w:val="16"/>
          <w:color w:val="auto"/>
        </w:rPr>
        <w:t>increased 19% to $1.8 billion. This growth was due to solid operating results at Comcast Cable and in the Programming segment, as well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positive impact of cable acquisitions. For the six months ended June 30, 2008, revenue increased 12% to $16.9 billion, Operating Cash Flow increased 13% to $6.5 billion, and Operating Income increased 21% to $3.3 billion, all compared to the same time period in 2007.</w:t>
      </w:r>
    </w:p>
    <w:p>
      <w:pPr>
        <w:sectPr>
          <w:pgSz w:w="11900" w:h="16838" w:orient="portrait"/>
          <w:cols w:equalWidth="0" w:num="1">
            <w:col w:w="11420"/>
          </w:cols>
          <w:pgMar w:left="240" w:top="125" w:right="239" w:bottom="1440" w:gutter="0" w:footer="0" w:header="0"/>
        </w:sectPr>
      </w:pPr>
    </w:p>
    <w:bookmarkStart w:id="4" w:name="page5"/>
    <w:bookmarkEnd w:id="4"/>
    <w:p>
      <w:pPr>
        <w:jc w:val="both"/>
        <w:spacing w:after="0" w:line="22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 pro forma basis</w:t>
      </w:r>
      <w:r>
        <w:rPr>
          <w:rFonts w:ascii="Arial" w:cs="Arial" w:eastAsia="Arial" w:hAnsi="Arial"/>
          <w:sz w:val="22"/>
          <w:szCs w:val="22"/>
          <w:color w:val="auto"/>
          <w:vertAlign w:val="superscript"/>
        </w:rPr>
        <w:t>2</w:t>
      </w:r>
      <w:r>
        <w:rPr>
          <w:rFonts w:ascii="Arial" w:cs="Arial" w:eastAsia="Arial" w:hAnsi="Arial"/>
          <w:sz w:val="18"/>
          <w:szCs w:val="18"/>
          <w:color w:val="auto"/>
        </w:rPr>
        <w:t>, Consolidated Revenue increased 8% to $8.6 billion in the second quarter of 2008, while Consolidated Operating Cash Flow increased 8% to $3.4 billion. For the six months ended June 30, 2008, pro forma Consolidated Revenue increased 9% and pro forma Consolidated Operating Cash Flow increased 10%.</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in the second quarter of 2008 was $632 million, or $0.21 per share compared to $588 million or $0.19 per share in the prior year. Earnings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for the quarter increased 11%. Net income for the six months ended June 30, 2008, decreased 4% from last year to $1.4 billion. Net income in the first half of 2008 and 2007 includes gains from the dissolution of cable partnerships. Excluding these one-time gains in both periods and as reconciled in Table 7-B, Adjusted Earnings per Share for the six months ended June 30, 2008 increased 14% to $0.41 compared to $0.36 in the first six months of 2007.</w:t>
      </w:r>
    </w:p>
    <w:p>
      <w:pPr>
        <w:spacing w:after="0" w:line="100" w:lineRule="exact"/>
        <w:rPr>
          <w:sz w:val="20"/>
          <w:szCs w:val="20"/>
          <w:color w:val="auto"/>
        </w:rPr>
      </w:pPr>
    </w:p>
    <w:p>
      <w:pPr>
        <w:jc w:val="both"/>
        <w:spacing w:after="0" w:line="343" w:lineRule="auto"/>
        <w:rPr>
          <w:sz w:val="20"/>
          <w:szCs w:val="20"/>
          <w:color w:val="auto"/>
        </w:rPr>
      </w:pPr>
      <w:r>
        <w:rPr>
          <w:rFonts w:ascii="Arial" w:cs="Arial" w:eastAsia="Arial" w:hAnsi="Arial"/>
          <w:sz w:val="16"/>
          <w:szCs w:val="16"/>
          <w:b w:val="1"/>
          <w:bCs w:val="1"/>
          <w:i w:val="1"/>
          <w:iCs w:val="1"/>
          <w:color w:val="auto"/>
        </w:rPr>
        <w:t xml:space="preserve">Net Cash Provided by Operating Activities </w:t>
      </w:r>
      <w:r>
        <w:rPr>
          <w:rFonts w:ascii="Arial" w:cs="Arial" w:eastAsia="Arial" w:hAnsi="Arial"/>
          <w:sz w:val="16"/>
          <w:szCs w:val="16"/>
          <w:color w:val="auto"/>
        </w:rPr>
        <w:t>increased 37% to $2.7 billion in the second quarter of 2008 and increased 26% to $4.9 billion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2008, due primarily to solid operating results, as well as the positive impact from the Economic Stimulus package in the second quarter.</w:t>
      </w:r>
    </w:p>
    <w:p>
      <w:pPr>
        <w:spacing w:after="0" w:line="6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Free Cash Flow </w:t>
      </w:r>
      <w:r>
        <w:rPr>
          <w:rFonts w:ascii="Arial" w:cs="Arial" w:eastAsia="Arial" w:hAnsi="Arial"/>
          <w:sz w:val="16"/>
          <w:szCs w:val="16"/>
          <w:color w:val="auto"/>
        </w:rPr>
        <w:t>(as defined in Table 7) totaled $1.2 billion in the second quarter of 2008 as compared to $368 million in 2007, a 216% increase. Free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Flow for the six months ended June 30, 2008 increased 130% to $1.9 billion. The definition of Free Cash Flow remains unchanged and excludes any impact from the Economic Stimulus package (see Table 4). The increase in Free Cash Flow is due primarily to growth in consolidated Operating Cash Flow and lower capital expenditures. During the second quarter of 2008, consolidated capital expenditures decreased 19% from the prior year to $1.3 billion, or 15.2% of total revenue, reflecting lower spending across all residential categories at Comcast Cable.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 Forma Cable Segment Results</w:t>
      </w:r>
      <w:r>
        <w:rPr>
          <w:rFonts w:ascii="Arial" w:cs="Arial" w:eastAsia="Arial" w:hAnsi="Arial"/>
          <w:sz w:val="11"/>
          <w:szCs w:val="11"/>
          <w:b w:val="1"/>
          <w:bCs w:val="1"/>
          <w:color w:val="auto"/>
        </w:rPr>
        <w:t>2</w:t>
      </w:r>
    </w:p>
    <w:p>
      <w:pPr>
        <w:spacing w:after="0" w:line="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increased 7% to $8.1 billion for the second quarter of 2008 as compared to $7.6 billion in the second quarter of 2007 reflecting revenue increases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all product lines, except for advertising and pay per view (PPV). The monthly average total revenue per basic subscriber increased 9% from $101 to $110, reflecting an increase in the number of customers taking multiple products. As of June 30, 2008, 20% of subscribers were three-product customers as compared to 12% at the end of last year’s second quarter. For the six months ended June 30, 2008, cable revenue increased 8% to $16.0 billion.</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grew 8% to $3.4 billion in the second quarter of 2008 from $3.1 billion in the second quarter of 2007. Operating Cash Flow margin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41.5%, a slight increase from the 41.3% reported in the second quarter of 2007, reflecting a continued focus on controlling operating expenses, partially offset by investments in marketing and Business Services. Operating Cash Flow increased 8% to $6.5 billion for the six months ended June 30, 2008, reflecting a margin of 40.6%.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8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Basic video subscribers declined 138,000 or 0.6% during the second quarter.</w:t>
      </w:r>
    </w:p>
    <w:p>
      <w:pPr>
        <w:spacing w:after="0" w:line="63" w:lineRule="exact"/>
        <w:rPr>
          <w:rFonts w:ascii="Arial" w:cs="Arial" w:eastAsia="Arial" w:hAnsi="Arial"/>
          <w:sz w:val="18"/>
          <w:szCs w:val="18"/>
          <w:i w:val="1"/>
          <w:iCs w:val="1"/>
          <w:color w:val="auto"/>
        </w:rPr>
      </w:pPr>
    </w:p>
    <w:p>
      <w:pPr>
        <w:ind w:left="220" w:hanging="212"/>
        <w:spacing w:after="0"/>
        <w:tabs>
          <w:tab w:leader="none" w:pos="2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Added 320,000 digital cable subscribers during the second quarter – 67% or 16.3 million video subscribers have digital service.</w:t>
      </w:r>
    </w:p>
    <w:p>
      <w:pPr>
        <w:spacing w:after="0" w:line="76" w:lineRule="exact"/>
        <w:rPr>
          <w:rFonts w:ascii="Arial" w:cs="Arial" w:eastAsia="Arial" w:hAnsi="Arial"/>
          <w:sz w:val="18"/>
          <w:szCs w:val="18"/>
          <w:i w:val="1"/>
          <w:iCs w:val="1"/>
          <w:color w:val="auto"/>
        </w:rPr>
      </w:pPr>
    </w:p>
    <w:p>
      <w:pPr>
        <w:ind w:left="220" w:hanging="212"/>
        <w:spacing w:after="0" w:line="268" w:lineRule="auto"/>
        <w:tabs>
          <w:tab w:leader="none" w:pos="2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7.0 million or 43% of digital cable subscribers have advanced services such as digital video recorders (DVR) and/or high-definition television service (HDTV).</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Video revenue increased 3% to $4.7 billion in the second quarter of 2008 from $4.6 billion in 2007. The revenue increase reflects price increases for video services and growth in digital video customers, offset in part by an increasing number of customers in bundles and promotional offers, as well as a decline in basic video customers.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cable subscribers decreased by 138,000 to 24.6 million during the seasonally-weak second quarter. This compares to a 101,000 subscriber decline in the second quarter of 2007. Year to date through June 30, 2008, basic subscribers decreased 195,000.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2246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on page 4</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07" w:right="239" w:bottom="1440" w:gutter="0" w:footer="0" w:header="0"/>
        </w:sectPr>
      </w:pPr>
    </w:p>
    <w:bookmarkStart w:id="5" w:name="page6"/>
    <w:bookmarkEnd w:id="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added 320,000 digital cable customers in the second quarter of 2008, below the 823,000 digital cable customers added in the same period one year ago.</w:t>
      </w:r>
    </w:p>
    <w:p>
      <w:pPr>
        <w:spacing w:after="0" w:line="5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This deceleration was anticipated and reflects the significant deployment of digital boxes in the second quarter of 2007 in advance of a July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regulatory deadline. Year to date through June 30, 2008, Comcast added 814,000 digital cable customers. PPV revenue decreased 3% in the second quarter of 2008 primarily reflecting the absence of 2 major live events that contributed approximately $33 million to last year’s second quarter. In the six months ended June 30, 2008, PPV revenue grew 9% compared to the same period in 2007.</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8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Added 278,000 high-speed Internet subscribers during the second quarter – penetration reached 29% of homes passed or 14.4 million customers.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High-speed Internet revenue increased 10% to $1.8 billion in the second quarter of 2008 from $1.6 billion in 2007 reflecting a 12% increase in subscribers and a 3% decline in average monthly revenue per subscriber to $42.01, reflecting the impact of additional bundling and the recent introduction of new offers and speed tiers.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8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Added 555,000 Comcast Digital Voice (CDV) customers during the second quarter – penetration reached 12.5% of homes passed or 5.6 million customers.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Phone revenue increased 50% from $425 million to $640 million in the second quarter of 2008, reflecting significant growth in CDV subscribers and a decrease in average revenue per subscriber to $39.48, resulting from an increase in the number of customers receiving service as part of a promotional offer or in a new product package. The increase in CDV revenue was also partially offset by a $64 million or 96% decline in circuit-switched phone revenue as Comcast exits that product offering.</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Year to date through June 30, 2008, phone revenue increased 57% from $781 million to $1.2 billion, reflecting significant growth in CDV customers, partially offset by a $133 million decline in circuit-switched phone revenue.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Advertising revenue decreased 2% to $399 million in the second quarter of 2008 from $410 million in 2007, reflecting continued softness in the advertising marketplace, particularly in auto and housing-related categories, partially offset by an increase in political advertising. Year to date through June 30, 2008, ad sales increased 2% to $743 million from $732 million, which includes one additional week in the broadcast advertising calendar compared to the first six months of 2007.</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Programming Segment Results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Comcast’s Programming segment consists of national programming networks E! Entertainment Television, Style Network, The Golf Channel, VERSUS, and G4.</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Programming segment reported second quarter 2008 revenue of $366 million, a 10% increase from $334 million in 2007, reflecting higher viewership, higher advertising and distribution revenue, as well as strong international revenue growth. Operating Cash Flow increased to $89 million, an increase of 17% from the same period last year.</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Year to date through June 30, 2008, Programming segment revenue increased 15% to $729 million from $636 million in the six months ended June 30, 2007. During the same period, Operating Cash Flow increased 44% to $202 million in 2008, reflecting strong revenue growth, as well as the favorable impact of the timing of certain marketing and programming expenses which are expected to be incurred in the second half of the year.</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and Other</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and Other includes corporate overhead, Comcast-Spectacor, Comcast Interactive Media (CIM), and other operations and eliminations between Comcast's businesses. For the second quarter of 2008, Corporate and Other revenue increased to $87 million from $48 million in the second quarter of 2007 due to the strong post-season performance by Comcast-Spectacor’s professional sports teams as well as strong results at CIM from internet advertising, search revenue and the inclusion of Fandango. The Operating Cash Flow loss for the second quarter of 2008 increased to $100 million compared to a loss of $94 million for the same period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22466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on page 4</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 to date through June 30, 2008, Corporate and Other revenue increased 45% to $197 million from $136 million in the same period of 2007. Operating Cash Flow loss for Corporate and Other decreased 4% to $181 million for the six months ended June 30, 2008 compared to a loss of $189 million in 2007.</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 Repurchases and Dividends</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second quarter of 2008, Comcast repurchased 48.1 million of its common shares for $1.0 billion, reducing the number of total shares outstanding by 1.6%. Year to date, Comcast repurchased 101.2 million of its common shares for $2.0 billion. As of June 30, 2008, Comcast had approximately $4.9 billion of availability remaining under its share repurchase authorization, which the company intends to fully utilize by the end of 2009.</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 paid a quarterly cash dividend of $185 million on April 30, 2008 and $182 million on July 30, 2008.</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2008 Financial Outlook</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2008, Comcast reaffirms the following previously issued guidance:</w:t>
      </w:r>
    </w:p>
    <w:p>
      <w:pPr>
        <w:spacing w:after="0" w:line="90"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Revenue and Operating Cash Flow growth of 8% to 10%</w:t>
      </w:r>
      <w:r>
        <w:rPr>
          <w:rFonts w:ascii="Arial" w:cs="Arial" w:eastAsia="Arial" w:hAnsi="Arial"/>
          <w:sz w:val="22"/>
          <w:szCs w:val="22"/>
          <w:color w:val="auto"/>
          <w:vertAlign w:val="superscript"/>
        </w:rPr>
        <w:t>2</w:t>
      </w:r>
    </w:p>
    <w:p>
      <w:pPr>
        <w:spacing w:after="0" w:line="4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Capital Expenditures as a percent of revenue expected to decline to approximately 18%</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Free Cash Flow growth of at least 20% from the $2.3 billion reported in 2007</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outlook above does not reflect the impact of any tax law changes, including the U.S. Government Economic Stimulus package or any future sales or acquisitions of businesses or operating assets (or related tax effects).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w:t>
      </w:r>
    </w:p>
    <w:p>
      <w:pPr>
        <w:spacing w:after="0" w:line="95" w:lineRule="exact"/>
        <w:rPr>
          <w:sz w:val="20"/>
          <w:szCs w:val="20"/>
          <w:color w:val="auto"/>
        </w:rPr>
      </w:pPr>
    </w:p>
    <w:p>
      <w:pPr>
        <w:jc w:val="both"/>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and earnings per share are adjusted for one-time gains, net of tax, related to the dissolution of the Texas/Kansas City Cable Partnership in 2007 and the dissolution of the Insight Midwest Partnership in 2008. Please refer to Table 7-B for a reconciliation of adjusted net income and earnings per share. Earnings per share amounts are presented on a diluted basis.</w:t>
      </w:r>
    </w:p>
    <w:p>
      <w:pPr>
        <w:spacing w:after="0" w:line="59" w:lineRule="exact"/>
        <w:rPr>
          <w:sz w:val="20"/>
          <w:szCs w:val="20"/>
          <w:color w:val="auto"/>
        </w:rPr>
      </w:pPr>
    </w:p>
    <w:p>
      <w:pPr>
        <w:jc w:val="both"/>
        <w:ind w:left="460" w:hanging="452"/>
        <w:spacing w:after="0" w:line="323"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Pro forma results adjust only for certain cable segment acquisitions and dispositions, including the acquisitions of Comcast SportsNet Bay Area/Comcast SportsNet New England (June 2007), the cable system acquired from Patriot Media (August 2007), and the dissolution of the Insight Midwest Partnership (January 2008). Consolidated and cable pro forma results are presented as if the transactions noted above were effective on January 1, 2007. The net impact of these transactions increased the number of basic cable subscribers by 765,000. Please refer to Table 7-A for a reconciliation of pro forma financial data.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Comcast Corporation will host a conference call with the financial community today, July 30, 2008 at 8:30 a.m. Eastern Time (ET). The conference call will be broadcast live on Comcast’s Investor Relations website at www.cmcsa.com or www.cmcsk.com. A recording of the call will be available on the Investor Relations website starting at 12:30 p.m. ET on July 30, 2008. Those parties interested in participating via telephone should dial (800) 263-8495 with the conference ID number 39992756. A telephone replay will begin immediately following the call until Friday, August 1, 2008 at midnight ET. To access the rebroadcast, please dial (800) 642-1687 and enter passcode number 39992756. To automatically receive Comcast financial news by email, please visit www.cmcsa.com or www.cmcsk.com and subscribe to email alerts.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provided in Table 7 of this release. All percentages are calculated based on actual amounts. Minor differences may exist due to rounding.</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Comcast Corporation</w:t>
      </w:r>
    </w:p>
    <w:p>
      <w:pPr>
        <w:spacing w:after="0" w:line="8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Comcast Corporation (Nasdaq: CMCSA, CMCSK) (</w:t>
      </w:r>
      <w:r>
        <w:rPr>
          <w:rFonts w:ascii="Arial" w:cs="Arial" w:eastAsia="Arial" w:hAnsi="Arial"/>
          <w:sz w:val="16"/>
          <w:szCs w:val="16"/>
          <w:u w:val="single" w:color="auto"/>
          <w:color w:val="auto"/>
        </w:rPr>
        <w:t>http://www.comcast.com</w:t>
      </w:r>
      <w:r>
        <w:rPr>
          <w:rFonts w:ascii="Arial" w:cs="Arial" w:eastAsia="Arial" w:hAnsi="Arial"/>
          <w:sz w:val="16"/>
          <w:szCs w:val="16"/>
          <w:color w:val="auto"/>
        </w:rPr>
        <w:t>) is the nation’s leading provider of entertainment, information and communications products and services. With 24.6 million cable customers, 14.4 million high-speed Internet customers, and 5.6 million Comcast Digital Voice customers, Comcast is principally involved in the development, management and operation of broadband cable systems and in the delivery of programming content.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Comcast’s content networks and investments include E! Entertainment Television, Style Network, The Golf Channel, VERSUS, G4, PBS KIDS Sprout, TV One, ten Comcast SportsNet networks and Comcast Interactive Media, which develops and operates Comcast's Internet business. Comcast also has a majority ownership in Comcast-Spectacor, whose major holdings include the Philadelphia Flyers NHL hockey team, the Philadelphia 76ers NBA basketball team and two large multipurpose arenas in Philadelphia.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Operations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260" w:type="dxa"/>
            <w:vAlign w:val="bottom"/>
            <w:gridSpan w:val="2"/>
          </w:tcPr>
          <w:p>
            <w:pPr>
              <w:jc w:val="right"/>
              <w:ind w:right="354"/>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82"/>
              </w:rPr>
              <w:t>June 30,</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1460" w:type="dxa"/>
            <w:vAlign w:val="bottom"/>
          </w:tcPr>
          <w:p>
            <w:pPr>
              <w:jc w:val="right"/>
              <w:ind w:right="537"/>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2007</w:t>
            </w:r>
          </w:p>
        </w:tc>
        <w:tc>
          <w:tcPr>
            <w:tcW w:w="8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11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1460" w:type="dxa"/>
            <w:vAlign w:val="bottom"/>
            <w:tcBorders>
              <w:top w:val="single" w:sz="8" w:color="auto"/>
            </w:tcBorders>
            <w:shd w:val="clear" w:color="auto" w:fill="E5E5E5"/>
          </w:tcPr>
          <w:p>
            <w:pPr>
              <w:jc w:val="right"/>
              <w:ind w:right="377"/>
              <w:spacing w:after="0"/>
              <w:rPr>
                <w:sz w:val="20"/>
                <w:szCs w:val="20"/>
                <w:color w:val="auto"/>
              </w:rPr>
            </w:pPr>
            <w:r>
              <w:rPr>
                <w:rFonts w:ascii="Arial" w:cs="Arial" w:eastAsia="Arial" w:hAnsi="Arial"/>
                <w:sz w:val="18"/>
                <w:szCs w:val="18"/>
                <w:b w:val="1"/>
                <w:bCs w:val="1"/>
                <w:color w:val="auto"/>
              </w:rPr>
              <w:t>$ 8,553</w:t>
            </w:r>
          </w:p>
        </w:tc>
        <w:tc>
          <w:tcPr>
            <w:tcW w:w="80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9"/>
              </w:rPr>
              <w:t>$ 7,712</w:t>
            </w: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$16,942</w:t>
            </w:r>
          </w:p>
        </w:tc>
        <w:tc>
          <w:tcPr>
            <w:tcW w:w="1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$15,100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jc w:val="right"/>
              <w:ind w:right="377"/>
              <w:spacing w:after="0"/>
              <w:rPr>
                <w:sz w:val="20"/>
                <w:szCs w:val="20"/>
                <w:color w:val="auto"/>
              </w:rPr>
            </w:pPr>
            <w:r>
              <w:rPr>
                <w:rFonts w:ascii="Arial" w:cs="Arial" w:eastAsia="Arial" w:hAnsi="Arial"/>
                <w:sz w:val="18"/>
                <w:szCs w:val="18"/>
                <w:b w:val="1"/>
                <w:bCs w:val="1"/>
                <w:color w:val="auto"/>
              </w:rPr>
              <w:t>3,091</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2,754</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6,198</w:t>
            </w:r>
          </w:p>
        </w:tc>
        <w:tc>
          <w:tcPr>
            <w:tcW w:w="1140" w:type="dxa"/>
            <w:vAlign w:val="bottom"/>
          </w:tcPr>
          <w:p>
            <w:pPr>
              <w:jc w:val="right"/>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tcBorders>
              <w:bottom w:val="single" w:sz="8" w:color="auto"/>
            </w:tcBorders>
            <w:shd w:val="clear" w:color="auto" w:fill="E5E5E5"/>
          </w:tcPr>
          <w:p>
            <w:pPr>
              <w:jc w:val="right"/>
              <w:ind w:right="377"/>
              <w:spacing w:after="0"/>
              <w:rPr>
                <w:sz w:val="20"/>
                <w:szCs w:val="20"/>
                <w:color w:val="auto"/>
              </w:rPr>
            </w:pPr>
            <w:r>
              <w:rPr>
                <w:rFonts w:ascii="Arial" w:cs="Arial" w:eastAsia="Arial" w:hAnsi="Arial"/>
                <w:sz w:val="18"/>
                <w:szCs w:val="18"/>
                <w:b w:val="1"/>
                <w:bCs w:val="1"/>
                <w:color w:val="auto"/>
              </w:rPr>
              <w:t>2,111</w:t>
            </w:r>
          </w:p>
        </w:tc>
        <w:tc>
          <w:tcPr>
            <w:tcW w:w="8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1,946</w:t>
            </w: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4,219</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46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b w:val="1"/>
                <w:bCs w:val="1"/>
                <w:color w:val="auto"/>
              </w:rPr>
              <w:t>5,202</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4,700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cash flow</w:t>
            </w:r>
          </w:p>
        </w:tc>
        <w:tc>
          <w:tcPr>
            <w:tcW w:w="1460" w:type="dxa"/>
            <w:vAlign w:val="bottom"/>
            <w:shd w:val="clear" w:color="auto" w:fill="E5E5E5"/>
          </w:tcPr>
          <w:p>
            <w:pPr>
              <w:jc w:val="right"/>
              <w:ind w:right="377"/>
              <w:spacing w:after="0"/>
              <w:rPr>
                <w:sz w:val="20"/>
                <w:szCs w:val="20"/>
                <w:color w:val="auto"/>
              </w:rPr>
            </w:pPr>
            <w:r>
              <w:rPr>
                <w:rFonts w:ascii="Arial" w:cs="Arial" w:eastAsia="Arial" w:hAnsi="Arial"/>
                <w:sz w:val="18"/>
                <w:szCs w:val="18"/>
                <w:b w:val="1"/>
                <w:bCs w:val="1"/>
                <w:color w:val="auto"/>
              </w:rPr>
              <w:t>3,351</w:t>
            </w:r>
          </w:p>
        </w:tc>
        <w:tc>
          <w:tcPr>
            <w:tcW w:w="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3,012</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6,525</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1460" w:type="dxa"/>
            <w:vAlign w:val="bottom"/>
          </w:tcPr>
          <w:p>
            <w:pPr>
              <w:jc w:val="right"/>
              <w:ind w:right="377"/>
              <w:spacing w:after="0"/>
              <w:rPr>
                <w:sz w:val="20"/>
                <w:szCs w:val="20"/>
                <w:color w:val="auto"/>
              </w:rPr>
            </w:pPr>
            <w:r>
              <w:rPr>
                <w:rFonts w:ascii="Arial" w:cs="Arial" w:eastAsia="Arial" w:hAnsi="Arial"/>
                <w:sz w:val="18"/>
                <w:szCs w:val="18"/>
                <w:b w:val="1"/>
                <w:bCs w:val="1"/>
                <w:color w:val="auto"/>
              </w:rPr>
              <w:t>1,371</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1,252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2,761</w:t>
            </w:r>
          </w:p>
        </w:tc>
        <w:tc>
          <w:tcPr>
            <w:tcW w:w="1140" w:type="dxa"/>
            <w:vAlign w:val="bottom"/>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 expense</w:t>
            </w:r>
          </w:p>
        </w:tc>
        <w:tc>
          <w:tcPr>
            <w:tcW w:w="1460" w:type="dxa"/>
            <w:vAlign w:val="bottom"/>
            <w:tcBorders>
              <w:bottom w:val="single" w:sz="8" w:color="auto"/>
            </w:tcBorders>
            <w:shd w:val="clear" w:color="auto" w:fill="E5E5E5"/>
          </w:tcPr>
          <w:p>
            <w:pPr>
              <w:jc w:val="right"/>
              <w:ind w:right="377"/>
              <w:spacing w:after="0"/>
              <w:rPr>
                <w:sz w:val="20"/>
                <w:szCs w:val="20"/>
                <w:color w:val="auto"/>
              </w:rPr>
            </w:pPr>
            <w:r>
              <w:rPr>
                <w:rFonts w:ascii="Arial" w:cs="Arial" w:eastAsia="Arial" w:hAnsi="Arial"/>
                <w:sz w:val="18"/>
                <w:szCs w:val="18"/>
                <w:b w:val="1"/>
                <w:bCs w:val="1"/>
                <w:color w:val="auto"/>
              </w:rPr>
              <w:t>230</w:t>
            </w:r>
          </w:p>
        </w:tc>
        <w:tc>
          <w:tcPr>
            <w:tcW w:w="8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292</w:t>
            </w: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459</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46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b w:val="1"/>
                <w:bCs w:val="1"/>
                <w:color w:val="auto"/>
              </w:rPr>
              <w:t>1,601</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1,544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1460" w:type="dxa"/>
            <w:vAlign w:val="bottom"/>
            <w:shd w:val="clear" w:color="auto" w:fill="E5E5E5"/>
          </w:tcPr>
          <w:p>
            <w:pPr>
              <w:jc w:val="right"/>
              <w:ind w:right="377"/>
              <w:spacing w:after="0"/>
              <w:rPr>
                <w:sz w:val="20"/>
                <w:szCs w:val="20"/>
                <w:color w:val="auto"/>
              </w:rPr>
            </w:pPr>
            <w:r>
              <w:rPr>
                <w:rFonts w:ascii="Arial" w:cs="Arial" w:eastAsia="Arial" w:hAnsi="Arial"/>
                <w:sz w:val="18"/>
                <w:szCs w:val="18"/>
                <w:b w:val="1"/>
                <w:bCs w:val="1"/>
                <w:color w:val="auto"/>
              </w:rPr>
              <w:t>1,750</w:t>
            </w:r>
          </w:p>
        </w:tc>
        <w:tc>
          <w:tcPr>
            <w:tcW w:w="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1,468</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3,305</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971" w:right="239" w:bottom="1440" w:gutter="0" w:footer="0" w:header="0"/>
        </w:sectPr>
      </w:pPr>
    </w:p>
    <w:p>
      <w:pPr>
        <w:spacing w:after="0"/>
        <w:rPr>
          <w:sz w:val="20"/>
          <w:szCs w:val="20"/>
          <w:color w:val="auto"/>
        </w:rPr>
      </w:pPr>
      <w:r>
        <w:rPr>
          <w:rFonts w:ascii="Arial" w:cs="Arial" w:eastAsia="Arial" w:hAnsi="Arial"/>
          <w:sz w:val="18"/>
          <w:szCs w:val="18"/>
          <w:color w:val="auto"/>
        </w:rPr>
        <w:t>Other income (expense)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Investment income (loss),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in net (losses) income of affiliates,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income (expense)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taxes and minority interest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Income before minority interest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right"/>
              <w:ind w:right="192"/>
              <w:spacing w:after="0"/>
              <w:rPr>
                <w:sz w:val="20"/>
                <w:szCs w:val="20"/>
                <w:color w:val="auto"/>
              </w:rPr>
            </w:pPr>
            <w:r>
              <w:rPr>
                <w:rFonts w:ascii="Arial" w:cs="Arial" w:eastAsia="Arial" w:hAnsi="Arial"/>
                <w:sz w:val="18"/>
                <w:szCs w:val="18"/>
                <w:b w:val="1"/>
                <w:bCs w:val="1"/>
                <w:color w:val="auto"/>
              </w:rPr>
              <w:t>(618)</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(550)</w:t>
            </w: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rPr>
              <w:t>(1,239)</w:t>
            </w:r>
          </w:p>
        </w:tc>
        <w:tc>
          <w:tcPr>
            <w:tcW w:w="800" w:type="dxa"/>
            <w:vAlign w:val="bottom"/>
          </w:tcPr>
          <w:p>
            <w:pPr>
              <w:jc w:val="right"/>
              <w:spacing w:after="0"/>
              <w:rPr>
                <w:sz w:val="20"/>
                <w:szCs w:val="20"/>
                <w:color w:val="auto"/>
              </w:rPr>
            </w:pPr>
            <w:r>
              <w:rPr>
                <w:rFonts w:ascii="Arial" w:cs="Arial" w:eastAsia="Arial" w:hAnsi="Arial"/>
                <w:sz w:val="18"/>
                <w:szCs w:val="18"/>
                <w:color w:val="auto"/>
              </w:rPr>
              <w:t>(1,118)</w:t>
            </w:r>
          </w:p>
        </w:tc>
      </w:tr>
      <w:tr>
        <w:trPr>
          <w:trHeight w:val="216"/>
        </w:trPr>
        <w:tc>
          <w:tcPr>
            <w:tcW w:w="1340" w:type="dxa"/>
            <w:vAlign w:val="bottom"/>
          </w:tcPr>
          <w:p>
            <w:pPr>
              <w:jc w:val="right"/>
              <w:ind w:right="192"/>
              <w:spacing w:after="0"/>
              <w:rPr>
                <w:sz w:val="20"/>
                <w:szCs w:val="20"/>
                <w:color w:val="auto"/>
              </w:rPr>
            </w:pPr>
            <w:r>
              <w:rPr>
                <w:rFonts w:ascii="Arial" w:cs="Arial" w:eastAsia="Arial" w:hAnsi="Arial"/>
                <w:sz w:val="18"/>
                <w:szCs w:val="18"/>
                <w:b w:val="1"/>
                <w:bCs w:val="1"/>
                <w:color w:val="auto"/>
              </w:rPr>
              <w:t>(70)</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126</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9</w:t>
            </w: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1340" w:type="dxa"/>
            <w:vAlign w:val="bottom"/>
          </w:tcPr>
          <w:p>
            <w:pPr>
              <w:jc w:val="right"/>
              <w:ind w:right="192"/>
              <w:spacing w:after="0"/>
              <w:rPr>
                <w:sz w:val="20"/>
                <w:szCs w:val="20"/>
                <w:color w:val="auto"/>
              </w:rPr>
            </w:pPr>
            <w:r>
              <w:rPr>
                <w:rFonts w:ascii="Arial" w:cs="Arial" w:eastAsia="Arial" w:hAnsi="Arial"/>
                <w:sz w:val="18"/>
                <w:szCs w:val="18"/>
                <w:b w:val="1"/>
                <w:bCs w:val="1"/>
                <w:color w:val="auto"/>
              </w:rPr>
              <w:t>(13)</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rPr>
              <w:t>(48)</w:t>
            </w: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13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25</w:t>
            </w: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w:t>
            </w: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293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11"/>
        </w:trPr>
        <w:tc>
          <w:tcPr>
            <w:tcW w:w="13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(676)</w:t>
            </w: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(439)</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(985)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22"/>
        </w:trPr>
        <w:tc>
          <w:tcPr>
            <w:tcW w:w="1340" w:type="dxa"/>
            <w:vAlign w:val="bottom"/>
          </w:tcPr>
          <w:p>
            <w:pPr>
              <w:jc w:val="right"/>
              <w:ind w:right="252"/>
              <w:spacing w:after="0"/>
              <w:rPr>
                <w:sz w:val="20"/>
                <w:szCs w:val="20"/>
                <w:color w:val="auto"/>
              </w:rPr>
            </w:pPr>
            <w:r>
              <w:rPr>
                <w:rFonts w:ascii="Arial" w:cs="Arial" w:eastAsia="Arial" w:hAnsi="Arial"/>
                <w:sz w:val="18"/>
                <w:szCs w:val="18"/>
                <w:b w:val="1"/>
                <w:bCs w:val="1"/>
                <w:color w:val="auto"/>
              </w:rPr>
              <w:t>1,074</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1,029</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2,320</w:t>
            </w:r>
          </w:p>
        </w:tc>
        <w:tc>
          <w:tcPr>
            <w:tcW w:w="80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311"/>
        </w:trPr>
        <w:tc>
          <w:tcPr>
            <w:tcW w:w="13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(455)</w:t>
            </w: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(453)</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(963)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r>
      <w:tr>
        <w:trPr>
          <w:trHeight w:val="317"/>
        </w:trPr>
        <w:tc>
          <w:tcPr>
            <w:tcW w:w="1340" w:type="dxa"/>
            <w:vAlign w:val="bottom"/>
          </w:tcPr>
          <w:p>
            <w:pPr>
              <w:jc w:val="right"/>
              <w:ind w:right="252"/>
              <w:spacing w:after="0"/>
              <w:rPr>
                <w:sz w:val="20"/>
                <w:szCs w:val="20"/>
                <w:color w:val="auto"/>
              </w:rPr>
            </w:pPr>
            <w:r>
              <w:rPr>
                <w:rFonts w:ascii="Arial" w:cs="Arial" w:eastAsia="Arial" w:hAnsi="Arial"/>
                <w:sz w:val="18"/>
                <w:szCs w:val="18"/>
                <w:b w:val="1"/>
                <w:bCs w:val="1"/>
                <w:color w:val="auto"/>
              </w:rPr>
              <w:t>619</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576</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1,357</w:t>
            </w:r>
          </w:p>
        </w:tc>
        <w:tc>
          <w:tcPr>
            <w:tcW w:w="800" w:type="dxa"/>
            <w:vAlign w:val="bottom"/>
          </w:tcPr>
          <w:p>
            <w:pPr>
              <w:jc w:val="right"/>
              <w:spacing w:after="0"/>
              <w:rPr>
                <w:sz w:val="20"/>
                <w:szCs w:val="20"/>
                <w:color w:val="auto"/>
              </w:rPr>
            </w:pPr>
            <w:r>
              <w:rPr>
                <w:rFonts w:ascii="Arial" w:cs="Arial" w:eastAsia="Arial" w:hAnsi="Arial"/>
                <w:sz w:val="18"/>
                <w:szCs w:val="18"/>
                <w:color w:val="auto"/>
              </w:rPr>
              <w:t>1,409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-1258570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-984250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-701040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-349885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6480" w:space="720"/>
            <w:col w:w="4220"/>
          </w:cols>
          <w:pgMar w:left="240" w:top="97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5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13</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7</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5"/>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632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588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1,364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0.21</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0.19</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0.46</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331"/>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Adjusted earnings per common share </w:t>
            </w:r>
            <w:r>
              <w:rPr>
                <w:rFonts w:ascii="Arial" w:cs="Arial" w:eastAsia="Arial" w:hAnsi="Arial"/>
                <w:sz w:val="22"/>
                <w:szCs w:val="22"/>
                <w:b w:val="1"/>
                <w:bCs w:val="1"/>
                <w:color w:val="auto"/>
                <w:vertAlign w:val="superscript"/>
              </w:rPr>
              <w:t>(1)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0.21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0.41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87"/>
              </w:rPr>
              <w:t>0.0625</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83"/>
              </w:rPr>
              <w:t>0.1250</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7200" w:type="dxa"/>
            <w:vAlign w:val="bottom"/>
            <w:gridSpan w:val="2"/>
          </w:tcPr>
          <w:p>
            <w:pPr>
              <w:spacing w:after="0"/>
              <w:rPr>
                <w:sz w:val="20"/>
                <w:szCs w:val="20"/>
                <w:color w:val="auto"/>
              </w:rPr>
            </w:pPr>
            <w:r>
              <w:rPr>
                <w:rFonts w:ascii="Arial" w:cs="Arial" w:eastAsia="Arial" w:hAnsi="Arial"/>
                <w:sz w:val="18"/>
                <w:szCs w:val="18"/>
                <w:color w:val="auto"/>
              </w:rPr>
              <w:t>Diluted weighted-average number of common shares</w:t>
            </w: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2,970</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8"/>
              </w:rPr>
              <w:t>3,147</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2,995</w:t>
            </w: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3,155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660" w:right="4540" w:hanging="5652"/>
        <w:spacing w:after="0" w:line="525" w:lineRule="auto"/>
        <w:tabs>
          <w:tab w:leader="none" w:pos="449" w:val="left"/>
        </w:tabs>
        <w:numPr>
          <w:ilvl w:val="0"/>
          <w:numId w:val="6"/>
        </w:numPr>
        <w:rPr>
          <w:rFonts w:ascii="Arial" w:cs="Arial" w:eastAsia="Arial" w:hAnsi="Arial"/>
          <w:sz w:val="16"/>
          <w:szCs w:val="16"/>
          <w:color w:val="auto"/>
        </w:rPr>
      </w:pPr>
      <w:r>
        <w:rPr>
          <w:rFonts w:ascii="Arial" w:cs="Arial" w:eastAsia="Arial" w:hAnsi="Arial"/>
          <w:sz w:val="16"/>
          <w:szCs w:val="16"/>
          <w:color w:val="auto"/>
        </w:rPr>
        <w:t>Please refer to Table 7-B for a reconciliation of adjusted net income and earnings per share. 6</w:t>
      </w:r>
    </w:p>
    <w:p>
      <w:pPr>
        <w:sectPr>
          <w:pgSz w:w="11900" w:h="16838" w:orient="portrait"/>
          <w:cols w:equalWidth="0" w:num="1">
            <w:col w:w="11420"/>
          </w:cols>
          <w:pgMar w:left="240" w:top="97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w w:val="82"/>
              </w:rPr>
              <w:t>June 30,</w:t>
            </w:r>
          </w:p>
        </w:tc>
        <w:tc>
          <w:tcPr>
            <w:tcW w:w="1100" w:type="dxa"/>
            <w:vAlign w:val="bottom"/>
            <w:gridSpan w:val="3"/>
          </w:tcPr>
          <w:p>
            <w:pPr>
              <w:ind w:left="2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5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64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3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41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1,767</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295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net</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1,665</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920</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assets</w:t>
            </w:r>
          </w:p>
        </w:tc>
        <w:tc>
          <w:tcPr>
            <w:tcW w:w="364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4,647</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5,366</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Property and equipment, net</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98"/>
              </w:rPr>
              <w:t>23,833</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23,624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Franchise rights</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w w:val="98"/>
              </w:rPr>
              <w:t>59,449</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58,077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Goodwill</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98"/>
              </w:rPr>
              <w:t>15,074</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4,614</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noncurrent assets, net</w:t>
            </w:r>
          </w:p>
        </w:tc>
        <w:tc>
          <w:tcPr>
            <w:tcW w:w="364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914</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w w:val="82"/>
              </w:rPr>
              <w:t>113,897</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Accounts payable and accrued expenses related to trade creditors</w:t>
            </w:r>
          </w:p>
        </w:tc>
        <w:tc>
          <w:tcPr>
            <w:tcW w:w="41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3,027</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3,173</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64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1,889</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3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8,089</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Long-term debt, less current portion</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98"/>
              </w:rPr>
              <w:t>30,624</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29,828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w w:val="98"/>
              </w:rPr>
              <w:t>27,292</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26,880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noncurrent liabilities</w:t>
            </w:r>
          </w:p>
        </w:tc>
        <w:tc>
          <w:tcPr>
            <w:tcW w:w="36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7,207</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348</w:t>
            </w:r>
          </w:p>
        </w:tc>
        <w:tc>
          <w:tcPr>
            <w:tcW w:w="4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Stockholders’ equity</w:t>
            </w:r>
          </w:p>
        </w:tc>
        <w:tc>
          <w:tcPr>
            <w:tcW w:w="364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98"/>
              </w:rPr>
              <w:t>40,337</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41,340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w w:val="82"/>
              </w:rPr>
              <w:t>113,897</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640" w:type="dxa"/>
            <w:vAlign w:val="bottom"/>
          </w:tcPr>
          <w:p>
            <w:pPr>
              <w:jc w:val="right"/>
              <w:ind w:right="3132"/>
              <w:spacing w:after="0"/>
              <w:rPr>
                <w:sz w:val="20"/>
                <w:szCs w:val="20"/>
                <w:color w:val="auto"/>
              </w:rPr>
            </w:pPr>
            <w:r>
              <w:rPr>
                <w:rFonts w:ascii="Arial" w:cs="Arial" w:eastAsia="Arial" w:hAnsi="Arial"/>
                <w:sz w:val="18"/>
                <w:szCs w:val="18"/>
                <w:color w:val="auto"/>
              </w:rPr>
              <w:t>7</w:t>
            </w: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7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2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1520" w:type="dxa"/>
            <w:vAlign w:val="bottom"/>
          </w:tcPr>
          <w:p>
            <w:pPr>
              <w:jc w:val="right"/>
              <w:ind w:right="57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15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b w:val="1"/>
                <w:bCs w:val="1"/>
                <w:color w:val="auto"/>
              </w:rPr>
              <w:t>$ 4,928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3,907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15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1520" w:type="dxa"/>
            <w:vAlign w:val="bottom"/>
          </w:tcPr>
          <w:p>
            <w:pPr>
              <w:jc w:val="right"/>
              <w:ind w:right="435"/>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1520" w:type="dxa"/>
            <w:vAlign w:val="bottom"/>
            <w:shd w:val="clear" w:color="auto" w:fill="E5E5E5"/>
          </w:tcPr>
          <w:p>
            <w:pPr>
              <w:jc w:val="right"/>
              <w:ind w:right="375"/>
              <w:spacing w:after="0"/>
              <w:rPr>
                <w:sz w:val="20"/>
                <w:szCs w:val="20"/>
                <w:color w:val="auto"/>
              </w:rPr>
            </w:pPr>
            <w:r>
              <w:rPr>
                <w:rFonts w:ascii="Arial" w:cs="Arial" w:eastAsia="Arial" w:hAnsi="Arial"/>
                <w:sz w:val="18"/>
                <w:szCs w:val="18"/>
                <w:b w:val="1"/>
                <w:bCs w:val="1"/>
                <w:color w:val="auto"/>
              </w:rPr>
              <w:t>(831)</w:t>
            </w:r>
          </w:p>
        </w:tc>
        <w:tc>
          <w:tcPr>
            <w:tcW w:w="1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1520" w:type="dxa"/>
            <w:vAlign w:val="bottom"/>
          </w:tcPr>
          <w:p>
            <w:pPr>
              <w:jc w:val="right"/>
              <w:ind w:right="375"/>
              <w:spacing w:after="0"/>
              <w:rPr>
                <w:sz w:val="20"/>
                <w:szCs w:val="20"/>
                <w:color w:val="auto"/>
              </w:rPr>
            </w:pPr>
            <w:r>
              <w:rPr>
                <w:rFonts w:ascii="Arial" w:cs="Arial" w:eastAsia="Arial" w:hAnsi="Arial"/>
                <w:sz w:val="18"/>
                <w:szCs w:val="18"/>
                <w:b w:val="1"/>
                <w:bCs w:val="1"/>
                <w:color w:val="auto"/>
              </w:rPr>
              <w:t>(1,979)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1520" w:type="dxa"/>
            <w:vAlign w:val="bottom"/>
            <w:shd w:val="clear" w:color="auto" w:fill="E5E5E5"/>
          </w:tcPr>
          <w:p>
            <w:pPr>
              <w:jc w:val="right"/>
              <w:ind w:right="375"/>
              <w:spacing w:after="0"/>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1520" w:type="dxa"/>
            <w:vAlign w:val="bottom"/>
          </w:tcPr>
          <w:p>
            <w:pPr>
              <w:jc w:val="right"/>
              <w:ind w:right="435"/>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b w:val="1"/>
                <w:bCs w:val="1"/>
                <w:color w:val="auto"/>
              </w:rPr>
              <w:t>(135)</w:t>
            </w:r>
          </w:p>
        </w:tc>
        <w:tc>
          <w:tcPr>
            <w:tcW w:w="1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5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rPr>
              <w:t>(1,079)</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INVESTING ACTIVITIES</w:t>
            </w:r>
          </w:p>
        </w:tc>
        <w:tc>
          <w:tcPr>
            <w:tcW w:w="15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520" w:type="dxa"/>
            <w:vAlign w:val="bottom"/>
          </w:tcPr>
          <w:p>
            <w:pPr>
              <w:jc w:val="right"/>
              <w:ind w:right="375"/>
              <w:spacing w:after="0"/>
              <w:rPr>
                <w:sz w:val="20"/>
                <w:szCs w:val="20"/>
                <w:color w:val="auto"/>
              </w:rPr>
            </w:pPr>
            <w:r>
              <w:rPr>
                <w:rFonts w:ascii="Arial" w:cs="Arial" w:eastAsia="Arial" w:hAnsi="Arial"/>
                <w:sz w:val="18"/>
                <w:szCs w:val="18"/>
                <w:b w:val="1"/>
                <w:bCs w:val="1"/>
                <w:color w:val="auto"/>
              </w:rPr>
              <w:t>(2,731)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software and other intangible assets</w:t>
            </w:r>
          </w:p>
        </w:tc>
        <w:tc>
          <w:tcPr>
            <w:tcW w:w="1520" w:type="dxa"/>
            <w:vAlign w:val="bottom"/>
            <w:shd w:val="clear" w:color="auto" w:fill="E5E5E5"/>
          </w:tcPr>
          <w:p>
            <w:pPr>
              <w:jc w:val="right"/>
              <w:ind w:right="375"/>
              <w:spacing w:after="0"/>
              <w:rPr>
                <w:sz w:val="20"/>
                <w:szCs w:val="20"/>
                <w:color w:val="auto"/>
              </w:rPr>
            </w:pPr>
            <w:r>
              <w:rPr>
                <w:rFonts w:ascii="Arial" w:cs="Arial" w:eastAsia="Arial" w:hAnsi="Arial"/>
                <w:sz w:val="18"/>
                <w:szCs w:val="18"/>
                <w:b w:val="1"/>
                <w:bCs w:val="1"/>
                <w:color w:val="auto"/>
              </w:rPr>
              <w:t>(245)</w:t>
            </w:r>
          </w:p>
        </w:tc>
        <w:tc>
          <w:tcPr>
            <w:tcW w:w="1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1520" w:type="dxa"/>
            <w:vAlign w:val="bottom"/>
          </w:tcPr>
          <w:p>
            <w:pPr>
              <w:jc w:val="right"/>
              <w:ind w:right="375"/>
              <w:spacing w:after="0"/>
              <w:rPr>
                <w:sz w:val="20"/>
                <w:szCs w:val="20"/>
                <w:color w:val="auto"/>
              </w:rPr>
            </w:pPr>
            <w:r>
              <w:rPr>
                <w:rFonts w:ascii="Arial" w:cs="Arial" w:eastAsia="Arial" w:hAnsi="Arial"/>
                <w:sz w:val="18"/>
                <w:szCs w:val="18"/>
                <w:b w:val="1"/>
                <w:bCs w:val="1"/>
                <w:color w:val="auto"/>
              </w:rPr>
              <w:t>(331)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1520" w:type="dxa"/>
            <w:vAlign w:val="bottom"/>
            <w:shd w:val="clear" w:color="auto" w:fill="E5E5E5"/>
          </w:tcPr>
          <w:p>
            <w:pPr>
              <w:jc w:val="right"/>
              <w:ind w:right="435"/>
              <w:spacing w:after="0"/>
              <w:rPr>
                <w:sz w:val="20"/>
                <w:szCs w:val="20"/>
                <w:color w:val="auto"/>
              </w:rPr>
            </w:pPr>
            <w:r>
              <w:rPr>
                <w:rFonts w:ascii="Arial" w:cs="Arial" w:eastAsia="Arial" w:hAnsi="Arial"/>
                <w:sz w:val="18"/>
                <w:szCs w:val="18"/>
                <w:b w:val="1"/>
                <w:bCs w:val="1"/>
                <w:color w:val="auto"/>
              </w:rPr>
              <w:t>320</w:t>
            </w:r>
          </w:p>
        </w:tc>
        <w:tc>
          <w:tcPr>
            <w:tcW w:w="1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1520" w:type="dxa"/>
            <w:vAlign w:val="bottom"/>
          </w:tcPr>
          <w:p>
            <w:pPr>
              <w:jc w:val="right"/>
              <w:ind w:right="375"/>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(purchases) of short-term investments</w:t>
            </w:r>
          </w:p>
        </w:tc>
        <w:tc>
          <w:tcPr>
            <w:tcW w:w="1520" w:type="dxa"/>
            <w:vAlign w:val="bottom"/>
            <w:shd w:val="clear" w:color="auto" w:fill="E5E5E5"/>
          </w:tcPr>
          <w:p>
            <w:pPr>
              <w:jc w:val="right"/>
              <w:ind w:right="515"/>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152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b w:val="1"/>
                <w:bCs w:val="1"/>
                <w:color w:val="auto"/>
              </w:rPr>
              <w:t>(3,045)</w:t>
            </w:r>
          </w:p>
        </w:tc>
        <w:tc>
          <w:tcPr>
            <w:tcW w:w="1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(2,722)</w:t>
            </w:r>
          </w:p>
        </w:tc>
        <w:tc>
          <w:tcPr>
            <w:tcW w:w="0" w:type="dxa"/>
            <w:vAlign w:val="bottom"/>
          </w:tcPr>
          <w:p>
            <w:pPr>
              <w:spacing w:after="0"/>
              <w:rPr>
                <w:sz w:val="1"/>
                <w:szCs w:val="1"/>
                <w:color w:val="auto"/>
              </w:rPr>
            </w:pPr>
          </w:p>
        </w:tc>
      </w:tr>
      <w:tr>
        <w:trPr>
          <w:trHeight w:val="316"/>
        </w:trPr>
        <w:tc>
          <w:tcPr>
            <w:tcW w:w="92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520" w:type="dxa"/>
            <w:vAlign w:val="bottom"/>
          </w:tcPr>
          <w:p>
            <w:pPr>
              <w:jc w:val="right"/>
              <w:ind w:right="435"/>
              <w:spacing w:after="0"/>
              <w:rPr>
                <w:sz w:val="20"/>
                <w:szCs w:val="20"/>
                <w:color w:val="auto"/>
              </w:rPr>
            </w:pPr>
            <w:r>
              <w:rPr>
                <w:rFonts w:ascii="Arial" w:cs="Arial" w:eastAsia="Arial" w:hAnsi="Arial"/>
                <w:sz w:val="18"/>
                <w:szCs w:val="18"/>
                <w:b w:val="1"/>
                <w:bCs w:val="1"/>
                <w:color w:val="auto"/>
              </w:rPr>
              <w:t>804</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152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b w:val="1"/>
                <w:bCs w:val="1"/>
                <w:color w:val="auto"/>
              </w:rPr>
              <w:t>963</w:t>
            </w:r>
          </w:p>
        </w:tc>
        <w:tc>
          <w:tcPr>
            <w:tcW w:w="1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7"/>
              </w:rPr>
              <w:t>1,239</w:t>
            </w:r>
          </w:p>
        </w:tc>
        <w:tc>
          <w:tcPr>
            <w:tcW w:w="0" w:type="dxa"/>
            <w:vAlign w:val="bottom"/>
          </w:tcPr>
          <w:p>
            <w:pPr>
              <w:spacing w:after="0"/>
              <w:rPr>
                <w:sz w:val="1"/>
                <w:szCs w:val="1"/>
                <w:color w:val="auto"/>
              </w:rPr>
            </w:pPr>
          </w:p>
        </w:tc>
      </w:tr>
      <w:tr>
        <w:trPr>
          <w:trHeight w:val="325"/>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b w:val="1"/>
                <w:bCs w:val="1"/>
                <w:color w:val="auto"/>
              </w:rPr>
              <w:t>$ 1,767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Free Cash Flow and Unlevered Free Cash Flow</w:t>
      </w:r>
    </w:p>
    <w:p>
      <w:pPr>
        <w:jc w:val="center"/>
        <w:spacing w:after="0"/>
        <w:rPr>
          <w:sz w:val="20"/>
          <w:szCs w:val="20"/>
          <w:color w:val="auto"/>
        </w:rPr>
      </w:pPr>
      <w:r>
        <w:rPr>
          <w:rFonts w:ascii="Arial" w:cs="Arial" w:eastAsia="Arial" w:hAnsi="Arial"/>
          <w:sz w:val="22"/>
          <w:szCs w:val="22"/>
          <w:b w:val="1"/>
          <w:bCs w:val="1"/>
          <w:color w:val="auto"/>
        </w:rPr>
        <w:t xml:space="preserve">(Unaudited) </w:t>
      </w:r>
      <w:r>
        <w:rPr>
          <w:rFonts w:ascii="Arial" w:cs="Arial" w:eastAsia="Arial" w:hAnsi="Arial"/>
          <w:sz w:val="11"/>
          <w:szCs w:val="11"/>
          <w:b w:val="1"/>
          <w:bCs w:val="1"/>
          <w:color w:val="auto"/>
        </w:rPr>
        <w:t>(1)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28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2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gridSpan w:val="2"/>
            <w:vMerge w:val="continue"/>
          </w:tcPr>
          <w:p>
            <w:pPr>
              <w:spacing w:after="0"/>
              <w:rPr>
                <w:sz w:val="12"/>
                <w:szCs w:val="12"/>
                <w:color w:val="auto"/>
              </w:rPr>
            </w:pPr>
          </w:p>
        </w:tc>
        <w:tc>
          <w:tcPr>
            <w:tcW w:w="1460" w:type="dxa"/>
            <w:vAlign w:val="bottom"/>
          </w:tcPr>
          <w:p>
            <w:pPr>
              <w:jc w:val="right"/>
              <w:ind w:right="53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72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w w:val="96"/>
              </w:rPr>
              <w:t>2007</w:t>
            </w:r>
          </w:p>
        </w:tc>
        <w:tc>
          <w:tcPr>
            <w:tcW w:w="1260" w:type="dxa"/>
            <w:vAlign w:val="bottom"/>
          </w:tcPr>
          <w:p>
            <w:pPr>
              <w:jc w:val="right"/>
              <w:ind w:right="537"/>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Operating Activities</w:t>
            </w:r>
          </w:p>
        </w:tc>
        <w:tc>
          <w:tcPr>
            <w:tcW w:w="1460" w:type="dxa"/>
            <w:vAlign w:val="bottom"/>
            <w:tcBorders>
              <w:top w:val="single" w:sz="8" w:color="auto"/>
            </w:tcBorders>
            <w:shd w:val="clear" w:color="auto" w:fill="E5E5E5"/>
          </w:tcPr>
          <w:p>
            <w:pPr>
              <w:jc w:val="right"/>
              <w:ind w:right="397"/>
              <w:spacing w:after="0"/>
              <w:rPr>
                <w:sz w:val="20"/>
                <w:szCs w:val="20"/>
                <w:color w:val="auto"/>
              </w:rPr>
            </w:pPr>
            <w:r>
              <w:rPr>
                <w:rFonts w:ascii="Arial" w:cs="Arial" w:eastAsia="Arial" w:hAnsi="Arial"/>
                <w:sz w:val="18"/>
                <w:szCs w:val="18"/>
                <w:b w:val="1"/>
                <w:bCs w:val="1"/>
                <w:color w:val="auto"/>
              </w:rPr>
              <w:t>$ 2,669</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w w:val="97"/>
              </w:rPr>
              <w:t>1,942</w:t>
            </w:r>
          </w:p>
        </w:tc>
        <w:tc>
          <w:tcPr>
            <w:tcW w:w="1260" w:type="dxa"/>
            <w:vAlign w:val="bottom"/>
            <w:tcBorders>
              <w:top w:val="single" w:sz="8" w:color="auto"/>
            </w:tcBorders>
            <w:shd w:val="clear" w:color="auto" w:fill="E5E5E5"/>
          </w:tcPr>
          <w:p>
            <w:pPr>
              <w:jc w:val="right"/>
              <w:ind w:right="397"/>
              <w:spacing w:after="0"/>
              <w:rPr>
                <w:sz w:val="20"/>
                <w:szCs w:val="20"/>
                <w:color w:val="auto"/>
              </w:rPr>
            </w:pPr>
            <w:r>
              <w:rPr>
                <w:rFonts w:ascii="Arial" w:cs="Arial" w:eastAsia="Arial" w:hAnsi="Arial"/>
                <w:sz w:val="18"/>
                <w:szCs w:val="18"/>
                <w:b w:val="1"/>
                <w:bCs w:val="1"/>
                <w:color w:val="auto"/>
              </w:rPr>
              <w:t>$ 4,928</w:t>
            </w:r>
          </w:p>
        </w:tc>
        <w:tc>
          <w:tcPr>
            <w:tcW w:w="6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9"/>
              </w:rPr>
              <w:t>$ 3,907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Capital Expenditures</w:t>
            </w:r>
          </w:p>
        </w:tc>
        <w:tc>
          <w:tcPr>
            <w:tcW w:w="1460" w:type="dxa"/>
            <w:vAlign w:val="bottom"/>
          </w:tcPr>
          <w:p>
            <w:pPr>
              <w:jc w:val="right"/>
              <w:ind w:right="337"/>
              <w:spacing w:after="0"/>
              <w:rPr>
                <w:sz w:val="20"/>
                <w:szCs w:val="20"/>
                <w:color w:val="auto"/>
              </w:rPr>
            </w:pPr>
            <w:r>
              <w:rPr>
                <w:rFonts w:ascii="Arial" w:cs="Arial" w:eastAsia="Arial" w:hAnsi="Arial"/>
                <w:sz w:val="18"/>
                <w:szCs w:val="18"/>
                <w:b w:val="1"/>
                <w:bCs w:val="1"/>
                <w:color w:val="auto"/>
              </w:rPr>
              <w:t>(1,300)</w:t>
            </w:r>
          </w:p>
        </w:tc>
        <w:tc>
          <w:tcPr>
            <w:tcW w:w="100" w:type="dxa"/>
            <w:vAlign w:val="bottom"/>
          </w:tcPr>
          <w:p>
            <w:pPr>
              <w:spacing w:after="0"/>
              <w:rPr>
                <w:sz w:val="18"/>
                <w:szCs w:val="18"/>
                <w:color w:val="auto"/>
              </w:rPr>
            </w:pPr>
          </w:p>
        </w:tc>
        <w:tc>
          <w:tcPr>
            <w:tcW w:w="720" w:type="dxa"/>
            <w:vAlign w:val="bottom"/>
          </w:tcPr>
          <w:p>
            <w:pPr>
              <w:jc w:val="right"/>
              <w:ind w:right="114"/>
              <w:spacing w:after="0"/>
              <w:rPr>
                <w:sz w:val="20"/>
                <w:szCs w:val="20"/>
                <w:color w:val="auto"/>
              </w:rPr>
            </w:pPr>
            <w:r>
              <w:rPr>
                <w:rFonts w:ascii="Arial" w:cs="Arial" w:eastAsia="Arial" w:hAnsi="Arial"/>
                <w:sz w:val="18"/>
                <w:szCs w:val="18"/>
                <w:color w:val="auto"/>
                <w:w w:val="87"/>
              </w:rPr>
              <w:t>(1,604)</w:t>
            </w:r>
          </w:p>
        </w:tc>
        <w:tc>
          <w:tcPr>
            <w:tcW w:w="1260" w:type="dxa"/>
            <w:vAlign w:val="bottom"/>
          </w:tcPr>
          <w:p>
            <w:pPr>
              <w:jc w:val="right"/>
              <w:ind w:right="337"/>
              <w:spacing w:after="0"/>
              <w:rPr>
                <w:sz w:val="20"/>
                <w:szCs w:val="20"/>
                <w:color w:val="auto"/>
              </w:rPr>
            </w:pPr>
            <w:r>
              <w:rPr>
                <w:rFonts w:ascii="Arial" w:cs="Arial" w:eastAsia="Arial" w:hAnsi="Arial"/>
                <w:sz w:val="18"/>
                <w:szCs w:val="18"/>
                <w:b w:val="1"/>
                <w:bCs w:val="1"/>
                <w:color w:val="auto"/>
              </w:rPr>
              <w:t>(2,731)</w:t>
            </w:r>
          </w:p>
        </w:tc>
        <w:tc>
          <w:tcPr>
            <w:tcW w:w="620" w:type="dxa"/>
            <w:vAlign w:val="bottom"/>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E5E5"/>
          </w:tcPr>
          <w:p>
            <w:pPr>
              <w:spacing w:after="0"/>
              <w:rPr>
                <w:sz w:val="20"/>
                <w:szCs w:val="20"/>
                <w:color w:val="auto"/>
              </w:rPr>
            </w:pPr>
            <w:r>
              <w:rPr>
                <w:rFonts w:ascii="Arial" w:cs="Arial" w:eastAsia="Arial" w:hAnsi="Arial"/>
                <w:sz w:val="18"/>
                <w:szCs w:val="18"/>
                <w:color w:val="auto"/>
              </w:rPr>
              <w:t>Cash Paid for Capitalized Software</w:t>
            </w:r>
          </w:p>
        </w:tc>
        <w:tc>
          <w:tcPr>
            <w:tcW w:w="1460" w:type="dxa"/>
            <w:vAlign w:val="bottom"/>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(86)</w:t>
            </w:r>
          </w:p>
        </w:tc>
        <w:tc>
          <w:tcPr>
            <w:tcW w:w="1260" w:type="dxa"/>
            <w:vAlign w:val="bottom"/>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(187)</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Paid for Other Intangible Assets</w:t>
            </w:r>
          </w:p>
        </w:tc>
        <w:tc>
          <w:tcPr>
            <w:tcW w:w="1460" w:type="dxa"/>
            <w:vAlign w:val="bottom"/>
          </w:tcPr>
          <w:p>
            <w:pPr>
              <w:jc w:val="right"/>
              <w:ind w:right="337"/>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(25)</w:t>
            </w:r>
          </w:p>
        </w:tc>
        <w:tc>
          <w:tcPr>
            <w:tcW w:w="1260" w:type="dxa"/>
            <w:vAlign w:val="bottom"/>
          </w:tcPr>
          <w:p>
            <w:pPr>
              <w:jc w:val="right"/>
              <w:ind w:right="337"/>
              <w:spacing w:after="0"/>
              <w:rPr>
                <w:sz w:val="20"/>
                <w:szCs w:val="20"/>
                <w:color w:val="auto"/>
              </w:rPr>
            </w:pPr>
            <w:r>
              <w:rPr>
                <w:rFonts w:ascii="Arial" w:cs="Arial" w:eastAsia="Arial" w:hAnsi="Arial"/>
                <w:sz w:val="18"/>
                <w:szCs w:val="18"/>
                <w:b w:val="1"/>
                <w:bCs w:val="1"/>
                <w:color w:val="auto"/>
              </w:rPr>
              <w:t>(58)</w:t>
            </w: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E5E5"/>
          </w:tcPr>
          <w:p>
            <w:pPr>
              <w:spacing w:after="0"/>
              <w:rPr>
                <w:sz w:val="20"/>
                <w:szCs w:val="20"/>
                <w:color w:val="auto"/>
              </w:rPr>
            </w:pPr>
            <w:r>
              <w:rPr>
                <w:rFonts w:ascii="Arial" w:cs="Arial" w:eastAsia="Arial" w:hAnsi="Arial"/>
                <w:sz w:val="18"/>
                <w:szCs w:val="18"/>
                <w:color w:val="auto"/>
              </w:rPr>
              <w:t>Nonoperating and Nonrecurring items, net of tax:</w:t>
            </w:r>
          </w:p>
        </w:tc>
        <w:tc>
          <w:tcPr>
            <w:tcW w:w="14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Payment of Tax on Nonoperating Items</w:t>
            </w:r>
          </w:p>
        </w:tc>
        <w:tc>
          <w:tcPr>
            <w:tcW w:w="1460" w:type="dxa"/>
            <w:vAlign w:val="bottom"/>
          </w:tcPr>
          <w:p>
            <w:pPr>
              <w:jc w:val="right"/>
              <w:ind w:right="397"/>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8"/>
                <w:szCs w:val="18"/>
                <w:color w:val="auto"/>
              </w:rPr>
            </w:pP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141</w:t>
            </w:r>
          </w:p>
        </w:tc>
        <w:tc>
          <w:tcPr>
            <w:tcW w:w="1260" w:type="dxa"/>
            <w:vAlign w:val="bottom"/>
          </w:tcPr>
          <w:p>
            <w:pPr>
              <w:jc w:val="right"/>
              <w:ind w:right="397"/>
              <w:spacing w:after="0"/>
              <w:rPr>
                <w:sz w:val="20"/>
                <w:szCs w:val="20"/>
                <w:color w:val="auto"/>
              </w:rPr>
            </w:pPr>
            <w:r>
              <w:rPr>
                <w:rFonts w:ascii="Arial" w:cs="Arial" w:eastAsia="Arial" w:hAnsi="Arial"/>
                <w:sz w:val="18"/>
                <w:szCs w:val="18"/>
                <w:b w:val="1"/>
                <w:bCs w:val="1"/>
                <w:color w:val="auto"/>
              </w:rPr>
              <w:t>228</w:t>
            </w: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E5E5E5"/>
            </w:tcBorders>
            <w:shd w:val="clear" w:color="auto" w:fill="E5E5E5"/>
          </w:tcPr>
          <w:p>
            <w:pPr>
              <w:ind w:left="200"/>
              <w:spacing w:after="0" w:line="217" w:lineRule="exact"/>
              <w:rPr>
                <w:sz w:val="20"/>
                <w:szCs w:val="20"/>
                <w:color w:val="auto"/>
              </w:rPr>
            </w:pPr>
            <w:r>
              <w:rPr>
                <w:rFonts w:ascii="Arial" w:cs="Arial" w:eastAsia="Arial" w:hAnsi="Arial"/>
                <w:sz w:val="18"/>
                <w:szCs w:val="18"/>
                <w:color w:val="auto"/>
              </w:rPr>
              <w:t xml:space="preserve">Impact of Economic Stimulus Package </w:t>
            </w:r>
            <w:r>
              <w:rPr>
                <w:rFonts w:ascii="Arial" w:cs="Arial" w:eastAsia="Arial" w:hAnsi="Arial"/>
                <w:sz w:val="22"/>
                <w:szCs w:val="22"/>
                <w:color w:val="auto"/>
                <w:vertAlign w:val="superscript"/>
              </w:rPr>
              <w:t>(2)</w:t>
            </w:r>
          </w:p>
        </w:tc>
        <w:tc>
          <w:tcPr>
            <w:tcW w:w="146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(315)</w:t>
            </w:r>
          </w:p>
        </w:tc>
        <w:tc>
          <w:tcPr>
            <w:tcW w:w="1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(315)</w:t>
            </w:r>
          </w:p>
        </w:tc>
        <w:tc>
          <w:tcPr>
            <w:tcW w:w="6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46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b w:val="1"/>
                <w:bCs w:val="1"/>
                <w:color w:val="auto"/>
              </w:rPr>
              <w:t>1,163</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368</w:t>
            </w:r>
          </w:p>
        </w:tc>
        <w:tc>
          <w:tcPr>
            <w:tcW w:w="126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b w:val="1"/>
                <w:bCs w:val="1"/>
                <w:color w:val="auto"/>
              </w:rPr>
              <w:t>1,865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Paid Interest</w:t>
            </w:r>
          </w:p>
        </w:tc>
        <w:tc>
          <w:tcPr>
            <w:tcW w:w="1460" w:type="dxa"/>
            <w:vAlign w:val="bottom"/>
            <w:tcBorders>
              <w:bottom w:val="single" w:sz="8" w:color="auto"/>
            </w:tcBorders>
            <w:shd w:val="clear" w:color="auto" w:fill="E5E5E5"/>
          </w:tcPr>
          <w:p>
            <w:pPr>
              <w:jc w:val="right"/>
              <w:ind w:right="397"/>
              <w:spacing w:after="0"/>
              <w:rPr>
                <w:sz w:val="20"/>
                <w:szCs w:val="20"/>
                <w:color w:val="auto"/>
              </w:rPr>
            </w:pPr>
            <w:r>
              <w:rPr>
                <w:rFonts w:ascii="Arial" w:cs="Arial" w:eastAsia="Arial" w:hAnsi="Arial"/>
                <w:sz w:val="18"/>
                <w:szCs w:val="18"/>
                <w:b w:val="1"/>
                <w:bCs w:val="1"/>
                <w:color w:val="auto"/>
              </w:rPr>
              <w:t>408</w:t>
            </w:r>
          </w:p>
        </w:tc>
        <w:tc>
          <w:tcPr>
            <w:tcW w:w="1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416</w:t>
            </w:r>
          </w:p>
        </w:tc>
        <w:tc>
          <w:tcPr>
            <w:tcW w:w="1260" w:type="dxa"/>
            <w:vAlign w:val="bottom"/>
            <w:tcBorders>
              <w:bottom w:val="single" w:sz="8" w:color="auto"/>
            </w:tcBorders>
            <w:shd w:val="clear" w:color="auto" w:fill="E5E5E5"/>
          </w:tcPr>
          <w:p>
            <w:pPr>
              <w:jc w:val="right"/>
              <w:ind w:right="397"/>
              <w:spacing w:after="0"/>
              <w:rPr>
                <w:sz w:val="20"/>
                <w:szCs w:val="20"/>
                <w:color w:val="auto"/>
              </w:rPr>
            </w:pPr>
            <w:r>
              <w:rPr>
                <w:rFonts w:ascii="Arial" w:cs="Arial" w:eastAsia="Arial" w:hAnsi="Arial"/>
                <w:sz w:val="18"/>
                <w:szCs w:val="18"/>
                <w:b w:val="1"/>
                <w:bCs w:val="1"/>
                <w:color w:val="auto"/>
              </w:rPr>
              <w:t>1,116</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Unlevered Free Cash Flow</w:t>
            </w:r>
          </w:p>
        </w:tc>
        <w:tc>
          <w:tcPr>
            <w:tcW w:w="146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b w:val="1"/>
                <w:bCs w:val="1"/>
                <w:color w:val="auto"/>
              </w:rPr>
              <w:t>$ 1,571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784</w:t>
            </w:r>
          </w:p>
        </w:tc>
        <w:tc>
          <w:tcPr>
            <w:tcW w:w="126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b w:val="1"/>
                <w:bCs w:val="1"/>
                <w:color w:val="auto"/>
              </w:rPr>
              <w:t>$ 2,981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$ 1,888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for the definition of Free Cash Flow and Unlevered Free Cash Flow.</w:t>
      </w:r>
    </w:p>
    <w:p>
      <w:pPr>
        <w:spacing w:after="0" w:line="9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definition of Free Cash Flow remains unchanged and specifically eliminates any impact from the Economic Stimulus package. For the 2nd quarter 2008, Net Cash Provided by Operating Activities included a $315 million benefit from the Economic Stimulus package. This amount has been excluded from Free Cash Flow to provide an appropriate comparison.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7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Financial Data by Business Segment</w:t>
      </w:r>
    </w:p>
    <w:p>
      <w:pPr>
        <w:jc w:val="center"/>
        <w:spacing w:after="0"/>
        <w:rPr>
          <w:sz w:val="20"/>
          <w:szCs w:val="20"/>
          <w:color w:val="auto"/>
        </w:rPr>
      </w:pPr>
      <w:r>
        <w:rPr>
          <w:rFonts w:ascii="Arial" w:cs="Arial" w:eastAsia="Arial" w:hAnsi="Arial"/>
          <w:sz w:val="22"/>
          <w:szCs w:val="22"/>
          <w:b w:val="1"/>
          <w:bCs w:val="1"/>
          <w:color w:val="auto"/>
        </w:rPr>
        <w:t xml:space="preserve">(Unaudited) </w:t>
      </w:r>
      <w:r>
        <w:rPr>
          <w:rFonts w:ascii="Arial" w:cs="Arial" w:eastAsia="Arial" w:hAnsi="Arial"/>
          <w:sz w:val="11"/>
          <w:szCs w:val="11"/>
          <w:b w:val="1"/>
          <w:bCs w:val="1"/>
          <w:color w:val="auto"/>
        </w:rPr>
        <w:t>(1)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xml:space="preserve">Programming </w:t>
            </w:r>
            <w:r>
              <w:rPr>
                <w:rFonts w:ascii="Arial" w:cs="Arial" w:eastAsia="Arial" w:hAnsi="Arial"/>
                <w:sz w:val="22"/>
                <w:szCs w:val="22"/>
                <w:b w:val="1"/>
                <w:bCs w:val="1"/>
                <w:color w:val="auto"/>
                <w:vertAlign w:val="superscript"/>
              </w:rPr>
              <w:t>(2)</w:t>
            </w:r>
          </w:p>
        </w:tc>
        <w:tc>
          <w:tcPr>
            <w:tcW w:w="12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60" w:type="dxa"/>
            <w:vAlign w:val="bottom"/>
            <w:gridSpan w:val="3"/>
          </w:tcPr>
          <w:p>
            <w:pPr>
              <w:spacing w:after="0"/>
              <w:rPr>
                <w:sz w:val="20"/>
                <w:szCs w:val="20"/>
                <w:color w:val="auto"/>
              </w:rPr>
            </w:pPr>
            <w:r>
              <w:rPr>
                <w:rFonts w:ascii="Arial" w:cs="Arial" w:eastAsia="Arial" w:hAnsi="Arial"/>
                <w:sz w:val="14"/>
                <w:szCs w:val="14"/>
                <w:color w:val="auto"/>
              </w:rPr>
              <w:t>(dollars in millions)</w:t>
            </w:r>
          </w:p>
        </w:tc>
        <w:tc>
          <w:tcPr>
            <w:tcW w:w="4320" w:type="dxa"/>
            <w:vAlign w:val="bottom"/>
          </w:tcPr>
          <w:p>
            <w:pPr>
              <w:spacing w:after="0"/>
              <w:rPr>
                <w:sz w:val="14"/>
                <w:szCs w:val="14"/>
                <w:color w:val="auto"/>
              </w:rPr>
            </w:pPr>
          </w:p>
        </w:tc>
        <w:tc>
          <w:tcPr>
            <w:tcW w:w="78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Cable</w:t>
            </w:r>
          </w:p>
        </w:tc>
        <w:tc>
          <w:tcPr>
            <w:tcW w:w="1600" w:type="dxa"/>
            <w:vAlign w:val="bottom"/>
            <w:gridSpan w:val="2"/>
            <w:vMerge w:val="continue"/>
          </w:tcPr>
          <w:p>
            <w:pPr>
              <w:spacing w:after="0"/>
              <w:rPr>
                <w:sz w:val="14"/>
                <w:szCs w:val="14"/>
                <w:color w:val="auto"/>
              </w:rPr>
            </w:pPr>
          </w:p>
        </w:tc>
        <w:tc>
          <w:tcPr>
            <w:tcW w:w="12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and Other</w:t>
            </w:r>
          </w:p>
        </w:tc>
        <w:tc>
          <w:tcPr>
            <w:tcW w:w="36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40" w:type="dxa"/>
            <w:vAlign w:val="bottom"/>
            <w:tcBorders>
              <w:top w:val="single" w:sz="8" w:color="auto"/>
              <w:bottom w:val="single" w:sz="8" w:color="auto"/>
            </w:tcBorders>
            <w:gridSpan w:val="2"/>
            <w:shd w:val="clear" w:color="auto" w:fill="E5E5E5"/>
          </w:tcPr>
          <w:p>
            <w:pPr>
              <w:spacing w:after="0" w:line="170" w:lineRule="exact"/>
              <w:rPr>
                <w:sz w:val="20"/>
                <w:szCs w:val="20"/>
                <w:color w:val="auto"/>
              </w:rPr>
            </w:pPr>
            <w:r>
              <w:rPr>
                <w:rFonts w:ascii="Arial" w:cs="Arial" w:eastAsia="Arial" w:hAnsi="Arial"/>
                <w:sz w:val="18"/>
                <w:szCs w:val="18"/>
                <w:b w:val="1"/>
                <w:bCs w:val="1"/>
                <w:color w:val="auto"/>
                <w:w w:val="87"/>
              </w:rPr>
              <w:t>Three Months Ended June 30, 2008</w:t>
            </w:r>
          </w:p>
        </w:tc>
        <w:tc>
          <w:tcPr>
            <w:tcW w:w="4320" w:type="dxa"/>
            <w:vAlign w:val="bottom"/>
            <w:tcBorders>
              <w:top w:val="single" w:sz="8" w:color="auto"/>
              <w:bottom w:val="single" w:sz="8" w:color="E5E5E5"/>
            </w:tcBorders>
            <w:shd w:val="clear" w:color="auto" w:fill="E5E5E5"/>
          </w:tcPr>
          <w:p>
            <w:pPr>
              <w:spacing w:after="0"/>
              <w:rPr>
                <w:sz w:val="16"/>
                <w:szCs w:val="16"/>
                <w:color w:val="auto"/>
              </w:rPr>
            </w:pPr>
          </w:p>
        </w:tc>
        <w:tc>
          <w:tcPr>
            <w:tcW w:w="780" w:type="dxa"/>
            <w:vAlign w:val="bottom"/>
            <w:tcBorders>
              <w:top w:val="single" w:sz="8" w:color="auto"/>
              <w:bottom w:val="single" w:sz="8" w:color="E5E5E5"/>
            </w:tcBorders>
            <w:shd w:val="clear" w:color="auto" w:fill="E5E5E5"/>
          </w:tcPr>
          <w:p>
            <w:pPr>
              <w:spacing w:after="0"/>
              <w:rPr>
                <w:sz w:val="16"/>
                <w:szCs w:val="16"/>
                <w:color w:val="auto"/>
              </w:rPr>
            </w:pPr>
          </w:p>
        </w:tc>
        <w:tc>
          <w:tcPr>
            <w:tcW w:w="620" w:type="dxa"/>
            <w:vAlign w:val="bottom"/>
            <w:tcBorders>
              <w:top w:val="single" w:sz="8" w:color="auto"/>
              <w:bottom w:val="single" w:sz="8" w:color="E5E5E5"/>
            </w:tcBorders>
            <w:shd w:val="clear" w:color="auto" w:fill="E5E5E5"/>
          </w:tcPr>
          <w:p>
            <w:pPr>
              <w:spacing w:after="0"/>
              <w:rPr>
                <w:sz w:val="16"/>
                <w:szCs w:val="16"/>
                <w:color w:val="auto"/>
              </w:rPr>
            </w:pPr>
          </w:p>
        </w:tc>
        <w:tc>
          <w:tcPr>
            <w:tcW w:w="980" w:type="dxa"/>
            <w:vAlign w:val="bottom"/>
            <w:tcBorders>
              <w:top w:val="single" w:sz="8" w:color="auto"/>
              <w:bottom w:val="single" w:sz="8" w:color="E5E5E5"/>
            </w:tcBorders>
            <w:shd w:val="clear" w:color="auto" w:fill="E5E5E5"/>
          </w:tcPr>
          <w:p>
            <w:pPr>
              <w:spacing w:after="0"/>
              <w:rPr>
                <w:sz w:val="16"/>
                <w:szCs w:val="16"/>
                <w:color w:val="auto"/>
              </w:rPr>
            </w:pPr>
          </w:p>
        </w:tc>
        <w:tc>
          <w:tcPr>
            <w:tcW w:w="540" w:type="dxa"/>
            <w:vAlign w:val="bottom"/>
            <w:tcBorders>
              <w:top w:val="single" w:sz="8" w:color="auto"/>
              <w:bottom w:val="single" w:sz="8" w:color="E5E5E5"/>
            </w:tcBorders>
            <w:shd w:val="clear" w:color="auto" w:fill="E5E5E5"/>
          </w:tcPr>
          <w:p>
            <w:pPr>
              <w:spacing w:after="0"/>
              <w:rPr>
                <w:sz w:val="16"/>
                <w:szCs w:val="16"/>
                <w:color w:val="auto"/>
              </w:rPr>
            </w:pPr>
          </w:p>
        </w:tc>
        <w:tc>
          <w:tcPr>
            <w:tcW w:w="680" w:type="dxa"/>
            <w:vAlign w:val="bottom"/>
            <w:tcBorders>
              <w:top w:val="single" w:sz="8" w:color="auto"/>
              <w:bottom w:val="single" w:sz="8" w:color="E5E5E5"/>
            </w:tcBorders>
            <w:shd w:val="clear" w:color="auto" w:fill="E5E5E5"/>
          </w:tcPr>
          <w:p>
            <w:pPr>
              <w:spacing w:after="0"/>
              <w:rPr>
                <w:sz w:val="16"/>
                <w:szCs w:val="16"/>
                <w:color w:val="auto"/>
              </w:rPr>
            </w:pPr>
          </w:p>
        </w:tc>
        <w:tc>
          <w:tcPr>
            <w:tcW w:w="360" w:type="dxa"/>
            <w:vAlign w:val="bottom"/>
            <w:tcBorders>
              <w:top w:val="single" w:sz="8" w:color="auto"/>
              <w:bottom w:val="single" w:sz="8" w:color="E5E5E5"/>
            </w:tcBorders>
            <w:shd w:val="clear" w:color="auto" w:fill="E5E5E5"/>
          </w:tcPr>
          <w:p>
            <w:pPr>
              <w:spacing w:after="0"/>
              <w:rPr>
                <w:sz w:val="16"/>
                <w:szCs w:val="16"/>
                <w:color w:val="auto"/>
              </w:rPr>
            </w:pPr>
          </w:p>
        </w:tc>
        <w:tc>
          <w:tcPr>
            <w:tcW w:w="480" w:type="dxa"/>
            <w:vAlign w:val="bottom"/>
            <w:tcBorders>
              <w:top w:val="single" w:sz="8" w:color="auto"/>
              <w:bottom w:val="single" w:sz="8" w:color="E5E5E5"/>
            </w:tcBorders>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E5E5E5"/>
            </w:tcBorders>
            <w:gridSpan w:val="2"/>
          </w:tcPr>
          <w:p>
            <w:pPr>
              <w:spacing w:after="0"/>
              <w:rPr>
                <w:sz w:val="20"/>
                <w:szCs w:val="20"/>
                <w:color w:val="auto"/>
              </w:rPr>
            </w:pPr>
            <w:r>
              <w:rPr>
                <w:rFonts w:ascii="Arial" w:cs="Arial" w:eastAsia="Arial" w:hAnsi="Arial"/>
                <w:sz w:val="18"/>
                <w:szCs w:val="18"/>
                <w:color w:val="auto"/>
              </w:rPr>
              <w:t>Revenues</w:t>
            </w:r>
          </w:p>
        </w:tc>
        <w:tc>
          <w:tcPr>
            <w:tcW w:w="4320" w:type="dxa"/>
            <w:vAlign w:val="bottom"/>
            <w:tcBorders>
              <w:top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E5E5E5"/>
            </w:tcBorders>
          </w:tcPr>
          <w:p>
            <w:pPr>
              <w:jc w:val="right"/>
              <w:ind w:right="213"/>
              <w:spacing w:after="0"/>
              <w:rPr>
                <w:sz w:val="20"/>
                <w:szCs w:val="20"/>
                <w:color w:val="auto"/>
              </w:rPr>
            </w:pPr>
            <w:r>
              <w:rPr>
                <w:rFonts w:ascii="Arial" w:cs="Arial" w:eastAsia="Arial" w:hAnsi="Arial"/>
                <w:sz w:val="18"/>
                <w:szCs w:val="18"/>
                <w:color w:val="auto"/>
              </w:rPr>
              <w:t>8,100</w:t>
            </w:r>
          </w:p>
        </w:tc>
        <w:tc>
          <w:tcPr>
            <w:tcW w:w="620" w:type="dxa"/>
            <w:vAlign w:val="bottom"/>
            <w:tcBorders>
              <w:top w:val="single" w:sz="8" w:color="E5E5E5"/>
            </w:tcBorders>
          </w:tcPr>
          <w:p>
            <w:pPr>
              <w:ind w:left="3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E5E5E5"/>
            </w:tcBorders>
          </w:tcPr>
          <w:p>
            <w:pPr>
              <w:jc w:val="right"/>
              <w:ind w:right="212"/>
              <w:spacing w:after="0"/>
              <w:rPr>
                <w:sz w:val="20"/>
                <w:szCs w:val="20"/>
                <w:color w:val="auto"/>
              </w:rPr>
            </w:pPr>
            <w:r>
              <w:rPr>
                <w:rFonts w:ascii="Arial" w:cs="Arial" w:eastAsia="Arial" w:hAnsi="Arial"/>
                <w:sz w:val="18"/>
                <w:szCs w:val="18"/>
                <w:color w:val="auto"/>
              </w:rPr>
              <w:t>366</w:t>
            </w:r>
          </w:p>
        </w:tc>
        <w:tc>
          <w:tcPr>
            <w:tcW w:w="540" w:type="dxa"/>
            <w:vAlign w:val="bottom"/>
            <w:tcBorders>
              <w:top w:val="single" w:sz="8" w:color="E5E5E5"/>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E5E5E5"/>
            </w:tcBorders>
          </w:tcPr>
          <w:p>
            <w:pPr>
              <w:jc w:val="right"/>
              <w:ind w:right="212"/>
              <w:spacing w:after="0"/>
              <w:rPr>
                <w:sz w:val="20"/>
                <w:szCs w:val="20"/>
                <w:color w:val="auto"/>
              </w:rPr>
            </w:pPr>
            <w:r>
              <w:rPr>
                <w:rFonts w:ascii="Arial" w:cs="Arial" w:eastAsia="Arial" w:hAnsi="Arial"/>
                <w:sz w:val="18"/>
                <w:szCs w:val="18"/>
                <w:color w:val="auto"/>
              </w:rPr>
              <w:t>87</w:t>
            </w:r>
          </w:p>
        </w:tc>
        <w:tc>
          <w:tcPr>
            <w:tcW w:w="360" w:type="dxa"/>
            <w:vAlign w:val="bottom"/>
            <w:tcBorders>
              <w:top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E5E5E5"/>
            </w:tcBorders>
          </w:tcPr>
          <w:p>
            <w:pPr>
              <w:jc w:val="right"/>
              <w:spacing w:after="0"/>
              <w:rPr>
                <w:sz w:val="20"/>
                <w:szCs w:val="20"/>
                <w:color w:val="auto"/>
              </w:rPr>
            </w:pPr>
            <w:r>
              <w:rPr>
                <w:rFonts w:ascii="Arial" w:cs="Arial" w:eastAsia="Arial" w:hAnsi="Arial"/>
                <w:sz w:val="18"/>
                <w:szCs w:val="18"/>
                <w:color w:val="auto"/>
              </w:rPr>
              <w:t>8,553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4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3,362</w:t>
            </w:r>
          </w:p>
        </w:tc>
        <w:tc>
          <w:tcPr>
            <w:tcW w:w="6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89</w:t>
            </w:r>
          </w:p>
        </w:tc>
        <w:tc>
          <w:tcPr>
            <w:tcW w:w="5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4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1,825</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44</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119)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4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0"/>
              </w:rPr>
              <w:t>41.5%</w:t>
            </w: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24.2%</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(3)</w:t>
            </w:r>
          </w:p>
        </w:tc>
        <w:tc>
          <w:tcPr>
            <w:tcW w:w="4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1,254</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6</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40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640" w:type="dxa"/>
            <w:vAlign w:val="bottom"/>
            <w:tcBorders>
              <w:bottom w:val="single" w:sz="8" w:color="auto"/>
            </w:tcBorders>
            <w:gridSpan w:val="2"/>
            <w:shd w:val="clear" w:color="auto" w:fill="E5E5E5"/>
          </w:tcPr>
          <w:p>
            <w:pPr>
              <w:spacing w:after="0" w:line="176" w:lineRule="exact"/>
              <w:rPr>
                <w:sz w:val="20"/>
                <w:szCs w:val="20"/>
                <w:color w:val="auto"/>
              </w:rPr>
            </w:pPr>
            <w:r>
              <w:rPr>
                <w:rFonts w:ascii="Arial" w:cs="Arial" w:eastAsia="Arial" w:hAnsi="Arial"/>
                <w:sz w:val="18"/>
                <w:szCs w:val="18"/>
                <w:b w:val="1"/>
                <w:bCs w:val="1"/>
                <w:color w:val="auto"/>
                <w:w w:val="87"/>
              </w:rPr>
              <w:t>Three Months Ended June 30, 2007</w:t>
            </w:r>
          </w:p>
        </w:tc>
        <w:tc>
          <w:tcPr>
            <w:tcW w:w="4320" w:type="dxa"/>
            <w:vAlign w:val="bottom"/>
            <w:tcBorders>
              <w:bottom w:val="single" w:sz="8" w:color="E5E5E5"/>
            </w:tcBorders>
            <w:shd w:val="clear" w:color="auto" w:fill="E5E5E5"/>
          </w:tcPr>
          <w:p>
            <w:pPr>
              <w:spacing w:after="0"/>
              <w:rPr>
                <w:sz w:val="17"/>
                <w:szCs w:val="17"/>
                <w:color w:val="auto"/>
              </w:rPr>
            </w:pPr>
          </w:p>
        </w:tc>
        <w:tc>
          <w:tcPr>
            <w:tcW w:w="780" w:type="dxa"/>
            <w:vAlign w:val="bottom"/>
            <w:tcBorders>
              <w:bottom w:val="single" w:sz="8" w:color="E5E5E5"/>
            </w:tcBorders>
            <w:shd w:val="clear" w:color="auto" w:fill="E5E5E5"/>
          </w:tcPr>
          <w:p>
            <w:pPr>
              <w:spacing w:after="0"/>
              <w:rPr>
                <w:sz w:val="17"/>
                <w:szCs w:val="17"/>
                <w:color w:val="auto"/>
              </w:rPr>
            </w:pPr>
          </w:p>
        </w:tc>
        <w:tc>
          <w:tcPr>
            <w:tcW w:w="620" w:type="dxa"/>
            <w:vAlign w:val="bottom"/>
            <w:tcBorders>
              <w:bottom w:val="single" w:sz="8" w:color="E5E5E5"/>
            </w:tcBorders>
            <w:shd w:val="clear" w:color="auto" w:fill="E5E5E5"/>
          </w:tcPr>
          <w:p>
            <w:pPr>
              <w:spacing w:after="0"/>
              <w:rPr>
                <w:sz w:val="17"/>
                <w:szCs w:val="17"/>
                <w:color w:val="auto"/>
              </w:rPr>
            </w:pPr>
          </w:p>
        </w:tc>
        <w:tc>
          <w:tcPr>
            <w:tcW w:w="980" w:type="dxa"/>
            <w:vAlign w:val="bottom"/>
            <w:tcBorders>
              <w:bottom w:val="single" w:sz="8" w:color="E5E5E5"/>
            </w:tcBorders>
            <w:shd w:val="clear" w:color="auto" w:fill="E5E5E5"/>
          </w:tcPr>
          <w:p>
            <w:pPr>
              <w:spacing w:after="0"/>
              <w:rPr>
                <w:sz w:val="17"/>
                <w:szCs w:val="17"/>
                <w:color w:val="auto"/>
              </w:rPr>
            </w:pPr>
          </w:p>
        </w:tc>
        <w:tc>
          <w:tcPr>
            <w:tcW w:w="540" w:type="dxa"/>
            <w:vAlign w:val="bottom"/>
            <w:tcBorders>
              <w:bottom w:val="single" w:sz="8" w:color="E5E5E5"/>
            </w:tcBorders>
            <w:shd w:val="clear" w:color="auto" w:fill="E5E5E5"/>
          </w:tcPr>
          <w:p>
            <w:pPr>
              <w:spacing w:after="0"/>
              <w:rPr>
                <w:sz w:val="17"/>
                <w:szCs w:val="17"/>
                <w:color w:val="auto"/>
              </w:rPr>
            </w:pPr>
          </w:p>
        </w:tc>
        <w:tc>
          <w:tcPr>
            <w:tcW w:w="680" w:type="dxa"/>
            <w:vAlign w:val="bottom"/>
            <w:tcBorders>
              <w:bottom w:val="single" w:sz="8" w:color="E5E5E5"/>
            </w:tcBorders>
            <w:shd w:val="clear" w:color="auto" w:fill="E5E5E5"/>
          </w:tcPr>
          <w:p>
            <w:pPr>
              <w:spacing w:after="0"/>
              <w:rPr>
                <w:sz w:val="17"/>
                <w:szCs w:val="17"/>
                <w:color w:val="auto"/>
              </w:rPr>
            </w:pPr>
          </w:p>
        </w:tc>
        <w:tc>
          <w:tcPr>
            <w:tcW w:w="360" w:type="dxa"/>
            <w:vAlign w:val="bottom"/>
            <w:tcBorders>
              <w:bottom w:val="single" w:sz="8" w:color="E5E5E5"/>
            </w:tcBorders>
            <w:shd w:val="clear" w:color="auto" w:fill="E5E5E5"/>
          </w:tcPr>
          <w:p>
            <w:pPr>
              <w:spacing w:after="0"/>
              <w:rPr>
                <w:sz w:val="17"/>
                <w:szCs w:val="17"/>
                <w:color w:val="auto"/>
              </w:rPr>
            </w:pPr>
          </w:p>
        </w:tc>
        <w:tc>
          <w:tcPr>
            <w:tcW w:w="480" w:type="dxa"/>
            <w:vAlign w:val="bottom"/>
            <w:tcBorders>
              <w:bottom w:val="single" w:sz="8" w:color="E5E5E5"/>
            </w:tcBorders>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E5E5E5"/>
            </w:tcBorders>
            <w:gridSpan w:val="2"/>
          </w:tcPr>
          <w:p>
            <w:pPr>
              <w:spacing w:after="0"/>
              <w:rPr>
                <w:sz w:val="20"/>
                <w:szCs w:val="20"/>
                <w:color w:val="auto"/>
              </w:rPr>
            </w:pPr>
            <w:r>
              <w:rPr>
                <w:rFonts w:ascii="Arial" w:cs="Arial" w:eastAsia="Arial" w:hAnsi="Arial"/>
                <w:sz w:val="18"/>
                <w:szCs w:val="18"/>
                <w:color w:val="auto"/>
              </w:rPr>
              <w:t>Revenues</w:t>
            </w:r>
          </w:p>
        </w:tc>
        <w:tc>
          <w:tcPr>
            <w:tcW w:w="4320" w:type="dxa"/>
            <w:vAlign w:val="bottom"/>
            <w:tcBorders>
              <w:top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E5E5E5"/>
            </w:tcBorders>
          </w:tcPr>
          <w:p>
            <w:pPr>
              <w:jc w:val="right"/>
              <w:ind w:right="213"/>
              <w:spacing w:after="0"/>
              <w:rPr>
                <w:sz w:val="20"/>
                <w:szCs w:val="20"/>
                <w:color w:val="auto"/>
              </w:rPr>
            </w:pPr>
            <w:r>
              <w:rPr>
                <w:rFonts w:ascii="Arial" w:cs="Arial" w:eastAsia="Arial" w:hAnsi="Arial"/>
                <w:sz w:val="18"/>
                <w:szCs w:val="18"/>
                <w:color w:val="auto"/>
              </w:rPr>
              <w:t>7,557</w:t>
            </w:r>
          </w:p>
        </w:tc>
        <w:tc>
          <w:tcPr>
            <w:tcW w:w="620" w:type="dxa"/>
            <w:vAlign w:val="bottom"/>
            <w:tcBorders>
              <w:top w:val="single" w:sz="8" w:color="E5E5E5"/>
            </w:tcBorders>
          </w:tcPr>
          <w:p>
            <w:pPr>
              <w:ind w:left="3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E5E5E5"/>
            </w:tcBorders>
          </w:tcPr>
          <w:p>
            <w:pPr>
              <w:jc w:val="right"/>
              <w:ind w:right="212"/>
              <w:spacing w:after="0"/>
              <w:rPr>
                <w:sz w:val="20"/>
                <w:szCs w:val="20"/>
                <w:color w:val="auto"/>
              </w:rPr>
            </w:pPr>
            <w:r>
              <w:rPr>
                <w:rFonts w:ascii="Arial" w:cs="Arial" w:eastAsia="Arial" w:hAnsi="Arial"/>
                <w:sz w:val="18"/>
                <w:szCs w:val="18"/>
                <w:color w:val="auto"/>
              </w:rPr>
              <w:t>334</w:t>
            </w:r>
          </w:p>
        </w:tc>
        <w:tc>
          <w:tcPr>
            <w:tcW w:w="540" w:type="dxa"/>
            <w:vAlign w:val="bottom"/>
            <w:tcBorders>
              <w:top w:val="single" w:sz="8" w:color="E5E5E5"/>
            </w:tcBorders>
          </w:tcPr>
          <w:p>
            <w:pPr>
              <w:ind w:left="3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E5E5E5"/>
            </w:tcBorders>
          </w:tcPr>
          <w:p>
            <w:pPr>
              <w:jc w:val="right"/>
              <w:ind w:right="212"/>
              <w:spacing w:after="0"/>
              <w:rPr>
                <w:sz w:val="20"/>
                <w:szCs w:val="20"/>
                <w:color w:val="auto"/>
              </w:rPr>
            </w:pPr>
            <w:r>
              <w:rPr>
                <w:rFonts w:ascii="Arial" w:cs="Arial" w:eastAsia="Arial" w:hAnsi="Arial"/>
                <w:sz w:val="18"/>
                <w:szCs w:val="18"/>
                <w:color w:val="auto"/>
              </w:rPr>
              <w:t>48</w:t>
            </w:r>
          </w:p>
        </w:tc>
        <w:tc>
          <w:tcPr>
            <w:tcW w:w="360" w:type="dxa"/>
            <w:vAlign w:val="bottom"/>
            <w:tcBorders>
              <w:top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E5E5E5"/>
            </w:tcBorders>
          </w:tcPr>
          <w:p>
            <w:pPr>
              <w:jc w:val="right"/>
              <w:spacing w:after="0"/>
              <w:rPr>
                <w:sz w:val="20"/>
                <w:szCs w:val="20"/>
                <w:color w:val="auto"/>
              </w:rPr>
            </w:pPr>
            <w:r>
              <w:rPr>
                <w:rFonts w:ascii="Arial" w:cs="Arial" w:eastAsia="Arial" w:hAnsi="Arial"/>
                <w:sz w:val="18"/>
                <w:szCs w:val="18"/>
                <w:color w:val="auto"/>
              </w:rPr>
              <w:t>7,939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4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3,124</w:t>
            </w:r>
          </w:p>
        </w:tc>
        <w:tc>
          <w:tcPr>
            <w:tcW w:w="6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75</w:t>
            </w:r>
          </w:p>
        </w:tc>
        <w:tc>
          <w:tcPr>
            <w:tcW w:w="5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93)</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4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1,614</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29</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119)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4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0"/>
              </w:rPr>
              <w:t>41.3%</w:t>
            </w: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22.7%</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(3)</w:t>
            </w:r>
          </w:p>
        </w:tc>
        <w:tc>
          <w:tcPr>
            <w:tcW w:w="4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1,615</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10</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40" w:type="dxa"/>
            <w:vAlign w:val="bottom"/>
            <w:tcBorders>
              <w:bottom w:val="single" w:sz="8" w:color="auto"/>
            </w:tcBorders>
            <w:shd w:val="clear" w:color="auto" w:fill="E5E5E5"/>
          </w:tcPr>
          <w:p>
            <w:pPr>
              <w:spacing w:after="0" w:line="176" w:lineRule="exact"/>
              <w:rPr>
                <w:sz w:val="20"/>
                <w:szCs w:val="20"/>
                <w:color w:val="auto"/>
              </w:rPr>
            </w:pPr>
            <w:r>
              <w:rPr>
                <w:rFonts w:ascii="Arial" w:cs="Arial" w:eastAsia="Arial" w:hAnsi="Arial"/>
                <w:sz w:val="18"/>
                <w:szCs w:val="18"/>
                <w:b w:val="1"/>
                <w:bCs w:val="1"/>
                <w:color w:val="auto"/>
                <w:w w:val="87"/>
              </w:rPr>
              <w:t>Six Months Ended June 30, 2008</w:t>
            </w:r>
          </w:p>
        </w:tc>
        <w:tc>
          <w:tcPr>
            <w:tcW w:w="200" w:type="dxa"/>
            <w:vAlign w:val="bottom"/>
            <w:tcBorders>
              <w:bottom w:val="single" w:sz="8" w:color="E5E5E5"/>
            </w:tcBorders>
            <w:shd w:val="clear" w:color="auto" w:fill="E5E5E5"/>
          </w:tcPr>
          <w:p>
            <w:pPr>
              <w:spacing w:after="0"/>
              <w:rPr>
                <w:sz w:val="17"/>
                <w:szCs w:val="17"/>
                <w:color w:val="auto"/>
              </w:rPr>
            </w:pPr>
          </w:p>
        </w:tc>
        <w:tc>
          <w:tcPr>
            <w:tcW w:w="4320" w:type="dxa"/>
            <w:vAlign w:val="bottom"/>
            <w:tcBorders>
              <w:bottom w:val="single" w:sz="8" w:color="E5E5E5"/>
            </w:tcBorders>
            <w:shd w:val="clear" w:color="auto" w:fill="E5E5E5"/>
          </w:tcPr>
          <w:p>
            <w:pPr>
              <w:spacing w:after="0"/>
              <w:rPr>
                <w:sz w:val="17"/>
                <w:szCs w:val="17"/>
                <w:color w:val="auto"/>
              </w:rPr>
            </w:pPr>
          </w:p>
        </w:tc>
        <w:tc>
          <w:tcPr>
            <w:tcW w:w="780" w:type="dxa"/>
            <w:vAlign w:val="bottom"/>
            <w:tcBorders>
              <w:bottom w:val="single" w:sz="8" w:color="E5E5E5"/>
            </w:tcBorders>
            <w:shd w:val="clear" w:color="auto" w:fill="E5E5E5"/>
          </w:tcPr>
          <w:p>
            <w:pPr>
              <w:spacing w:after="0"/>
              <w:rPr>
                <w:sz w:val="17"/>
                <w:szCs w:val="17"/>
                <w:color w:val="auto"/>
              </w:rPr>
            </w:pPr>
          </w:p>
        </w:tc>
        <w:tc>
          <w:tcPr>
            <w:tcW w:w="620" w:type="dxa"/>
            <w:vAlign w:val="bottom"/>
            <w:tcBorders>
              <w:bottom w:val="single" w:sz="8" w:color="E5E5E5"/>
            </w:tcBorders>
            <w:shd w:val="clear" w:color="auto" w:fill="E5E5E5"/>
          </w:tcPr>
          <w:p>
            <w:pPr>
              <w:spacing w:after="0"/>
              <w:rPr>
                <w:sz w:val="17"/>
                <w:szCs w:val="17"/>
                <w:color w:val="auto"/>
              </w:rPr>
            </w:pPr>
          </w:p>
        </w:tc>
        <w:tc>
          <w:tcPr>
            <w:tcW w:w="980" w:type="dxa"/>
            <w:vAlign w:val="bottom"/>
            <w:tcBorders>
              <w:bottom w:val="single" w:sz="8" w:color="E5E5E5"/>
            </w:tcBorders>
            <w:shd w:val="clear" w:color="auto" w:fill="E5E5E5"/>
          </w:tcPr>
          <w:p>
            <w:pPr>
              <w:spacing w:after="0"/>
              <w:rPr>
                <w:sz w:val="17"/>
                <w:szCs w:val="17"/>
                <w:color w:val="auto"/>
              </w:rPr>
            </w:pPr>
          </w:p>
        </w:tc>
        <w:tc>
          <w:tcPr>
            <w:tcW w:w="540" w:type="dxa"/>
            <w:vAlign w:val="bottom"/>
            <w:tcBorders>
              <w:bottom w:val="single" w:sz="8" w:color="E5E5E5"/>
            </w:tcBorders>
            <w:shd w:val="clear" w:color="auto" w:fill="E5E5E5"/>
          </w:tcPr>
          <w:p>
            <w:pPr>
              <w:spacing w:after="0"/>
              <w:rPr>
                <w:sz w:val="17"/>
                <w:szCs w:val="17"/>
                <w:color w:val="auto"/>
              </w:rPr>
            </w:pPr>
          </w:p>
        </w:tc>
        <w:tc>
          <w:tcPr>
            <w:tcW w:w="680" w:type="dxa"/>
            <w:vAlign w:val="bottom"/>
            <w:tcBorders>
              <w:bottom w:val="single" w:sz="8" w:color="E5E5E5"/>
            </w:tcBorders>
            <w:shd w:val="clear" w:color="auto" w:fill="E5E5E5"/>
          </w:tcPr>
          <w:p>
            <w:pPr>
              <w:spacing w:after="0"/>
              <w:rPr>
                <w:sz w:val="17"/>
                <w:szCs w:val="17"/>
                <w:color w:val="auto"/>
              </w:rPr>
            </w:pPr>
          </w:p>
        </w:tc>
        <w:tc>
          <w:tcPr>
            <w:tcW w:w="360" w:type="dxa"/>
            <w:vAlign w:val="bottom"/>
            <w:tcBorders>
              <w:bottom w:val="single" w:sz="8" w:color="E5E5E5"/>
            </w:tcBorders>
            <w:shd w:val="clear" w:color="auto" w:fill="E5E5E5"/>
          </w:tcPr>
          <w:p>
            <w:pPr>
              <w:spacing w:after="0"/>
              <w:rPr>
                <w:sz w:val="17"/>
                <w:szCs w:val="17"/>
                <w:color w:val="auto"/>
              </w:rPr>
            </w:pPr>
          </w:p>
        </w:tc>
        <w:tc>
          <w:tcPr>
            <w:tcW w:w="480" w:type="dxa"/>
            <w:vAlign w:val="bottom"/>
            <w:tcBorders>
              <w:bottom w:val="single" w:sz="8" w:color="E5E5E5"/>
            </w:tcBorders>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w w:val="83"/>
              </w:rPr>
              <w:t>16,016</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729</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197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4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6,504</w:t>
            </w:r>
          </w:p>
        </w:tc>
        <w:tc>
          <w:tcPr>
            <w:tcW w:w="6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202</w:t>
            </w:r>
          </w:p>
        </w:tc>
        <w:tc>
          <w:tcPr>
            <w:tcW w:w="5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181)</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4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3,419</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103</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217)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4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0"/>
              </w:rPr>
              <w:t>40.6%</w:t>
            </w: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27.7%</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(3)</w:t>
            </w:r>
          </w:p>
        </w:tc>
        <w:tc>
          <w:tcPr>
            <w:tcW w:w="4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2,609</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10</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112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40" w:type="dxa"/>
            <w:vAlign w:val="bottom"/>
            <w:tcBorders>
              <w:bottom w:val="single" w:sz="8" w:color="auto"/>
            </w:tcBorders>
            <w:shd w:val="clear" w:color="auto" w:fill="E5E5E5"/>
          </w:tcPr>
          <w:p>
            <w:pPr>
              <w:spacing w:after="0" w:line="176" w:lineRule="exact"/>
              <w:rPr>
                <w:sz w:val="20"/>
                <w:szCs w:val="20"/>
                <w:color w:val="auto"/>
              </w:rPr>
            </w:pPr>
            <w:r>
              <w:rPr>
                <w:rFonts w:ascii="Arial" w:cs="Arial" w:eastAsia="Arial" w:hAnsi="Arial"/>
                <w:sz w:val="18"/>
                <w:szCs w:val="18"/>
                <w:b w:val="1"/>
                <w:bCs w:val="1"/>
                <w:color w:val="auto"/>
                <w:w w:val="87"/>
              </w:rPr>
              <w:t>Six Months Ended June 30, 2007</w:t>
            </w:r>
          </w:p>
        </w:tc>
        <w:tc>
          <w:tcPr>
            <w:tcW w:w="200" w:type="dxa"/>
            <w:vAlign w:val="bottom"/>
            <w:tcBorders>
              <w:bottom w:val="single" w:sz="8" w:color="E5E5E5"/>
            </w:tcBorders>
            <w:shd w:val="clear" w:color="auto" w:fill="E5E5E5"/>
          </w:tcPr>
          <w:p>
            <w:pPr>
              <w:spacing w:after="0"/>
              <w:rPr>
                <w:sz w:val="17"/>
                <w:szCs w:val="17"/>
                <w:color w:val="auto"/>
              </w:rPr>
            </w:pPr>
          </w:p>
        </w:tc>
        <w:tc>
          <w:tcPr>
            <w:tcW w:w="4320" w:type="dxa"/>
            <w:vAlign w:val="bottom"/>
            <w:tcBorders>
              <w:bottom w:val="single" w:sz="8" w:color="E5E5E5"/>
            </w:tcBorders>
            <w:shd w:val="clear" w:color="auto" w:fill="E5E5E5"/>
          </w:tcPr>
          <w:p>
            <w:pPr>
              <w:spacing w:after="0"/>
              <w:rPr>
                <w:sz w:val="17"/>
                <w:szCs w:val="17"/>
                <w:color w:val="auto"/>
              </w:rPr>
            </w:pPr>
          </w:p>
        </w:tc>
        <w:tc>
          <w:tcPr>
            <w:tcW w:w="780" w:type="dxa"/>
            <w:vAlign w:val="bottom"/>
            <w:tcBorders>
              <w:bottom w:val="single" w:sz="8" w:color="E5E5E5"/>
            </w:tcBorders>
            <w:shd w:val="clear" w:color="auto" w:fill="E5E5E5"/>
          </w:tcPr>
          <w:p>
            <w:pPr>
              <w:spacing w:after="0"/>
              <w:rPr>
                <w:sz w:val="17"/>
                <w:szCs w:val="17"/>
                <w:color w:val="auto"/>
              </w:rPr>
            </w:pPr>
          </w:p>
        </w:tc>
        <w:tc>
          <w:tcPr>
            <w:tcW w:w="620" w:type="dxa"/>
            <w:vAlign w:val="bottom"/>
            <w:tcBorders>
              <w:bottom w:val="single" w:sz="8" w:color="E5E5E5"/>
            </w:tcBorders>
            <w:shd w:val="clear" w:color="auto" w:fill="E5E5E5"/>
          </w:tcPr>
          <w:p>
            <w:pPr>
              <w:spacing w:after="0"/>
              <w:rPr>
                <w:sz w:val="17"/>
                <w:szCs w:val="17"/>
                <w:color w:val="auto"/>
              </w:rPr>
            </w:pPr>
          </w:p>
        </w:tc>
        <w:tc>
          <w:tcPr>
            <w:tcW w:w="980" w:type="dxa"/>
            <w:vAlign w:val="bottom"/>
            <w:tcBorders>
              <w:bottom w:val="single" w:sz="8" w:color="E5E5E5"/>
            </w:tcBorders>
            <w:shd w:val="clear" w:color="auto" w:fill="E5E5E5"/>
          </w:tcPr>
          <w:p>
            <w:pPr>
              <w:spacing w:after="0"/>
              <w:rPr>
                <w:sz w:val="17"/>
                <w:szCs w:val="17"/>
                <w:color w:val="auto"/>
              </w:rPr>
            </w:pPr>
          </w:p>
        </w:tc>
        <w:tc>
          <w:tcPr>
            <w:tcW w:w="540" w:type="dxa"/>
            <w:vAlign w:val="bottom"/>
            <w:tcBorders>
              <w:bottom w:val="single" w:sz="8" w:color="E5E5E5"/>
            </w:tcBorders>
            <w:shd w:val="clear" w:color="auto" w:fill="E5E5E5"/>
          </w:tcPr>
          <w:p>
            <w:pPr>
              <w:spacing w:after="0"/>
              <w:rPr>
                <w:sz w:val="17"/>
                <w:szCs w:val="17"/>
                <w:color w:val="auto"/>
              </w:rPr>
            </w:pPr>
          </w:p>
        </w:tc>
        <w:tc>
          <w:tcPr>
            <w:tcW w:w="680" w:type="dxa"/>
            <w:vAlign w:val="bottom"/>
            <w:tcBorders>
              <w:bottom w:val="single" w:sz="8" w:color="E5E5E5"/>
            </w:tcBorders>
            <w:shd w:val="clear" w:color="auto" w:fill="E5E5E5"/>
          </w:tcPr>
          <w:p>
            <w:pPr>
              <w:spacing w:after="0"/>
              <w:rPr>
                <w:sz w:val="17"/>
                <w:szCs w:val="17"/>
                <w:color w:val="auto"/>
              </w:rPr>
            </w:pPr>
          </w:p>
        </w:tc>
        <w:tc>
          <w:tcPr>
            <w:tcW w:w="360" w:type="dxa"/>
            <w:vAlign w:val="bottom"/>
            <w:tcBorders>
              <w:bottom w:val="single" w:sz="8" w:color="E5E5E5"/>
            </w:tcBorders>
            <w:shd w:val="clear" w:color="auto" w:fill="E5E5E5"/>
          </w:tcPr>
          <w:p>
            <w:pPr>
              <w:spacing w:after="0"/>
              <w:rPr>
                <w:sz w:val="17"/>
                <w:szCs w:val="17"/>
                <w:color w:val="auto"/>
              </w:rPr>
            </w:pPr>
          </w:p>
        </w:tc>
        <w:tc>
          <w:tcPr>
            <w:tcW w:w="480" w:type="dxa"/>
            <w:vAlign w:val="bottom"/>
            <w:tcBorders>
              <w:bottom w:val="single" w:sz="8" w:color="E5E5E5"/>
            </w:tcBorders>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w w:val="83"/>
              </w:rPr>
              <w:t>14,769</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636</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136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4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6,000</w:t>
            </w:r>
          </w:p>
        </w:tc>
        <w:tc>
          <w:tcPr>
            <w:tcW w:w="6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140</w:t>
            </w:r>
          </w:p>
        </w:tc>
        <w:tc>
          <w:tcPr>
            <w:tcW w:w="5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189)</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4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3,013</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47</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230)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4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0"/>
              </w:rPr>
              <w:t>40.6%</w:t>
            </w:r>
          </w:p>
        </w:tc>
        <w:tc>
          <w:tcPr>
            <w:tcW w:w="6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22.0%</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3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(3)</w:t>
            </w:r>
          </w:p>
        </w:tc>
        <w:tc>
          <w:tcPr>
            <w:tcW w:w="4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3,095</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14</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15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4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Historical financial data by business segment, in accordance with generally accepted accounting principles in the United States (GAAP), is available in the Company’s Quarterly Report on Form 10-Q. All percentages are calculated based on actual amounts. Minor differences may exist due to rounding.</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Programming includes our national networks E! Entertainment Television and Style Network (E! Networks), The Golf Channel, VERSUS and G4.</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Cable segment’s capital expenditures are comprised of the following categories: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81"/>
              </w:rPr>
              <w:t>2Q08</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1"/>
              </w:rPr>
              <w:t>2Q07</w:t>
            </w:r>
          </w:p>
        </w:tc>
        <w:tc>
          <w:tcPr>
            <w:tcW w:w="11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YTD 2Q08</w:t>
            </w: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3"/>
              </w:rPr>
              <w:t>YTD 2Q07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E5E5E5"/>
          </w:tcPr>
          <w:p>
            <w:pPr>
              <w:spacing w:after="0"/>
              <w:rPr>
                <w:sz w:val="20"/>
                <w:szCs w:val="20"/>
                <w:color w:val="auto"/>
              </w:rPr>
            </w:pPr>
            <w:r>
              <w:rPr>
                <w:rFonts w:ascii="Arial" w:cs="Arial" w:eastAsia="Arial" w:hAnsi="Arial"/>
                <w:sz w:val="18"/>
                <w:szCs w:val="18"/>
                <w:color w:val="auto"/>
              </w:rPr>
              <w:t>Growth</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Customer Premise Equipment (CPE)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687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214"/>
              <w:spacing w:after="0"/>
              <w:rPr>
                <w:sz w:val="20"/>
                <w:szCs w:val="20"/>
                <w:color w:val="auto"/>
              </w:rPr>
            </w:pPr>
            <w:r>
              <w:rPr>
                <w:rFonts w:ascii="Arial" w:cs="Arial" w:eastAsia="Arial" w:hAnsi="Arial"/>
                <w:sz w:val="18"/>
                <w:szCs w:val="18"/>
                <w:color w:val="auto"/>
              </w:rPr>
              <w:t>804</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7"/>
              </w:rPr>
              <w:t>1,506</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Scalable Infrastructure</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55</w:t>
            </w:r>
          </w:p>
        </w:tc>
        <w:tc>
          <w:tcPr>
            <w:tcW w:w="28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Line Extensions</w:t>
            </w:r>
          </w:p>
        </w:tc>
        <w:tc>
          <w:tcPr>
            <w:tcW w:w="46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700" w:type="dxa"/>
            <w:vAlign w:val="bottom"/>
            <w:tcBorders>
              <w:right w:val="single" w:sz="8" w:color="auto"/>
            </w:tcBorders>
          </w:tcPr>
          <w:p>
            <w:pPr>
              <w:jc w:val="right"/>
              <w:ind w:right="214"/>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Support Capital</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57</w:t>
            </w:r>
          </w:p>
        </w:tc>
        <w:tc>
          <w:tcPr>
            <w:tcW w:w="28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110</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Upgrades (Capacity Expansion)</w:t>
            </w:r>
          </w:p>
        </w:tc>
        <w:tc>
          <w:tcPr>
            <w:tcW w:w="46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700" w:type="dxa"/>
            <w:vAlign w:val="bottom"/>
            <w:tcBorders>
              <w:right w:val="single" w:sz="8" w:color="auto"/>
            </w:tcBorders>
          </w:tcPr>
          <w:p>
            <w:pPr>
              <w:jc w:val="right"/>
              <w:ind w:right="214"/>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Business Services</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21</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924</w:t>
            </w:r>
          </w:p>
        </w:tc>
        <w:tc>
          <w:tcPr>
            <w:tcW w:w="280" w:type="dxa"/>
            <w:vAlign w:val="bottom"/>
          </w:tcPr>
          <w:p>
            <w:pPr>
              <w:spacing w:after="0"/>
              <w:rPr>
                <w:sz w:val="18"/>
                <w:szCs w:val="18"/>
                <w:color w:val="auto"/>
              </w:rPr>
            </w:pPr>
          </w:p>
        </w:tc>
        <w:tc>
          <w:tcPr>
            <w:tcW w:w="700" w:type="dxa"/>
            <w:vAlign w:val="bottom"/>
            <w:tcBorders>
              <w:right w:val="single" w:sz="8" w:color="auto"/>
            </w:tcBorders>
          </w:tcPr>
          <w:p>
            <w:pPr>
              <w:jc w:val="right"/>
              <w:ind w:right="214"/>
              <w:spacing w:after="0"/>
              <w:rPr>
                <w:sz w:val="20"/>
                <w:szCs w:val="20"/>
                <w:color w:val="auto"/>
              </w:rPr>
            </w:pPr>
            <w:r>
              <w:rPr>
                <w:rFonts w:ascii="Arial" w:cs="Arial" w:eastAsia="Arial" w:hAnsi="Arial"/>
                <w:sz w:val="18"/>
                <w:szCs w:val="18"/>
                <w:color w:val="auto"/>
                <w:w w:val="84"/>
              </w:rPr>
              <w:t>1,175</w:t>
            </w:r>
          </w:p>
        </w:tc>
        <w:tc>
          <w:tcPr>
            <w:tcW w:w="52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7"/>
              </w:rPr>
              <w:t>1,975</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5E5E5"/>
          </w:tcPr>
          <w:p>
            <w:pPr>
              <w:spacing w:after="0"/>
              <w:rPr>
                <w:sz w:val="20"/>
                <w:szCs w:val="20"/>
                <w:color w:val="auto"/>
              </w:rPr>
            </w:pPr>
            <w:r>
              <w:rPr>
                <w:rFonts w:ascii="Arial" w:cs="Arial" w:eastAsia="Arial" w:hAnsi="Arial"/>
                <w:sz w:val="18"/>
                <w:szCs w:val="18"/>
                <w:color w:val="auto"/>
              </w:rPr>
              <w:t>Maintenance</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CPE (Drop Replacements)</w:t>
            </w:r>
          </w:p>
        </w:tc>
        <w:tc>
          <w:tcPr>
            <w:tcW w:w="46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700" w:type="dxa"/>
            <w:vAlign w:val="bottom"/>
            <w:tcBorders>
              <w:right w:val="single" w:sz="8" w:color="auto"/>
            </w:tcBorders>
          </w:tcPr>
          <w:p>
            <w:pPr>
              <w:jc w:val="right"/>
              <w:ind w:right="214"/>
              <w:spacing w:after="0"/>
              <w:rPr>
                <w:sz w:val="20"/>
                <w:szCs w:val="20"/>
                <w:color w:val="auto"/>
              </w:rPr>
            </w:pPr>
            <w:r>
              <w:rPr>
                <w:rFonts w:ascii="Arial" w:cs="Arial" w:eastAsia="Arial" w:hAnsi="Arial"/>
                <w:sz w:val="18"/>
                <w:szCs w:val="18"/>
                <w:color w:val="auto"/>
              </w:rPr>
              <w:t>77</w:t>
            </w:r>
          </w:p>
        </w:tc>
        <w:tc>
          <w:tcPr>
            <w:tcW w:w="52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Scalable Infrastructure</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151</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217</w:t>
            </w: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Support Capital</w:t>
            </w:r>
          </w:p>
        </w:tc>
        <w:tc>
          <w:tcPr>
            <w:tcW w:w="46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700" w:type="dxa"/>
            <w:vAlign w:val="bottom"/>
            <w:tcBorders>
              <w:right w:val="single" w:sz="8" w:color="auto"/>
            </w:tcBorders>
          </w:tcPr>
          <w:p>
            <w:pPr>
              <w:jc w:val="right"/>
              <w:ind w:right="214"/>
              <w:spacing w:after="0"/>
              <w:rPr>
                <w:sz w:val="20"/>
                <w:szCs w:val="20"/>
                <w:color w:val="auto"/>
              </w:rPr>
            </w:pPr>
            <w:r>
              <w:rPr>
                <w:rFonts w:ascii="Arial" w:cs="Arial" w:eastAsia="Arial" w:hAnsi="Arial"/>
                <w:sz w:val="18"/>
                <w:szCs w:val="18"/>
                <w:color w:val="auto"/>
              </w:rPr>
              <w:t>99</w:t>
            </w:r>
          </w:p>
        </w:tc>
        <w:tc>
          <w:tcPr>
            <w:tcW w:w="52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Upgrades</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90</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118</w:t>
            </w:r>
          </w:p>
        </w:tc>
        <w:tc>
          <w:tcPr>
            <w:tcW w:w="3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8"/>
                <w:szCs w:val="18"/>
                <w:color w:val="auto"/>
              </w:rPr>
            </w:pPr>
          </w:p>
        </w:tc>
        <w:tc>
          <w:tcPr>
            <w:tcW w:w="700" w:type="dxa"/>
            <w:vAlign w:val="bottom"/>
            <w:tcBorders>
              <w:right w:val="single" w:sz="8" w:color="auto"/>
            </w:tcBorders>
          </w:tcPr>
          <w:p>
            <w:pPr>
              <w:jc w:val="right"/>
              <w:ind w:right="214"/>
              <w:spacing w:after="0"/>
              <w:rPr>
                <w:sz w:val="20"/>
                <w:szCs w:val="20"/>
                <w:color w:val="auto"/>
              </w:rPr>
            </w:pPr>
            <w:r>
              <w:rPr>
                <w:rFonts w:ascii="Arial" w:cs="Arial" w:eastAsia="Arial" w:hAnsi="Arial"/>
                <w:sz w:val="18"/>
                <w:szCs w:val="18"/>
                <w:color w:val="auto"/>
              </w:rPr>
              <w:t>417</w:t>
            </w:r>
          </w:p>
        </w:tc>
        <w:tc>
          <w:tcPr>
            <w:tcW w:w="52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568</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Discretionary</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23</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66</w:t>
            </w:r>
          </w:p>
        </w:tc>
        <w:tc>
          <w:tcPr>
            <w:tcW w:w="3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84"/>
              </w:rPr>
              <w:t>1,254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8"/>
                <w:szCs w:val="18"/>
                <w:color w:val="auto"/>
                <w:w w:val="84"/>
              </w:rPr>
              <w:t>1,615</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7"/>
              </w:rPr>
              <w:t>2,609</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network improvements. Business Services includes fiber/coax extension, electronics, CPE and costs to secure new customers.</w:t>
      </w:r>
    </w:p>
    <w:p>
      <w:pPr>
        <w:spacing w:after="0" w:line="39"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Management evaluates capital expenditures by categorizing investments into three groups: Growth, Maintenance and Discretionary. Growth is directly tied to revenue generation and represents the costs required to secure new customers, revenue units or additional bandwidth revenues. Maintenance includes investments that allow the company to maintain its competitive position and provide a foundation for growth. Discretionary includes investments that lay the groundwork for future products and services, such as our investments in interactive advertising, cross-platform product development or switched digital video.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71" w:right="239" w:bottom="42" w:gutter="0" w:footer="0" w:header="0"/>
        </w:sectPr>
      </w:pPr>
    </w:p>
    <w:bookmarkStart w:id="12" w:name="page13"/>
    <w:bookmarkEnd w:id="1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TABLE 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Data—Cable Segment Components</w:t>
      </w:r>
    </w:p>
    <w:p>
      <w:pPr>
        <w:jc w:val="center"/>
        <w:spacing w:after="0"/>
        <w:rPr>
          <w:sz w:val="20"/>
          <w:szCs w:val="20"/>
          <w:color w:val="auto"/>
        </w:rPr>
      </w:pPr>
      <w:r>
        <w:rPr>
          <w:rFonts w:ascii="Arial" w:cs="Arial" w:eastAsia="Arial" w:hAnsi="Arial"/>
          <w:sz w:val="22"/>
          <w:szCs w:val="22"/>
          <w:b w:val="1"/>
          <w:bCs w:val="1"/>
          <w:color w:val="auto"/>
        </w:rPr>
        <w:t xml:space="preserve">(Unaudited) </w:t>
      </w:r>
      <w:r>
        <w:rPr>
          <w:rFonts w:ascii="Arial" w:cs="Arial" w:eastAsia="Arial" w:hAnsi="Arial"/>
          <w:sz w:val="11"/>
          <w:szCs w:val="11"/>
          <w:b w:val="1"/>
          <w:bCs w:val="1"/>
          <w:color w:val="auto"/>
        </w:rPr>
        <w:t>(1) (2)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 except per subscriber data)</w:t>
            </w: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gridSpan w:val="2"/>
            <w:vMerge w:val="continue"/>
          </w:tcPr>
          <w:p>
            <w:pPr>
              <w:spacing w:after="0"/>
              <w:rPr>
                <w:sz w:val="12"/>
                <w:szCs w:val="12"/>
                <w:color w:val="auto"/>
              </w:rPr>
            </w:pPr>
          </w:p>
        </w:tc>
        <w:tc>
          <w:tcPr>
            <w:tcW w:w="880" w:type="dxa"/>
            <w:vAlign w:val="bottom"/>
            <w:gridSpan w:val="2"/>
          </w:tcPr>
          <w:p>
            <w:pPr>
              <w:jc w:val="right"/>
              <w:ind w:right="66"/>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line="217" w:lineRule="exact"/>
              <w:rPr>
                <w:sz w:val="20"/>
                <w:szCs w:val="20"/>
                <w:color w:val="auto"/>
              </w:rPr>
            </w:pPr>
            <w:r>
              <w:rPr>
                <w:rFonts w:ascii="Arial" w:cs="Arial" w:eastAsia="Arial" w:hAnsi="Arial"/>
                <w:sz w:val="18"/>
                <w:szCs w:val="18"/>
                <w:color w:val="auto"/>
              </w:rPr>
              <w:t xml:space="preserve">Video </w:t>
            </w:r>
            <w:r>
              <w:rPr>
                <w:rFonts w:ascii="Arial" w:cs="Arial" w:eastAsia="Arial" w:hAnsi="Arial"/>
                <w:sz w:val="22"/>
                <w:szCs w:val="22"/>
                <w:color w:val="auto"/>
                <w:vertAlign w:val="superscript"/>
              </w:rPr>
              <w:t>(3)</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$ 4,726</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$ 4,597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9,432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High-speed Internet</w:t>
            </w:r>
          </w:p>
        </w:tc>
        <w:tc>
          <w:tcPr>
            <w:tcW w:w="1120" w:type="dxa"/>
            <w:vAlign w:val="bottom"/>
            <w:gridSpan w:val="3"/>
            <w:shd w:val="clear" w:color="auto" w:fill="E5E5E5"/>
          </w:tcPr>
          <w:p>
            <w:pPr>
              <w:jc w:val="right"/>
              <w:ind w:right="240"/>
              <w:spacing w:after="0"/>
              <w:rPr>
                <w:sz w:val="20"/>
                <w:szCs w:val="20"/>
                <w:color w:val="auto"/>
              </w:rPr>
            </w:pPr>
            <w:r>
              <w:rPr>
                <w:rFonts w:ascii="Arial" w:cs="Arial" w:eastAsia="Arial" w:hAnsi="Arial"/>
                <w:sz w:val="18"/>
                <w:szCs w:val="18"/>
                <w:color w:val="auto"/>
              </w:rPr>
              <w:t>1,792</w:t>
            </w:r>
          </w:p>
        </w:tc>
        <w:tc>
          <w:tcPr>
            <w:tcW w:w="1000" w:type="dxa"/>
            <w:vAlign w:val="bottom"/>
            <w:gridSpan w:val="3"/>
            <w:shd w:val="clear" w:color="auto" w:fill="E5E5E5"/>
          </w:tcPr>
          <w:p>
            <w:pPr>
              <w:jc w:val="right"/>
              <w:ind w:right="240"/>
              <w:spacing w:after="0"/>
              <w:rPr>
                <w:sz w:val="20"/>
                <w:szCs w:val="20"/>
                <w:color w:val="auto"/>
              </w:rPr>
            </w:pPr>
            <w:r>
              <w:rPr>
                <w:rFonts w:ascii="Arial" w:cs="Arial" w:eastAsia="Arial" w:hAnsi="Arial"/>
                <w:sz w:val="18"/>
                <w:szCs w:val="18"/>
                <w:color w:val="auto"/>
              </w:rPr>
              <w:t>1,632</w:t>
            </w:r>
          </w:p>
        </w:tc>
        <w:tc>
          <w:tcPr>
            <w:tcW w:w="2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3,542</w:t>
            </w:r>
          </w:p>
        </w:tc>
        <w:tc>
          <w:tcPr>
            <w:tcW w:w="2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Phone</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640</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Advertising</w:t>
            </w:r>
          </w:p>
        </w:tc>
        <w:tc>
          <w:tcPr>
            <w:tcW w:w="1120" w:type="dxa"/>
            <w:vAlign w:val="bottom"/>
            <w:gridSpan w:val="3"/>
            <w:shd w:val="clear" w:color="auto" w:fill="E5E5E5"/>
          </w:tcPr>
          <w:p>
            <w:pPr>
              <w:jc w:val="right"/>
              <w:ind w:right="240"/>
              <w:spacing w:after="0"/>
              <w:rPr>
                <w:sz w:val="20"/>
                <w:szCs w:val="20"/>
                <w:color w:val="auto"/>
              </w:rPr>
            </w:pPr>
            <w:r>
              <w:rPr>
                <w:rFonts w:ascii="Arial" w:cs="Arial" w:eastAsia="Arial" w:hAnsi="Arial"/>
                <w:sz w:val="18"/>
                <w:szCs w:val="18"/>
                <w:color w:val="auto"/>
              </w:rPr>
              <w:t>399</w:t>
            </w:r>
          </w:p>
        </w:tc>
        <w:tc>
          <w:tcPr>
            <w:tcW w:w="1000" w:type="dxa"/>
            <w:vAlign w:val="bottom"/>
            <w:gridSpan w:val="3"/>
            <w:shd w:val="clear" w:color="auto" w:fill="E5E5E5"/>
          </w:tcPr>
          <w:p>
            <w:pPr>
              <w:jc w:val="right"/>
              <w:ind w:right="240"/>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743</w:t>
            </w:r>
          </w:p>
        </w:tc>
        <w:tc>
          <w:tcPr>
            <w:tcW w:w="2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(4)</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316</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Franchise fees</w:t>
            </w:r>
          </w:p>
        </w:tc>
        <w:tc>
          <w:tcPr>
            <w:tcW w:w="340" w:type="dxa"/>
            <w:vAlign w:val="bottom"/>
            <w:shd w:val="clear" w:color="auto" w:fill="E5E5E5"/>
          </w:tcPr>
          <w:p>
            <w:pPr>
              <w:spacing w:after="0"/>
              <w:rPr>
                <w:sz w:val="18"/>
                <w:szCs w:val="18"/>
                <w:color w:val="auto"/>
              </w:rPr>
            </w:pPr>
          </w:p>
        </w:tc>
        <w:tc>
          <w:tcPr>
            <w:tcW w:w="7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227</w:t>
            </w:r>
          </w:p>
        </w:tc>
        <w:tc>
          <w:tcPr>
            <w:tcW w:w="1000" w:type="dxa"/>
            <w:vAlign w:val="bottom"/>
            <w:gridSpan w:val="3"/>
            <w:shd w:val="clear" w:color="auto" w:fill="E5E5E5"/>
          </w:tcPr>
          <w:p>
            <w:pPr>
              <w:jc w:val="right"/>
              <w:ind w:right="240"/>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Total Revenues *</w:t>
            </w: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gridSpan w:val="2"/>
            <w:vMerge w:val="continue"/>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$ 8,100</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$ 7,557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16,016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14,769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120" w:type="dxa"/>
            <w:vAlign w:val="bottom"/>
            <w:gridSpan w:val="3"/>
            <w:shd w:val="clear" w:color="auto" w:fill="E5E5E5"/>
          </w:tcPr>
          <w:p>
            <w:pPr>
              <w:jc w:val="right"/>
              <w:ind w:right="240"/>
              <w:spacing w:after="0"/>
              <w:rPr>
                <w:sz w:val="20"/>
                <w:szCs w:val="20"/>
                <w:color w:val="auto"/>
              </w:rPr>
            </w:pPr>
            <w:r>
              <w:rPr>
                <w:rFonts w:ascii="Arial" w:cs="Arial" w:eastAsia="Arial" w:hAnsi="Arial"/>
                <w:sz w:val="18"/>
                <w:szCs w:val="18"/>
                <w:color w:val="auto"/>
              </w:rPr>
              <w:t>$ 3,362</w:t>
            </w:r>
          </w:p>
        </w:tc>
        <w:tc>
          <w:tcPr>
            <w:tcW w:w="1000" w:type="dxa"/>
            <w:vAlign w:val="bottom"/>
            <w:gridSpan w:val="3"/>
            <w:shd w:val="clear" w:color="auto" w:fill="E5E5E5"/>
          </w:tcPr>
          <w:p>
            <w:pPr>
              <w:jc w:val="right"/>
              <w:ind w:right="240"/>
              <w:spacing w:after="0"/>
              <w:rPr>
                <w:sz w:val="20"/>
                <w:szCs w:val="20"/>
                <w:color w:val="auto"/>
              </w:rPr>
            </w:pPr>
            <w:r>
              <w:rPr>
                <w:rFonts w:ascii="Arial" w:cs="Arial" w:eastAsia="Arial" w:hAnsi="Arial"/>
                <w:sz w:val="18"/>
                <w:szCs w:val="18"/>
                <w:color w:val="auto"/>
              </w:rPr>
              <w:t>$ 3,124</w:t>
            </w:r>
          </w:p>
        </w:tc>
        <w:tc>
          <w:tcPr>
            <w:tcW w:w="3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6,504</w:t>
            </w:r>
          </w:p>
        </w:tc>
        <w:tc>
          <w:tcPr>
            <w:tcW w:w="3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$ 1,825</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$ 1,614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3,419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1120" w:type="dxa"/>
            <w:vAlign w:val="bottom"/>
            <w:gridSpan w:val="3"/>
            <w:shd w:val="clear" w:color="auto" w:fill="E5E5E5"/>
          </w:tcPr>
          <w:p>
            <w:pPr>
              <w:jc w:val="right"/>
              <w:ind w:right="240"/>
              <w:spacing w:after="0"/>
              <w:rPr>
                <w:sz w:val="20"/>
                <w:szCs w:val="20"/>
                <w:color w:val="auto"/>
              </w:rPr>
            </w:pPr>
            <w:r>
              <w:rPr>
                <w:rFonts w:ascii="Arial" w:cs="Arial" w:eastAsia="Arial" w:hAnsi="Arial"/>
                <w:sz w:val="18"/>
                <w:szCs w:val="18"/>
                <w:color w:val="auto"/>
              </w:rPr>
              <w:t>41.5%</w:t>
            </w:r>
          </w:p>
        </w:tc>
        <w:tc>
          <w:tcPr>
            <w:tcW w:w="1000" w:type="dxa"/>
            <w:vAlign w:val="bottom"/>
            <w:gridSpan w:val="3"/>
            <w:shd w:val="clear" w:color="auto" w:fill="E5E5E5"/>
          </w:tcPr>
          <w:p>
            <w:pPr>
              <w:jc w:val="right"/>
              <w:ind w:right="240"/>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w w:val="93"/>
              </w:rPr>
              <w:t>40.6%</w:t>
            </w:r>
          </w:p>
        </w:tc>
        <w:tc>
          <w:tcPr>
            <w:tcW w:w="2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Capital Expenditures</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$ 1,254</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$ 1,615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2,609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0" w:hanging="212"/>
        <w:spacing w:after="0" w:line="268"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Revenues include revenue from Business Services of $131 million in 2Q08 and $95 million in 2Q07, and $251 million in YTD 2008 and $182 million in YTD 2007.</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3"/>
              </w:rPr>
              <w:t>2Q08</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3"/>
              </w:rPr>
              <w:t>1Q08</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9"/>
              </w:rPr>
              <w:t>2Q07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Video</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Homes Passed (000’s)</w:t>
            </w:r>
          </w:p>
        </w:tc>
        <w:tc>
          <w:tcPr>
            <w:tcW w:w="44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50,096</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49,902</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49,232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Basic Subscribers (000’s)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24,553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24,691</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24,904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Basic Penetration</w:t>
            </w:r>
          </w:p>
        </w:tc>
        <w:tc>
          <w:tcPr>
            <w:tcW w:w="44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90"/>
              </w:rPr>
              <w:t>49.0%</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90"/>
              </w:rPr>
              <w:t>49.5%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3"/>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Quarterly Net Basic Subscriber Additions (000’s)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(57)</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22"/>
        </w:trPr>
        <w:tc>
          <w:tcPr>
            <w:tcW w:w="6180" w:type="dxa"/>
            <w:vAlign w:val="bottom"/>
            <w:gridSpan w:val="2"/>
          </w:tcPr>
          <w:p>
            <w:pPr>
              <w:spacing w:after="0"/>
              <w:rPr>
                <w:sz w:val="20"/>
                <w:szCs w:val="20"/>
                <w:color w:val="auto"/>
              </w:rPr>
            </w:pPr>
            <w:r>
              <w:rPr>
                <w:rFonts w:ascii="Arial" w:cs="Arial" w:eastAsia="Arial" w:hAnsi="Arial"/>
                <w:sz w:val="18"/>
                <w:szCs w:val="18"/>
                <w:color w:val="auto"/>
              </w:rPr>
              <w:t>Digital Subscribers (000’s)</w:t>
            </w:r>
          </w:p>
        </w:tc>
        <w:tc>
          <w:tcPr>
            <w:tcW w:w="440" w:type="dxa"/>
            <w:vAlign w:val="bottom"/>
          </w:tcPr>
          <w:p>
            <w:pPr>
              <w:spacing w:after="0"/>
              <w:rPr>
                <w:sz w:val="24"/>
                <w:szCs w:val="24"/>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16,335</w:t>
            </w:r>
          </w:p>
        </w:tc>
        <w:tc>
          <w:tcPr>
            <w:tcW w:w="260" w:type="dxa"/>
            <w:vAlign w:val="bottom"/>
          </w:tcPr>
          <w:p>
            <w:pPr>
              <w:spacing w:after="0"/>
              <w:rPr>
                <w:sz w:val="24"/>
                <w:szCs w:val="24"/>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16,015</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14,489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Digital Penetration</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0"/>
              </w:rPr>
              <w:t>66.5%</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0"/>
              </w:rPr>
              <w:t>64.9%</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Quarterly Net Digital Subscriber Additions (000’s)</w:t>
            </w:r>
          </w:p>
        </w:tc>
        <w:tc>
          <w:tcPr>
            <w:tcW w:w="44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494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Digital Set-Top Boxes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26,345</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25,856</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23,185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Monthly Average Video Revenue per Basic Subscriber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63.98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63.46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High-Speed Internet</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“Available” Homes (000’s)</w:t>
            </w:r>
          </w:p>
        </w:tc>
        <w:tc>
          <w:tcPr>
            <w:tcW w:w="44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49,548</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49,548</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48,767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Subscribers (000’s)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14,357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14,078</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Penetration of “Available” Homes</w:t>
            </w:r>
          </w:p>
        </w:tc>
        <w:tc>
          <w:tcPr>
            <w:tcW w:w="44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90"/>
              </w:rPr>
              <w:t>28.9%</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90"/>
              </w:rPr>
              <w:t>28.4%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3"/>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Quarterly Net Subscriber Additions (000’s)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Monthly Average Revenue per Subscriber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42.01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42.18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Phone</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Comcast Digital Voice</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“Available” Homes (000’s)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45,143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44,082</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38,873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Subscribers (000’s)</w:t>
            </w:r>
          </w:p>
        </w:tc>
        <w:tc>
          <w:tcPr>
            <w:tcW w:w="44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5,643</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5,088</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Penetration of “Available” Homes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0"/>
              </w:rPr>
              <w:t>12.5%</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0"/>
              </w:rPr>
              <w:t>11.5%</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44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Monthly Average Revenue per Subscriber</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39.48</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40.24</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Circuit Switched Phone</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“Available” Homes (000’s)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5,029</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Subscribers (000’s)</w:t>
            </w:r>
          </w:p>
        </w:tc>
        <w:tc>
          <w:tcPr>
            <w:tcW w:w="44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Penetration of “Available” Homes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0.5%</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1.3%</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44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Monthly Average Revenue per Subscriber</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36.64</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40.61</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324"/>
        </w:trPr>
        <w:tc>
          <w:tcPr>
            <w:tcW w:w="6180" w:type="dxa"/>
            <w:vAlign w:val="bottom"/>
            <w:gridSpan w:val="2"/>
          </w:tcPr>
          <w:p>
            <w:pPr>
              <w:spacing w:after="0"/>
              <w:rPr>
                <w:sz w:val="20"/>
                <w:szCs w:val="20"/>
                <w:color w:val="auto"/>
              </w:rPr>
            </w:pPr>
            <w:r>
              <w:rPr>
                <w:rFonts w:ascii="Arial" w:cs="Arial" w:eastAsia="Arial" w:hAnsi="Arial"/>
                <w:sz w:val="18"/>
                <w:szCs w:val="18"/>
                <w:color w:val="auto"/>
              </w:rPr>
              <w:t xml:space="preserve">Total Revenue Generating Units (000’s) </w:t>
            </w:r>
            <w:r>
              <w:rPr>
                <w:rFonts w:ascii="Arial" w:cs="Arial" w:eastAsia="Arial" w:hAnsi="Arial"/>
                <w:sz w:val="22"/>
                <w:szCs w:val="22"/>
                <w:color w:val="auto"/>
                <w:vertAlign w:val="superscript"/>
              </w:rPr>
              <w:t>(5)</w:t>
            </w:r>
          </w:p>
        </w:tc>
        <w:tc>
          <w:tcPr>
            <w:tcW w:w="440" w:type="dxa"/>
            <w:vAlign w:val="bottom"/>
          </w:tcPr>
          <w:p>
            <w:pPr>
              <w:spacing w:after="0"/>
              <w:rPr>
                <w:sz w:val="24"/>
                <w:szCs w:val="24"/>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60,899</w:t>
            </w:r>
          </w:p>
        </w:tc>
        <w:tc>
          <w:tcPr>
            <w:tcW w:w="260" w:type="dxa"/>
            <w:vAlign w:val="bottom"/>
          </w:tcPr>
          <w:p>
            <w:pPr>
              <w:spacing w:after="0"/>
              <w:rPr>
                <w:sz w:val="24"/>
                <w:szCs w:val="24"/>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w w:val="83"/>
              </w:rPr>
              <w:t>59,939</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55,756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Total Quarterly Net Additions (000’s)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960</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1,458</w:t>
            </w:r>
          </w:p>
        </w:tc>
        <w:tc>
          <w:tcPr>
            <w:tcW w:w="2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5E5E5"/>
          </w:tcPr>
          <w:p>
            <w:pPr>
              <w:spacing w:after="0"/>
              <w:rPr>
                <w:sz w:val="20"/>
                <w:szCs w:val="20"/>
                <w:color w:val="auto"/>
              </w:rPr>
            </w:pPr>
            <w:r>
              <w:rPr>
                <w:rFonts w:ascii="Arial" w:cs="Arial" w:eastAsia="Arial" w:hAnsi="Arial"/>
                <w:sz w:val="18"/>
                <w:szCs w:val="18"/>
                <w:color w:val="auto"/>
              </w:rPr>
              <w:t>Total Monthly Average Revenue per Basic Subscriber</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109.66</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83"/>
              </w:rPr>
              <w:t>106.74</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100.94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All percentages are calculated based on actual amounts. Minor differences may exist due to rounding.</w:t>
      </w:r>
    </w:p>
    <w:p>
      <w:pPr>
        <w:spacing w:after="0" w:line="50"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 forma financial data includes the results of Comcast SportsNet Bay Area and Comcast SportsNet New England acquired on June 30, 2007, the cable system acquired from Patriot Media Holdings, LLC on August 31, 2007, and the cable systems resulting from the dissolution of the Insight Midwest Partnership on January 1, 2008. Pro forma results are presented as if the acquisitions and dispositions were effective on January 1, 2007. The net impact of these transactions was an increase of 765,000 basic cable subscribers.</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Video revenues consist of our basic, expanded basic, digital, premium, pay-per-view and equipment services.</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revenues include regional sports programming networks, residential video installation revenues, guide revenues, commissions from electronic retailing, other product offerings and revenues of our digital media center.</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sum of basic and digital video, high-speed Internet and net phone subscribers, excluding additional outlets. Subscriptions to DVR and/or HDTV services do not result in additional RGUs.</w:t>
      </w:r>
    </w:p>
    <w:p>
      <w:pPr>
        <w:sectPr>
          <w:pgSz w:w="11900" w:h="16865" w:orient="portrait"/>
          <w:cols w:equalWidth="0" w:num="1">
            <w:col w:w="11420"/>
          </w:cols>
          <w:pgMar w:left="240" w:top="971" w:right="239" w:bottom="0" w:gutter="0" w:footer="0" w:header="0"/>
        </w:sectPr>
      </w:pPr>
    </w:p>
    <w:bookmarkStart w:id="13" w:name="page14"/>
    <w:bookmarkEnd w:id="13"/>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29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and Other Financial Measures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financial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in the United States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Free Cash Flow, which is a non-GAAP financial measure,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14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Non-GAAP financial measures should not be considered as substitutes for operating income (loss), net income (loss), net cash provided by operating activities or other measures of performance or liquidity reported in accordance with GAAP. Additionally, in the opinion of management, our pro forma data is not necessarily indicative of future results or what results would have been had the acquired businesses been operated by us after the assumed earlier date.</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provide reconciliations of Consolidated Operating Cash Flow in Table 1, Free Cash Flow and Unlevered Free Cash Flow in Table 4, Pro Forma in Table 7-A and Adjusted Data in Table 7-B.</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7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Reconciliation of GAAP to Pro Forma </w:t>
      </w:r>
      <w:r>
        <w:rPr>
          <w:rFonts w:ascii="Arial" w:cs="Arial" w:eastAsia="Arial" w:hAnsi="Arial"/>
          <w:sz w:val="11"/>
          <w:szCs w:val="11"/>
          <w:b w:val="1"/>
          <w:bCs w:val="1"/>
          <w:color w:val="auto"/>
        </w:rPr>
        <w:t>(1)</w:t>
      </w:r>
      <w:r>
        <w:rPr>
          <w:rFonts w:ascii="Arial" w:cs="Arial" w:eastAsia="Arial" w:hAnsi="Arial"/>
          <w:sz w:val="22"/>
          <w:szCs w:val="22"/>
          <w:b w:val="1"/>
          <w:bCs w:val="1"/>
          <w:color w:val="auto"/>
        </w:rPr>
        <w:t xml:space="preserve"> Financial Data by Business Segment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GAAP</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Cable</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Corporate,</w:t>
            </w:r>
          </w:p>
        </w:tc>
        <w:tc>
          <w:tcPr>
            <w:tcW w:w="1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w w:val="99"/>
              </w:rPr>
              <w:t>Pro Forma</w:t>
            </w:r>
          </w:p>
        </w:tc>
        <w:tc>
          <w:tcPr>
            <w:tcW w:w="2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7"/>
              </w:rPr>
              <w:t>Pro Forma</w:t>
            </w:r>
          </w:p>
        </w:tc>
        <w:tc>
          <w:tcPr>
            <w:tcW w:w="200" w:type="dxa"/>
            <w:vAlign w:val="bottom"/>
          </w:tcPr>
          <w:p>
            <w:pPr>
              <w:spacing w:after="0"/>
              <w:rPr>
                <w:sz w:val="11"/>
                <w:szCs w:val="11"/>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Other and</w:t>
            </w:r>
          </w:p>
        </w:tc>
        <w:tc>
          <w:tcPr>
            <w:tcW w:w="1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tcPr>
          <w:p>
            <w:pPr>
              <w:jc w:val="right"/>
              <w:ind w:right="352"/>
              <w:spacing w:after="0" w:line="135" w:lineRule="exact"/>
              <w:rPr>
                <w:sz w:val="20"/>
                <w:szCs w:val="20"/>
                <w:color w:val="auto"/>
              </w:rPr>
            </w:pPr>
            <w:r>
              <w:rPr>
                <w:rFonts w:ascii="Arial" w:cs="Arial" w:eastAsia="Arial" w:hAnsi="Arial"/>
                <w:sz w:val="14"/>
                <w:szCs w:val="14"/>
                <w:b w:val="1"/>
                <w:bCs w:val="1"/>
                <w:color w:val="auto"/>
              </w:rPr>
              <w:t>Pro</w:t>
            </w:r>
          </w:p>
        </w:tc>
        <w:tc>
          <w:tcPr>
            <w:tcW w:w="3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8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7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Cable</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Programming</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Eliminations</w:t>
            </w:r>
          </w:p>
        </w:tc>
        <w:tc>
          <w:tcPr>
            <w:tcW w:w="180" w:type="dxa"/>
            <w:vAlign w:val="bottom"/>
          </w:tcPr>
          <w:p>
            <w:pPr>
              <w:spacing w:after="0"/>
              <w:rPr>
                <w:sz w:val="15"/>
                <w:szCs w:val="15"/>
                <w:color w:val="auto"/>
              </w:rPr>
            </w:pPr>
          </w:p>
        </w:tc>
        <w:tc>
          <w:tcPr>
            <w:tcW w:w="52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83"/>
              </w:rPr>
              <w:t>Total</w:t>
            </w:r>
          </w:p>
        </w:tc>
        <w:tc>
          <w:tcPr>
            <w:tcW w:w="1400" w:type="dxa"/>
            <w:vAlign w:val="bottom"/>
            <w:gridSpan w:val="2"/>
          </w:tcPr>
          <w:p>
            <w:pPr>
              <w:ind w:left="180"/>
              <w:spacing w:after="0" w:line="176" w:lineRule="exact"/>
              <w:rPr>
                <w:sz w:val="20"/>
                <w:szCs w:val="20"/>
                <w:color w:val="auto"/>
              </w:rPr>
            </w:pPr>
            <w:r>
              <w:rPr>
                <w:rFonts w:ascii="Arial" w:cs="Arial" w:eastAsia="Arial" w:hAnsi="Arial"/>
                <w:sz w:val="13"/>
                <w:szCs w:val="13"/>
                <w:b w:val="1"/>
                <w:bCs w:val="1"/>
                <w:color w:val="auto"/>
              </w:rPr>
              <w:t xml:space="preserve">Adjustments </w:t>
            </w:r>
            <w:r>
              <w:rPr>
                <w:rFonts w:ascii="Arial" w:cs="Arial" w:eastAsia="Arial" w:hAnsi="Arial"/>
                <w:sz w:val="20"/>
                <w:szCs w:val="20"/>
                <w:b w:val="1"/>
                <w:bCs w:val="1"/>
                <w:color w:val="auto"/>
                <w:vertAlign w:val="superscript"/>
              </w:rPr>
              <w:t>(1) (2)</w:t>
            </w:r>
          </w:p>
        </w:tc>
        <w:tc>
          <w:tcPr>
            <w:tcW w:w="96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Forma Cable</w:t>
            </w:r>
          </w:p>
        </w:tc>
        <w:tc>
          <w:tcPr>
            <w:tcW w:w="1360" w:type="dxa"/>
            <w:vAlign w:val="bottom"/>
            <w:gridSpan w:val="2"/>
          </w:tcPr>
          <w:p>
            <w:pPr>
              <w:ind w:left="200"/>
              <w:spacing w:after="0" w:line="176" w:lineRule="exact"/>
              <w:rPr>
                <w:sz w:val="20"/>
                <w:szCs w:val="20"/>
                <w:color w:val="auto"/>
              </w:rPr>
            </w:pPr>
            <w:r>
              <w:rPr>
                <w:rFonts w:ascii="Arial" w:cs="Arial" w:eastAsia="Arial" w:hAnsi="Arial"/>
                <w:sz w:val="13"/>
                <w:szCs w:val="13"/>
                <w:b w:val="1"/>
                <w:bCs w:val="1"/>
                <w:color w:val="auto"/>
                <w:w w:val="96"/>
              </w:rPr>
              <w:t xml:space="preserve">Adjustments </w:t>
            </w:r>
            <w:r>
              <w:rPr>
                <w:rFonts w:ascii="Arial" w:cs="Arial" w:eastAsia="Arial" w:hAnsi="Arial"/>
                <w:sz w:val="20"/>
                <w:szCs w:val="20"/>
                <w:b w:val="1"/>
                <w:bCs w:val="1"/>
                <w:color w:val="auto"/>
                <w:w w:val="96"/>
                <w:vertAlign w:val="superscript"/>
              </w:rPr>
              <w:t>(1) (2)</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Borders>
              <w:top w:val="single" w:sz="8" w:color="auto"/>
              <w:bottom w:val="single" w:sz="8" w:color="auto"/>
            </w:tcBorders>
            <w:gridSpan w:val="2"/>
            <w:shd w:val="clear" w:color="auto" w:fill="E5E5E5"/>
          </w:tcPr>
          <w:p>
            <w:pPr>
              <w:spacing w:after="0" w:line="129" w:lineRule="exact"/>
              <w:rPr>
                <w:sz w:val="20"/>
                <w:szCs w:val="20"/>
                <w:color w:val="auto"/>
              </w:rPr>
            </w:pPr>
            <w:r>
              <w:rPr>
                <w:rFonts w:ascii="Arial" w:cs="Arial" w:eastAsia="Arial" w:hAnsi="Arial"/>
                <w:sz w:val="14"/>
                <w:szCs w:val="14"/>
                <w:b w:val="1"/>
                <w:bCs w:val="1"/>
                <w:color w:val="auto"/>
                <w:w w:val="86"/>
              </w:rPr>
              <w:t>Three Months Ended June 30, 2008</w:t>
            </w:r>
          </w:p>
        </w:tc>
        <w:tc>
          <w:tcPr>
            <w:tcW w:w="1520" w:type="dxa"/>
            <w:vAlign w:val="bottom"/>
            <w:tcBorders>
              <w:top w:val="single" w:sz="8" w:color="auto"/>
              <w:bottom w:val="single" w:sz="8" w:color="E5E5E5"/>
            </w:tcBorders>
            <w:shd w:val="clear" w:color="auto" w:fill="E5E5E5"/>
          </w:tcPr>
          <w:p>
            <w:pPr>
              <w:spacing w:after="0"/>
              <w:rPr>
                <w:sz w:val="11"/>
                <w:szCs w:val="11"/>
                <w:color w:val="auto"/>
              </w:rPr>
            </w:pPr>
          </w:p>
        </w:tc>
        <w:tc>
          <w:tcPr>
            <w:tcW w:w="260" w:type="dxa"/>
            <w:vAlign w:val="bottom"/>
            <w:tcBorders>
              <w:top w:val="single" w:sz="8" w:color="auto"/>
              <w:bottom w:val="single" w:sz="8" w:color="E5E5E5"/>
            </w:tcBorders>
            <w:shd w:val="clear" w:color="auto" w:fill="E5E5E5"/>
          </w:tcPr>
          <w:p>
            <w:pPr>
              <w:spacing w:after="0"/>
              <w:rPr>
                <w:sz w:val="11"/>
                <w:szCs w:val="11"/>
                <w:color w:val="auto"/>
              </w:rPr>
            </w:pPr>
          </w:p>
        </w:tc>
        <w:tc>
          <w:tcPr>
            <w:tcW w:w="460" w:type="dxa"/>
            <w:vAlign w:val="bottom"/>
            <w:tcBorders>
              <w:top w:val="single" w:sz="8" w:color="auto"/>
              <w:bottom w:val="single" w:sz="8" w:color="E5E5E5"/>
            </w:tcBorders>
            <w:shd w:val="clear" w:color="auto" w:fill="E5E5E5"/>
          </w:tcPr>
          <w:p>
            <w:pPr>
              <w:spacing w:after="0"/>
              <w:rPr>
                <w:sz w:val="11"/>
                <w:szCs w:val="11"/>
                <w:color w:val="auto"/>
              </w:rPr>
            </w:pPr>
          </w:p>
        </w:tc>
        <w:tc>
          <w:tcPr>
            <w:tcW w:w="440" w:type="dxa"/>
            <w:vAlign w:val="bottom"/>
            <w:tcBorders>
              <w:top w:val="single" w:sz="8" w:color="auto"/>
              <w:bottom w:val="single" w:sz="8" w:color="E5E5E5"/>
            </w:tcBorders>
            <w:shd w:val="clear" w:color="auto" w:fill="E5E5E5"/>
          </w:tcPr>
          <w:p>
            <w:pPr>
              <w:spacing w:after="0"/>
              <w:rPr>
                <w:sz w:val="11"/>
                <w:szCs w:val="11"/>
                <w:color w:val="auto"/>
              </w:rPr>
            </w:pPr>
          </w:p>
        </w:tc>
        <w:tc>
          <w:tcPr>
            <w:tcW w:w="560" w:type="dxa"/>
            <w:vAlign w:val="bottom"/>
            <w:tcBorders>
              <w:top w:val="single" w:sz="8" w:color="auto"/>
              <w:bottom w:val="single" w:sz="8" w:color="E5E5E5"/>
            </w:tcBorders>
            <w:shd w:val="clear" w:color="auto" w:fill="E5E5E5"/>
          </w:tcPr>
          <w:p>
            <w:pPr>
              <w:spacing w:after="0"/>
              <w:rPr>
                <w:sz w:val="11"/>
                <w:szCs w:val="11"/>
                <w:color w:val="auto"/>
              </w:rPr>
            </w:pPr>
          </w:p>
        </w:tc>
        <w:tc>
          <w:tcPr>
            <w:tcW w:w="420" w:type="dxa"/>
            <w:vAlign w:val="bottom"/>
            <w:tcBorders>
              <w:top w:val="single" w:sz="8" w:color="auto"/>
              <w:bottom w:val="single" w:sz="8" w:color="E5E5E5"/>
            </w:tcBorders>
            <w:shd w:val="clear" w:color="auto" w:fill="E5E5E5"/>
          </w:tcPr>
          <w:p>
            <w:pPr>
              <w:spacing w:after="0"/>
              <w:rPr>
                <w:sz w:val="11"/>
                <w:szCs w:val="11"/>
                <w:color w:val="auto"/>
              </w:rPr>
            </w:pPr>
          </w:p>
        </w:tc>
        <w:tc>
          <w:tcPr>
            <w:tcW w:w="560" w:type="dxa"/>
            <w:vAlign w:val="bottom"/>
            <w:tcBorders>
              <w:top w:val="single" w:sz="8" w:color="auto"/>
              <w:bottom w:val="single" w:sz="8" w:color="E5E5E5"/>
            </w:tcBorders>
            <w:shd w:val="clear" w:color="auto" w:fill="E5E5E5"/>
          </w:tcPr>
          <w:p>
            <w:pPr>
              <w:spacing w:after="0"/>
              <w:rPr>
                <w:sz w:val="11"/>
                <w:szCs w:val="11"/>
                <w:color w:val="auto"/>
              </w:rPr>
            </w:pPr>
          </w:p>
        </w:tc>
        <w:tc>
          <w:tcPr>
            <w:tcW w:w="180" w:type="dxa"/>
            <w:vAlign w:val="bottom"/>
            <w:tcBorders>
              <w:top w:val="single" w:sz="8" w:color="auto"/>
              <w:bottom w:val="single" w:sz="8" w:color="E5E5E5"/>
            </w:tcBorders>
            <w:shd w:val="clear" w:color="auto" w:fill="E5E5E5"/>
          </w:tcPr>
          <w:p>
            <w:pPr>
              <w:spacing w:after="0"/>
              <w:rPr>
                <w:sz w:val="11"/>
                <w:szCs w:val="11"/>
                <w:color w:val="auto"/>
              </w:rPr>
            </w:pPr>
          </w:p>
        </w:tc>
        <w:tc>
          <w:tcPr>
            <w:tcW w:w="520" w:type="dxa"/>
            <w:vAlign w:val="bottom"/>
            <w:tcBorders>
              <w:top w:val="single" w:sz="8" w:color="auto"/>
              <w:bottom w:val="single" w:sz="8" w:color="E5E5E5"/>
              <w:right w:val="single" w:sz="8" w:color="auto"/>
            </w:tcBorders>
            <w:shd w:val="clear" w:color="auto" w:fill="E5E5E5"/>
          </w:tcPr>
          <w:p>
            <w:pPr>
              <w:spacing w:after="0"/>
              <w:rPr>
                <w:sz w:val="11"/>
                <w:szCs w:val="11"/>
                <w:color w:val="auto"/>
              </w:rPr>
            </w:pPr>
          </w:p>
        </w:tc>
        <w:tc>
          <w:tcPr>
            <w:tcW w:w="320" w:type="dxa"/>
            <w:vAlign w:val="bottom"/>
            <w:tcBorders>
              <w:top w:val="single" w:sz="8" w:color="auto"/>
              <w:bottom w:val="single" w:sz="8" w:color="E5E5E5"/>
            </w:tcBorders>
            <w:shd w:val="clear" w:color="auto" w:fill="E5E5E5"/>
          </w:tcPr>
          <w:p>
            <w:pPr>
              <w:spacing w:after="0"/>
              <w:rPr>
                <w:sz w:val="11"/>
                <w:szCs w:val="11"/>
                <w:color w:val="auto"/>
              </w:rPr>
            </w:pPr>
          </w:p>
        </w:tc>
        <w:tc>
          <w:tcPr>
            <w:tcW w:w="1080" w:type="dxa"/>
            <w:vAlign w:val="bottom"/>
            <w:tcBorders>
              <w:top w:val="single" w:sz="8" w:color="auto"/>
              <w:bottom w:val="single" w:sz="8" w:color="E5E5E5"/>
            </w:tcBorders>
            <w:shd w:val="clear" w:color="auto" w:fill="E5E5E5"/>
          </w:tcPr>
          <w:p>
            <w:pPr>
              <w:spacing w:after="0"/>
              <w:rPr>
                <w:sz w:val="11"/>
                <w:szCs w:val="11"/>
                <w:color w:val="auto"/>
              </w:rPr>
            </w:pPr>
          </w:p>
        </w:tc>
        <w:tc>
          <w:tcPr>
            <w:tcW w:w="220" w:type="dxa"/>
            <w:vAlign w:val="bottom"/>
            <w:tcBorders>
              <w:top w:val="single" w:sz="8" w:color="auto"/>
              <w:bottom w:val="single" w:sz="8" w:color="E5E5E5"/>
            </w:tcBorders>
            <w:shd w:val="clear" w:color="auto" w:fill="E5E5E5"/>
          </w:tcPr>
          <w:p>
            <w:pPr>
              <w:spacing w:after="0"/>
              <w:rPr>
                <w:sz w:val="11"/>
                <w:szCs w:val="11"/>
                <w:color w:val="auto"/>
              </w:rPr>
            </w:pPr>
          </w:p>
        </w:tc>
        <w:tc>
          <w:tcPr>
            <w:tcW w:w="740" w:type="dxa"/>
            <w:vAlign w:val="bottom"/>
            <w:tcBorders>
              <w:top w:val="single" w:sz="8" w:color="auto"/>
              <w:bottom w:val="single" w:sz="8" w:color="E5E5E5"/>
              <w:right w:val="single" w:sz="8" w:color="auto"/>
            </w:tcBorders>
            <w:shd w:val="clear" w:color="auto" w:fill="E5E5E5"/>
          </w:tcPr>
          <w:p>
            <w:pPr>
              <w:spacing w:after="0"/>
              <w:rPr>
                <w:sz w:val="11"/>
                <w:szCs w:val="11"/>
                <w:color w:val="auto"/>
              </w:rPr>
            </w:pPr>
          </w:p>
        </w:tc>
        <w:tc>
          <w:tcPr>
            <w:tcW w:w="340" w:type="dxa"/>
            <w:vAlign w:val="bottom"/>
            <w:tcBorders>
              <w:top w:val="single" w:sz="8" w:color="auto"/>
              <w:bottom w:val="single" w:sz="8" w:color="E5E5E5"/>
            </w:tcBorders>
            <w:shd w:val="clear" w:color="auto" w:fill="E5E5E5"/>
          </w:tcPr>
          <w:p>
            <w:pPr>
              <w:spacing w:after="0"/>
              <w:rPr>
                <w:sz w:val="11"/>
                <w:szCs w:val="11"/>
                <w:color w:val="auto"/>
              </w:rPr>
            </w:pPr>
          </w:p>
        </w:tc>
        <w:tc>
          <w:tcPr>
            <w:tcW w:w="1020" w:type="dxa"/>
            <w:vAlign w:val="bottom"/>
            <w:tcBorders>
              <w:top w:val="single" w:sz="8" w:color="auto"/>
              <w:bottom w:val="single" w:sz="8" w:color="E5E5E5"/>
            </w:tcBorders>
            <w:shd w:val="clear" w:color="auto" w:fill="E5E5E5"/>
          </w:tcPr>
          <w:p>
            <w:pPr>
              <w:spacing w:after="0"/>
              <w:rPr>
                <w:sz w:val="11"/>
                <w:szCs w:val="11"/>
                <w:color w:val="auto"/>
              </w:rPr>
            </w:pPr>
          </w:p>
        </w:tc>
        <w:tc>
          <w:tcPr>
            <w:tcW w:w="200" w:type="dxa"/>
            <w:vAlign w:val="bottom"/>
            <w:tcBorders>
              <w:top w:val="single" w:sz="8" w:color="auto"/>
              <w:bottom w:val="single" w:sz="8" w:color="E5E5E5"/>
            </w:tcBorders>
            <w:shd w:val="clear" w:color="auto" w:fill="E5E5E5"/>
          </w:tcPr>
          <w:p>
            <w:pPr>
              <w:spacing w:after="0"/>
              <w:rPr>
                <w:sz w:val="11"/>
                <w:szCs w:val="11"/>
                <w:color w:val="auto"/>
              </w:rPr>
            </w:pPr>
          </w:p>
        </w:tc>
        <w:tc>
          <w:tcPr>
            <w:tcW w:w="520" w:type="dxa"/>
            <w:vAlign w:val="bottom"/>
            <w:tcBorders>
              <w:top w:val="single" w:sz="8" w:color="auto"/>
              <w:bottom w:val="single" w:sz="8" w:color="E5E5E5"/>
            </w:tcBorders>
            <w:shd w:val="clear" w:color="auto" w:fill="E5E5E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2"/>
              <w:spacing w:after="0"/>
              <w:rPr>
                <w:sz w:val="20"/>
                <w:szCs w:val="20"/>
                <w:color w:val="auto"/>
              </w:rPr>
            </w:pPr>
            <w:r>
              <w:rPr>
                <w:rFonts w:ascii="Arial" w:cs="Arial" w:eastAsia="Arial" w:hAnsi="Arial"/>
                <w:sz w:val="14"/>
                <w:szCs w:val="14"/>
                <w:color w:val="auto"/>
                <w:w w:val="96"/>
              </w:rPr>
              <w:t>8,100</w:t>
            </w:r>
          </w:p>
        </w:tc>
        <w:tc>
          <w:tcPr>
            <w:tcW w:w="440" w:type="dxa"/>
            <w:vAlign w:val="bottom"/>
          </w:tcPr>
          <w:p>
            <w:pPr>
              <w:ind w:left="1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366</w:t>
            </w:r>
          </w:p>
        </w:tc>
        <w:tc>
          <w:tcPr>
            <w:tcW w:w="420" w:type="dxa"/>
            <w:vAlign w:val="bottom"/>
          </w:tcPr>
          <w:p>
            <w:pPr>
              <w:ind w:left="1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87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w w:val="96"/>
              </w:rPr>
              <w:t>8,553</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8,100</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8,553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tcBorders>
              <w:bottom w:val="single" w:sz="8" w:color="E5E5E5"/>
            </w:tcBorders>
            <w:gridSpan w:val="3"/>
            <w:shd w:val="clear" w:color="auto" w:fill="E5E5E5"/>
          </w:tcPr>
          <w:p>
            <w:pPr>
              <w:spacing w:after="0" w:line="149" w:lineRule="exact"/>
              <w:rPr>
                <w:sz w:val="20"/>
                <w:szCs w:val="20"/>
                <w:color w:val="auto"/>
              </w:rPr>
            </w:pPr>
            <w:r>
              <w:rPr>
                <w:rFonts w:ascii="Arial" w:cs="Arial" w:eastAsia="Arial" w:hAnsi="Arial"/>
                <w:sz w:val="14"/>
                <w:szCs w:val="14"/>
                <w:color w:val="auto"/>
                <w:w w:val="91"/>
              </w:rPr>
              <w:t>Operating Expenses (excluding depreciation and amortization)</w:t>
            </w:r>
          </w:p>
        </w:tc>
        <w:tc>
          <w:tcPr>
            <w:tcW w:w="260" w:type="dxa"/>
            <w:vAlign w:val="bottom"/>
            <w:tcBorders>
              <w:bottom w:val="single" w:sz="8" w:color="auto"/>
            </w:tcBorders>
            <w:shd w:val="clear" w:color="auto" w:fill="E5E5E5"/>
          </w:tcPr>
          <w:p>
            <w:pPr>
              <w:spacing w:after="0"/>
              <w:rPr>
                <w:sz w:val="12"/>
                <w:szCs w:val="12"/>
                <w:color w:val="auto"/>
              </w:rPr>
            </w:pPr>
          </w:p>
        </w:tc>
        <w:tc>
          <w:tcPr>
            <w:tcW w:w="4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6"/>
              </w:rPr>
              <w:t>4,738</w:t>
            </w:r>
          </w:p>
        </w:tc>
        <w:tc>
          <w:tcPr>
            <w:tcW w:w="44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277</w:t>
            </w:r>
          </w:p>
        </w:tc>
        <w:tc>
          <w:tcPr>
            <w:tcW w:w="4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187</w:t>
            </w:r>
          </w:p>
        </w:tc>
        <w:tc>
          <w:tcPr>
            <w:tcW w:w="18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right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6"/>
              </w:rPr>
              <w:t>5,202</w:t>
            </w:r>
          </w:p>
        </w:tc>
        <w:tc>
          <w:tcPr>
            <w:tcW w:w="32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right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4,738</w:t>
            </w:r>
          </w:p>
        </w:tc>
        <w:tc>
          <w:tcPr>
            <w:tcW w:w="34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5,202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gridSpan w:val="3"/>
          </w:tcPr>
          <w:p>
            <w:pPr>
              <w:spacing w:after="0" w:line="142" w:lineRule="exact"/>
              <w:rPr>
                <w:sz w:val="20"/>
                <w:szCs w:val="20"/>
                <w:color w:val="auto"/>
              </w:rPr>
            </w:pPr>
            <w:r>
              <w:rPr>
                <w:rFonts w:ascii="Arial" w:cs="Arial" w:eastAsia="Arial" w:hAnsi="Arial"/>
                <w:sz w:val="14"/>
                <w:szCs w:val="14"/>
                <w:color w:val="auto"/>
              </w:rPr>
              <w:t>Operating Cash Flow</w:t>
            </w:r>
          </w:p>
        </w:tc>
        <w:tc>
          <w:tcPr>
            <w:tcW w:w="2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32"/>
              <w:spacing w:after="0" w:line="142" w:lineRule="exact"/>
              <w:rPr>
                <w:sz w:val="20"/>
                <w:szCs w:val="20"/>
                <w:color w:val="auto"/>
              </w:rPr>
            </w:pPr>
            <w:r>
              <w:rPr>
                <w:rFonts w:ascii="Arial" w:cs="Arial" w:eastAsia="Arial" w:hAnsi="Arial"/>
                <w:sz w:val="14"/>
                <w:szCs w:val="14"/>
                <w:color w:val="auto"/>
                <w:w w:val="96"/>
              </w:rPr>
              <w:t>3,362</w:t>
            </w:r>
          </w:p>
        </w:tc>
        <w:tc>
          <w:tcPr>
            <w:tcW w:w="44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89</w:t>
            </w:r>
          </w:p>
        </w:tc>
        <w:tc>
          <w:tcPr>
            <w:tcW w:w="42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100)</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6"/>
              </w:rPr>
              <w:t>3,351</w:t>
            </w:r>
          </w:p>
        </w:tc>
        <w:tc>
          <w:tcPr>
            <w:tcW w:w="32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3,362</w:t>
            </w:r>
          </w:p>
        </w:tc>
        <w:tc>
          <w:tcPr>
            <w:tcW w:w="3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3,351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Borders>
              <w:bottom w:val="single" w:sz="8" w:color="E5E5E5"/>
            </w:tcBorders>
            <w:gridSpan w:val="3"/>
            <w:shd w:val="clear" w:color="auto" w:fill="E5E5E5"/>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shd w:val="clear" w:color="auto" w:fill="E5E5E5"/>
          </w:tcPr>
          <w:p>
            <w:pPr>
              <w:spacing w:after="0"/>
              <w:rPr>
                <w:sz w:val="12"/>
                <w:szCs w:val="12"/>
                <w:color w:val="auto"/>
              </w:rPr>
            </w:pPr>
          </w:p>
        </w:tc>
        <w:tc>
          <w:tcPr>
            <w:tcW w:w="4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6"/>
              </w:rPr>
              <w:t>1,537</w:t>
            </w:r>
          </w:p>
        </w:tc>
        <w:tc>
          <w:tcPr>
            <w:tcW w:w="44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45</w:t>
            </w:r>
          </w:p>
        </w:tc>
        <w:tc>
          <w:tcPr>
            <w:tcW w:w="4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19</w:t>
            </w:r>
          </w:p>
        </w:tc>
        <w:tc>
          <w:tcPr>
            <w:tcW w:w="18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right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6"/>
              </w:rPr>
              <w:t>1,601</w:t>
            </w:r>
          </w:p>
        </w:tc>
        <w:tc>
          <w:tcPr>
            <w:tcW w:w="32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right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1,537</w:t>
            </w:r>
          </w:p>
        </w:tc>
        <w:tc>
          <w:tcPr>
            <w:tcW w:w="34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1,601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2" w:lineRule="exact"/>
              <w:rPr>
                <w:sz w:val="20"/>
                <w:szCs w:val="20"/>
                <w:color w:val="auto"/>
              </w:rPr>
            </w:pPr>
            <w:r>
              <w:rPr>
                <w:rFonts w:ascii="Arial" w:cs="Arial" w:eastAsia="Arial" w:hAnsi="Arial"/>
                <w:sz w:val="14"/>
                <w:szCs w:val="14"/>
                <w:color w:val="auto"/>
              </w:rPr>
              <w:t>Operating Income (Loss)</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6"/>
              </w:rPr>
              <w:t>1,825</w:t>
            </w:r>
          </w:p>
        </w:tc>
        <w:tc>
          <w:tcPr>
            <w:tcW w:w="4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44</w:t>
            </w:r>
          </w:p>
        </w:tc>
        <w:tc>
          <w:tcPr>
            <w:tcW w:w="4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119)</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6"/>
              </w:rPr>
              <w:t>1,750</w:t>
            </w:r>
          </w:p>
        </w:tc>
        <w:tc>
          <w:tcPr>
            <w:tcW w:w="3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1,825</w:t>
            </w:r>
          </w:p>
        </w:tc>
        <w:tc>
          <w:tcPr>
            <w:tcW w:w="3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60" w:type="dxa"/>
            <w:vAlign w:val="bottom"/>
            <w:tcBorders>
              <w:bottom w:val="single" w:sz="8" w:color="E5E5E5"/>
            </w:tcBorders>
            <w:gridSpan w:val="3"/>
            <w:shd w:val="clear" w:color="auto" w:fill="E5E5E5"/>
          </w:tcPr>
          <w:p>
            <w:pPr>
              <w:spacing w:after="0" w:line="149" w:lineRule="exact"/>
              <w:rPr>
                <w:sz w:val="20"/>
                <w:szCs w:val="20"/>
                <w:color w:val="auto"/>
              </w:rPr>
            </w:pPr>
            <w:r>
              <w:rPr>
                <w:rFonts w:ascii="Arial" w:cs="Arial" w:eastAsia="Arial" w:hAnsi="Arial"/>
                <w:sz w:val="14"/>
                <w:szCs w:val="14"/>
                <w:color w:val="auto"/>
              </w:rPr>
              <w:t>Capital Expenditures</w:t>
            </w:r>
          </w:p>
        </w:tc>
        <w:tc>
          <w:tcPr>
            <w:tcW w:w="26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6"/>
              </w:rPr>
              <w:t>1,254</w:t>
            </w:r>
          </w:p>
        </w:tc>
        <w:tc>
          <w:tcPr>
            <w:tcW w:w="440" w:type="dxa"/>
            <w:vAlign w:val="bottom"/>
            <w:tcBorders>
              <w:bottom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6</w:t>
            </w:r>
          </w:p>
        </w:tc>
        <w:tc>
          <w:tcPr>
            <w:tcW w:w="420" w:type="dxa"/>
            <w:vAlign w:val="bottom"/>
            <w:tcBorders>
              <w:bottom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40</w:t>
            </w:r>
          </w:p>
        </w:tc>
        <w:tc>
          <w:tcPr>
            <w:tcW w:w="18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6"/>
              </w:rPr>
              <w:t>1,300</w:t>
            </w:r>
          </w:p>
        </w:tc>
        <w:tc>
          <w:tcPr>
            <w:tcW w:w="320" w:type="dxa"/>
            <w:vAlign w:val="bottom"/>
            <w:tcBorders>
              <w:bottom w:val="single" w:sz="8" w:color="auto"/>
            </w:tcBorders>
            <w:shd w:val="clear" w:color="auto" w:fill="E5E5E5"/>
          </w:tcPr>
          <w:p>
            <w:pPr>
              <w:ind w:left="180"/>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ind w:left="4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1,254</w:t>
            </w:r>
          </w:p>
        </w:tc>
        <w:tc>
          <w:tcPr>
            <w:tcW w:w="340" w:type="dxa"/>
            <w:vAlign w:val="bottom"/>
            <w:tcBorders>
              <w:bottom w:val="single" w:sz="8" w:color="auto"/>
            </w:tcBorders>
            <w:shd w:val="clear" w:color="auto" w:fill="E5E5E5"/>
          </w:tcPr>
          <w:p>
            <w:pPr>
              <w:ind w:left="18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1,300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June 30, 2007</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Borders>
              <w:top w:val="single" w:sz="8" w:color="auto"/>
            </w:tcBorders>
            <w:gridSpan w:val="2"/>
            <w:shd w:val="clear" w:color="auto" w:fill="E5E5E5"/>
          </w:tcPr>
          <w:p>
            <w:pPr>
              <w:spacing w:after="0" w:line="142" w:lineRule="exact"/>
              <w:rPr>
                <w:sz w:val="20"/>
                <w:szCs w:val="20"/>
                <w:color w:val="auto"/>
              </w:rPr>
            </w:pPr>
            <w:r>
              <w:rPr>
                <w:rFonts w:ascii="Arial" w:cs="Arial" w:eastAsia="Arial" w:hAnsi="Arial"/>
                <w:sz w:val="14"/>
                <w:szCs w:val="14"/>
                <w:color w:val="auto"/>
              </w:rPr>
              <w:t>Revenue</w:t>
            </w:r>
          </w:p>
        </w:tc>
        <w:tc>
          <w:tcPr>
            <w:tcW w:w="1520" w:type="dxa"/>
            <w:vAlign w:val="bottom"/>
            <w:shd w:val="clear" w:color="auto" w:fill="E5E5E5"/>
          </w:tcPr>
          <w:p>
            <w:pPr>
              <w:spacing w:after="0"/>
              <w:rPr>
                <w:sz w:val="12"/>
                <w:szCs w:val="12"/>
                <w:color w:val="auto"/>
              </w:rPr>
            </w:pPr>
          </w:p>
        </w:tc>
        <w:tc>
          <w:tcPr>
            <w:tcW w:w="26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6"/>
              </w:rPr>
              <w:t>7,330</w:t>
            </w:r>
          </w:p>
        </w:tc>
        <w:tc>
          <w:tcPr>
            <w:tcW w:w="440" w:type="dxa"/>
            <w:vAlign w:val="bottom"/>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334</w:t>
            </w:r>
          </w:p>
        </w:tc>
        <w:tc>
          <w:tcPr>
            <w:tcW w:w="420" w:type="dxa"/>
            <w:vAlign w:val="bottom"/>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48</w:t>
            </w:r>
          </w:p>
        </w:tc>
        <w:tc>
          <w:tcPr>
            <w:tcW w:w="18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96"/>
              </w:rPr>
              <w:t>7,712</w:t>
            </w:r>
          </w:p>
        </w:tc>
        <w:tc>
          <w:tcPr>
            <w:tcW w:w="320" w:type="dxa"/>
            <w:vAlign w:val="bottom"/>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227</w:t>
            </w:r>
          </w:p>
        </w:tc>
        <w:tc>
          <w:tcPr>
            <w:tcW w:w="220" w:type="dxa"/>
            <w:vAlign w:val="bottom"/>
            <w:shd w:val="clear" w:color="auto" w:fill="E5E5E5"/>
          </w:tcPr>
          <w:p>
            <w:pPr>
              <w:ind w:left="4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7,557</w:t>
            </w:r>
          </w:p>
        </w:tc>
        <w:tc>
          <w:tcPr>
            <w:tcW w:w="340" w:type="dxa"/>
            <w:vAlign w:val="bottom"/>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227</w:t>
            </w:r>
          </w:p>
        </w:tc>
        <w:tc>
          <w:tcPr>
            <w:tcW w:w="200" w:type="dxa"/>
            <w:vAlign w:val="bottom"/>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7,939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3580" w:type="dxa"/>
            <w:vAlign w:val="bottom"/>
            <w:gridSpan w:val="4"/>
          </w:tcPr>
          <w:p>
            <w:pPr>
              <w:spacing w:after="0"/>
              <w:rPr>
                <w:sz w:val="20"/>
                <w:szCs w:val="20"/>
                <w:color w:val="auto"/>
              </w:rPr>
            </w:pPr>
            <w:r>
              <w:rPr>
                <w:rFonts w:ascii="Arial" w:cs="Arial" w:eastAsia="Arial" w:hAnsi="Arial"/>
                <w:sz w:val="14"/>
                <w:szCs w:val="14"/>
                <w:color w:val="auto"/>
                <w:w w:val="92"/>
              </w:rPr>
              <w:t>Operating Expenses (excluding depreciation and amortization)</w:t>
            </w:r>
          </w:p>
        </w:tc>
        <w:tc>
          <w:tcPr>
            <w:tcW w:w="260" w:type="dxa"/>
            <w:vAlign w:val="bottom"/>
          </w:tcPr>
          <w:p>
            <w:pPr>
              <w:spacing w:after="0"/>
              <w:rPr>
                <w:sz w:val="24"/>
                <w:szCs w:val="2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w w:val="96"/>
              </w:rPr>
              <w:t>4,299</w:t>
            </w:r>
          </w:p>
        </w:tc>
        <w:tc>
          <w:tcPr>
            <w:tcW w:w="440" w:type="dxa"/>
            <w:vAlign w:val="bottom"/>
          </w:tcPr>
          <w:p>
            <w:pPr>
              <w:spacing w:after="0"/>
              <w:rPr>
                <w:sz w:val="24"/>
                <w:szCs w:val="2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259</w:t>
            </w:r>
          </w:p>
        </w:tc>
        <w:tc>
          <w:tcPr>
            <w:tcW w:w="42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142</w:t>
            </w:r>
          </w:p>
        </w:tc>
        <w:tc>
          <w:tcPr>
            <w:tcW w:w="180" w:type="dxa"/>
            <w:vAlign w:val="bottom"/>
          </w:tcPr>
          <w:p>
            <w:pPr>
              <w:spacing w:after="0"/>
              <w:rPr>
                <w:sz w:val="24"/>
                <w:szCs w:val="24"/>
                <w:color w:val="auto"/>
              </w:rPr>
            </w:pPr>
          </w:p>
        </w:tc>
        <w:tc>
          <w:tcPr>
            <w:tcW w:w="52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w w:val="96"/>
              </w:rPr>
              <w:t>4,700</w:t>
            </w:r>
          </w:p>
        </w:tc>
        <w:tc>
          <w:tcPr>
            <w:tcW w:w="32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134</w:t>
            </w:r>
          </w:p>
        </w:tc>
        <w:tc>
          <w:tcPr>
            <w:tcW w:w="220" w:type="dxa"/>
            <w:vAlign w:val="bottom"/>
          </w:tcPr>
          <w:p>
            <w:pPr>
              <w:spacing w:after="0"/>
              <w:rPr>
                <w:sz w:val="24"/>
                <w:szCs w:val="24"/>
                <w:color w:val="auto"/>
              </w:rPr>
            </w:pPr>
          </w:p>
        </w:tc>
        <w:tc>
          <w:tcPr>
            <w:tcW w:w="74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4,433</w:t>
            </w:r>
          </w:p>
        </w:tc>
        <w:tc>
          <w:tcPr>
            <w:tcW w:w="34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133</w:t>
            </w:r>
          </w:p>
        </w:tc>
        <w:tc>
          <w:tcPr>
            <w:tcW w:w="2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gridSpan w:val="3"/>
            <w:shd w:val="clear" w:color="auto" w:fill="E5E5E5"/>
          </w:tcPr>
          <w:p>
            <w:pPr>
              <w:spacing w:after="0" w:line="142" w:lineRule="exact"/>
              <w:rPr>
                <w:sz w:val="20"/>
                <w:szCs w:val="20"/>
                <w:color w:val="auto"/>
              </w:rPr>
            </w:pPr>
            <w:r>
              <w:rPr>
                <w:rFonts w:ascii="Arial" w:cs="Arial" w:eastAsia="Arial" w:hAnsi="Arial"/>
                <w:sz w:val="14"/>
                <w:szCs w:val="14"/>
                <w:color w:val="auto"/>
              </w:rPr>
              <w:t>Operating Cash Flow</w:t>
            </w:r>
          </w:p>
        </w:tc>
        <w:tc>
          <w:tcPr>
            <w:tcW w:w="26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6"/>
              </w:rPr>
              <w:t>3,031</w:t>
            </w:r>
          </w:p>
        </w:tc>
        <w:tc>
          <w:tcPr>
            <w:tcW w:w="44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75</w:t>
            </w:r>
          </w:p>
        </w:tc>
        <w:tc>
          <w:tcPr>
            <w:tcW w:w="42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94)</w:t>
            </w:r>
          </w:p>
        </w:tc>
        <w:tc>
          <w:tcPr>
            <w:tcW w:w="18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right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96"/>
              </w:rPr>
              <w:t>3,012</w:t>
            </w:r>
          </w:p>
        </w:tc>
        <w:tc>
          <w:tcPr>
            <w:tcW w:w="32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93</w:t>
            </w:r>
          </w:p>
        </w:tc>
        <w:tc>
          <w:tcPr>
            <w:tcW w:w="220" w:type="dxa"/>
            <w:vAlign w:val="bottom"/>
            <w:tcBorders>
              <w:top w:val="single" w:sz="8" w:color="auto"/>
            </w:tcBorders>
            <w:shd w:val="clear" w:color="auto" w:fill="E5E5E5"/>
          </w:tcPr>
          <w:p>
            <w:pPr>
              <w:ind w:left="4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right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3,124</w:t>
            </w:r>
          </w:p>
        </w:tc>
        <w:tc>
          <w:tcPr>
            <w:tcW w:w="34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94</w:t>
            </w:r>
          </w:p>
        </w:tc>
        <w:tc>
          <w:tcPr>
            <w:tcW w:w="200" w:type="dxa"/>
            <w:vAlign w:val="bottom"/>
            <w:tcBorders>
              <w:top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3,106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6"/>
              </w:rPr>
              <w:t>1,471</w:t>
            </w: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46</w:t>
            </w: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27</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6"/>
              </w:rPr>
              <w:t>1,544</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39</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1,510</w:t>
            </w: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38</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Borders>
              <w:bottom w:val="single" w:sz="8" w:color="E5E5E5"/>
            </w:tcBorders>
            <w:gridSpan w:val="3"/>
            <w:shd w:val="clear" w:color="auto" w:fill="E5E5E5"/>
          </w:tcPr>
          <w:p>
            <w:pPr>
              <w:spacing w:after="0" w:line="142" w:lineRule="exact"/>
              <w:rPr>
                <w:sz w:val="20"/>
                <w:szCs w:val="20"/>
                <w:color w:val="auto"/>
              </w:rPr>
            </w:pPr>
            <w:r>
              <w:rPr>
                <w:rFonts w:ascii="Arial" w:cs="Arial" w:eastAsia="Arial" w:hAnsi="Arial"/>
                <w:sz w:val="14"/>
                <w:szCs w:val="14"/>
                <w:color w:val="auto"/>
              </w:rPr>
              <w:t>Operating Income (Loss)</w:t>
            </w:r>
          </w:p>
        </w:tc>
        <w:tc>
          <w:tcPr>
            <w:tcW w:w="2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6"/>
              </w:rPr>
              <w:t>1,560</w:t>
            </w:r>
          </w:p>
        </w:tc>
        <w:tc>
          <w:tcPr>
            <w:tcW w:w="44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29</w:t>
            </w:r>
          </w:p>
        </w:tc>
        <w:tc>
          <w:tcPr>
            <w:tcW w:w="42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121)</w:t>
            </w:r>
          </w:p>
        </w:tc>
        <w:tc>
          <w:tcPr>
            <w:tcW w:w="1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96"/>
              </w:rPr>
              <w:t>1,468</w:t>
            </w:r>
          </w:p>
        </w:tc>
        <w:tc>
          <w:tcPr>
            <w:tcW w:w="32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54</w:t>
            </w:r>
          </w:p>
        </w:tc>
        <w:tc>
          <w:tcPr>
            <w:tcW w:w="220" w:type="dxa"/>
            <w:vAlign w:val="bottom"/>
            <w:tcBorders>
              <w:bottom w:val="single" w:sz="8" w:color="auto"/>
            </w:tcBorders>
            <w:shd w:val="clear" w:color="auto" w:fill="E5E5E5"/>
          </w:tcPr>
          <w:p>
            <w:pPr>
              <w:ind w:left="4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1,614</w:t>
            </w:r>
          </w:p>
        </w:tc>
        <w:tc>
          <w:tcPr>
            <w:tcW w:w="34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56</w:t>
            </w:r>
          </w:p>
        </w:tc>
        <w:tc>
          <w:tcPr>
            <w:tcW w:w="200" w:type="dxa"/>
            <w:vAlign w:val="bottom"/>
            <w:tcBorders>
              <w:bottom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1,524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3580" w:type="dxa"/>
            <w:vAlign w:val="bottom"/>
            <w:gridSpan w:val="4"/>
          </w:tcPr>
          <w:p>
            <w:pPr>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2"/>
              <w:spacing w:after="0"/>
              <w:rPr>
                <w:sz w:val="20"/>
                <w:szCs w:val="20"/>
                <w:color w:val="auto"/>
              </w:rPr>
            </w:pPr>
            <w:r>
              <w:rPr>
                <w:rFonts w:ascii="Arial" w:cs="Arial" w:eastAsia="Arial" w:hAnsi="Arial"/>
                <w:sz w:val="14"/>
                <w:szCs w:val="14"/>
                <w:color w:val="auto"/>
                <w:w w:val="96"/>
              </w:rPr>
              <w:t>1,586</w:t>
            </w:r>
          </w:p>
        </w:tc>
        <w:tc>
          <w:tcPr>
            <w:tcW w:w="440" w:type="dxa"/>
            <w:vAlign w:val="bottom"/>
          </w:tcPr>
          <w:p>
            <w:pPr>
              <w:ind w:left="1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10</w:t>
            </w:r>
          </w:p>
        </w:tc>
        <w:tc>
          <w:tcPr>
            <w:tcW w:w="420" w:type="dxa"/>
            <w:vAlign w:val="bottom"/>
          </w:tcPr>
          <w:p>
            <w:pPr>
              <w:ind w:left="1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w w:val="96"/>
              </w:rPr>
              <w:t>1,604</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29</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1,615</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29</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1,633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80" w:type="dxa"/>
            <w:vAlign w:val="bottom"/>
            <w:tcBorders>
              <w:bottom w:val="single" w:sz="8" w:color="auto"/>
            </w:tcBorders>
            <w:shd w:val="clear" w:color="auto" w:fill="E5E5E5"/>
          </w:tcPr>
          <w:p>
            <w:pPr>
              <w:spacing w:after="0" w:line="135" w:lineRule="exact"/>
              <w:rPr>
                <w:sz w:val="20"/>
                <w:szCs w:val="20"/>
                <w:color w:val="auto"/>
              </w:rPr>
            </w:pPr>
            <w:r>
              <w:rPr>
                <w:rFonts w:ascii="Arial" w:cs="Arial" w:eastAsia="Arial" w:hAnsi="Arial"/>
                <w:sz w:val="14"/>
                <w:szCs w:val="14"/>
                <w:b w:val="1"/>
                <w:bCs w:val="1"/>
                <w:color w:val="auto"/>
                <w:w w:val="85"/>
              </w:rPr>
              <w:t>Six Months Ended June 30, 2008</w:t>
            </w:r>
          </w:p>
        </w:tc>
        <w:tc>
          <w:tcPr>
            <w:tcW w:w="1680" w:type="dxa"/>
            <w:vAlign w:val="bottom"/>
            <w:tcBorders>
              <w:bottom w:val="single" w:sz="8" w:color="E5E5E5"/>
            </w:tcBorders>
            <w:gridSpan w:val="2"/>
            <w:shd w:val="clear" w:color="auto" w:fill="E5E5E5"/>
          </w:tcPr>
          <w:p>
            <w:pPr>
              <w:spacing w:after="0"/>
              <w:rPr>
                <w:sz w:val="11"/>
                <w:szCs w:val="11"/>
                <w:color w:val="auto"/>
              </w:rPr>
            </w:pPr>
          </w:p>
        </w:tc>
        <w:tc>
          <w:tcPr>
            <w:tcW w:w="260" w:type="dxa"/>
            <w:vAlign w:val="bottom"/>
            <w:tcBorders>
              <w:bottom w:val="single" w:sz="8" w:color="E5E5E5"/>
            </w:tcBorders>
            <w:shd w:val="clear" w:color="auto" w:fill="E5E5E5"/>
          </w:tcPr>
          <w:p>
            <w:pPr>
              <w:spacing w:after="0"/>
              <w:rPr>
                <w:sz w:val="11"/>
                <w:szCs w:val="11"/>
                <w:color w:val="auto"/>
              </w:rPr>
            </w:pPr>
          </w:p>
        </w:tc>
        <w:tc>
          <w:tcPr>
            <w:tcW w:w="460" w:type="dxa"/>
            <w:vAlign w:val="bottom"/>
            <w:tcBorders>
              <w:bottom w:val="single" w:sz="8" w:color="E5E5E5"/>
            </w:tcBorders>
            <w:shd w:val="clear" w:color="auto" w:fill="E5E5E5"/>
          </w:tcPr>
          <w:p>
            <w:pPr>
              <w:spacing w:after="0"/>
              <w:rPr>
                <w:sz w:val="11"/>
                <w:szCs w:val="11"/>
                <w:color w:val="auto"/>
              </w:rPr>
            </w:pPr>
          </w:p>
        </w:tc>
        <w:tc>
          <w:tcPr>
            <w:tcW w:w="440" w:type="dxa"/>
            <w:vAlign w:val="bottom"/>
            <w:tcBorders>
              <w:bottom w:val="single" w:sz="8" w:color="E5E5E5"/>
            </w:tcBorders>
            <w:shd w:val="clear" w:color="auto" w:fill="E5E5E5"/>
          </w:tcPr>
          <w:p>
            <w:pPr>
              <w:spacing w:after="0"/>
              <w:rPr>
                <w:sz w:val="11"/>
                <w:szCs w:val="11"/>
                <w:color w:val="auto"/>
              </w:rPr>
            </w:pPr>
          </w:p>
        </w:tc>
        <w:tc>
          <w:tcPr>
            <w:tcW w:w="560" w:type="dxa"/>
            <w:vAlign w:val="bottom"/>
            <w:tcBorders>
              <w:bottom w:val="single" w:sz="8" w:color="E5E5E5"/>
            </w:tcBorders>
            <w:shd w:val="clear" w:color="auto" w:fill="E5E5E5"/>
          </w:tcPr>
          <w:p>
            <w:pPr>
              <w:spacing w:after="0"/>
              <w:rPr>
                <w:sz w:val="11"/>
                <w:szCs w:val="11"/>
                <w:color w:val="auto"/>
              </w:rPr>
            </w:pPr>
          </w:p>
        </w:tc>
        <w:tc>
          <w:tcPr>
            <w:tcW w:w="420" w:type="dxa"/>
            <w:vAlign w:val="bottom"/>
            <w:tcBorders>
              <w:bottom w:val="single" w:sz="8" w:color="E5E5E5"/>
            </w:tcBorders>
            <w:shd w:val="clear" w:color="auto" w:fill="E5E5E5"/>
          </w:tcPr>
          <w:p>
            <w:pPr>
              <w:spacing w:after="0"/>
              <w:rPr>
                <w:sz w:val="11"/>
                <w:szCs w:val="11"/>
                <w:color w:val="auto"/>
              </w:rPr>
            </w:pPr>
          </w:p>
        </w:tc>
        <w:tc>
          <w:tcPr>
            <w:tcW w:w="560" w:type="dxa"/>
            <w:vAlign w:val="bottom"/>
            <w:tcBorders>
              <w:bottom w:val="single" w:sz="8" w:color="E5E5E5"/>
            </w:tcBorders>
            <w:shd w:val="clear" w:color="auto" w:fill="E5E5E5"/>
          </w:tcPr>
          <w:p>
            <w:pPr>
              <w:spacing w:after="0"/>
              <w:rPr>
                <w:sz w:val="11"/>
                <w:szCs w:val="11"/>
                <w:color w:val="auto"/>
              </w:rPr>
            </w:pPr>
          </w:p>
        </w:tc>
        <w:tc>
          <w:tcPr>
            <w:tcW w:w="180" w:type="dxa"/>
            <w:vAlign w:val="bottom"/>
            <w:tcBorders>
              <w:bottom w:val="single" w:sz="8" w:color="E5E5E5"/>
            </w:tcBorders>
            <w:shd w:val="clear" w:color="auto" w:fill="E5E5E5"/>
          </w:tcPr>
          <w:p>
            <w:pPr>
              <w:spacing w:after="0"/>
              <w:rPr>
                <w:sz w:val="11"/>
                <w:szCs w:val="11"/>
                <w:color w:val="auto"/>
              </w:rPr>
            </w:pPr>
          </w:p>
        </w:tc>
        <w:tc>
          <w:tcPr>
            <w:tcW w:w="520" w:type="dxa"/>
            <w:vAlign w:val="bottom"/>
            <w:tcBorders>
              <w:bottom w:val="single" w:sz="8" w:color="E5E5E5"/>
              <w:right w:val="single" w:sz="8" w:color="auto"/>
            </w:tcBorders>
            <w:shd w:val="clear" w:color="auto" w:fill="E5E5E5"/>
          </w:tcPr>
          <w:p>
            <w:pPr>
              <w:spacing w:after="0"/>
              <w:rPr>
                <w:sz w:val="11"/>
                <w:szCs w:val="11"/>
                <w:color w:val="auto"/>
              </w:rPr>
            </w:pPr>
          </w:p>
        </w:tc>
        <w:tc>
          <w:tcPr>
            <w:tcW w:w="320" w:type="dxa"/>
            <w:vAlign w:val="bottom"/>
            <w:tcBorders>
              <w:bottom w:val="single" w:sz="8" w:color="E5E5E5"/>
            </w:tcBorders>
            <w:shd w:val="clear" w:color="auto" w:fill="E5E5E5"/>
          </w:tcPr>
          <w:p>
            <w:pPr>
              <w:spacing w:after="0"/>
              <w:rPr>
                <w:sz w:val="11"/>
                <w:szCs w:val="11"/>
                <w:color w:val="auto"/>
              </w:rPr>
            </w:pPr>
          </w:p>
        </w:tc>
        <w:tc>
          <w:tcPr>
            <w:tcW w:w="1080" w:type="dxa"/>
            <w:vAlign w:val="bottom"/>
            <w:tcBorders>
              <w:bottom w:val="single" w:sz="8" w:color="E5E5E5"/>
            </w:tcBorders>
            <w:shd w:val="clear" w:color="auto" w:fill="E5E5E5"/>
          </w:tcPr>
          <w:p>
            <w:pPr>
              <w:spacing w:after="0"/>
              <w:rPr>
                <w:sz w:val="11"/>
                <w:szCs w:val="11"/>
                <w:color w:val="auto"/>
              </w:rPr>
            </w:pPr>
          </w:p>
        </w:tc>
        <w:tc>
          <w:tcPr>
            <w:tcW w:w="220" w:type="dxa"/>
            <w:vAlign w:val="bottom"/>
            <w:tcBorders>
              <w:bottom w:val="single" w:sz="8" w:color="E5E5E5"/>
            </w:tcBorders>
            <w:shd w:val="clear" w:color="auto" w:fill="E5E5E5"/>
          </w:tcPr>
          <w:p>
            <w:pPr>
              <w:spacing w:after="0"/>
              <w:rPr>
                <w:sz w:val="11"/>
                <w:szCs w:val="11"/>
                <w:color w:val="auto"/>
              </w:rPr>
            </w:pPr>
          </w:p>
        </w:tc>
        <w:tc>
          <w:tcPr>
            <w:tcW w:w="740" w:type="dxa"/>
            <w:vAlign w:val="bottom"/>
            <w:tcBorders>
              <w:bottom w:val="single" w:sz="8" w:color="E5E5E5"/>
              <w:right w:val="single" w:sz="8" w:color="auto"/>
            </w:tcBorders>
            <w:shd w:val="clear" w:color="auto" w:fill="E5E5E5"/>
          </w:tcPr>
          <w:p>
            <w:pPr>
              <w:spacing w:after="0"/>
              <w:rPr>
                <w:sz w:val="11"/>
                <w:szCs w:val="11"/>
                <w:color w:val="auto"/>
              </w:rPr>
            </w:pPr>
          </w:p>
        </w:tc>
        <w:tc>
          <w:tcPr>
            <w:tcW w:w="340" w:type="dxa"/>
            <w:vAlign w:val="bottom"/>
            <w:tcBorders>
              <w:bottom w:val="single" w:sz="8" w:color="E5E5E5"/>
            </w:tcBorders>
            <w:shd w:val="clear" w:color="auto" w:fill="E5E5E5"/>
          </w:tcPr>
          <w:p>
            <w:pPr>
              <w:spacing w:after="0"/>
              <w:rPr>
                <w:sz w:val="11"/>
                <w:szCs w:val="11"/>
                <w:color w:val="auto"/>
              </w:rPr>
            </w:pPr>
          </w:p>
        </w:tc>
        <w:tc>
          <w:tcPr>
            <w:tcW w:w="1020" w:type="dxa"/>
            <w:vAlign w:val="bottom"/>
            <w:tcBorders>
              <w:bottom w:val="single" w:sz="8" w:color="E5E5E5"/>
            </w:tcBorders>
            <w:shd w:val="clear" w:color="auto" w:fill="E5E5E5"/>
          </w:tcPr>
          <w:p>
            <w:pPr>
              <w:spacing w:after="0"/>
              <w:rPr>
                <w:sz w:val="11"/>
                <w:szCs w:val="11"/>
                <w:color w:val="auto"/>
              </w:rPr>
            </w:pPr>
          </w:p>
        </w:tc>
        <w:tc>
          <w:tcPr>
            <w:tcW w:w="200" w:type="dxa"/>
            <w:vAlign w:val="bottom"/>
            <w:tcBorders>
              <w:bottom w:val="single" w:sz="8" w:color="E5E5E5"/>
            </w:tcBorders>
            <w:shd w:val="clear" w:color="auto" w:fill="E5E5E5"/>
          </w:tcPr>
          <w:p>
            <w:pPr>
              <w:spacing w:after="0"/>
              <w:rPr>
                <w:sz w:val="11"/>
                <w:szCs w:val="11"/>
                <w:color w:val="auto"/>
              </w:rPr>
            </w:pPr>
          </w:p>
        </w:tc>
        <w:tc>
          <w:tcPr>
            <w:tcW w:w="520" w:type="dxa"/>
            <w:vAlign w:val="bottom"/>
            <w:tcBorders>
              <w:bottom w:val="single" w:sz="8" w:color="E5E5E5"/>
            </w:tcBorders>
            <w:shd w:val="clear" w:color="auto" w:fill="E5E5E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2"/>
              <w:spacing w:after="0"/>
              <w:rPr>
                <w:sz w:val="20"/>
                <w:szCs w:val="20"/>
                <w:color w:val="auto"/>
              </w:rPr>
            </w:pPr>
            <w:r>
              <w:rPr>
                <w:rFonts w:ascii="Arial" w:cs="Arial" w:eastAsia="Arial" w:hAnsi="Arial"/>
                <w:sz w:val="14"/>
                <w:szCs w:val="14"/>
                <w:color w:val="auto"/>
                <w:w w:val="79"/>
              </w:rPr>
              <w:t>16,016</w:t>
            </w:r>
          </w:p>
        </w:tc>
        <w:tc>
          <w:tcPr>
            <w:tcW w:w="440" w:type="dxa"/>
            <w:vAlign w:val="bottom"/>
          </w:tcPr>
          <w:p>
            <w:pPr>
              <w:ind w:left="1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729</w:t>
            </w:r>
          </w:p>
        </w:tc>
        <w:tc>
          <w:tcPr>
            <w:tcW w:w="420" w:type="dxa"/>
            <w:vAlign w:val="bottom"/>
          </w:tcPr>
          <w:p>
            <w:pPr>
              <w:ind w:left="1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197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w w:val="79"/>
              </w:rPr>
              <w:t>16,942</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0</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16,016</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0</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16,942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tcBorders>
              <w:bottom w:val="single" w:sz="8" w:color="E5E5E5"/>
            </w:tcBorders>
            <w:gridSpan w:val="3"/>
            <w:shd w:val="clear" w:color="auto" w:fill="E5E5E5"/>
          </w:tcPr>
          <w:p>
            <w:pPr>
              <w:spacing w:after="0" w:line="149" w:lineRule="exact"/>
              <w:rPr>
                <w:sz w:val="20"/>
                <w:szCs w:val="20"/>
                <w:color w:val="auto"/>
              </w:rPr>
            </w:pPr>
            <w:r>
              <w:rPr>
                <w:rFonts w:ascii="Arial" w:cs="Arial" w:eastAsia="Arial" w:hAnsi="Arial"/>
                <w:sz w:val="14"/>
                <w:szCs w:val="14"/>
                <w:color w:val="auto"/>
                <w:w w:val="91"/>
              </w:rPr>
              <w:t>Operating Expenses (excluding depreciation and amortization)</w:t>
            </w:r>
          </w:p>
        </w:tc>
        <w:tc>
          <w:tcPr>
            <w:tcW w:w="260" w:type="dxa"/>
            <w:vAlign w:val="bottom"/>
            <w:tcBorders>
              <w:bottom w:val="single" w:sz="8" w:color="auto"/>
            </w:tcBorders>
            <w:shd w:val="clear" w:color="auto" w:fill="E5E5E5"/>
          </w:tcPr>
          <w:p>
            <w:pPr>
              <w:spacing w:after="0"/>
              <w:rPr>
                <w:sz w:val="12"/>
                <w:szCs w:val="12"/>
                <w:color w:val="auto"/>
              </w:rPr>
            </w:pPr>
          </w:p>
        </w:tc>
        <w:tc>
          <w:tcPr>
            <w:tcW w:w="4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6"/>
              </w:rPr>
              <w:t>9,512</w:t>
            </w:r>
          </w:p>
        </w:tc>
        <w:tc>
          <w:tcPr>
            <w:tcW w:w="44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527</w:t>
            </w:r>
          </w:p>
        </w:tc>
        <w:tc>
          <w:tcPr>
            <w:tcW w:w="4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378</w:t>
            </w:r>
          </w:p>
        </w:tc>
        <w:tc>
          <w:tcPr>
            <w:tcW w:w="18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right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79"/>
              </w:rPr>
              <w:t>10,417</w:t>
            </w:r>
          </w:p>
        </w:tc>
        <w:tc>
          <w:tcPr>
            <w:tcW w:w="32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right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9,512</w:t>
            </w:r>
          </w:p>
        </w:tc>
        <w:tc>
          <w:tcPr>
            <w:tcW w:w="34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10,417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gridSpan w:val="3"/>
          </w:tcPr>
          <w:p>
            <w:pPr>
              <w:spacing w:after="0" w:line="142" w:lineRule="exact"/>
              <w:rPr>
                <w:sz w:val="20"/>
                <w:szCs w:val="20"/>
                <w:color w:val="auto"/>
              </w:rPr>
            </w:pPr>
            <w:r>
              <w:rPr>
                <w:rFonts w:ascii="Arial" w:cs="Arial" w:eastAsia="Arial" w:hAnsi="Arial"/>
                <w:sz w:val="14"/>
                <w:szCs w:val="14"/>
                <w:color w:val="auto"/>
              </w:rPr>
              <w:t>Operating Cash Flow</w:t>
            </w:r>
          </w:p>
        </w:tc>
        <w:tc>
          <w:tcPr>
            <w:tcW w:w="2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32"/>
              <w:spacing w:after="0" w:line="142" w:lineRule="exact"/>
              <w:rPr>
                <w:sz w:val="20"/>
                <w:szCs w:val="20"/>
                <w:color w:val="auto"/>
              </w:rPr>
            </w:pPr>
            <w:r>
              <w:rPr>
                <w:rFonts w:ascii="Arial" w:cs="Arial" w:eastAsia="Arial" w:hAnsi="Arial"/>
                <w:sz w:val="14"/>
                <w:szCs w:val="14"/>
                <w:color w:val="auto"/>
                <w:w w:val="96"/>
              </w:rPr>
              <w:t>6,504</w:t>
            </w:r>
          </w:p>
        </w:tc>
        <w:tc>
          <w:tcPr>
            <w:tcW w:w="44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202</w:t>
            </w:r>
          </w:p>
        </w:tc>
        <w:tc>
          <w:tcPr>
            <w:tcW w:w="42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181)</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6"/>
              </w:rPr>
              <w:t>6,525</w:t>
            </w:r>
          </w:p>
        </w:tc>
        <w:tc>
          <w:tcPr>
            <w:tcW w:w="32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220" w:type="dxa"/>
            <w:vAlign w:val="bottom"/>
          </w:tcPr>
          <w:p>
            <w:pPr>
              <w:ind w:left="4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6,504</w:t>
            </w:r>
          </w:p>
        </w:tc>
        <w:tc>
          <w:tcPr>
            <w:tcW w:w="340" w:type="dxa"/>
            <w:vAlign w:val="bottom"/>
          </w:tcPr>
          <w:p>
            <w:pPr>
              <w:ind w:left="180"/>
              <w:spacing w:after="0" w:line="142"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line="142" w:lineRule="exact"/>
              <w:rPr>
                <w:sz w:val="20"/>
                <w:szCs w:val="20"/>
                <w:color w:val="auto"/>
              </w:rPr>
            </w:pPr>
            <w:r>
              <w:rPr>
                <w:rFonts w:ascii="Arial" w:cs="Arial" w:eastAsia="Arial" w:hAnsi="Arial"/>
                <w:sz w:val="14"/>
                <w:szCs w:val="14"/>
                <w:color w:val="auto"/>
              </w:rPr>
              <w:t>0</w:t>
            </w:r>
          </w:p>
        </w:tc>
        <w:tc>
          <w:tcPr>
            <w:tcW w:w="20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6,525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Borders>
              <w:bottom w:val="single" w:sz="8" w:color="E5E5E5"/>
            </w:tcBorders>
            <w:gridSpan w:val="3"/>
            <w:shd w:val="clear" w:color="auto" w:fill="E5E5E5"/>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shd w:val="clear" w:color="auto" w:fill="E5E5E5"/>
          </w:tcPr>
          <w:p>
            <w:pPr>
              <w:spacing w:after="0"/>
              <w:rPr>
                <w:sz w:val="12"/>
                <w:szCs w:val="12"/>
                <w:color w:val="auto"/>
              </w:rPr>
            </w:pPr>
          </w:p>
        </w:tc>
        <w:tc>
          <w:tcPr>
            <w:tcW w:w="4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6"/>
              </w:rPr>
              <w:t>3,085</w:t>
            </w:r>
          </w:p>
        </w:tc>
        <w:tc>
          <w:tcPr>
            <w:tcW w:w="44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99</w:t>
            </w:r>
          </w:p>
        </w:tc>
        <w:tc>
          <w:tcPr>
            <w:tcW w:w="420" w:type="dxa"/>
            <w:vAlign w:val="bottom"/>
            <w:tcBorders>
              <w:bottom w:val="single" w:sz="8" w:color="auto"/>
            </w:tcBorders>
            <w:shd w:val="clear" w:color="auto" w:fill="E5E5E5"/>
          </w:tcPr>
          <w:p>
            <w:pPr>
              <w:spacing w:after="0"/>
              <w:rPr>
                <w:sz w:val="12"/>
                <w:szCs w:val="12"/>
                <w:color w:val="auto"/>
              </w:rPr>
            </w:pP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36</w:t>
            </w:r>
          </w:p>
        </w:tc>
        <w:tc>
          <w:tcPr>
            <w:tcW w:w="18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right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6"/>
              </w:rPr>
              <w:t>3,220</w:t>
            </w:r>
          </w:p>
        </w:tc>
        <w:tc>
          <w:tcPr>
            <w:tcW w:w="320" w:type="dxa"/>
            <w:vAlign w:val="bottom"/>
            <w:tcBorders>
              <w:bottom w:val="single" w:sz="8" w:color="auto"/>
            </w:tcBorders>
            <w:shd w:val="clear" w:color="auto" w:fill="E5E5E5"/>
          </w:tcPr>
          <w:p>
            <w:pPr>
              <w:spacing w:after="0"/>
              <w:rPr>
                <w:sz w:val="12"/>
                <w:szCs w:val="12"/>
                <w:color w:val="auto"/>
              </w:rPr>
            </w:pPr>
          </w:p>
        </w:tc>
        <w:tc>
          <w:tcPr>
            <w:tcW w:w="1080" w:type="dxa"/>
            <w:vAlign w:val="bottom"/>
            <w:tcBorders>
              <w:bottom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right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3,085</w:t>
            </w:r>
          </w:p>
        </w:tc>
        <w:tc>
          <w:tcPr>
            <w:tcW w:w="340" w:type="dxa"/>
            <w:vAlign w:val="bottom"/>
            <w:tcBorders>
              <w:bottom w:val="single" w:sz="8" w:color="auto"/>
            </w:tcBorders>
            <w:shd w:val="clear" w:color="auto" w:fill="E5E5E5"/>
          </w:tcPr>
          <w:p>
            <w:pPr>
              <w:spacing w:after="0"/>
              <w:rPr>
                <w:sz w:val="12"/>
                <w:szCs w:val="12"/>
                <w:color w:val="auto"/>
              </w:rPr>
            </w:pPr>
          </w:p>
        </w:tc>
        <w:tc>
          <w:tcPr>
            <w:tcW w:w="1020" w:type="dxa"/>
            <w:vAlign w:val="bottom"/>
            <w:tcBorders>
              <w:bottom w:val="single" w:sz="8" w:color="auto"/>
            </w:tcBorders>
            <w:shd w:val="clear" w:color="auto" w:fill="E5E5E5"/>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3,220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2" w:lineRule="exact"/>
              <w:rPr>
                <w:sz w:val="20"/>
                <w:szCs w:val="20"/>
                <w:color w:val="auto"/>
              </w:rPr>
            </w:pPr>
            <w:r>
              <w:rPr>
                <w:rFonts w:ascii="Arial" w:cs="Arial" w:eastAsia="Arial" w:hAnsi="Arial"/>
                <w:sz w:val="14"/>
                <w:szCs w:val="14"/>
                <w:color w:val="auto"/>
              </w:rPr>
              <w:t>Operating Income (Loss)</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6"/>
              </w:rPr>
              <w:t>3,419</w:t>
            </w:r>
          </w:p>
        </w:tc>
        <w:tc>
          <w:tcPr>
            <w:tcW w:w="4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103</w:t>
            </w:r>
          </w:p>
        </w:tc>
        <w:tc>
          <w:tcPr>
            <w:tcW w:w="4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217)</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6"/>
              </w:rPr>
              <w:t>3,305</w:t>
            </w:r>
          </w:p>
        </w:tc>
        <w:tc>
          <w:tcPr>
            <w:tcW w:w="32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2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3,419</w:t>
            </w:r>
          </w:p>
        </w:tc>
        <w:tc>
          <w:tcPr>
            <w:tcW w:w="3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60" w:type="dxa"/>
            <w:vAlign w:val="bottom"/>
            <w:tcBorders>
              <w:bottom w:val="single" w:sz="8" w:color="E5E5E5"/>
            </w:tcBorders>
            <w:gridSpan w:val="3"/>
            <w:shd w:val="clear" w:color="auto" w:fill="E5E5E5"/>
          </w:tcPr>
          <w:p>
            <w:pPr>
              <w:spacing w:after="0" w:line="149" w:lineRule="exact"/>
              <w:rPr>
                <w:sz w:val="20"/>
                <w:szCs w:val="20"/>
                <w:color w:val="auto"/>
              </w:rPr>
            </w:pPr>
            <w:r>
              <w:rPr>
                <w:rFonts w:ascii="Arial" w:cs="Arial" w:eastAsia="Arial" w:hAnsi="Arial"/>
                <w:sz w:val="14"/>
                <w:szCs w:val="14"/>
                <w:color w:val="auto"/>
              </w:rPr>
              <w:t>Capital Expenditures</w:t>
            </w:r>
          </w:p>
        </w:tc>
        <w:tc>
          <w:tcPr>
            <w:tcW w:w="26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6"/>
              </w:rPr>
              <w:t>2,609</w:t>
            </w:r>
          </w:p>
        </w:tc>
        <w:tc>
          <w:tcPr>
            <w:tcW w:w="440" w:type="dxa"/>
            <w:vAlign w:val="bottom"/>
            <w:tcBorders>
              <w:bottom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420" w:type="dxa"/>
            <w:vAlign w:val="bottom"/>
            <w:tcBorders>
              <w:bottom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112</w:t>
            </w:r>
          </w:p>
        </w:tc>
        <w:tc>
          <w:tcPr>
            <w:tcW w:w="18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w w:val="96"/>
              </w:rPr>
              <w:t>2,731</w:t>
            </w:r>
          </w:p>
        </w:tc>
        <w:tc>
          <w:tcPr>
            <w:tcW w:w="320" w:type="dxa"/>
            <w:vAlign w:val="bottom"/>
            <w:tcBorders>
              <w:bottom w:val="single" w:sz="8" w:color="auto"/>
            </w:tcBorders>
            <w:shd w:val="clear" w:color="auto" w:fill="E5E5E5"/>
          </w:tcPr>
          <w:p>
            <w:pPr>
              <w:ind w:left="180"/>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0" w:type="dxa"/>
            <w:vAlign w:val="bottom"/>
            <w:tcBorders>
              <w:bottom w:val="single" w:sz="8" w:color="auto"/>
            </w:tcBorders>
            <w:shd w:val="clear" w:color="auto" w:fill="E5E5E5"/>
          </w:tcPr>
          <w:p>
            <w:pPr>
              <w:ind w:left="4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2,609</w:t>
            </w:r>
          </w:p>
        </w:tc>
        <w:tc>
          <w:tcPr>
            <w:tcW w:w="340" w:type="dxa"/>
            <w:vAlign w:val="bottom"/>
            <w:tcBorders>
              <w:bottom w:val="single" w:sz="8" w:color="auto"/>
            </w:tcBorders>
            <w:shd w:val="clear" w:color="auto" w:fill="E5E5E5"/>
          </w:tcPr>
          <w:p>
            <w:pPr>
              <w:ind w:left="18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shd w:val="clear" w:color="auto" w:fill="E5E5E5"/>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2,731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Six Months Ended June 30, 2007</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Revenue</w:t>
            </w:r>
          </w:p>
        </w:tc>
        <w:tc>
          <w:tcPr>
            <w:tcW w:w="1680" w:type="dxa"/>
            <w:vAlign w:val="bottom"/>
            <w:gridSpan w:val="2"/>
            <w:shd w:val="clear" w:color="auto" w:fill="E5E5E5"/>
          </w:tcPr>
          <w:p>
            <w:pPr>
              <w:spacing w:after="0"/>
              <w:rPr>
                <w:sz w:val="12"/>
                <w:szCs w:val="12"/>
                <w:color w:val="auto"/>
              </w:rPr>
            </w:pPr>
          </w:p>
        </w:tc>
        <w:tc>
          <w:tcPr>
            <w:tcW w:w="26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79"/>
              </w:rPr>
              <w:t>14,328</w:t>
            </w:r>
          </w:p>
        </w:tc>
        <w:tc>
          <w:tcPr>
            <w:tcW w:w="440" w:type="dxa"/>
            <w:vAlign w:val="bottom"/>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636</w:t>
            </w:r>
          </w:p>
        </w:tc>
        <w:tc>
          <w:tcPr>
            <w:tcW w:w="420" w:type="dxa"/>
            <w:vAlign w:val="bottom"/>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136</w:t>
            </w:r>
          </w:p>
        </w:tc>
        <w:tc>
          <w:tcPr>
            <w:tcW w:w="18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79"/>
              </w:rPr>
              <w:t>15,100</w:t>
            </w:r>
          </w:p>
        </w:tc>
        <w:tc>
          <w:tcPr>
            <w:tcW w:w="320" w:type="dxa"/>
            <w:vAlign w:val="bottom"/>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441</w:t>
            </w:r>
          </w:p>
        </w:tc>
        <w:tc>
          <w:tcPr>
            <w:tcW w:w="220" w:type="dxa"/>
            <w:vAlign w:val="bottom"/>
            <w:shd w:val="clear" w:color="auto" w:fill="E5E5E5"/>
          </w:tcPr>
          <w:p>
            <w:pPr>
              <w:ind w:left="4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14,769</w:t>
            </w:r>
          </w:p>
        </w:tc>
        <w:tc>
          <w:tcPr>
            <w:tcW w:w="340" w:type="dxa"/>
            <w:vAlign w:val="bottom"/>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441</w:t>
            </w:r>
          </w:p>
        </w:tc>
        <w:tc>
          <w:tcPr>
            <w:tcW w:w="200" w:type="dxa"/>
            <w:vAlign w:val="bottom"/>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15,541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3580" w:type="dxa"/>
            <w:vAlign w:val="bottom"/>
            <w:gridSpan w:val="4"/>
          </w:tcPr>
          <w:p>
            <w:pPr>
              <w:spacing w:after="0"/>
              <w:rPr>
                <w:sz w:val="20"/>
                <w:szCs w:val="20"/>
                <w:color w:val="auto"/>
              </w:rPr>
            </w:pPr>
            <w:r>
              <w:rPr>
                <w:rFonts w:ascii="Arial" w:cs="Arial" w:eastAsia="Arial" w:hAnsi="Arial"/>
                <w:sz w:val="14"/>
                <w:szCs w:val="14"/>
                <w:color w:val="auto"/>
                <w:w w:val="92"/>
              </w:rPr>
              <w:t>Operating Expenses (excluding depreciation and amortization)</w:t>
            </w:r>
          </w:p>
        </w:tc>
        <w:tc>
          <w:tcPr>
            <w:tcW w:w="260" w:type="dxa"/>
            <w:vAlign w:val="bottom"/>
          </w:tcPr>
          <w:p>
            <w:pPr>
              <w:spacing w:after="0"/>
              <w:rPr>
                <w:sz w:val="24"/>
                <w:szCs w:val="2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w w:val="96"/>
              </w:rPr>
              <w:t>8,504</w:t>
            </w:r>
          </w:p>
        </w:tc>
        <w:tc>
          <w:tcPr>
            <w:tcW w:w="440" w:type="dxa"/>
            <w:vAlign w:val="bottom"/>
          </w:tcPr>
          <w:p>
            <w:pPr>
              <w:spacing w:after="0"/>
              <w:rPr>
                <w:sz w:val="24"/>
                <w:szCs w:val="2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496</w:t>
            </w:r>
          </w:p>
        </w:tc>
        <w:tc>
          <w:tcPr>
            <w:tcW w:w="42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325</w:t>
            </w:r>
          </w:p>
        </w:tc>
        <w:tc>
          <w:tcPr>
            <w:tcW w:w="180" w:type="dxa"/>
            <w:vAlign w:val="bottom"/>
          </w:tcPr>
          <w:p>
            <w:pPr>
              <w:spacing w:after="0"/>
              <w:rPr>
                <w:sz w:val="24"/>
                <w:szCs w:val="24"/>
                <w:color w:val="auto"/>
              </w:rPr>
            </w:pPr>
          </w:p>
        </w:tc>
        <w:tc>
          <w:tcPr>
            <w:tcW w:w="52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w w:val="96"/>
              </w:rPr>
              <w:t>9,325</w:t>
            </w:r>
          </w:p>
        </w:tc>
        <w:tc>
          <w:tcPr>
            <w:tcW w:w="32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265</w:t>
            </w:r>
          </w:p>
        </w:tc>
        <w:tc>
          <w:tcPr>
            <w:tcW w:w="220" w:type="dxa"/>
            <w:vAlign w:val="bottom"/>
          </w:tcPr>
          <w:p>
            <w:pPr>
              <w:spacing w:after="0"/>
              <w:rPr>
                <w:sz w:val="24"/>
                <w:szCs w:val="24"/>
                <w:color w:val="auto"/>
              </w:rPr>
            </w:pPr>
          </w:p>
        </w:tc>
        <w:tc>
          <w:tcPr>
            <w:tcW w:w="74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8,769</w:t>
            </w:r>
          </w:p>
        </w:tc>
        <w:tc>
          <w:tcPr>
            <w:tcW w:w="34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265</w:t>
            </w:r>
          </w:p>
        </w:tc>
        <w:tc>
          <w:tcPr>
            <w:tcW w:w="2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9,590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gridSpan w:val="3"/>
            <w:shd w:val="clear" w:color="auto" w:fill="E5E5E5"/>
          </w:tcPr>
          <w:p>
            <w:pPr>
              <w:spacing w:after="0" w:line="142" w:lineRule="exact"/>
              <w:rPr>
                <w:sz w:val="20"/>
                <w:szCs w:val="20"/>
                <w:color w:val="auto"/>
              </w:rPr>
            </w:pPr>
            <w:r>
              <w:rPr>
                <w:rFonts w:ascii="Arial" w:cs="Arial" w:eastAsia="Arial" w:hAnsi="Arial"/>
                <w:sz w:val="14"/>
                <w:szCs w:val="14"/>
                <w:color w:val="auto"/>
              </w:rPr>
              <w:t>Operating Cash Flow</w:t>
            </w:r>
          </w:p>
        </w:tc>
        <w:tc>
          <w:tcPr>
            <w:tcW w:w="26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6"/>
              </w:rPr>
              <w:t>5,824</w:t>
            </w:r>
          </w:p>
        </w:tc>
        <w:tc>
          <w:tcPr>
            <w:tcW w:w="44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140</w:t>
            </w:r>
          </w:p>
        </w:tc>
        <w:tc>
          <w:tcPr>
            <w:tcW w:w="42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189)</w:t>
            </w:r>
          </w:p>
        </w:tc>
        <w:tc>
          <w:tcPr>
            <w:tcW w:w="18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right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96"/>
              </w:rPr>
              <w:t>5,775</w:t>
            </w:r>
          </w:p>
        </w:tc>
        <w:tc>
          <w:tcPr>
            <w:tcW w:w="32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176</w:t>
            </w:r>
          </w:p>
        </w:tc>
        <w:tc>
          <w:tcPr>
            <w:tcW w:w="220" w:type="dxa"/>
            <w:vAlign w:val="bottom"/>
            <w:tcBorders>
              <w:top w:val="single" w:sz="8" w:color="auto"/>
            </w:tcBorders>
            <w:shd w:val="clear" w:color="auto" w:fill="E5E5E5"/>
          </w:tcPr>
          <w:p>
            <w:pPr>
              <w:ind w:left="4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right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6,000</w:t>
            </w:r>
          </w:p>
        </w:tc>
        <w:tc>
          <w:tcPr>
            <w:tcW w:w="34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176</w:t>
            </w:r>
          </w:p>
        </w:tc>
        <w:tc>
          <w:tcPr>
            <w:tcW w:w="200" w:type="dxa"/>
            <w:vAlign w:val="bottom"/>
            <w:tcBorders>
              <w:top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5,951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6"/>
              </w:rPr>
              <w:t>2,911</w:t>
            </w: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93</w:t>
            </w: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42</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6"/>
              </w:rPr>
              <w:t>3,046</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76</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2,987</w:t>
            </w: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75</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Borders>
              <w:bottom w:val="single" w:sz="8" w:color="E5E5E5"/>
            </w:tcBorders>
            <w:gridSpan w:val="3"/>
            <w:shd w:val="clear" w:color="auto" w:fill="E5E5E5"/>
          </w:tcPr>
          <w:p>
            <w:pPr>
              <w:spacing w:after="0" w:line="142" w:lineRule="exact"/>
              <w:rPr>
                <w:sz w:val="20"/>
                <w:szCs w:val="20"/>
                <w:color w:val="auto"/>
              </w:rPr>
            </w:pPr>
            <w:r>
              <w:rPr>
                <w:rFonts w:ascii="Arial" w:cs="Arial" w:eastAsia="Arial" w:hAnsi="Arial"/>
                <w:sz w:val="14"/>
                <w:szCs w:val="14"/>
                <w:color w:val="auto"/>
              </w:rPr>
              <w:t>Operating Income (Loss)</w:t>
            </w:r>
          </w:p>
        </w:tc>
        <w:tc>
          <w:tcPr>
            <w:tcW w:w="26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6"/>
              </w:rPr>
              <w:t>2,913</w:t>
            </w:r>
          </w:p>
        </w:tc>
        <w:tc>
          <w:tcPr>
            <w:tcW w:w="44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47</w:t>
            </w:r>
          </w:p>
        </w:tc>
        <w:tc>
          <w:tcPr>
            <w:tcW w:w="420" w:type="dxa"/>
            <w:vAlign w:val="bottom"/>
            <w:tcBorders>
              <w:bottom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231)</w:t>
            </w:r>
          </w:p>
        </w:tc>
        <w:tc>
          <w:tcPr>
            <w:tcW w:w="18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shd w:val="clear" w:color="auto" w:fill="E5E5E5"/>
          </w:tcPr>
          <w:p>
            <w:pPr>
              <w:jc w:val="right"/>
              <w:ind w:right="92"/>
              <w:spacing w:after="0" w:line="142" w:lineRule="exact"/>
              <w:rPr>
                <w:sz w:val="20"/>
                <w:szCs w:val="20"/>
                <w:color w:val="auto"/>
              </w:rPr>
            </w:pPr>
            <w:r>
              <w:rPr>
                <w:rFonts w:ascii="Arial" w:cs="Arial" w:eastAsia="Arial" w:hAnsi="Arial"/>
                <w:sz w:val="14"/>
                <w:szCs w:val="14"/>
                <w:color w:val="auto"/>
                <w:w w:val="96"/>
              </w:rPr>
              <w:t>2,729</w:t>
            </w:r>
          </w:p>
        </w:tc>
        <w:tc>
          <w:tcPr>
            <w:tcW w:w="32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shd w:val="clear" w:color="auto" w:fill="E5E5E5"/>
          </w:tcPr>
          <w:p>
            <w:pPr>
              <w:ind w:left="4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3,013</w:t>
            </w:r>
          </w:p>
        </w:tc>
        <w:tc>
          <w:tcPr>
            <w:tcW w:w="340" w:type="dxa"/>
            <w:vAlign w:val="bottom"/>
            <w:tcBorders>
              <w:bottom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101</w:t>
            </w:r>
          </w:p>
        </w:tc>
        <w:tc>
          <w:tcPr>
            <w:tcW w:w="200" w:type="dxa"/>
            <w:vAlign w:val="bottom"/>
            <w:tcBorders>
              <w:bottom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2,830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3580" w:type="dxa"/>
            <w:vAlign w:val="bottom"/>
            <w:gridSpan w:val="4"/>
          </w:tcPr>
          <w:p>
            <w:pPr>
              <w:spacing w:after="0"/>
              <w:rPr>
                <w:sz w:val="20"/>
                <w:szCs w:val="20"/>
                <w:color w:val="auto"/>
              </w:rPr>
            </w:pPr>
            <w:r>
              <w:rPr>
                <w:rFonts w:ascii="Arial" w:cs="Arial" w:eastAsia="Arial" w:hAnsi="Arial"/>
                <w:sz w:val="14"/>
                <w:szCs w:val="14"/>
                <w:color w:val="auto"/>
              </w:rPr>
              <w:t>Capital Expenditures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6"/>
              </w:rPr>
              <w:t>3,029</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4"/>
                <w:szCs w:val="14"/>
                <w:color w:val="auto"/>
                <w:w w:val="96"/>
              </w:rPr>
              <w:t>3,058</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66</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ind w:right="72"/>
              <w:spacing w:after="0"/>
              <w:rPr>
                <w:sz w:val="20"/>
                <w:szCs w:val="20"/>
                <w:color w:val="auto"/>
              </w:rPr>
            </w:pPr>
            <w:r>
              <w:rPr>
                <w:rFonts w:ascii="Arial" w:cs="Arial" w:eastAsia="Arial" w:hAnsi="Arial"/>
                <w:sz w:val="14"/>
                <w:szCs w:val="14"/>
                <w:color w:val="auto"/>
              </w:rPr>
              <w:t>3,095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66</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3,124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 forma data is adjusted only for timing of acquisitions or dispositions and does not include adjustments for costs related to integration activities, cost savings or synergies that have been or may be achieved by the combined businesses. Pro forma results are presented as if the acquisitions and dispositions were effective on January 1, 2007. Minor differences may exist due to rounding.</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Pro Forma adjustments and Cable Pro Forma adjustments for 2007 include the results of Comcast SportsNet Bay Area and Comcast SportsNet New England, the cable system acquired from Patriot Media Holdings, LLC and the cable systems resulting from the dissolution of the Insight Midwest Partnership.</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97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7-B</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Net Income to Adjusted Net Income</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gridSpan w:val="3"/>
          </w:tcPr>
          <w:p>
            <w:pPr>
              <w:jc w:val="center"/>
              <w:ind w:right="261"/>
              <w:spacing w:after="0"/>
              <w:rPr>
                <w:sz w:val="20"/>
                <w:szCs w:val="20"/>
                <w:color w:val="auto"/>
              </w:rPr>
            </w:pPr>
            <w:r>
              <w:rPr>
                <w:rFonts w:ascii="Arial" w:cs="Arial" w:eastAsia="Arial" w:hAnsi="Arial"/>
                <w:sz w:val="14"/>
                <w:szCs w:val="14"/>
                <w:b w:val="1"/>
                <w:bCs w:val="1"/>
                <w:color w:val="auto"/>
                <w:w w:val="89"/>
              </w:rPr>
              <w:t>Three Months Ended</w:t>
            </w:r>
          </w:p>
        </w:tc>
        <w:tc>
          <w:tcPr>
            <w:tcW w:w="700" w:type="dxa"/>
            <w:vAlign w:val="bottom"/>
            <w:tcBorders>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gridSpan w:val="2"/>
          </w:tcPr>
          <w:p>
            <w:pPr>
              <w:jc w:val="center"/>
              <w:ind w:left="303"/>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840" w:type="dxa"/>
            <w:vAlign w:val="bottom"/>
            <w:gridSpan w:val="2"/>
            <w:vMerge w:val="restart"/>
          </w:tcPr>
          <w:p>
            <w:pPr>
              <w:jc w:val="center"/>
              <w:ind w:left="162"/>
              <w:spacing w:after="0"/>
              <w:rPr>
                <w:sz w:val="20"/>
                <w:szCs w:val="20"/>
                <w:color w:val="auto"/>
              </w:rPr>
            </w:pPr>
            <w:r>
              <w:rPr>
                <w:rFonts w:ascii="Arial" w:cs="Arial" w:eastAsia="Arial" w:hAnsi="Arial"/>
                <w:sz w:val="14"/>
                <w:szCs w:val="14"/>
                <w:b w:val="1"/>
                <w:bCs w:val="1"/>
                <w:color w:val="auto"/>
                <w:w w:val="84"/>
              </w:rPr>
              <w:t>2008 vs. 2007</w:t>
            </w:r>
          </w:p>
        </w:tc>
        <w:tc>
          <w:tcPr>
            <w:tcW w:w="0" w:type="dxa"/>
            <w:vAlign w:val="bottom"/>
          </w:tcPr>
          <w:p>
            <w:pPr>
              <w:spacing w:after="0"/>
              <w:rPr>
                <w:sz w:val="1"/>
                <w:szCs w:val="1"/>
                <w:color w:val="auto"/>
              </w:rPr>
            </w:pPr>
          </w:p>
        </w:tc>
      </w:tr>
      <w:tr>
        <w:trPr>
          <w:trHeight w:val="136"/>
        </w:trPr>
        <w:tc>
          <w:tcPr>
            <w:tcW w:w="5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70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left="182"/>
              <w:spacing w:after="0"/>
              <w:rPr>
                <w:sz w:val="20"/>
                <w:szCs w:val="20"/>
                <w:color w:val="auto"/>
              </w:rPr>
            </w:pPr>
            <w:r>
              <w:rPr>
                <w:rFonts w:ascii="Arial" w:cs="Arial" w:eastAsia="Arial" w:hAnsi="Arial"/>
                <w:sz w:val="14"/>
                <w:szCs w:val="14"/>
                <w:b w:val="1"/>
                <w:bCs w:val="1"/>
                <w:color w:val="auto"/>
                <w:w w:val="93"/>
              </w:rPr>
              <w:t>Growth (%)</w:t>
            </w:r>
          </w:p>
        </w:tc>
        <w:tc>
          <w:tcPr>
            <w:tcW w:w="0" w:type="dxa"/>
            <w:vAlign w:val="bottom"/>
          </w:tcPr>
          <w:p>
            <w:pPr>
              <w:spacing w:after="0"/>
              <w:rPr>
                <w:sz w:val="1"/>
                <w:szCs w:val="1"/>
                <w:color w:val="auto"/>
              </w:rPr>
            </w:pPr>
          </w:p>
        </w:tc>
      </w:tr>
      <w:tr>
        <w:trPr>
          <w:trHeight w:val="169"/>
        </w:trPr>
        <w:tc>
          <w:tcPr>
            <w:tcW w:w="59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83"/>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right w:val="single" w:sz="8" w:color="auto"/>
            </w:tcBorders>
          </w:tcPr>
          <w:p>
            <w:pPr>
              <w:jc w:val="right"/>
              <w:ind w:right="138"/>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98"/>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10"/>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ind w:right="261"/>
              <w:spacing w:after="0"/>
              <w:rPr>
                <w:sz w:val="20"/>
                <w:szCs w:val="20"/>
                <w:color w:val="auto"/>
              </w:rPr>
            </w:pPr>
            <w:r>
              <w:rPr>
                <w:rFonts w:ascii="Arial" w:cs="Arial" w:eastAsia="Arial" w:hAnsi="Arial"/>
                <w:sz w:val="18"/>
                <w:szCs w:val="18"/>
                <w:b w:val="1"/>
                <w:bCs w:val="1"/>
                <w:color w:val="auto"/>
              </w:rPr>
              <w:t>632</w:t>
            </w:r>
          </w:p>
        </w:tc>
        <w:tc>
          <w:tcPr>
            <w:tcW w:w="740" w:type="dxa"/>
            <w:vAlign w:val="bottom"/>
            <w:shd w:val="clear" w:color="auto" w:fill="E5E5E5"/>
          </w:tcPr>
          <w:p>
            <w:pPr>
              <w:jc w:val="right"/>
              <w:ind w:right="143"/>
              <w:spacing w:after="0"/>
              <w:rPr>
                <w:sz w:val="20"/>
                <w:szCs w:val="20"/>
                <w:color w:val="auto"/>
              </w:rPr>
            </w:pPr>
            <w:r>
              <w:rPr>
                <w:rFonts w:ascii="Arial" w:cs="Arial" w:eastAsia="Arial" w:hAnsi="Arial"/>
                <w:sz w:val="18"/>
                <w:szCs w:val="18"/>
                <w:b w:val="1"/>
                <w:bCs w:val="1"/>
                <w:color w:val="auto"/>
                <w:w w:val="99"/>
              </w:rPr>
              <w:t>$ 0.21</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81"/>
              <w:spacing w:after="0"/>
              <w:rPr>
                <w:sz w:val="20"/>
                <w:szCs w:val="20"/>
                <w:color w:val="auto"/>
              </w:rPr>
            </w:pPr>
            <w:r>
              <w:rPr>
                <w:rFonts w:ascii="Arial" w:cs="Arial" w:eastAsia="Arial" w:hAnsi="Arial"/>
                <w:sz w:val="18"/>
                <w:szCs w:val="18"/>
                <w:color w:val="auto"/>
              </w:rPr>
              <w:t>588</w:t>
            </w:r>
          </w:p>
        </w:tc>
        <w:tc>
          <w:tcPr>
            <w:tcW w:w="700" w:type="dxa"/>
            <w:vAlign w:val="bottom"/>
            <w:tcBorders>
              <w:right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w w:val="95"/>
              </w:rPr>
              <w:t>$ 0.19</w:t>
            </w:r>
          </w:p>
        </w:tc>
        <w:tc>
          <w:tcPr>
            <w:tcW w:w="1080" w:type="dxa"/>
            <w:vAlign w:val="bottom"/>
            <w:shd w:val="clear" w:color="auto" w:fill="E5E5E5"/>
          </w:tcPr>
          <w:p>
            <w:pPr>
              <w:jc w:val="right"/>
              <w:ind w:right="162"/>
              <w:spacing w:after="0"/>
              <w:rPr>
                <w:sz w:val="20"/>
                <w:szCs w:val="20"/>
                <w:color w:val="auto"/>
              </w:rPr>
            </w:pPr>
            <w:r>
              <w:rPr>
                <w:rFonts w:ascii="Arial" w:cs="Arial" w:eastAsia="Arial" w:hAnsi="Arial"/>
                <w:sz w:val="18"/>
                <w:szCs w:val="18"/>
                <w:color w:val="auto"/>
              </w:rPr>
              <w:t>8%</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Adjustments</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19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Adjusted Net Income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ind w:right="261"/>
              <w:spacing w:after="0"/>
              <w:rPr>
                <w:sz w:val="20"/>
                <w:szCs w:val="20"/>
                <w:color w:val="auto"/>
              </w:rPr>
            </w:pPr>
            <w:r>
              <w:rPr>
                <w:rFonts w:ascii="Arial" w:cs="Arial" w:eastAsia="Arial" w:hAnsi="Arial"/>
                <w:sz w:val="18"/>
                <w:szCs w:val="18"/>
                <w:b w:val="1"/>
                <w:bCs w:val="1"/>
                <w:color w:val="auto"/>
              </w:rPr>
              <w:t>632</w:t>
            </w:r>
          </w:p>
        </w:tc>
        <w:tc>
          <w:tcPr>
            <w:tcW w:w="740" w:type="dxa"/>
            <w:vAlign w:val="bottom"/>
            <w:shd w:val="clear" w:color="auto" w:fill="E5E5E5"/>
          </w:tcPr>
          <w:p>
            <w:pPr>
              <w:jc w:val="right"/>
              <w:ind w:right="143"/>
              <w:spacing w:after="0"/>
              <w:rPr>
                <w:sz w:val="20"/>
                <w:szCs w:val="20"/>
                <w:color w:val="auto"/>
              </w:rPr>
            </w:pPr>
            <w:r>
              <w:rPr>
                <w:rFonts w:ascii="Arial" w:cs="Arial" w:eastAsia="Arial" w:hAnsi="Arial"/>
                <w:sz w:val="18"/>
                <w:szCs w:val="18"/>
                <w:b w:val="1"/>
                <w:bCs w:val="1"/>
                <w:color w:val="auto"/>
                <w:w w:val="99"/>
              </w:rPr>
              <w:t>$ 0.21</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81"/>
              <w:spacing w:after="0"/>
              <w:rPr>
                <w:sz w:val="20"/>
                <w:szCs w:val="20"/>
                <w:color w:val="auto"/>
              </w:rPr>
            </w:pPr>
            <w:r>
              <w:rPr>
                <w:rFonts w:ascii="Arial" w:cs="Arial" w:eastAsia="Arial" w:hAnsi="Arial"/>
                <w:sz w:val="18"/>
                <w:szCs w:val="18"/>
                <w:color w:val="auto"/>
              </w:rPr>
              <w:t>588</w:t>
            </w:r>
          </w:p>
        </w:tc>
        <w:tc>
          <w:tcPr>
            <w:tcW w:w="700" w:type="dxa"/>
            <w:vAlign w:val="bottom"/>
            <w:tcBorders>
              <w:right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w w:val="95"/>
              </w:rPr>
              <w:t>$ 0.19</w:t>
            </w:r>
          </w:p>
        </w:tc>
        <w:tc>
          <w:tcPr>
            <w:tcW w:w="1080" w:type="dxa"/>
            <w:vAlign w:val="bottom"/>
            <w:shd w:val="clear" w:color="auto" w:fill="E5E5E5"/>
          </w:tcPr>
          <w:p>
            <w:pPr>
              <w:jc w:val="right"/>
              <w:ind w:right="162"/>
              <w:spacing w:after="0"/>
              <w:rPr>
                <w:sz w:val="20"/>
                <w:szCs w:val="20"/>
                <w:color w:val="auto"/>
              </w:rPr>
            </w:pPr>
            <w:r>
              <w:rPr>
                <w:rFonts w:ascii="Arial" w:cs="Arial" w:eastAsia="Arial" w:hAnsi="Arial"/>
                <w:sz w:val="18"/>
                <w:szCs w:val="18"/>
                <w:color w:val="auto"/>
              </w:rPr>
              <w:t>8%</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7"/>
        </w:trPr>
        <w:tc>
          <w:tcPr>
            <w:tcW w:w="5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gridSpan w:val="3"/>
            <w:vMerge w:val="restart"/>
          </w:tcPr>
          <w:p>
            <w:pPr>
              <w:jc w:val="center"/>
              <w:ind w:right="261"/>
              <w:spacing w:after="0"/>
              <w:rPr>
                <w:sz w:val="20"/>
                <w:szCs w:val="20"/>
                <w:color w:val="auto"/>
              </w:rPr>
            </w:pPr>
            <w:r>
              <w:rPr>
                <w:rFonts w:ascii="Arial" w:cs="Arial" w:eastAsia="Arial" w:hAnsi="Arial"/>
                <w:sz w:val="14"/>
                <w:szCs w:val="14"/>
                <w:b w:val="1"/>
                <w:bCs w:val="1"/>
                <w:color w:val="auto"/>
                <w:w w:val="88"/>
              </w:rPr>
              <w:t>Six Months Ended</w:t>
            </w: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5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gridSpan w:val="2"/>
          </w:tcPr>
          <w:p>
            <w:pPr>
              <w:jc w:val="center"/>
              <w:ind w:left="303"/>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840" w:type="dxa"/>
            <w:vAlign w:val="bottom"/>
            <w:gridSpan w:val="2"/>
            <w:vMerge w:val="restart"/>
          </w:tcPr>
          <w:p>
            <w:pPr>
              <w:jc w:val="center"/>
              <w:ind w:left="162"/>
              <w:spacing w:after="0"/>
              <w:rPr>
                <w:sz w:val="20"/>
                <w:szCs w:val="20"/>
                <w:color w:val="auto"/>
              </w:rPr>
            </w:pPr>
            <w:r>
              <w:rPr>
                <w:rFonts w:ascii="Arial" w:cs="Arial" w:eastAsia="Arial" w:hAnsi="Arial"/>
                <w:sz w:val="14"/>
                <w:szCs w:val="14"/>
                <w:b w:val="1"/>
                <w:bCs w:val="1"/>
                <w:color w:val="auto"/>
                <w:w w:val="84"/>
              </w:rPr>
              <w:t>2008 vs. 2007</w:t>
            </w:r>
          </w:p>
        </w:tc>
        <w:tc>
          <w:tcPr>
            <w:tcW w:w="0" w:type="dxa"/>
            <w:vAlign w:val="bottom"/>
          </w:tcPr>
          <w:p>
            <w:pPr>
              <w:spacing w:after="0"/>
              <w:rPr>
                <w:sz w:val="1"/>
                <w:szCs w:val="1"/>
                <w:color w:val="auto"/>
              </w:rPr>
            </w:pPr>
          </w:p>
        </w:tc>
      </w:tr>
      <w:tr>
        <w:trPr>
          <w:trHeight w:val="136"/>
        </w:trPr>
        <w:tc>
          <w:tcPr>
            <w:tcW w:w="5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70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left="182"/>
              <w:spacing w:after="0"/>
              <w:rPr>
                <w:sz w:val="20"/>
                <w:szCs w:val="20"/>
                <w:color w:val="auto"/>
              </w:rPr>
            </w:pPr>
            <w:r>
              <w:rPr>
                <w:rFonts w:ascii="Arial" w:cs="Arial" w:eastAsia="Arial" w:hAnsi="Arial"/>
                <w:sz w:val="14"/>
                <w:szCs w:val="14"/>
                <w:b w:val="1"/>
                <w:bCs w:val="1"/>
                <w:color w:val="auto"/>
                <w:w w:val="93"/>
              </w:rPr>
              <w:t>Growth (%)</w:t>
            </w:r>
          </w:p>
        </w:tc>
        <w:tc>
          <w:tcPr>
            <w:tcW w:w="0" w:type="dxa"/>
            <w:vAlign w:val="bottom"/>
          </w:tcPr>
          <w:p>
            <w:pPr>
              <w:spacing w:after="0"/>
              <w:rPr>
                <w:sz w:val="1"/>
                <w:szCs w:val="1"/>
                <w:color w:val="auto"/>
              </w:rPr>
            </w:pPr>
          </w:p>
        </w:tc>
      </w:tr>
      <w:tr>
        <w:trPr>
          <w:trHeight w:val="169"/>
        </w:trPr>
        <w:tc>
          <w:tcPr>
            <w:tcW w:w="59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83"/>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right w:val="single" w:sz="8" w:color="auto"/>
            </w:tcBorders>
          </w:tcPr>
          <w:p>
            <w:pPr>
              <w:jc w:val="right"/>
              <w:ind w:right="138"/>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98"/>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10"/>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E5E5E5"/>
          </w:tcPr>
          <w:p>
            <w:pPr>
              <w:jc w:val="right"/>
              <w:ind w:right="261"/>
              <w:spacing w:after="0"/>
              <w:rPr>
                <w:sz w:val="20"/>
                <w:szCs w:val="20"/>
                <w:color w:val="auto"/>
              </w:rPr>
            </w:pPr>
            <w:r>
              <w:rPr>
                <w:rFonts w:ascii="Arial" w:cs="Arial" w:eastAsia="Arial" w:hAnsi="Arial"/>
                <w:sz w:val="18"/>
                <w:szCs w:val="18"/>
                <w:b w:val="1"/>
                <w:bCs w:val="1"/>
                <w:color w:val="auto"/>
              </w:rPr>
              <w:t>$1,364</w:t>
            </w:r>
          </w:p>
        </w:tc>
        <w:tc>
          <w:tcPr>
            <w:tcW w:w="740" w:type="dxa"/>
            <w:vAlign w:val="bottom"/>
            <w:shd w:val="clear" w:color="auto" w:fill="E5E5E5"/>
          </w:tcPr>
          <w:p>
            <w:pPr>
              <w:jc w:val="right"/>
              <w:ind w:right="143"/>
              <w:spacing w:after="0"/>
              <w:rPr>
                <w:sz w:val="20"/>
                <w:szCs w:val="20"/>
                <w:color w:val="auto"/>
              </w:rPr>
            </w:pPr>
            <w:r>
              <w:rPr>
                <w:rFonts w:ascii="Arial" w:cs="Arial" w:eastAsia="Arial" w:hAnsi="Arial"/>
                <w:sz w:val="18"/>
                <w:szCs w:val="18"/>
                <w:b w:val="1"/>
                <w:bCs w:val="1"/>
                <w:color w:val="auto"/>
                <w:w w:val="99"/>
              </w:rPr>
              <w:t>$ 0.46</w:t>
            </w:r>
          </w:p>
        </w:tc>
        <w:tc>
          <w:tcPr>
            <w:tcW w:w="1000" w:type="dxa"/>
            <w:vAlign w:val="bottom"/>
            <w:gridSpan w:val="2"/>
            <w:shd w:val="clear" w:color="auto" w:fill="E5E5E5"/>
          </w:tcPr>
          <w:p>
            <w:pPr>
              <w:jc w:val="right"/>
              <w:ind w:right="281"/>
              <w:spacing w:after="0"/>
              <w:rPr>
                <w:sz w:val="20"/>
                <w:szCs w:val="20"/>
                <w:color w:val="auto"/>
              </w:rPr>
            </w:pPr>
            <w:r>
              <w:rPr>
                <w:rFonts w:ascii="Arial" w:cs="Arial" w:eastAsia="Arial" w:hAnsi="Arial"/>
                <w:sz w:val="18"/>
                <w:szCs w:val="18"/>
                <w:color w:val="auto"/>
              </w:rPr>
              <w:t>$1,425</w:t>
            </w:r>
          </w:p>
        </w:tc>
        <w:tc>
          <w:tcPr>
            <w:tcW w:w="700" w:type="dxa"/>
            <w:vAlign w:val="bottom"/>
            <w:tcBorders>
              <w:right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w w:val="95"/>
              </w:rPr>
              <w:t>$ 0.45</w:t>
            </w:r>
          </w:p>
        </w:tc>
        <w:tc>
          <w:tcPr>
            <w:tcW w:w="1080" w:type="dxa"/>
            <w:vAlign w:val="bottom"/>
            <w:shd w:val="clear" w:color="auto" w:fill="E5E5E5"/>
          </w:tcPr>
          <w:p>
            <w:pPr>
              <w:jc w:val="right"/>
              <w:ind w:right="102"/>
              <w:spacing w:after="0"/>
              <w:rPr>
                <w:sz w:val="20"/>
                <w:szCs w:val="20"/>
                <w:color w:val="auto"/>
              </w:rPr>
            </w:pPr>
            <w:r>
              <w:rPr>
                <w:rFonts w:ascii="Arial" w:cs="Arial" w:eastAsia="Arial" w:hAnsi="Arial"/>
                <w:sz w:val="18"/>
                <w:szCs w:val="18"/>
                <w:color w:val="auto"/>
              </w:rPr>
              <w:t>(4%)</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0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1"/>
              </w:rPr>
              <w:t>Gain related to the dissolution of the Texas/Kansas City Cable Partnership,</w:t>
            </w:r>
          </w:p>
        </w:tc>
        <w:tc>
          <w:tcPr>
            <w:tcW w:w="540" w:type="dxa"/>
            <w:vAlign w:val="bottom"/>
            <w:shd w:val="clear" w:color="auto" w:fill="E5E5E5"/>
          </w:tcPr>
          <w:p>
            <w:pPr>
              <w:spacing w:after="0"/>
              <w:rPr>
                <w:sz w:val="18"/>
                <w:szCs w:val="18"/>
                <w:color w:val="auto"/>
              </w:rPr>
            </w:pPr>
          </w:p>
        </w:tc>
        <w:tc>
          <w:tcPr>
            <w:tcW w:w="700" w:type="dxa"/>
            <w:vAlign w:val="bottom"/>
            <w:vMerge w:val="restart"/>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E5E5E5"/>
          </w:tcPr>
          <w:p>
            <w:pPr>
              <w:jc w:val="right"/>
              <w:ind w:right="243"/>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00" w:type="dxa"/>
            <w:vAlign w:val="bottom"/>
            <w:shd w:val="clear" w:color="auto" w:fill="E5E5E5"/>
          </w:tcPr>
          <w:p>
            <w:pPr>
              <w:ind w:left="660"/>
              <w:spacing w:after="0" w:line="224" w:lineRule="exact"/>
              <w:rPr>
                <w:sz w:val="20"/>
                <w:szCs w:val="20"/>
                <w:color w:val="auto"/>
              </w:rPr>
            </w:pPr>
            <w:r>
              <w:rPr>
                <w:rFonts w:ascii="Arial" w:cs="Arial" w:eastAsia="Arial" w:hAnsi="Arial"/>
                <w:sz w:val="18"/>
                <w:szCs w:val="18"/>
                <w:color w:val="auto"/>
              </w:rPr>
              <w:t xml:space="preserve">net of tax </w:t>
            </w:r>
            <w:r>
              <w:rPr>
                <w:rFonts w:ascii="Arial" w:cs="Arial" w:eastAsia="Arial" w:hAnsi="Arial"/>
                <w:sz w:val="22"/>
                <w:szCs w:val="22"/>
                <w:color w:val="auto"/>
                <w:vertAlign w:val="superscript"/>
              </w:rPr>
              <w:t>(2)</w:t>
            </w:r>
          </w:p>
        </w:tc>
        <w:tc>
          <w:tcPr>
            <w:tcW w:w="540" w:type="dxa"/>
            <w:vAlign w:val="bottom"/>
            <w:shd w:val="clear" w:color="auto" w:fill="E5E5E5"/>
          </w:tcPr>
          <w:p>
            <w:pPr>
              <w:spacing w:after="0"/>
              <w:rPr>
                <w:sz w:val="19"/>
                <w:szCs w:val="19"/>
                <w:color w:val="auto"/>
              </w:rPr>
            </w:pPr>
          </w:p>
        </w:tc>
        <w:tc>
          <w:tcPr>
            <w:tcW w:w="700" w:type="dxa"/>
            <w:vAlign w:val="bottom"/>
            <w:vMerge w:val="continue"/>
            <w:shd w:val="clear" w:color="auto" w:fill="E5E5E5"/>
          </w:tcPr>
          <w:p>
            <w:pPr>
              <w:spacing w:after="0"/>
              <w:rPr>
                <w:sz w:val="19"/>
                <w:szCs w:val="19"/>
                <w:color w:val="auto"/>
              </w:rPr>
            </w:pPr>
          </w:p>
        </w:tc>
        <w:tc>
          <w:tcPr>
            <w:tcW w:w="740" w:type="dxa"/>
            <w:vAlign w:val="bottom"/>
            <w:vMerge w:val="continue"/>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221"/>
              <w:spacing w:after="0"/>
              <w:rPr>
                <w:sz w:val="20"/>
                <w:szCs w:val="20"/>
                <w:color w:val="auto"/>
              </w:rPr>
            </w:pPr>
            <w:r>
              <w:rPr>
                <w:rFonts w:ascii="Arial" w:cs="Arial" w:eastAsia="Arial" w:hAnsi="Arial"/>
                <w:sz w:val="18"/>
                <w:szCs w:val="18"/>
                <w:color w:val="auto"/>
                <w:w w:val="95"/>
              </w:rPr>
              <w:t>(300)</w:t>
            </w:r>
          </w:p>
        </w:tc>
        <w:tc>
          <w:tcPr>
            <w:tcW w:w="700" w:type="dxa"/>
            <w:vAlign w:val="bottom"/>
            <w:tcBorders>
              <w:right w:val="single" w:sz="8" w:color="auto"/>
            </w:tcBorders>
            <w:shd w:val="clear" w:color="auto" w:fill="E5E5E5"/>
          </w:tcPr>
          <w:p>
            <w:pPr>
              <w:jc w:val="right"/>
              <w:ind w:right="58"/>
              <w:spacing w:after="0"/>
              <w:rPr>
                <w:sz w:val="20"/>
                <w:szCs w:val="20"/>
                <w:color w:val="auto"/>
              </w:rPr>
            </w:pPr>
            <w:r>
              <w:rPr>
                <w:rFonts w:ascii="Arial" w:cs="Arial" w:eastAsia="Arial" w:hAnsi="Arial"/>
                <w:sz w:val="18"/>
                <w:szCs w:val="18"/>
                <w:color w:val="auto"/>
              </w:rPr>
              <w:t>(0.09)</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NM</w:t>
            </w:r>
          </w:p>
        </w:tc>
        <w:tc>
          <w:tcPr>
            <w:tcW w:w="760" w:type="dxa"/>
            <w:vAlign w:val="bottom"/>
            <w:shd w:val="clear" w:color="auto" w:fill="E5E5E5"/>
          </w:tcPr>
          <w:p>
            <w:pPr>
              <w:ind w:left="3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0"/>
        </w:trPr>
        <w:tc>
          <w:tcPr>
            <w:tcW w:w="5900" w:type="dxa"/>
            <w:vAlign w:val="bottom"/>
          </w:tcPr>
          <w:p>
            <w:pPr>
              <w:ind w:left="440"/>
              <w:spacing w:after="0" w:line="201" w:lineRule="exact"/>
              <w:rPr>
                <w:sz w:val="20"/>
                <w:szCs w:val="20"/>
                <w:color w:val="auto"/>
              </w:rPr>
            </w:pPr>
            <w:r>
              <w:rPr>
                <w:rFonts w:ascii="Arial" w:cs="Arial" w:eastAsia="Arial" w:hAnsi="Arial"/>
                <w:sz w:val="18"/>
                <w:szCs w:val="18"/>
                <w:color w:val="auto"/>
                <w:w w:val="91"/>
              </w:rPr>
              <w:t>Gain related to the dissolution of the Insight Midwest partnership, net of tax</w:t>
            </w:r>
          </w:p>
        </w:tc>
        <w:tc>
          <w:tcPr>
            <w:tcW w:w="540" w:type="dxa"/>
            <w:vAlign w:val="bottom"/>
          </w:tcPr>
          <w:p>
            <w:pPr>
              <w:spacing w:after="0"/>
              <w:rPr>
                <w:sz w:val="17"/>
                <w:szCs w:val="17"/>
                <w:color w:val="auto"/>
              </w:rPr>
            </w:pPr>
          </w:p>
        </w:tc>
        <w:tc>
          <w:tcPr>
            <w:tcW w:w="700" w:type="dxa"/>
            <w:vAlign w:val="bottom"/>
            <w:vMerge w:val="restart"/>
          </w:tcPr>
          <w:p>
            <w:pPr>
              <w:jc w:val="right"/>
              <w:ind w:right="201"/>
              <w:spacing w:after="0"/>
              <w:rPr>
                <w:sz w:val="20"/>
                <w:szCs w:val="20"/>
                <w:color w:val="auto"/>
              </w:rPr>
            </w:pPr>
            <w:r>
              <w:rPr>
                <w:rFonts w:ascii="Arial" w:cs="Arial" w:eastAsia="Arial" w:hAnsi="Arial"/>
                <w:sz w:val="18"/>
                <w:szCs w:val="18"/>
                <w:b w:val="1"/>
                <w:bCs w:val="1"/>
                <w:color w:val="auto"/>
                <w:w w:val="95"/>
              </w:rPr>
              <w:t>(144)</w:t>
            </w:r>
          </w:p>
        </w:tc>
        <w:tc>
          <w:tcPr>
            <w:tcW w:w="740" w:type="dxa"/>
            <w:vAlign w:val="bottom"/>
            <w:vMerge w:val="restart"/>
          </w:tcPr>
          <w:p>
            <w:pPr>
              <w:jc w:val="right"/>
              <w:ind w:right="83"/>
              <w:spacing w:after="0"/>
              <w:rPr>
                <w:sz w:val="20"/>
                <w:szCs w:val="20"/>
                <w:color w:val="auto"/>
              </w:rPr>
            </w:pPr>
            <w:r>
              <w:rPr>
                <w:rFonts w:ascii="Arial" w:cs="Arial" w:eastAsia="Arial" w:hAnsi="Arial"/>
                <w:sz w:val="18"/>
                <w:szCs w:val="18"/>
                <w:b w:val="1"/>
                <w:bCs w:val="1"/>
                <w:color w:val="auto"/>
              </w:rPr>
              <w:t>(0.05)</w:t>
            </w:r>
          </w:p>
        </w:tc>
        <w:tc>
          <w:tcPr>
            <w:tcW w:w="280" w:type="dxa"/>
            <w:vAlign w:val="bottom"/>
          </w:tcPr>
          <w:p>
            <w:pPr>
              <w:spacing w:after="0"/>
              <w:rPr>
                <w:sz w:val="17"/>
                <w:szCs w:val="17"/>
                <w:color w:val="auto"/>
              </w:rPr>
            </w:pPr>
          </w:p>
        </w:tc>
        <w:tc>
          <w:tcPr>
            <w:tcW w:w="7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NM</w:t>
            </w:r>
          </w:p>
        </w:tc>
        <w:tc>
          <w:tcPr>
            <w:tcW w:w="760" w:type="dxa"/>
            <w:vAlign w:val="bottom"/>
            <w:vMerge w:val="restart"/>
          </w:tcPr>
          <w:p>
            <w:pPr>
              <w:ind w:left="3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0"/>
        </w:trPr>
        <w:tc>
          <w:tcPr>
            <w:tcW w:w="5900" w:type="dxa"/>
            <w:vAlign w:val="bottom"/>
          </w:tcPr>
          <w:p>
            <w:pPr>
              <w:ind w:left="660"/>
              <w:spacing w:after="0"/>
              <w:rPr>
                <w:sz w:val="20"/>
                <w:szCs w:val="20"/>
                <w:color w:val="auto"/>
              </w:rPr>
            </w:pPr>
            <w:r>
              <w:rPr>
                <w:rFonts w:ascii="Arial" w:cs="Arial" w:eastAsia="Arial" w:hAnsi="Arial"/>
                <w:sz w:val="11"/>
                <w:szCs w:val="11"/>
                <w:color w:val="auto"/>
              </w:rPr>
              <w:t>(3)</w:t>
            </w: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right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Adjusted Net Income</w:t>
            </w:r>
          </w:p>
        </w:tc>
        <w:tc>
          <w:tcPr>
            <w:tcW w:w="1240" w:type="dxa"/>
            <w:vAlign w:val="bottom"/>
            <w:gridSpan w:val="2"/>
            <w:shd w:val="clear" w:color="auto" w:fill="E5E5E5"/>
          </w:tcPr>
          <w:p>
            <w:pPr>
              <w:jc w:val="right"/>
              <w:ind w:right="261"/>
              <w:spacing w:after="0"/>
              <w:rPr>
                <w:sz w:val="20"/>
                <w:szCs w:val="20"/>
                <w:color w:val="auto"/>
              </w:rPr>
            </w:pPr>
            <w:r>
              <w:rPr>
                <w:rFonts w:ascii="Arial" w:cs="Arial" w:eastAsia="Arial" w:hAnsi="Arial"/>
                <w:sz w:val="18"/>
                <w:szCs w:val="18"/>
                <w:b w:val="1"/>
                <w:bCs w:val="1"/>
                <w:color w:val="auto"/>
              </w:rPr>
              <w:t>$1,220</w:t>
            </w:r>
          </w:p>
        </w:tc>
        <w:tc>
          <w:tcPr>
            <w:tcW w:w="740" w:type="dxa"/>
            <w:vAlign w:val="bottom"/>
            <w:shd w:val="clear" w:color="auto" w:fill="E5E5E5"/>
          </w:tcPr>
          <w:p>
            <w:pPr>
              <w:jc w:val="right"/>
              <w:ind w:right="143"/>
              <w:spacing w:after="0"/>
              <w:rPr>
                <w:sz w:val="20"/>
                <w:szCs w:val="20"/>
                <w:color w:val="auto"/>
              </w:rPr>
            </w:pPr>
            <w:r>
              <w:rPr>
                <w:rFonts w:ascii="Arial" w:cs="Arial" w:eastAsia="Arial" w:hAnsi="Arial"/>
                <w:sz w:val="18"/>
                <w:szCs w:val="18"/>
                <w:b w:val="1"/>
                <w:bCs w:val="1"/>
                <w:color w:val="auto"/>
                <w:w w:val="99"/>
              </w:rPr>
              <w:t>$ 0.41</w:t>
            </w:r>
          </w:p>
        </w:tc>
        <w:tc>
          <w:tcPr>
            <w:tcW w:w="1000" w:type="dxa"/>
            <w:vAlign w:val="bottom"/>
            <w:gridSpan w:val="2"/>
            <w:shd w:val="clear" w:color="auto" w:fill="E5E5E5"/>
          </w:tcPr>
          <w:p>
            <w:pPr>
              <w:jc w:val="right"/>
              <w:ind w:right="281"/>
              <w:spacing w:after="0"/>
              <w:rPr>
                <w:sz w:val="20"/>
                <w:szCs w:val="20"/>
                <w:color w:val="auto"/>
              </w:rPr>
            </w:pPr>
            <w:r>
              <w:rPr>
                <w:rFonts w:ascii="Arial" w:cs="Arial" w:eastAsia="Arial" w:hAnsi="Arial"/>
                <w:sz w:val="18"/>
                <w:szCs w:val="18"/>
                <w:color w:val="auto"/>
              </w:rPr>
              <w:t>$1,125</w:t>
            </w:r>
          </w:p>
        </w:tc>
        <w:tc>
          <w:tcPr>
            <w:tcW w:w="700" w:type="dxa"/>
            <w:vAlign w:val="bottom"/>
            <w:tcBorders>
              <w:right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w w:val="95"/>
              </w:rPr>
              <w:t>$ 0.36</w:t>
            </w:r>
          </w:p>
        </w:tc>
        <w:tc>
          <w:tcPr>
            <w:tcW w:w="1080" w:type="dxa"/>
            <w:vAlign w:val="bottom"/>
            <w:shd w:val="clear" w:color="auto" w:fill="E5E5E5"/>
          </w:tcPr>
          <w:p>
            <w:pPr>
              <w:jc w:val="right"/>
              <w:ind w:right="162"/>
              <w:spacing w:after="0"/>
              <w:rPr>
                <w:sz w:val="20"/>
                <w:szCs w:val="20"/>
                <w:color w:val="auto"/>
              </w:rPr>
            </w:pPr>
            <w:r>
              <w:rPr>
                <w:rFonts w:ascii="Arial" w:cs="Arial" w:eastAsia="Arial" w:hAnsi="Arial"/>
                <w:sz w:val="18"/>
                <w:szCs w:val="18"/>
                <w:color w:val="auto"/>
              </w:rPr>
              <w:t>9%</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diluted average number of common shares for the respective periods as presented in Table 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2007 Net Income includes a one-time gain, net of tax, related to the dissolution of the Texas/Kansas City Cable Partnership.</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2008 Net Income includes a one-time gain, net of tax, related to the dissolution of the Insight Midwest Partnership.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9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2019-12-15T06:54:09Z</dcterms:created>
  <dcterms:modified xsi:type="dcterms:W3CDTF">2019-12-15T06:54:09Z</dcterms:modified>
</cp:coreProperties>
</file>