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Comcast Corporation</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#20030N101</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#20030N101</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11,857,829</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89,964,858</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89,964,858</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4.212%</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#20030N101</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89,964,858</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89,964,858</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4.212%</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1500 Market Street</w:t>
      </w:r>
    </w:p>
    <w:p>
      <w:pPr>
        <w:ind w:left="1700"/>
        <w:spacing w:after="0"/>
        <w:tabs>
          <w:tab w:leader="none" w:pos="3580" w:val="left"/>
        </w:tabs>
        <w:rPr>
          <w:sz w:val="20"/>
          <w:szCs w:val="20"/>
          <w:color w:val="auto"/>
        </w:rPr>
      </w:pPr>
      <w:r>
        <w:rPr>
          <w:rFonts w:ascii="Courier New" w:cs="Courier New" w:eastAsia="Courier New" w:hAnsi="Courier New"/>
          <w:sz w:val="18"/>
          <w:szCs w:val="18"/>
          <w:color w:val="auto"/>
        </w:rPr>
        <w:t>Philadelphia, PA</w:t>
      </w:r>
      <w:r>
        <w:rPr>
          <w:sz w:val="20"/>
          <w:szCs w:val="20"/>
          <w:color w:val="auto"/>
        </w:rPr>
        <w:tab/>
      </w:r>
      <w:r>
        <w:rPr>
          <w:rFonts w:ascii="Courier New" w:cs="Courier New" w:eastAsia="Courier New" w:hAnsi="Courier New"/>
          <w:sz w:val="16"/>
          <w:szCs w:val="16"/>
          <w:color w:val="auto"/>
        </w:rPr>
        <w:t>19102-2148</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245 Summer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02210</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20030N101</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89,964,858</w:t>
      </w:r>
    </w:p>
    <w:p>
      <w:pPr>
        <w:sectPr>
          <w:pgSz w:w="11900" w:h="16838"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4.212%</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11,857,829</w:t>
      </w:r>
    </w:p>
    <w:p>
      <w:pPr>
        <w:spacing w:after="0" w:line="200" w:lineRule="exact"/>
        <w:rPr>
          <w:sz w:val="20"/>
          <w:szCs w:val="20"/>
          <w:color w:val="auto"/>
        </w:rPr>
      </w:pPr>
    </w:p>
    <w:p>
      <w:pPr>
        <w:sectPr>
          <w:pgSz w:w="11900" w:h="16838" w:orient="portrait"/>
          <w:cols w:equalWidth="0" w:num="2">
            <w:col w:w="1160" w:space="540"/>
            <w:col w:w="8519"/>
          </w:cols>
          <w:pgMar w:left="240" w:top="136"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89,964,858</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419" w:firstLine="843"/>
        <w:spacing w:after="0" w:line="235"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beneficial owner of more than five percent of the class of securities, check the following (X).</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jc w:val="center"/>
        <w:ind w:right="693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ind w:right="2839" w:firstLine="843"/>
        <w:spacing w:after="0" w:line="237" w:lineRule="auto"/>
        <w:rPr>
          <w:sz w:val="20"/>
          <w:szCs w:val="20"/>
          <w:color w:val="auto"/>
        </w:rPr>
      </w:pPr>
      <w:r>
        <w:rPr>
          <w:rFonts w:ascii="Courier New" w:cs="Courier New" w:eastAsia="Courier New" w:hAnsi="Courier New"/>
          <w:sz w:val="18"/>
          <w:szCs w:val="18"/>
          <w:color w:val="auto"/>
        </w:rPr>
        <w:t>Inasmuch as the reporting persons are no longer the beneficial owners of more than five percent of the number of shares outstanding, the reporting persons have no further reporting obligation under Section 13(d) of the Securities and Exchange Commission thereunder, and the reporting persons have no obligation to amend this Statement if any material change</w:t>
      </w:r>
    </w:p>
    <w:p>
      <w:pPr>
        <w:spacing w:after="0" w:line="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occurs in the facts set forth herein. I also certify that, to the best of my knowledge and belief, FIL Limited and its various non-U.S. investment management subsidiaries included on</w:t>
      </w:r>
    </w:p>
    <w:p>
      <w:pPr>
        <w:spacing w:after="0" w:line="6"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this Schedule 13G are subject to a regulatory scheme substantially comparable to the regulatory scheme applicable to the functionally equivalent U.S. institutions. I also undertake to furnish to the Commission staff, upon request, information that would otherwise be disclosed in a Schedule 13D with respect to FIL Limited and its various non-U.S. investment management subsidiaries included on this Schedule 13G.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2014</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rPr>
          <w:sz w:val="20"/>
          <w:szCs w:val="20"/>
          <w:color w:val="auto"/>
        </w:rPr>
      </w:pPr>
      <w:r>
        <w:rPr>
          <w:rFonts w:ascii="Courier New" w:cs="Courier New" w:eastAsia="Courier New" w:hAnsi="Courier New"/>
          <w:sz w:val="18"/>
          <w:szCs w:val="18"/>
          <w:color w:val="auto"/>
        </w:rPr>
        <w:t>effective as of June 1, 2008 by and on behalf of FMR LLC</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tabs>
          <w:tab w:leader="none" w:pos="3040" w:val="left"/>
        </w:tabs>
        <w:rPr>
          <w:sz w:val="20"/>
          <w:szCs w:val="20"/>
          <w:color w:val="auto"/>
        </w:rPr>
      </w:pPr>
      <w:r>
        <w:rPr>
          <w:rFonts w:ascii="Courier New" w:cs="Courier New" w:eastAsia="Courier New" w:hAnsi="Courier New"/>
          <w:sz w:val="18"/>
          <w:szCs w:val="18"/>
          <w:color w:val="auto"/>
        </w:rPr>
        <w:t>and its direct and indirect</w:t>
      </w:r>
      <w:r>
        <w:rPr>
          <w:sz w:val="20"/>
          <w:szCs w:val="20"/>
          <w:color w:val="auto"/>
        </w:rPr>
        <w:tab/>
      </w:r>
      <w:r>
        <w:rPr>
          <w:rFonts w:ascii="Courier New" w:cs="Courier New" w:eastAsia="Courier New" w:hAnsi="Courier New"/>
          <w:sz w:val="16"/>
          <w:szCs w:val="16"/>
          <w:color w:val="auto"/>
        </w:rPr>
        <w:t>subsidiaries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3579" w:firstLine="843"/>
        <w:spacing w:after="0" w:line="236"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245 Summer Street, Boston, Massachusetts 02210, a wholly-</w:t>
      </w:r>
    </w:p>
    <w:p>
      <w:pPr>
        <w:spacing w:after="0" w:line="6" w:lineRule="exact"/>
        <w:rPr>
          <w:sz w:val="20"/>
          <w:szCs w:val="20"/>
          <w:color w:val="auto"/>
        </w:rPr>
      </w:pPr>
    </w:p>
    <w:p>
      <w:pPr>
        <w:ind w:right="3779"/>
        <w:spacing w:after="0" w:line="272" w:lineRule="auto"/>
        <w:rPr>
          <w:sz w:val="20"/>
          <w:szCs w:val="20"/>
          <w:color w:val="auto"/>
        </w:rPr>
      </w:pPr>
      <w:r>
        <w:rPr>
          <w:rFonts w:ascii="Courier New" w:cs="Courier New" w:eastAsia="Courier New" w:hAnsi="Courier New"/>
          <w:sz w:val="16"/>
          <w:szCs w:val="16"/>
          <w:color w:val="auto"/>
        </w:rPr>
        <w:t>owned subsidiary of FMR LLC and an investment adviser registered under Section 203 of the Investment Advisers Act of 1940, is the beneficial owner of 74,117,576 shares or 3.470% of the Common Stock outstanding of Comcast Corporation ("the Company") as a result of acting as investment adviser to various investment companies registered under Section 8 of the Investment Company Act of 1940.</w:t>
      </w:r>
    </w:p>
    <w:p>
      <w:pPr>
        <w:spacing w:after="0" w:line="388"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74,117,576 shares owned by the Funds.</w:t>
      </w:r>
    </w:p>
    <w:p>
      <w:pPr>
        <w:spacing w:after="0" w:line="209"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SelectCo, LLC ("SelectCo"), 1225 17th Street, Suite 1100, Denver, Colorado 80202, a wholly-owned subsidiary of FMR LLC and an investment adviser registered under Section 203 of the Investment Advisers Act of 1940, is the beneficial owner of 2,290,627 shares or 0.107% of the Common Stock outstanding of Comcast Corporation ("the Company") as a result of acting as investment adviser to various investment companies registered under Section 8 of the Investment Company Act of 1940 (the "SelectCo Funds").</w:t>
      </w:r>
    </w:p>
    <w:p>
      <w:pPr>
        <w:spacing w:after="0" w:line="214" w:lineRule="exact"/>
        <w:rPr>
          <w:sz w:val="20"/>
          <w:szCs w:val="20"/>
          <w:color w:val="auto"/>
        </w:rPr>
      </w:pPr>
    </w:p>
    <w:p>
      <w:pPr>
        <w:ind w:right="419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SelectCo, and the SelectCo Funds each has sole power to dispose of the 2,290,627 owned by the SelectCo Funds.</w:t>
      </w:r>
    </w:p>
    <w:p>
      <w:pPr>
        <w:spacing w:after="0" w:line="207"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82"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245 Summer Street, Boston, Massachusetts 02210, a wholly-owned subsidiary of FMR LLC and a bank as defined in Section 3(a)(6) of the Securities Exchange Act of 1934, is the beneficial owner of 822,797 shares or 0.039% of the Common Stock outstanding of the Company as a result of its serving as investment manager of the institutional account(s).</w:t>
      </w:r>
    </w:p>
    <w:p>
      <w:pPr>
        <w:spacing w:after="0" w:line="211" w:lineRule="exact"/>
        <w:rPr>
          <w:sz w:val="20"/>
          <w:szCs w:val="20"/>
          <w:color w:val="auto"/>
        </w:rPr>
      </w:pPr>
    </w:p>
    <w:p>
      <w:pPr>
        <w:ind w:right="3899" w:firstLine="843"/>
        <w:spacing w:after="0" w:line="273" w:lineRule="auto"/>
        <w:rPr>
          <w:sz w:val="20"/>
          <w:szCs w:val="20"/>
          <w:color w:val="auto"/>
        </w:rPr>
      </w:pPr>
      <w:r>
        <w:rPr>
          <w:rFonts w:ascii="Courier New" w:cs="Courier New" w:eastAsia="Courier New" w:hAnsi="Courier New"/>
          <w:sz w:val="16"/>
          <w:szCs w:val="16"/>
          <w:color w:val="auto"/>
        </w:rPr>
        <w:t>Edward C. Johnson 3d and FMR LLC, through its control of Fidelity Management Trust Company, each has sole dispositive power over 822,797 shares and sole power to vote or to direct the voting of 822,797 shares of Common Stock owned by the institutional account(s) as reported above.</w:t>
      </w:r>
    </w:p>
    <w:p>
      <w:pPr>
        <w:spacing w:after="0" w:line="185" w:lineRule="exact"/>
        <w:rPr>
          <w:sz w:val="20"/>
          <w:szCs w:val="20"/>
          <w:color w:val="auto"/>
        </w:rPr>
      </w:pPr>
    </w:p>
    <w:p>
      <w:pPr>
        <w:ind w:right="3899" w:firstLine="843"/>
        <w:spacing w:after="0" w:line="237" w:lineRule="auto"/>
        <w:rPr>
          <w:sz w:val="20"/>
          <w:szCs w:val="20"/>
          <w:color w:val="auto"/>
        </w:rPr>
      </w:pPr>
      <w:r>
        <w:rPr>
          <w:rFonts w:ascii="Courier New" w:cs="Courier New" w:eastAsia="Courier New" w:hAnsi="Courier New"/>
          <w:sz w:val="18"/>
          <w:szCs w:val="18"/>
          <w:color w:val="auto"/>
        </w:rPr>
        <w:t>Strategic Advisers, Inc., 245 Summer Street, Boston, MA 02210, a wholly-owned subsidiary of FMR LLC and an investment adviser registered under Section 203 of the Investment Advisers Act of 1940, provides investment advisory services to individuals. As such, FMR LLC's beneficial ownership includes 241,574 shares, or 0.011%, of the Common Stock outstanding of Comcast Corporation,</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beneficially owned through Strategic Advisers, Inc.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Pyramis Global Advisors, LLC ("PGALLC"), 900</w:t>
      </w:r>
    </w:p>
    <w:p>
      <w:pPr>
        <w:spacing w:after="0" w:line="238" w:lineRule="auto"/>
        <w:rPr>
          <w:sz w:val="20"/>
          <w:szCs w:val="20"/>
          <w:color w:val="auto"/>
        </w:rPr>
      </w:pPr>
      <w:r>
        <w:rPr>
          <w:rFonts w:ascii="Courier New" w:cs="Courier New" w:eastAsia="Courier New" w:hAnsi="Courier New"/>
          <w:sz w:val="18"/>
          <w:szCs w:val="18"/>
          <w:color w:val="auto"/>
        </w:rPr>
        <w:t>Salem Street, Smithfield, Rhode Island, 02917, an indirect</w:t>
      </w:r>
    </w:p>
    <w:p>
      <w:pPr>
        <w:spacing w:after="0"/>
        <w:rPr>
          <w:sz w:val="20"/>
          <w:szCs w:val="20"/>
          <w:color w:val="auto"/>
        </w:rPr>
      </w:pPr>
      <w:r>
        <w:rPr>
          <w:rFonts w:ascii="Courier New" w:cs="Courier New" w:eastAsia="Courier New" w:hAnsi="Courier New"/>
          <w:sz w:val="18"/>
          <w:szCs w:val="18"/>
          <w:color w:val="auto"/>
        </w:rPr>
        <w:t>wholly-owned subsidiary of FMR LLC and an investment</w:t>
      </w:r>
    </w:p>
    <w:p>
      <w:pPr>
        <w:spacing w:after="0" w:line="237" w:lineRule="auto"/>
        <w:rPr>
          <w:sz w:val="20"/>
          <w:szCs w:val="20"/>
          <w:color w:val="auto"/>
        </w:rPr>
      </w:pPr>
      <w:r>
        <w:rPr>
          <w:rFonts w:ascii="Courier New" w:cs="Courier New" w:eastAsia="Courier New" w:hAnsi="Courier New"/>
          <w:sz w:val="18"/>
          <w:szCs w:val="18"/>
          <w:color w:val="auto"/>
        </w:rPr>
        <w:t>adviser registered under Section 203 of the Investment</w:t>
      </w:r>
    </w:p>
    <w:p>
      <w:pPr>
        <w:spacing w:after="0" w:line="238" w:lineRule="auto"/>
        <w:rPr>
          <w:sz w:val="20"/>
          <w:szCs w:val="20"/>
          <w:color w:val="auto"/>
        </w:rPr>
      </w:pPr>
      <w:r>
        <w:rPr>
          <w:rFonts w:ascii="Courier New" w:cs="Courier New" w:eastAsia="Courier New" w:hAnsi="Courier New"/>
          <w:sz w:val="18"/>
          <w:szCs w:val="18"/>
          <w:color w:val="auto"/>
        </w:rPr>
        <w:t>Advisers Act of 1940, is the beneficial owner of 2,514,434</w:t>
      </w:r>
    </w:p>
    <w:p>
      <w:pPr>
        <w:spacing w:after="0"/>
        <w:rPr>
          <w:sz w:val="20"/>
          <w:szCs w:val="20"/>
          <w:color w:val="auto"/>
        </w:rPr>
      </w:pPr>
      <w:r>
        <w:rPr>
          <w:rFonts w:ascii="Courier New" w:cs="Courier New" w:eastAsia="Courier New" w:hAnsi="Courier New"/>
          <w:sz w:val="18"/>
          <w:szCs w:val="18"/>
          <w:color w:val="auto"/>
        </w:rPr>
        <w:t>shares or 0.118% of the outstanding Common Stock of</w:t>
      </w:r>
    </w:p>
    <w:p>
      <w:pPr>
        <w:spacing w:after="0" w:line="237" w:lineRule="auto"/>
        <w:rPr>
          <w:sz w:val="20"/>
          <w:szCs w:val="20"/>
          <w:color w:val="auto"/>
        </w:rPr>
      </w:pPr>
      <w:r>
        <w:rPr>
          <w:rFonts w:ascii="Courier New" w:cs="Courier New" w:eastAsia="Courier New" w:hAnsi="Courier New"/>
          <w:sz w:val="18"/>
          <w:szCs w:val="18"/>
          <w:color w:val="auto"/>
        </w:rPr>
        <w:t>Comcast Corporation as a result of its serving as investment</w:t>
      </w:r>
    </w:p>
    <w:p>
      <w:pPr>
        <w:spacing w:after="0"/>
        <w:rPr>
          <w:sz w:val="20"/>
          <w:szCs w:val="20"/>
          <w:color w:val="auto"/>
        </w:rPr>
      </w:pPr>
      <w:r>
        <w:rPr>
          <w:rFonts w:ascii="Courier New" w:cs="Courier New" w:eastAsia="Courier New" w:hAnsi="Courier New"/>
          <w:sz w:val="18"/>
          <w:szCs w:val="18"/>
          <w:color w:val="auto"/>
        </w:rPr>
        <w:t>adviser to institutional accounts, non-U.S. mutual funds, or</w:t>
      </w:r>
    </w:p>
    <w:p>
      <w:pPr>
        <w:spacing w:after="0" w:line="237" w:lineRule="auto"/>
        <w:rPr>
          <w:sz w:val="20"/>
          <w:szCs w:val="20"/>
          <w:color w:val="auto"/>
        </w:rPr>
      </w:pPr>
      <w:r>
        <w:rPr>
          <w:rFonts w:ascii="Courier New" w:cs="Courier New" w:eastAsia="Courier New" w:hAnsi="Courier New"/>
          <w:sz w:val="18"/>
          <w:szCs w:val="18"/>
          <w:color w:val="auto"/>
        </w:rPr>
        <w:t>investment companies registered under Section 8 of the</w:t>
      </w:r>
    </w:p>
    <w:p>
      <w:pPr>
        <w:spacing w:after="0"/>
        <w:rPr>
          <w:sz w:val="20"/>
          <w:szCs w:val="20"/>
          <w:color w:val="auto"/>
        </w:rPr>
      </w:pPr>
      <w:r>
        <w:rPr>
          <w:rFonts w:ascii="Courier New" w:cs="Courier New" w:eastAsia="Courier New" w:hAnsi="Courier New"/>
          <w:sz w:val="18"/>
          <w:szCs w:val="18"/>
          <w:color w:val="auto"/>
        </w:rPr>
        <w:t>Investment Company Act of 1940 owning such shares.</w:t>
      </w:r>
    </w:p>
    <w:p>
      <w:pPr>
        <w:spacing w:after="0" w:line="206" w:lineRule="exact"/>
        <w:rPr>
          <w:sz w:val="20"/>
          <w:szCs w:val="20"/>
          <w:color w:val="auto"/>
        </w:rPr>
      </w:pPr>
    </w:p>
    <w:p>
      <w:pPr>
        <w:ind w:right="3579" w:firstLine="843"/>
        <w:spacing w:after="0"/>
        <w:rPr>
          <w:sz w:val="20"/>
          <w:szCs w:val="20"/>
          <w:color w:val="auto"/>
        </w:rPr>
      </w:pPr>
      <w:r>
        <w:rPr>
          <w:rFonts w:ascii="Courier New" w:cs="Courier New" w:eastAsia="Courier New" w:hAnsi="Courier New"/>
          <w:sz w:val="18"/>
          <w:szCs w:val="18"/>
          <w:color w:val="auto"/>
        </w:rPr>
        <w:t>Edward C. Johnson 3d and FMR LLC, through its control of PGALLC, each has sole dispositive power over 2,514,434 shares and sole power to vote or to direct the voting of 1,562,775 shares of Common Stock owned by the institutional accounts or funds advised by PGALLC as reported above.</w:t>
      </w:r>
    </w:p>
    <w:p>
      <w:pPr>
        <w:spacing w:after="0" w:line="39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Pyramis Global Advisors Trust Company ("PGATC"),</w:t>
      </w:r>
    </w:p>
    <w:p>
      <w:pPr>
        <w:spacing w:after="0" w:line="4"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900 Salem Street, Smithfield, Rhode Island, 02917, an indirect wholly-owned subsidiary of FMR LLC and a bank as defined</w:t>
      </w:r>
    </w:p>
    <w:p>
      <w:pPr>
        <w:ind w:right="3779"/>
        <w:spacing w:after="0" w:line="237" w:lineRule="auto"/>
        <w:rPr>
          <w:sz w:val="20"/>
          <w:szCs w:val="20"/>
          <w:color w:val="auto"/>
        </w:rPr>
      </w:pPr>
      <w:r>
        <w:rPr>
          <w:rFonts w:ascii="Courier New" w:cs="Courier New" w:eastAsia="Courier New" w:hAnsi="Courier New"/>
          <w:sz w:val="18"/>
          <w:szCs w:val="18"/>
          <w:color w:val="auto"/>
        </w:rPr>
        <w:t>in Section 3(a)(6) of the Securities Exchange Act of 1934, is the beneficial owner of 3,264,490 shares or 0.153% of the outstanding Common Stock of the Comcast Corporation as a result of its serving as investment manager of institutional accounts owning such shares.</w:t>
      </w:r>
    </w:p>
    <w:p>
      <w:pPr>
        <w:spacing w:after="0" w:line="209"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3,264,490 shares and sole power to vote or to direct the voting of 2,602,390 shares of Common Stock owned by the institutional accounts managed by PGATC as reported above.</w:t>
      </w:r>
    </w:p>
    <w:p>
      <w:pPr>
        <w:spacing w:after="0" w:line="210"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FIL Limited ("FIL"), Pembroke Hall, 42 Crow Lane, Hamilton, Bermuda, and various foreign-based subsidiaries provide investment advisory and management services to a number of non-U.S. investment companies and certain institutional investors. FIL, which is a qualified institution under section 240.13d-1(b)(1)(ii), is the beneficial owner of 6,713,360 shares or 0.314% of the Common Stock outstanding of the Company.</w:t>
      </w:r>
    </w:p>
    <w:p>
      <w:pPr>
        <w:spacing w:after="0" w:line="212" w:lineRule="exact"/>
        <w:rPr>
          <w:sz w:val="20"/>
          <w:szCs w:val="20"/>
          <w:color w:val="auto"/>
        </w:rPr>
      </w:pPr>
    </w:p>
    <w:p>
      <w:pPr>
        <w:ind w:right="3999" w:firstLine="843"/>
        <w:spacing w:after="0" w:line="268" w:lineRule="auto"/>
        <w:rPr>
          <w:sz w:val="20"/>
          <w:szCs w:val="20"/>
          <w:color w:val="auto"/>
        </w:rPr>
      </w:pPr>
      <w:r>
        <w:rPr>
          <w:rFonts w:ascii="Courier New" w:cs="Courier New" w:eastAsia="Courier New" w:hAnsi="Courier New"/>
          <w:sz w:val="16"/>
          <w:szCs w:val="16"/>
          <w:color w:val="auto"/>
        </w:rPr>
        <w:t>Partnerships controlled predominantly by members of the family of Edward C. Johnson 3d, Chairman of FMR LLC</w:t>
      </w:r>
    </w:p>
    <w:p>
      <w:pPr>
        <w:ind w:right="3679"/>
        <w:spacing w:after="0" w:line="268" w:lineRule="auto"/>
        <w:rPr>
          <w:sz w:val="20"/>
          <w:szCs w:val="20"/>
          <w:color w:val="auto"/>
        </w:rPr>
      </w:pPr>
      <w:r>
        <w:rPr>
          <w:rFonts w:ascii="Courier New" w:cs="Courier New" w:eastAsia="Courier New" w:hAnsi="Courier New"/>
          <w:sz w:val="16"/>
          <w:szCs w:val="16"/>
          <w:color w:val="auto"/>
        </w:rPr>
        <w:t>and FIL, or trusts for their benefit, own shares of FIL voting stock. While the percentage of total voting power represented</w:t>
      </w:r>
    </w:p>
    <w:p>
      <w:pPr>
        <w:ind w:right="3359"/>
        <w:spacing w:after="0" w:line="268" w:lineRule="auto"/>
        <w:rPr>
          <w:sz w:val="20"/>
          <w:szCs w:val="20"/>
          <w:color w:val="auto"/>
        </w:rPr>
      </w:pPr>
      <w:r>
        <w:rPr>
          <w:rFonts w:ascii="Courier New" w:cs="Courier New" w:eastAsia="Courier New" w:hAnsi="Courier New"/>
          <w:sz w:val="16"/>
          <w:szCs w:val="16"/>
          <w:color w:val="auto"/>
        </w:rPr>
        <w:t>by these shares may fluctuate as a result of changes in the total number of shares of FIL voting stock outstanding from time to time, it normally represents more than 25% and less than 50%</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of the total votes which may be cast by all holders of FIL voting stock. FMR LLC and FIL are separate and independent corporate entities, and their Boards of Directors are generally composed of different individuals.</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LLC is making this filing on a voluntary basis as if all of the shares are beneficially owned by FMR LLC and FIL on a joint basis.</w:t>
      </w:r>
    </w:p>
    <w:p>
      <w:pPr>
        <w:spacing w:after="0" w:line="209" w:lineRule="exact"/>
        <w:rPr>
          <w:sz w:val="20"/>
          <w:szCs w:val="20"/>
          <w:color w:val="auto"/>
        </w:rPr>
      </w:pPr>
    </w:p>
    <w:p>
      <w:pPr>
        <w:ind w:right="3779" w:firstLine="843"/>
        <w:spacing w:after="0" w:line="273" w:lineRule="auto"/>
        <w:rPr>
          <w:sz w:val="20"/>
          <w:szCs w:val="20"/>
          <w:color w:val="auto"/>
        </w:rPr>
      </w:pPr>
      <w:r>
        <w:rPr>
          <w:rFonts w:ascii="Courier New" w:cs="Courier New" w:eastAsia="Courier New" w:hAnsi="Courier New"/>
          <w:sz w:val="16"/>
          <w:szCs w:val="16"/>
          <w:color w:val="auto"/>
        </w:rPr>
        <w:t>FIL has sole dispositive power over 6,713,360 shares owned by the International Funds. FIL has sole power to vote or direct the voting of 6,625,872 shares and no power to vote or direct the voting of 87,488 shares of Common Stock held by the International Funds as reported above.</w:t>
      </w:r>
    </w:p>
    <w:p>
      <w:pPr>
        <w:spacing w:after="0" w:line="38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ectPr>
          <w:pgSz w:w="11900" w:h="16838" w:orient="portrait"/>
          <w:cols w:equalWidth="0" w:num="1">
            <w:col w:w="10219"/>
          </w:cols>
          <w:pgMar w:left="240" w:top="136" w:right="1440" w:bottom="0" w:gutter="0" w:footer="0" w:header="0"/>
        </w:sectPr>
      </w:pPr>
    </w:p>
    <w:bookmarkStart w:id="4" w:name="page5"/>
    <w:bookmarkEnd w:id="4"/>
    <w:p>
      <w:pPr>
        <w:ind w:right="3479" w:firstLine="843"/>
        <w:spacing w:after="0"/>
        <w:rPr>
          <w:sz w:val="20"/>
          <w:szCs w:val="20"/>
          <w:color w:val="auto"/>
        </w:rPr>
      </w:pPr>
      <w:r>
        <w:rPr>
          <w:rFonts w:ascii="Courier New" w:cs="Courier New" w:eastAsia="Courier New" w:hAnsi="Courier New"/>
          <w:sz w:val="18"/>
          <w:szCs w:val="18"/>
          <w:color w:val="auto"/>
        </w:rPr>
        <w:t>The undersigned persons, on February 13, 2014, agree and consent to the joint filing on their behalf of this Schedule 13G in connection with their beneficial ownership of the Common Stock of Comcast Corporation at December 31, 2013.</w:t>
      </w:r>
    </w:p>
    <w:p>
      <w:pPr>
        <w:spacing w:after="0" w:line="39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2019-12-07T02:43:34Z</dcterms:created>
  <dcterms:modified xsi:type="dcterms:W3CDTF">2019-12-07T02:43:34Z</dcterms:modified>
</cp:coreProperties>
</file>