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Nos. 333-263674, 333-263674-01 and 333-263674-02</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97155</wp:posOffset>
            </wp:positionV>
            <wp:extent cx="139700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Offers to Exchange</w:t>
      </w:r>
    </w:p>
    <w:p>
      <w:pPr>
        <w:spacing w:after="0" w:line="1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Up to $4,999,854,000 aggregate principal amount of new 2.887% Notes due 2051 registered under the Securities Act of 1933,</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for any and all outstanding unregistered 2.887% Notes due 2051,</w:t>
      </w:r>
    </w:p>
    <w:p>
      <w:pPr>
        <w:spacing w:after="0" w:line="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Up to $5,999,998,000 aggregate principal amount of new 2.937% Notes due 2056 registered under the Securities Act of 1933,</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for any and all outstanding unregistered 2.937% Notes due 2056, and</w:t>
      </w:r>
    </w:p>
    <w:p>
      <w:pPr>
        <w:spacing w:after="0" w:line="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Up to $4,000,000,000 aggregate principal amount of new 2.987% Notes due 2063 registered under the Securities Act of 1933,</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for any and all outstanding unregistered 2.987% Notes due 2063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1" w:lineRule="exact"/>
        <w:rPr>
          <w:sz w:val="24"/>
          <w:szCs w:val="24"/>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6"/>
          <w:szCs w:val="16"/>
          <w:color w:val="auto"/>
        </w:rPr>
        <w:t>Comcast Corporation (“Comcast”) is offering to exchange: (i) new registered 2.887% Notes due 2051 (the “2051 Exchange Notes”) for its outstanding unregistered 2.887% Notes due 2051 (the “2051 Original Notes”); (ii) new registered 2.937% Notes due 2056 (the “2056 Exchange Notes”) for its outstanding unregistered 2.937% Notes due 2056 (the “2056 Original Notes”), and (iii) new registered 2.987% Notes due 2063 (the “2063 Exchange Notes” and, together with the 2051 Exchange Notes and the 2056 Exchange Notes, the “Exchange Notes”) for its outstanding unregistered 2.987% Notes due 2063 (the “2063 Original Notes” and, together with the 2051 Original Notes and the 2056 Original Notes, the “Original Notes”). The Original Notes and the Exchange Notes are sometimes referred to in this prospectus together as the “Notes.” The terms of each series of the Exchange Notes are substantially identical to the terms of the applicable series of Original Notes, except that the Exchange Notes are registered under the Securities Act of 1933, as amended (the “Securities Act”), and the transfer restrictions and registration rights and related special interest provisions applicable to the Original Notes do not apply to the Exchange Notes. The Original Notes are, and the Exchange Notes will be, unsecured and will rank equally with all of our and our guarantors’ unsecured and unsubordinated indebtedness. The Original Notes are, and the Exchange Notes will be, fully and unconditionally guaranteed by NBCUniversal Media, LLC (“NBCUniversal”) and Comcast Cable Communications, LLC (“Comcast Cable Communications”).</w:t>
      </w:r>
    </w:p>
    <w:p>
      <w:pPr>
        <w:spacing w:after="0" w:line="86" w:lineRule="exact"/>
        <w:rPr>
          <w:sz w:val="24"/>
          <w:szCs w:val="24"/>
          <w:color w:val="auto"/>
        </w:rPr>
      </w:pPr>
    </w:p>
    <w:p>
      <w:pPr>
        <w:jc w:val="both"/>
        <w:ind w:left="120" w:right="20" w:firstLine="440"/>
        <w:spacing w:after="0" w:line="271" w:lineRule="auto"/>
        <w:rPr>
          <w:sz w:val="20"/>
          <w:szCs w:val="20"/>
          <w:color w:val="auto"/>
        </w:rPr>
      </w:pPr>
      <w:r>
        <w:rPr>
          <w:rFonts w:ascii="Times New Roman" w:cs="Times New Roman" w:eastAsia="Times New Roman" w:hAnsi="Times New Roman"/>
          <w:sz w:val="16"/>
          <w:szCs w:val="16"/>
          <w:color w:val="auto"/>
        </w:rPr>
        <w:t>The Original Notes may only be tendered in an amount equal to $2,000 in principal amount and in multiples of $1,000 thereafter. Interest on the Exchange Notes will accrue from the most recent date to which interest on the Original Notes has been paid (May 1, 2022), and will be payable semi-annually in arrears on May 1 and November 1, commencing on November 1, 2022. We will deem the right to receive any interest accrued but unpaid on the Original Notes waived by you if we accept your Original Notes for exchange. Accordingly, holders whose tenders are accepted for exchange will not receive any payment in respect of accrued interest on such Original Notes, unless the record date for any such interest payment occurs before the completion of the Exchange Offers. We refer to these offers as the “Exchange Offers.” For a more detailed description of the Exchange Notes, see “Description of Exchange Notes and the Guarantees.”</w:t>
      </w:r>
    </w:p>
    <w:p>
      <w:pPr>
        <w:spacing w:after="0" w:line="76" w:lineRule="exact"/>
        <w:rPr>
          <w:sz w:val="24"/>
          <w:szCs w:val="24"/>
          <w:color w:val="auto"/>
        </w:rPr>
      </w:pPr>
    </w:p>
    <w:p>
      <w:pPr>
        <w:jc w:val="both"/>
        <w:ind w:left="120" w:right="20" w:firstLine="440"/>
        <w:spacing w:after="0" w:line="298" w:lineRule="auto"/>
        <w:rPr>
          <w:sz w:val="20"/>
          <w:szCs w:val="20"/>
          <w:color w:val="auto"/>
        </w:rPr>
      </w:pPr>
      <w:r>
        <w:rPr>
          <w:rFonts w:ascii="Times New Roman" w:cs="Times New Roman" w:eastAsia="Times New Roman" w:hAnsi="Times New Roman"/>
          <w:sz w:val="16"/>
          <w:szCs w:val="16"/>
          <w:color w:val="auto"/>
        </w:rPr>
        <w:t>We are not asking you for a proxy and you are requested not to send us a proxy. You do not have dissenters’ rights of appraisal in connection with the Exchange Offers. See “The Exchange Offers—Absence of Dissenters’ Rights of Appraisal.”</w:t>
      </w:r>
    </w:p>
    <w:p>
      <w:pPr>
        <w:spacing w:after="0" w:line="54" w:lineRule="exact"/>
        <w:rPr>
          <w:sz w:val="24"/>
          <w:szCs w:val="24"/>
          <w:color w:val="auto"/>
        </w:rPr>
      </w:pPr>
    </w:p>
    <w:p>
      <w:pPr>
        <w:jc w:val="both"/>
        <w:ind w:left="120" w:right="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No public market currently exists for the Original Notes and we cannot assure you that any public market for the Exchange Notes will develop. The Exchange Notes will not be listed on any national securities exchange.</w:t>
      </w:r>
    </w:p>
    <w:p>
      <w:pPr>
        <w:spacing w:after="0" w:line="54" w:lineRule="exact"/>
        <w:rPr>
          <w:sz w:val="24"/>
          <w:szCs w:val="24"/>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6"/>
          <w:szCs w:val="16"/>
          <w:color w:val="auto"/>
        </w:rPr>
        <w:t>Each broker-dealer that receives Exchange Notes for its own account pursuant to the Exchange Offers will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w:t>
      </w:r>
    </w:p>
    <w:p>
      <w:pPr>
        <w:spacing w:after="0" w:line="78" w:lineRule="exact"/>
        <w:rPr>
          <w:sz w:val="24"/>
          <w:szCs w:val="24"/>
          <w:color w:val="auto"/>
        </w:rPr>
      </w:pPr>
    </w:p>
    <w:p>
      <w:pPr>
        <w:jc w:val="both"/>
        <w:ind w:left="120" w:right="20" w:firstLine="440"/>
        <w:spacing w:after="0" w:line="298" w:lineRule="auto"/>
        <w:rPr>
          <w:sz w:val="20"/>
          <w:szCs w:val="20"/>
          <w:color w:val="auto"/>
        </w:rPr>
      </w:pPr>
      <w:r>
        <w:rPr>
          <w:rFonts w:ascii="Times New Roman" w:cs="Times New Roman" w:eastAsia="Times New Roman" w:hAnsi="Times New Roman"/>
          <w:sz w:val="16"/>
          <w:szCs w:val="16"/>
          <w:color w:val="auto"/>
        </w:rPr>
        <w:t>We have agreed that, for a period of 90 days after the Expiration Date (as defined herein), we will make this prospectus available to any broker-dealer for use in connection with any such resale. See “Plan of Distribution” below.</w:t>
      </w:r>
    </w:p>
    <w:p>
      <w:pPr>
        <w:spacing w:after="0" w:line="56" w:lineRule="exact"/>
        <w:rPr>
          <w:sz w:val="24"/>
          <w:szCs w:val="24"/>
          <w:color w:val="auto"/>
        </w:rPr>
      </w:pPr>
    </w:p>
    <w:p>
      <w:pPr>
        <w:jc w:val="both"/>
        <w:ind w:left="120" w:right="20" w:firstLine="440"/>
        <w:spacing w:after="0" w:line="272" w:lineRule="auto"/>
        <w:rPr>
          <w:sz w:val="20"/>
          <w:szCs w:val="20"/>
          <w:color w:val="auto"/>
        </w:rPr>
      </w:pPr>
      <w:r>
        <w:rPr>
          <w:rFonts w:ascii="Times New Roman" w:cs="Times New Roman" w:eastAsia="Times New Roman" w:hAnsi="Times New Roman"/>
          <w:sz w:val="16"/>
          <w:szCs w:val="16"/>
          <w:color w:val="auto"/>
        </w:rPr>
        <w:t>Holders may withdraw their tendered Original Notes at any time at or prior to the Expiration Date (as defined below) of the Exchange Offers. The Exchange Offers will expire at 11:59 p.m., New York City time, on June 6, 2022, unless extended or earlier terminated by us (such date, as the same may be extended or earlier terminated with respect to any series of Exchange Notes, the “Expiration Date”). The Exchange Offers are subject to customary conditions discussed under “The Exchange Offers—Conditions to the Exchange Offers.” No Exchange Offer is conditioned upon the other Exchange Offers, and we may terminate or extend any Exchange Offer without terminating or extending the other Exchange Offers.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9" w:lineRule="exact"/>
        <w:rPr>
          <w:sz w:val="24"/>
          <w:szCs w:val="24"/>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Investing in the Exchange Notes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22 of our Annual Report on Form 10-K for the fiscal year ended December 31, 2021, which is incorporated by reference herein, and on page 12 of this prospectus, to read about factors you should consider before investing in the Exchange Notes.</w:t>
      </w:r>
    </w:p>
    <w:p>
      <w:pPr>
        <w:spacing w:after="0" w:line="67" w:lineRule="exact"/>
        <w:rPr>
          <w:sz w:val="24"/>
          <w:szCs w:val="24"/>
          <w:color w:val="auto"/>
        </w:rPr>
      </w:pPr>
    </w:p>
    <w:p>
      <w:pPr>
        <w:jc w:val="both"/>
        <w:ind w:left="120" w:right="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Prospectus dated April 25, 2022.</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16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600" w:type="dxa"/>
            <w:vAlign w:val="bottom"/>
            <w:gridSpan w:val="6"/>
            <w:vMerge w:val="restart"/>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1640" w:type="dxa"/>
            <w:vAlign w:val="bottom"/>
            <w:tcBorders>
              <w:bottom w:val="single" w:sz="8" w:color="0000EE"/>
            </w:tcBorders>
            <w:gridSpan w:val="8"/>
            <w:vMerge w:val="continue"/>
          </w:tcPr>
          <w:p>
            <w:pPr>
              <w:spacing w:after="0"/>
              <w:rPr>
                <w:sz w:val="13"/>
                <w:szCs w:val="13"/>
                <w:color w:val="auto"/>
              </w:rPr>
            </w:pPr>
          </w:p>
        </w:tc>
        <w:tc>
          <w:tcPr>
            <w:tcW w:w="260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6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2940" w:type="dxa"/>
            <w:vAlign w:val="bottom"/>
            <w:tcBorders>
              <w:top w:val="single" w:sz="8" w:color="0000EE"/>
            </w:tcBorders>
            <w:gridSpan w:val="10"/>
          </w:tcPr>
          <w:p>
            <w:pPr>
              <w:spacing w:after="0"/>
              <w:rPr>
                <w:sz w:val="17"/>
                <w:szCs w:val="17"/>
                <w:color w:val="auto"/>
              </w:rPr>
            </w:pPr>
          </w:p>
        </w:tc>
        <w:tc>
          <w:tcPr>
            <w:tcW w:w="600" w:type="dxa"/>
            <w:vAlign w:val="bottom"/>
            <w:gridSpan w:val="2"/>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The Exchange Offers</w:t>
            </w:r>
          </w:p>
        </w:tc>
        <w:tc>
          <w:tcPr>
            <w:tcW w:w="2700" w:type="dxa"/>
            <w:vAlign w:val="bottom"/>
            <w:gridSpan w:val="7"/>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Exchange Notes and the Guarantees</w:t>
            </w:r>
          </w:p>
        </w:tc>
        <w:tc>
          <w:tcPr>
            <w:tcW w:w="300" w:type="dxa"/>
            <w:vAlign w:val="bottom"/>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U.S. Federal Income Tax Considerations</w:t>
            </w:r>
          </w:p>
        </w:tc>
        <w:tc>
          <w:tcPr>
            <w:tcW w:w="740" w:type="dxa"/>
            <w:vAlign w:val="bottom"/>
            <w:gridSpan w:val="3"/>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The Exchange Agent</w:t>
            </w:r>
          </w:p>
        </w:tc>
        <w:tc>
          <w:tcPr>
            <w:tcW w:w="2720" w:type="dxa"/>
            <w:vAlign w:val="bottom"/>
            <w:gridSpan w:val="8"/>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720" w:type="dxa"/>
            <w:vAlign w:val="bottom"/>
            <w:gridSpan w:val="8"/>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No person has been authorized to give any information or any representation concerning us or the Exchange Offers (other than as contained in this prospectus) and we take no responsibility for, nor can we provide any assurance as to the reliability of, any other information that others may give you. You should not assume that the information contained or incorporated by reference in this prospectus is accurate as of any date other than the date on the front cover of this prospectus or the date of the incorporated document, as applicable.</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making an investment decision, prospective investors must rely on their own examination of us, and the terms of the Exchange Offers, including the merits and risks involved. Prospective investors should not construe anything in this prospectus as legal, business or tax advice. Each prospective investor should consult its own advisors as needed to make its investment decision and to determine whether it is legally permitted to participate in the Exchange Offers and to invest in the Exchange Notes under applicable legal investment or similar laws or regulations.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letter of transmittal will be used in connection with the Exchange Offers, and there are no guaranteed delivery provisions provided for in conjunction with the Exchange Offers under the terms of this prospectus. Tendering holders must tender their Original Notes in accordance with the procedures set forth under “The Exchange Offers—Procedures for Tendering Original Notes.”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prospectus contains summaries believed to be accurate with respect to certain documents, but reference is made to the actual documents for complete information. All such summaries are qualified in their entirety by such reference. See “Where You Can Find More Information.”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included or incorporated by reference in this prospectus statements that may constitute “forward-looking statements.” These forward-looking statements are not historical facts but instead represent only our belief regarding future events, many of which, by their nature, are inherently uncertain and outside of our control. It is possible that our actual results may differ, possibly materially, from the anticipated results indicated in or implied by these forward-looking statements. See “Risk Factors” below for information regarding important factors that could cause actual results to differ, perhaps materially, from those in our forward-looking statements.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S-4 relating to the securities covered by this prospectus.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required to file annual, quarterly and current reports, proxy statements and other information with the SEC. The SEC maintains an internet site that contains reports, proxy and information statements, and other information regarding issuers that file electronically with the SEC, including us, which can be accessed at http://www.sec.gov.</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in any prospectus supplement, in any free writing prospectus prepared by or on behalf of us or to which we have referred you and in material we file with the SEC and incorporate by reference herein. We take no responsibility for, and can provide no assurance as to the reliability of, any other information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that others may give you. We are not making an offer of these securities in any jurisdiction where the offer is not permitted. You should not assume that the information contained in or incorporated by reference in this prospectus, any prospectus supplement, any free writing prospectus and our filings with the SEC is accurate as of any date other than their respective dates.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chosen to “incorporate by reference” the information we file with the SEC, and this prospectus incorporates important business and financial information about us that is not included or delivered with this prospectus. The information incorporated by reference is considered to be part of this prospectus, and information that we file with the SEC in the future will automatically update and supersede this information. We incorporate by reference the documents listed below and any future filings we will make with the SEC under Sections 13(a), 13(c), 14 or 15(d) of the Securities Exchange Act of 1934 (the “Exchange Act”) after the date of this prospectus and until we complete the Exchange Offer (other than, in each case, documents or information deemed to have been furnished and not filed in accordance with the SEC rules):</w:t>
      </w:r>
    </w:p>
    <w:p>
      <w:pPr>
        <w:spacing w:after="0" w:line="93" w:lineRule="exact"/>
        <w:rPr>
          <w:sz w:val="20"/>
          <w:szCs w:val="20"/>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Definitive Proxy Statement on </w:t>
      </w:r>
      <w:hyperlink r:id="rId16">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2022 annual meeting of shareholders incorporated by reference in Comcast’s Annual Report on Form 10-K for the year ended December 31, 2021, filed on April 22, 2022.</w:t>
      </w:r>
    </w:p>
    <w:p>
      <w:pPr>
        <w:spacing w:after="0" w:line="162" w:lineRule="exact"/>
        <w:rPr>
          <w:rFonts w:ascii="Times New Roman" w:cs="Times New Roman" w:eastAsia="Times New Roman" w:hAnsi="Times New Roman"/>
          <w:sz w:val="18"/>
          <w:szCs w:val="18"/>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80" w:lineRule="exact"/>
        <w:rPr>
          <w:rFonts w:ascii="Times New Roman" w:cs="Times New Roman" w:eastAsia="Times New Roman" w:hAnsi="Times New Roman"/>
          <w:sz w:val="18"/>
          <w:szCs w:val="18"/>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To receive timely delivery of the documents prior to the Expiration Date, you should make your request no later than five business days before the date you must make your investment decision, or May 27, 2022.</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01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provides an overview of selected information. Because this is only a summary, it may not contain all of the information that may be important to you in understanding the Exchange Offers. You should carefully read this entire prospectus, including the section entitled “Risk Factors,” as well as the information incorporated by reference in this prospectus. See the sections of this prospectus entitled “Where You Can Find More Information” and “Incorporation of Certain Information by Reference.”</w:t>
      </w: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w:t>
      </w:r>
    </w:p>
    <w:p>
      <w:pPr>
        <w:spacing w:after="0" w:line="225"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77" w:lineRule="exact"/>
        <w:rPr>
          <w:sz w:val="20"/>
          <w:szCs w:val="20"/>
          <w:color w:val="auto"/>
        </w:rPr>
      </w:pPr>
    </w:p>
    <w:p>
      <w:pPr>
        <w:jc w:val="both"/>
        <w:ind w:left="1240" w:hanging="415"/>
        <w:spacing w:after="0" w:line="268"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Communications: </w:t>
      </w:r>
      <w:r>
        <w:rPr>
          <w:rFonts w:ascii="Times New Roman" w:cs="Times New Roman" w:eastAsia="Times New Roman" w:hAnsi="Times New Roman"/>
          <w:sz w:val="18"/>
          <w:szCs w:val="18"/>
          <w:color w:val="auto"/>
        </w:rPr>
        <w:t>Consists of the operations of Comcast Cable, which is a leading provider of broadband, video, voice,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wireless, and other services to residential customers in the United States under the Xfinity brand; we also provide these and other services to business customers and sell advertising.</w:t>
      </w:r>
    </w:p>
    <w:p>
      <w:pPr>
        <w:spacing w:after="0" w:line="76" w:lineRule="exact"/>
        <w:rPr>
          <w:rFonts w:ascii="Times New Roman" w:cs="Times New Roman" w:eastAsia="Times New Roman" w:hAnsi="Times New Roman"/>
          <w:sz w:val="18"/>
          <w:szCs w:val="18"/>
          <w:color w:val="auto"/>
        </w:rPr>
      </w:pPr>
    </w:p>
    <w:p>
      <w:pPr>
        <w:jc w:val="both"/>
        <w:ind w:left="1240" w:right="20" w:hanging="415"/>
        <w:spacing w:after="0" w:line="28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color w:val="auto"/>
        </w:rPr>
        <w:t>Consists primarily of NBCUniversal’s television and streaming platforms, including national, regional and international 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the NBC and Telemundo broadcast networks, NBC and Telemundo owned local broadcast television stations; and Peacock.</w:t>
      </w:r>
    </w:p>
    <w:p>
      <w:pPr>
        <w:spacing w:after="0" w:line="6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Studios: </w:t>
      </w:r>
      <w:r>
        <w:rPr>
          <w:rFonts w:ascii="Times New Roman" w:cs="Times New Roman" w:eastAsia="Times New Roman" w:hAnsi="Times New Roman"/>
          <w:sz w:val="18"/>
          <w:szCs w:val="18"/>
          <w:color w:val="auto"/>
        </w:rPr>
        <w:t>Consists primarily of NBCUniversal’s film and television studio production and distribution operations.</w:t>
      </w:r>
    </w:p>
    <w:p>
      <w:pPr>
        <w:spacing w:after="0" w:line="130" w:lineRule="exact"/>
        <w:rPr>
          <w:rFonts w:ascii="Times New Roman" w:cs="Times New Roman" w:eastAsia="Times New Roman" w:hAnsi="Times New Roman"/>
          <w:sz w:val="18"/>
          <w:szCs w:val="18"/>
          <w:color w:val="auto"/>
        </w:rPr>
      </w:pPr>
    </w:p>
    <w:p>
      <w:pPr>
        <w:ind w:left="1240" w:hanging="415"/>
        <w:spacing w:after="0" w:line="28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Florida; Hollywood, California; Osaka, Japan;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Beijing, China.</w:t>
      </w:r>
    </w:p>
    <w:p>
      <w:pPr>
        <w:spacing w:after="0" w:line="60" w:lineRule="exact"/>
        <w:rPr>
          <w:rFonts w:ascii="Times New Roman" w:cs="Times New Roman" w:eastAsia="Times New Roman" w:hAnsi="Times New Roman"/>
          <w:sz w:val="18"/>
          <w:szCs w:val="18"/>
          <w:color w:val="auto"/>
        </w:rPr>
      </w:pPr>
    </w:p>
    <w:p>
      <w:pPr>
        <w:jc w:val="both"/>
        <w:ind w:left="1240" w:hanging="415"/>
        <w:spacing w:after="0" w:line="268"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Sky: </w:t>
      </w:r>
      <w:r>
        <w:rPr>
          <w:rFonts w:ascii="Times New Roman" w:cs="Times New Roman" w:eastAsia="Times New Roman" w:hAnsi="Times New Roman"/>
          <w:sz w:val="18"/>
          <w:szCs w:val="18"/>
          <w:color w:val="auto"/>
        </w:rPr>
        <w:t>Consists of the operations of Sky, one of Europe’s leading entertainment companies, which primarily includes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direct-to-consumer business, providing video, broadband, voice and wireless phone services, and a content business, operating entertainment networks, the Sky News broadcast network and Sky Sports networks.</w:t>
      </w:r>
    </w:p>
    <w:p>
      <w:pPr>
        <w:spacing w:after="0" w:line="175"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62"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 in this prospectus.</w:t>
      </w:r>
    </w:p>
    <w:p>
      <w:pPr>
        <w:spacing w:after="0" w:line="176"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1043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8970" cy="21043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Exchange Notes will be fully and unconditionally guaranteed by each of Comcast Cable Communications and NBCUniversal. In this prospectus, we refer to these guarantors as the guarantors and to these guarantees as the guarantees.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240" w:right="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Comcast  Cable  Communications’  principal  place  of  business  is  One  Comcast  Center,  Philadelphia,  Pennsylvania  19103-2838.</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NBCUniversal’s principal executive offices are located at 30 Rockefeller Plaza, New York, New York 10112-0015.</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ectPr>
          <w:pgSz w:w="11900" w:h="16838" w:orient="portrait"/>
          <w:cols w:equalWidth="0" w:num="1">
            <w:col w:w="10940"/>
          </w:cols>
          <w:pgMar w:left="320" w:top="455" w:right="6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Offeror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Comcast Corporation</w:t>
      </w:r>
    </w:p>
    <w:p>
      <w:pPr>
        <w:spacing w:after="0" w:line="155"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The Exchange Offers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offering to exchange our 2051 Exchange Notes which have been registered under the Securities Act for a like principal amount of our outstanding unregistered 2051 Original Notes, our 2056 Exchange Notes which have been registered under the Securities Act for a like principal amount of our outstanding unregistered 2056 Original Notes, and our 2063 Exchange Notes which have been registered under the Securities Act for a like principal amount of our outstanding unregistered 2063 Original Notes. Original Notes may only be tendered in an amount equal to $2,000 in principal amount and in integral multiples of $1,000 thereafter. See “The Exchange Offers” for more information on the terms of the Exchange Offers.</w:t>
      </w:r>
    </w:p>
    <w:p>
      <w:pPr>
        <w:spacing w:after="0" w:line="94"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Resale of Exchange Notes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entered into any arrangement or understanding with any person to distribute the Exchange Notes to be received in the Exchange Offers and, to the best of our information and belief, each person that will participate in the Exchange Offers will acquire the Exchange Notes in its ordinary course of business and has no arrangement or understanding with any person to participate in the distribution of the Exchange Notes to be received in the Exchange Offer. Based upon the position of the staff of the SEC as described in previous no-action letters and subject to the immediately following sentence, we believe that Exchange Notes issued pursuant to the Exchange Offers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Offers that:</w:t>
      </w:r>
    </w:p>
    <w:p>
      <w:pPr>
        <w:spacing w:after="0" w:line="95"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you are not a broker-dealer tendering Original Notes that you acquired directly from us for your own account;</w:t>
      </w:r>
    </w:p>
    <w:p>
      <w:pPr>
        <w:spacing w:after="0" w:line="67" w:lineRule="exact"/>
        <w:rPr>
          <w:sz w:val="20"/>
          <w:szCs w:val="20"/>
          <w:color w:val="auto"/>
        </w:rPr>
      </w:pPr>
    </w:p>
    <w:p>
      <w:pPr>
        <w:sectPr>
          <w:pgSz w:w="11900" w:h="16838" w:orient="portrait"/>
          <w:cols w:equalWidth="0" w:num="2">
            <w:col w:w="4620" w:space="220"/>
            <w:col w:w="6100"/>
          </w:cols>
          <w:pgMar w:left="320" w:top="455" w:right="6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131" w:lineRule="exact"/>
        <w:rPr>
          <w:sz w:val="20"/>
          <w:szCs w:val="20"/>
          <w:color w:val="auto"/>
        </w:rPr>
      </w:pPr>
    </w:p>
    <w:p>
      <w:pPr>
        <w:sectPr>
          <w:pgSz w:w="11900" w:h="16838" w:orient="portrait"/>
          <w:cols w:equalWidth="0" w:num="2">
            <w:col w:w="4620" w:space="220"/>
            <w:col w:w="6100"/>
          </w:cols>
          <w:pgMar w:left="320" w:top="455" w:right="6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you have not participated in, do not intend to participate in, and have no arrangement or understanding with any person to participate in a distribution of the Exchange Notes; and</w:t>
      </w:r>
    </w:p>
    <w:p>
      <w:pPr>
        <w:spacing w:after="0" w:line="81" w:lineRule="exact"/>
        <w:rPr>
          <w:sz w:val="20"/>
          <w:szCs w:val="20"/>
          <w:color w:val="auto"/>
        </w:rPr>
      </w:pPr>
    </w:p>
    <w:p>
      <w:pPr>
        <w:sectPr>
          <w:pgSz w:w="11900" w:h="16838" w:orient="portrait"/>
          <w:cols w:equalWidth="0" w:num="2">
            <w:col w:w="4620" w:space="220"/>
            <w:col w:w="6100"/>
          </w:cols>
          <w:pgMar w:left="320" w:top="455" w:right="6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you are not our “affiliate” as defined under Rule 405 of the Securities Act.</w:t>
      </w:r>
    </w:p>
    <w:p>
      <w:pPr>
        <w:spacing w:after="0" w:line="131" w:lineRule="exact"/>
        <w:rPr>
          <w:sz w:val="20"/>
          <w:szCs w:val="20"/>
          <w:color w:val="auto"/>
        </w:rPr>
      </w:pPr>
    </w:p>
    <w:p>
      <w:pPr>
        <w:sectPr>
          <w:pgSz w:w="11900" w:h="16838" w:orient="portrait"/>
          <w:cols w:equalWidth="0" w:num="2">
            <w:col w:w="4620" w:space="220"/>
            <w:col w:w="6100"/>
          </w:cols>
          <w:pgMar w:left="320" w:top="455" w:right="639" w:bottom="1440" w:gutter="0" w:footer="0" w:header="0"/>
          <w:type w:val="continuous"/>
        </w:sectPr>
      </w:pPr>
    </w:p>
    <w:p>
      <w:pPr>
        <w:ind w:left="4340"/>
        <w:spacing w:after="0" w:line="261" w:lineRule="auto"/>
        <w:rPr>
          <w:sz w:val="20"/>
          <w:szCs w:val="20"/>
          <w:color w:val="auto"/>
        </w:rPr>
      </w:pPr>
      <w:r>
        <w:rPr>
          <w:rFonts w:ascii="Times New Roman" w:cs="Times New Roman" w:eastAsia="Times New Roman" w:hAnsi="Times New Roman"/>
          <w:sz w:val="18"/>
          <w:szCs w:val="18"/>
          <w:color w:val="auto"/>
        </w:rPr>
        <w:t>However, any purchaser of Exchange Notes who is an affiliate of ours or who intends to participate in the Exchange Offers for the purpose of distributing the Exchange Notes</w:t>
      </w:r>
    </w:p>
    <w:p>
      <w:pPr>
        <w:jc w:val="both"/>
        <w:ind w:left="4340" w:hanging="5"/>
        <w:spacing w:after="0" w:line="252" w:lineRule="auto"/>
        <w:tabs>
          <w:tab w:leader="none" w:pos="4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able to rely on the interpretations of the SEC staff set forth in the above-mentioned no-action letters, (ii) will not be entitled to tender its Original Notes in the Exchange Offers and (iii) must comply with the registration and prospectus delivery requirements of the Securities Act in connection with any sale or transfer of the Exchange Notes unless such sale or transfer is made pursuant to an exemption from such requirements.</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24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340" w:right="200"/>
        <w:spacing w:after="0" w:line="258" w:lineRule="auto"/>
        <w:rPr>
          <w:sz w:val="20"/>
          <w:szCs w:val="20"/>
          <w:color w:val="auto"/>
        </w:rPr>
      </w:pPr>
      <w:r>
        <w:rPr>
          <w:rFonts w:ascii="Times New Roman" w:cs="Times New Roman" w:eastAsia="Times New Roman" w:hAnsi="Times New Roman"/>
          <w:sz w:val="18"/>
          <w:szCs w:val="18"/>
          <w:color w:val="auto"/>
        </w:rPr>
        <w:t>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See “Plan of Distribution.”</w:t>
      </w:r>
    </w:p>
    <w:p>
      <w:pPr>
        <w:sectPr>
          <w:pgSz w:w="11900" w:h="16838" w:orient="portrait"/>
          <w:cols w:equalWidth="0" w:num="1">
            <w:col w:w="11140"/>
          </w:cols>
          <w:pgMar w:left="320" w:top="455" w:right="439" w:bottom="1440" w:gutter="0" w:footer="0" w:header="0"/>
        </w:sectPr>
      </w:pP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Purpose of the Exchange Offers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purpose of the Exchange Offers is to satisfy our obligations under a registration rights agreement, dated as of August 19, 2021 (the “Registration Rights Agreement”).</w:t>
      </w:r>
    </w:p>
    <w:p>
      <w:pPr>
        <w:spacing w:after="0" w:line="67"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Consequences If You Do Not Exchange Your Original  Original Notes that are not tendered in the Exchange Offers or are not accepted for</w:t>
      </w:r>
    </w:p>
    <w:p>
      <w:pPr>
        <w:spacing w:after="0" w:line="27" w:lineRule="exact"/>
        <w:rPr>
          <w:sz w:val="20"/>
          <w:szCs w:val="20"/>
          <w:color w:val="auto"/>
        </w:rPr>
      </w:pPr>
    </w:p>
    <w:p>
      <w:pPr>
        <w:jc w:val="center"/>
        <w:ind w:left="4460" w:right="200"/>
        <w:spacing w:after="0" w:line="260" w:lineRule="auto"/>
        <w:tabs>
          <w:tab w:leader="none" w:pos="3520" w:val="left"/>
        </w:tabs>
        <w:rPr>
          <w:sz w:val="20"/>
          <w:szCs w:val="20"/>
          <w:color w:val="auto"/>
        </w:rPr>
      </w:pPr>
      <w:r>
        <w:rPr>
          <w:rFonts w:ascii="Times New Roman" w:cs="Times New Roman" w:eastAsia="Times New Roman" w:hAnsi="Times New Roman"/>
          <w:sz w:val="18"/>
          <w:szCs w:val="18"/>
          <w:color w:val="auto"/>
        </w:rPr>
        <w:t>Notes</w:t>
      </w:r>
      <w:r>
        <w:rPr>
          <w:sz w:val="20"/>
          <w:szCs w:val="20"/>
          <w:color w:val="auto"/>
        </w:rPr>
        <w:tab/>
      </w:r>
      <w:r>
        <w:rPr>
          <w:rFonts w:ascii="Times New Roman" w:cs="Times New Roman" w:eastAsia="Times New Roman" w:hAnsi="Times New Roman"/>
          <w:sz w:val="18"/>
          <w:szCs w:val="18"/>
          <w:color w:val="auto"/>
        </w:rPr>
        <w:t>exchange will continue to bear legends restricting their transfer. You will not be able to offer or sell such Original Notes unless:</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5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you are able to rely on an exemption from the requirements of the Securities Act; or</w:t>
            </w:r>
          </w:p>
        </w:tc>
      </w:tr>
      <w:tr>
        <w:trPr>
          <w:trHeight w:val="338"/>
        </w:trPr>
        <w:tc>
          <w:tcPr>
            <w:tcW w:w="3440" w:type="dxa"/>
            <w:vAlign w:val="bottom"/>
          </w:tcPr>
          <w:p>
            <w:pPr>
              <w:spacing w:after="0"/>
              <w:rPr>
                <w:sz w:val="24"/>
                <w:szCs w:val="24"/>
                <w:color w:val="auto"/>
              </w:rPr>
            </w:pPr>
          </w:p>
        </w:tc>
        <w:tc>
          <w:tcPr>
            <w:tcW w:w="75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the Original Notes are registered under the Securities Act.</w:t>
            </w:r>
          </w:p>
        </w:tc>
      </w:tr>
      <w:tr>
        <w:trPr>
          <w:trHeight w:val="319"/>
        </w:trPr>
        <w:tc>
          <w:tcPr>
            <w:tcW w:w="3440" w:type="dxa"/>
            <w:vAlign w:val="bottom"/>
          </w:tcPr>
          <w:p>
            <w:pPr>
              <w:spacing w:after="0"/>
              <w:rPr>
                <w:sz w:val="24"/>
                <w:szCs w:val="24"/>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 the extent that Original Notes are tendered and accepted in the Exchange Offers, the</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trading market for any remaining Original Notes may (and likely will) be adversely</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affected. See “Risk Factors—Risks Relating to Participation in the Exchange Offers—If</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you fail to exchange your Original Notes, they will continue to be restricted securities and</w:t>
            </w:r>
          </w:p>
        </w:tc>
      </w:tr>
      <w:tr>
        <w:trPr>
          <w:trHeight w:val="234"/>
        </w:trPr>
        <w:tc>
          <w:tcPr>
            <w:tcW w:w="3440" w:type="dxa"/>
            <w:vAlign w:val="bottom"/>
          </w:tcPr>
          <w:p>
            <w:pPr>
              <w:spacing w:after="0"/>
              <w:rPr>
                <w:sz w:val="20"/>
                <w:szCs w:val="20"/>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may become less liquid.”</w:t>
            </w:r>
          </w:p>
        </w:tc>
      </w:tr>
      <w:tr>
        <w:trPr>
          <w:trHeight w:val="319"/>
        </w:trPr>
        <w:tc>
          <w:tcPr>
            <w:tcW w:w="3440" w:type="dxa"/>
            <w:vAlign w:val="bottom"/>
          </w:tcPr>
          <w:p>
            <w:pPr>
              <w:spacing w:after="0"/>
              <w:rPr>
                <w:sz w:val="24"/>
                <w:szCs w:val="24"/>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After the Exchange Offers are complete, you will not have any further rights under the</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Registration Rights Agreement, including any right to require us to register any outstanding</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Original Notes that you do not exchange (except under limited circumstances) or to pay</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you the additional interest we agreed to pay to holders of Original Notes if we failed to</w:t>
            </w:r>
          </w:p>
        </w:tc>
      </w:tr>
      <w:tr>
        <w:trPr>
          <w:trHeight w:val="234"/>
        </w:trPr>
        <w:tc>
          <w:tcPr>
            <w:tcW w:w="3440" w:type="dxa"/>
            <w:vAlign w:val="bottom"/>
          </w:tcPr>
          <w:p>
            <w:pPr>
              <w:spacing w:after="0"/>
              <w:rPr>
                <w:sz w:val="20"/>
                <w:szCs w:val="20"/>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timely commence and complete the Exchange Offers.</w:t>
            </w:r>
          </w:p>
        </w:tc>
      </w:tr>
      <w:tr>
        <w:trPr>
          <w:trHeight w:val="319"/>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and Unpaid Interest</w:t>
            </w: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Exchange Notes will bear interest from the most recent date on which interest on the</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Original Notes has been paid (May 1, 2022). If your Original Notes are accepted for</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exchange, you will receive interest on the corresponding Exchange Notes and not on the</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Original Notes. Any Original Notes not tendered will remain outstanding and continue to</w:t>
            </w:r>
          </w:p>
        </w:tc>
      </w:tr>
      <w:tr>
        <w:trPr>
          <w:trHeight w:val="234"/>
        </w:trPr>
        <w:tc>
          <w:tcPr>
            <w:tcW w:w="3440" w:type="dxa"/>
            <w:vAlign w:val="bottom"/>
          </w:tcPr>
          <w:p>
            <w:pPr>
              <w:spacing w:after="0"/>
              <w:rPr>
                <w:sz w:val="20"/>
                <w:szCs w:val="20"/>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accrue interest according to their terms.</w:t>
            </w:r>
          </w:p>
        </w:tc>
      </w:tr>
      <w:tr>
        <w:trPr>
          <w:trHeight w:val="319"/>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Expiration Date</w:t>
            </w: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Expiration Date of the Exchange Offers will be 11:59 p.m., New York City time, on</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June 6, 2022, unless extended or earlier terminated by us. The term “Expiration Date”</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means such date and time or, if we extend any Exchange Offer, the latest date and time to</w:t>
            </w:r>
          </w:p>
        </w:tc>
      </w:tr>
      <w:tr>
        <w:trPr>
          <w:trHeight w:val="234"/>
        </w:trPr>
        <w:tc>
          <w:tcPr>
            <w:tcW w:w="3440" w:type="dxa"/>
            <w:vAlign w:val="bottom"/>
          </w:tcPr>
          <w:p>
            <w:pPr>
              <w:spacing w:after="0"/>
              <w:rPr>
                <w:sz w:val="20"/>
                <w:szCs w:val="20"/>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which we extend such Exchange Offer.</w:t>
            </w:r>
          </w:p>
        </w:tc>
      </w:tr>
      <w:tr>
        <w:trPr>
          <w:trHeight w:val="338"/>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Date</w:t>
            </w: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settlement of the Exchange Offers will occur promptly after the Expiration Date.</w:t>
            </w:r>
          </w:p>
        </w:tc>
      </w:tr>
      <w:tr>
        <w:trPr>
          <w:trHeight w:val="33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Exchange Offers</w:t>
            </w: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Each of the Exchange Offers is subject to customary conditions described in “The</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Exchange Offers—Conditions to the Exchange Offers,” including, among other things, the</w:t>
            </w:r>
          </w:p>
        </w:tc>
      </w:tr>
      <w:tr>
        <w:trPr>
          <w:trHeight w:val="234"/>
        </w:trPr>
        <w:tc>
          <w:tcPr>
            <w:tcW w:w="3440" w:type="dxa"/>
            <w:vAlign w:val="bottom"/>
          </w:tcPr>
          <w:p>
            <w:pPr>
              <w:spacing w:after="0"/>
              <w:rPr>
                <w:sz w:val="20"/>
                <w:szCs w:val="20"/>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condition that no stop</w:t>
            </w:r>
          </w:p>
        </w:tc>
      </w:tr>
      <w:tr>
        <w:trPr>
          <w:trHeight w:val="159"/>
        </w:trPr>
        <w:tc>
          <w:tcPr>
            <w:tcW w:w="3440" w:type="dxa"/>
            <w:vAlign w:val="bottom"/>
            <w:tcBorders>
              <w:bottom w:val="single" w:sz="8" w:color="auto"/>
            </w:tcBorders>
          </w:tcPr>
          <w:p>
            <w:pPr>
              <w:spacing w:after="0"/>
              <w:rPr>
                <w:sz w:val="13"/>
                <w:szCs w:val="13"/>
                <w:color w:val="auto"/>
              </w:rPr>
            </w:pPr>
          </w:p>
        </w:tc>
        <w:tc>
          <w:tcPr>
            <w:tcW w:w="7580" w:type="dxa"/>
            <w:vAlign w:val="bottom"/>
            <w:tcBorders>
              <w:bottom w:val="single" w:sz="8" w:color="auto"/>
            </w:tcBorders>
          </w:tcPr>
          <w:p>
            <w:pPr>
              <w:spacing w:after="0"/>
              <w:rPr>
                <w:sz w:val="13"/>
                <w:szCs w:val="13"/>
                <w:color w:val="auto"/>
              </w:rPr>
            </w:pPr>
          </w:p>
        </w:tc>
      </w:tr>
      <w:tr>
        <w:trPr>
          <w:trHeight w:val="361"/>
        </w:trPr>
        <w:tc>
          <w:tcPr>
            <w:tcW w:w="3440" w:type="dxa"/>
            <w:vAlign w:val="bottom"/>
          </w:tcPr>
          <w:p>
            <w:pPr>
              <w:spacing w:after="0"/>
              <w:rPr>
                <w:sz w:val="24"/>
                <w:szCs w:val="24"/>
                <w:color w:val="auto"/>
              </w:rPr>
            </w:pPr>
          </w:p>
        </w:tc>
        <w:tc>
          <w:tcPr>
            <w:tcW w:w="7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140"/>
          </w:cols>
          <w:pgMar w:left="320" w:top="455"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800" w:type="dxa"/>
            <w:vAlign w:val="bottom"/>
            <w:tcBorders>
              <w:top w:val="single" w:sz="8" w:color="auto"/>
              <w:left w:val="single" w:sz="8" w:color="auto"/>
            </w:tcBorders>
          </w:tcPr>
          <w:p>
            <w:pPr>
              <w:spacing w:after="0"/>
              <w:rPr>
                <w:sz w:val="24"/>
                <w:szCs w:val="24"/>
                <w:color w:val="auto"/>
              </w:rPr>
            </w:pPr>
          </w:p>
        </w:tc>
        <w:tc>
          <w:tcPr>
            <w:tcW w:w="722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order has been issued for the registration statement of which this prospectus forms a part,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or any proceedings for that purpose, and that there shall not have occurred or be reasonably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likely to occur any material adverse change to our business, operations, properties,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condition, assets, liabilities, prospects or financial affairs. None of the Exchange Offers is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conditioned upon the other Exchange Offers, and we may terminate any Exchange Offer</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without terminating the other Exchange Offers.</w:t>
            </w:r>
          </w:p>
        </w:tc>
      </w:tr>
      <w:tr>
        <w:trPr>
          <w:trHeight w:val="333"/>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Exchange Offers are not subject to any federal or state regulatory requirements or</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approvals other than securities laws and blue sky laws.</w:t>
            </w:r>
          </w:p>
        </w:tc>
      </w:tr>
      <w:tr>
        <w:trPr>
          <w:trHeight w:val="31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Extension; Waivers and Amendments</w:t>
            </w: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Subject to applicable law, we reserve the right to (1) extend any Exchange Offer; (2) waive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any and all conditions to or amend any Exchange Offer in any respect (except as to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condition that the registration statement of which this prospectus forms a part not being</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subject to a stop order or any proceedings for that purpose, which condition we cannot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waive); or (3) terminate any Exchange Offer. None of the Exchange Offers is conditioned</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upon the other Exchange Offers, and we may terminate or extend any Exchange Offer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without terminating or extending the other Exchange Offers. Any extension, waiver,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amendment or termination will be followed as promptly as practicable by a public</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announcement thereof, such announcement, in the case of an extension, to be issued no</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later than 9:00 a.m., New York City time, on the next business day after the last previously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scheduled Expiration Date. See “The Exchange Offers—Expiration Date; Extension;</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Termination; Amendment.”</w:t>
            </w:r>
          </w:p>
        </w:tc>
      </w:tr>
      <w:tr>
        <w:trPr>
          <w:trHeight w:val="31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Terms of Exchange Notes</w:t>
            </w: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terms of the Exchange Notes are described in this prospectus under “Description of</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31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Procedures for Tendering the Original Notes</w:t>
            </w: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You may tender your Original Notes by transferring them through The Depository Trust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Company’s (the “DTC”) Automated Tender Offer Program (“ATOP”) as described under</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Exchange Offers—Procedures for Tendering Original Notes.”</w:t>
            </w:r>
          </w:p>
        </w:tc>
      </w:tr>
      <w:tr>
        <w:trPr>
          <w:trHeight w:val="319"/>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For further information, call the Exchange Agent at the telephone numbers set forth under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Exchange Agent” or consult your broker, dealer, commercial bank, trust company or</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other nominee for assistance.</w:t>
            </w:r>
          </w:p>
        </w:tc>
      </w:tr>
      <w:tr>
        <w:trPr>
          <w:trHeight w:val="319"/>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If you are a beneficial owner of Original Notes that are held by or registered in the name of</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 broker, dealer, commercial bank, trust company or other nominee or custodian and you</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wish to tender your Original Notes in order to participate in the Exchange Offers, you</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should contact your intermediary entity promptly and instruct it to tender the Original</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Notes on your behalf. You should keep in mind that your intermediary may require you to</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take action with respect to the Exchange Offers a number of days before the Expiration</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Date in order for such entity to tender Original Notes on your behalf at or</w:t>
            </w:r>
          </w:p>
        </w:tc>
      </w:tr>
      <w:tr>
        <w:trPr>
          <w:trHeight w:val="159"/>
        </w:trPr>
        <w:tc>
          <w:tcPr>
            <w:tcW w:w="3800" w:type="dxa"/>
            <w:vAlign w:val="bottom"/>
            <w:tcBorders>
              <w:left w:val="single" w:sz="8" w:color="auto"/>
              <w:bottom w:val="single" w:sz="8" w:color="auto"/>
            </w:tcBorders>
          </w:tcPr>
          <w:p>
            <w:pPr>
              <w:spacing w:after="0"/>
              <w:rPr>
                <w:sz w:val="13"/>
                <w:szCs w:val="13"/>
                <w:color w:val="auto"/>
              </w:rPr>
            </w:pPr>
          </w:p>
        </w:tc>
        <w:tc>
          <w:tcPr>
            <w:tcW w:w="7220" w:type="dxa"/>
            <w:vAlign w:val="bottom"/>
            <w:tcBorders>
              <w:bottom w:val="single" w:sz="8" w:color="auto"/>
              <w:right w:val="single" w:sz="8" w:color="auto"/>
            </w:tcBorders>
          </w:tcPr>
          <w:p>
            <w:pPr>
              <w:spacing w:after="0"/>
              <w:rPr>
                <w:sz w:val="13"/>
                <w:szCs w:val="13"/>
                <w:color w:val="auto"/>
              </w:rPr>
            </w:pPr>
          </w:p>
        </w:tc>
      </w:tr>
      <w:tr>
        <w:trPr>
          <w:trHeight w:val="361"/>
        </w:trPr>
        <w:tc>
          <w:tcPr>
            <w:tcW w:w="3800" w:type="dxa"/>
            <w:vAlign w:val="bottom"/>
          </w:tcPr>
          <w:p>
            <w:pPr>
              <w:spacing w:after="0"/>
              <w:rPr>
                <w:sz w:val="24"/>
                <w:szCs w:val="24"/>
                <w:color w:val="auto"/>
              </w:rPr>
            </w:pPr>
          </w:p>
        </w:tc>
        <w:tc>
          <w:tcPr>
            <w:tcW w:w="7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prior to the Expiration Date in accordance with the terms of the Exchange Offers. See “The</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Offers—Procedures for Tendering Original Notes.”</w:t>
            </w:r>
          </w:p>
        </w:tc>
      </w:tr>
      <w:tr>
        <w:trPr>
          <w:trHeight w:val="333"/>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If you are a beneficial owner of Original Notes through Euroclear or Clearstream</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Luxembourg (each as defined herein) and wish to tender your Original Notes, you must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instruct Euroclear or Clearstream Luxembourg, as the case may be, to block the account in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respect of the tendered Original Notes in accordance with the procedures established by</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Euroclear or Clearstream Luxembourg. You are encouraged to contact Euroclear or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Clearstream Luxembourg directly to ascertain their procedures for tendering Original</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Notes.</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Withdrawal Rights; Non-Acceptance</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You may withdraw your tender of Original Notes at any time prior to the Expiration Date.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 the event that tendered Original Notes are not withdrawn and not accepted by us for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such Original Notes will be promptly returned to such holders or credited to</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such holders’ DTC account in the same manner as tendered to us, unless a holder has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indicated other delivery instructions in the related computer-generated message. See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Offers—Withdrawal of Tenders” and “The Exchange Offers—Terms of the</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Offers.”</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Absence of Dissenters’ Rights of Appraisal</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You do not have dissenters’ rights of appraisal with respect to the Exchange Offers. See</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Exchange Offers—Absence of Dissenters’ Rights of Appraisal.”</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Certain U.S. Federal Income Tax Considerations</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exchange of notes pursuant to the Exchange Offers generally should not be a taxable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event for U.S. federal income tax purposes. See “Certain U.S. Federal Income Tax</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Considerations.”</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Accounting Treatment</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Exchange Notes will be recorded at the same carrying value as the Original Notes as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reflected in our accounting records on the date of the exchange. Accordingly, we will not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recognize any gain or loss for accounting purposes upon the completion of the Exchange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Offers. Payments made to other third parties will be expensed as incurred in accordance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with generally accepted accounting principles. See “The Exchange Offers—Accounting</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Treatment.”</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Agent</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Bank of New York Mellon is the Exchange Agent for the Exchange Offers. See “The</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Agent” herein.</w:t>
            </w:r>
          </w:p>
        </w:tc>
      </w:tr>
      <w:tr>
        <w:trPr>
          <w:trHeight w:val="338"/>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Information</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See “The Exchange Offers” for more information concerning the Exchange Offers.</w:t>
            </w:r>
          </w:p>
        </w:tc>
      </w:tr>
      <w:tr>
        <w:trPr>
          <w:trHeight w:val="172"/>
        </w:trPr>
        <w:tc>
          <w:tcPr>
            <w:tcW w:w="3940" w:type="dxa"/>
            <w:vAlign w:val="bottom"/>
            <w:tcBorders>
              <w:left w:val="single" w:sz="8" w:color="auto"/>
              <w:bottom w:val="single" w:sz="8" w:color="auto"/>
            </w:tcBorders>
          </w:tcPr>
          <w:p>
            <w:pPr>
              <w:spacing w:after="0"/>
              <w:rPr>
                <w:sz w:val="14"/>
                <w:szCs w:val="14"/>
                <w:color w:val="auto"/>
              </w:rPr>
            </w:pPr>
          </w:p>
        </w:tc>
        <w:tc>
          <w:tcPr>
            <w:tcW w:w="7080" w:type="dxa"/>
            <w:vAlign w:val="bottom"/>
            <w:tcBorders>
              <w:bottom w:val="single" w:sz="8" w:color="auto"/>
              <w:right w:val="single" w:sz="8" w:color="auto"/>
            </w:tcBorders>
          </w:tcPr>
          <w:p>
            <w:pPr>
              <w:spacing w:after="0"/>
              <w:rPr>
                <w:sz w:val="14"/>
                <w:szCs w:val="14"/>
                <w:color w:val="auto"/>
              </w:rPr>
            </w:pPr>
          </w:p>
        </w:tc>
      </w:tr>
      <w:tr>
        <w:trPr>
          <w:trHeight w:val="361"/>
        </w:trPr>
        <w:tc>
          <w:tcPr>
            <w:tcW w:w="3940" w:type="dxa"/>
            <w:vAlign w:val="bottom"/>
          </w:tcPr>
          <w:p>
            <w:pPr>
              <w:spacing w:after="0"/>
              <w:rPr>
                <w:sz w:val="24"/>
                <w:szCs w:val="24"/>
                <w:color w:val="auto"/>
              </w:rPr>
            </w:pPr>
          </w:p>
        </w:tc>
        <w:tc>
          <w:tcPr>
            <w:tcW w:w="70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47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Notes</w:t>
      </w:r>
    </w:p>
    <w:p>
      <w:pPr>
        <w:spacing w:after="0" w:line="227" w:lineRule="exact"/>
        <w:rPr>
          <w:sz w:val="20"/>
          <w:szCs w:val="20"/>
          <w:color w:val="auto"/>
        </w:rPr>
      </w:pPr>
    </w:p>
    <w:p>
      <w:pPr>
        <w:ind w:left="300" w:right="2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Exchange Notes. It does not contain all of the information that may be important to you. For a more complete description of the terms of the Exchange Notes, see “Description of Exchange Notes.”</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Comcast Corporation</w:t>
            </w:r>
          </w:p>
        </w:tc>
      </w:tr>
      <w:tr>
        <w:trPr>
          <w:trHeight w:val="33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Notes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terms of each series of the Original Notes and the applicable series of Exchange Notes</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are identical, except the Exchange Notes offered in the Exchange Offers:</w:t>
            </w:r>
          </w:p>
        </w:tc>
      </w:tr>
      <w:tr>
        <w:trPr>
          <w:trHeight w:val="338"/>
        </w:trPr>
        <w:tc>
          <w:tcPr>
            <w:tcW w:w="2980" w:type="dxa"/>
            <w:vAlign w:val="bottom"/>
          </w:tcPr>
          <w:p>
            <w:pPr>
              <w:spacing w:after="0"/>
              <w:rPr>
                <w:sz w:val="24"/>
                <w:szCs w:val="24"/>
                <w:color w:val="auto"/>
              </w:rPr>
            </w:pPr>
          </w:p>
        </w:tc>
        <w:tc>
          <w:tcPr>
            <w:tcW w:w="8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will have been registered under the Securities Act;</w:t>
            </w:r>
          </w:p>
        </w:tc>
      </w:tr>
      <w:tr>
        <w:trPr>
          <w:trHeight w:val="319"/>
        </w:trPr>
        <w:tc>
          <w:tcPr>
            <w:tcW w:w="2980" w:type="dxa"/>
            <w:vAlign w:val="bottom"/>
          </w:tcPr>
          <w:p>
            <w:pPr>
              <w:spacing w:after="0"/>
              <w:rPr>
                <w:sz w:val="24"/>
                <w:szCs w:val="24"/>
                <w:color w:val="auto"/>
              </w:rPr>
            </w:pPr>
          </w:p>
        </w:tc>
        <w:tc>
          <w:tcPr>
            <w:tcW w:w="8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will not have transfer restrictions and registration rights that relate to the Original</w:t>
            </w:r>
          </w:p>
        </w:tc>
      </w:tr>
      <w:tr>
        <w:trPr>
          <w:trHeight w:val="234"/>
        </w:trPr>
        <w:tc>
          <w:tcPr>
            <w:tcW w:w="2980" w:type="dxa"/>
            <w:vAlign w:val="bottom"/>
          </w:tcPr>
          <w:p>
            <w:pPr>
              <w:spacing w:after="0"/>
              <w:rPr>
                <w:sz w:val="20"/>
                <w:szCs w:val="20"/>
                <w:color w:val="auto"/>
              </w:rPr>
            </w:pPr>
          </w:p>
        </w:tc>
        <w:tc>
          <w:tcPr>
            <w:tcW w:w="80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Notes; and</w:t>
            </w:r>
          </w:p>
        </w:tc>
      </w:tr>
      <w:tr>
        <w:trPr>
          <w:trHeight w:val="319"/>
        </w:trPr>
        <w:tc>
          <w:tcPr>
            <w:tcW w:w="2980" w:type="dxa"/>
            <w:vAlign w:val="bottom"/>
          </w:tcPr>
          <w:p>
            <w:pPr>
              <w:spacing w:after="0"/>
              <w:rPr>
                <w:sz w:val="24"/>
                <w:szCs w:val="24"/>
                <w:color w:val="auto"/>
              </w:rPr>
            </w:pPr>
          </w:p>
        </w:tc>
        <w:tc>
          <w:tcPr>
            <w:tcW w:w="8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will not have rights relating to the payment of additional interest to holders of</w:t>
            </w:r>
          </w:p>
        </w:tc>
      </w:tr>
      <w:tr>
        <w:trPr>
          <w:trHeight w:val="234"/>
        </w:trPr>
        <w:tc>
          <w:tcPr>
            <w:tcW w:w="2980" w:type="dxa"/>
            <w:vAlign w:val="bottom"/>
          </w:tcPr>
          <w:p>
            <w:pPr>
              <w:spacing w:after="0"/>
              <w:rPr>
                <w:sz w:val="20"/>
                <w:szCs w:val="20"/>
                <w:color w:val="auto"/>
              </w:rPr>
            </w:pPr>
          </w:p>
        </w:tc>
        <w:tc>
          <w:tcPr>
            <w:tcW w:w="80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Original Notes if we fail to timely commence and complete the Exchange Offers.</w:t>
            </w:r>
          </w:p>
        </w:tc>
      </w:tr>
      <w:tr>
        <w:trPr>
          <w:trHeight w:val="338"/>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2.887% Global Notes due 2051 (the “2051 Exchange Notes”),</w:t>
            </w:r>
          </w:p>
        </w:tc>
      </w:tr>
      <w:tr>
        <w:trPr>
          <w:trHeight w:val="859"/>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2.937% Global Notes due 2056 (the “2056 Exchange Notes”), and</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2.987% Global Notes due 2063 (the “2063 Exchange Notes”).</w:t>
            </w:r>
          </w:p>
        </w:tc>
      </w:tr>
      <w:tr>
        <w:trPr>
          <w:trHeight w:val="33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November 1, 2051 for the 2051 Exchange Notes.</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November 1, 2056 for the 2056 Exchange Notes.</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November 1, 2063 for the 2063 Exchange Notes.</w:t>
            </w:r>
          </w:p>
        </w:tc>
      </w:tr>
      <w:tr>
        <w:trPr>
          <w:trHeight w:val="319"/>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Interest on the 2051 Exchange Notes will accrue at the rate of 2.887% per year, payable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semiannually in cash in arrears on May 1 and November 1, beginning November 1, 2022.</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Interest on the 2056 Exchange Notes will accrue at the rate of 2.937% per year, payable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semiannually in cash in arrears on May 1 and November 1, beginning November 1, 2022.</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Interest on the 2063 Exchange Notes will accrue at the rate of 2.987% per year, payable</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semiannually in cash in arrears on May 1 and November 1, beginning November 1, 2022.</w:t>
            </w:r>
          </w:p>
        </w:tc>
      </w:tr>
      <w:tr>
        <w:trPr>
          <w:trHeight w:val="338"/>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Interest on the Exchange Notes will accrue from May 1, 2022.</w:t>
            </w:r>
          </w:p>
        </w:tc>
      </w:tr>
      <w:tr>
        <w:trPr>
          <w:trHeight w:val="319"/>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Exchange Notes will be unsecured and will rank equally with all of our and the</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guarantors’ unsecured and unsubordinated indebtedness.</w:t>
            </w:r>
          </w:p>
        </w:tc>
      </w:tr>
      <w:tr>
        <w:trPr>
          <w:trHeight w:val="338"/>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Guarantors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Comcast Cable Communications and NBCUniversal.</w:t>
            </w:r>
          </w:p>
        </w:tc>
      </w:tr>
      <w:tr>
        <w:trPr>
          <w:trHeight w:val="33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guarantors will fully and unconditionally guarantee the Exchange Notes, including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payment of principal, premium, if any, and interest. The guarantees will rank equally with</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all other general unsecured and unsubordinated obligations of the guarantors.</w:t>
            </w:r>
          </w:p>
        </w:tc>
      </w:tr>
      <w:tr>
        <w:trPr>
          <w:trHeight w:val="319"/>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 may, at our option, redeem any series of Exchange Notes, in whole or in part, at any</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time at the applicable Redemption Price determined as set forth under the heading</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“Description of the Notes—Optional Redemption of the Exchange Notes.”</w:t>
            </w:r>
          </w:p>
        </w:tc>
      </w:tr>
      <w:tr>
        <w:trPr>
          <w:trHeight w:val="159"/>
        </w:trPr>
        <w:tc>
          <w:tcPr>
            <w:tcW w:w="2980" w:type="dxa"/>
            <w:vAlign w:val="bottom"/>
            <w:tcBorders>
              <w:bottom w:val="single" w:sz="8" w:color="auto"/>
            </w:tcBorders>
          </w:tcPr>
          <w:p>
            <w:pPr>
              <w:spacing w:after="0"/>
              <w:rPr>
                <w:sz w:val="13"/>
                <w:szCs w:val="13"/>
                <w:color w:val="auto"/>
              </w:rPr>
            </w:pPr>
          </w:p>
        </w:tc>
        <w:tc>
          <w:tcPr>
            <w:tcW w:w="8040" w:type="dxa"/>
            <w:vAlign w:val="bottom"/>
            <w:tcBorders>
              <w:bottom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6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Book-Entry</w:t>
            </w:r>
          </w:p>
        </w:tc>
        <w:tc>
          <w:tcPr>
            <w:tcW w:w="8400" w:type="dxa"/>
            <w:vAlign w:val="bottom"/>
            <w:tcBorders>
              <w:top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The Exchange Notes will be issued in book-entry form and will be represented by global</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notes deposited with, or on behalf of, DTC and registered in the name of DTC or its</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nominees. Beneficial interests in any of the notes will be shown on, and transfers will be</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effected only through, records maintained by DTC or its nominee or indirectly through</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organizations that have accounts with DTC, including Euroclear and Clearstream, and</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these beneficial interests may not be exchanged for certificated notes, except in limited</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circumstances. See “Description of the Notes—Book-Entry System” in this prospectus</w:t>
            </w:r>
          </w:p>
        </w:tc>
      </w:tr>
      <w:tr>
        <w:trPr>
          <w:trHeight w:val="234"/>
        </w:trPr>
        <w:tc>
          <w:tcPr>
            <w:tcW w:w="262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supplement.</w:t>
            </w:r>
          </w:p>
        </w:tc>
      </w:tr>
      <w:tr>
        <w:trPr>
          <w:trHeight w:val="159"/>
        </w:trPr>
        <w:tc>
          <w:tcPr>
            <w:tcW w:w="2620" w:type="dxa"/>
            <w:vAlign w:val="bottom"/>
            <w:tcBorders>
              <w:left w:val="single" w:sz="8" w:color="auto"/>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tcPr>
          <w:p>
            <w:pPr>
              <w:spacing w:after="0"/>
              <w:rPr>
                <w:sz w:val="13"/>
                <w:szCs w:val="13"/>
                <w:color w:val="auto"/>
              </w:rPr>
            </w:pPr>
          </w:p>
        </w:tc>
      </w:tr>
      <w:tr>
        <w:trPr>
          <w:trHeight w:val="361"/>
        </w:trPr>
        <w:tc>
          <w:tcPr>
            <w:tcW w:w="2620" w:type="dxa"/>
            <w:vAlign w:val="bottom"/>
          </w:tcPr>
          <w:p>
            <w:pPr>
              <w:spacing w:after="0"/>
              <w:rPr>
                <w:sz w:val="24"/>
                <w:szCs w:val="24"/>
                <w:color w:val="auto"/>
              </w:rPr>
            </w:pPr>
          </w:p>
        </w:tc>
        <w:tc>
          <w:tcPr>
            <w:tcW w:w="84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Any investment in the Exchange Notes involves a high degree of risk, including but not limited to the risks described below. In addition, you should carefully consider, among other things, the matters discussed under “Item 1A—Risk Factors” beginning on page 22 of our Annual Report on Form 10-K for the fiscal year ended December 31, 2021, as well as the other information incorporated by reference in this prospectus. The risks and uncertainties described below and in our Annual Report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could suffer. As a result, the trading price of the Exchange Notes could decline, perhaps significantly, and you could lose all or part of your investment. The risks discussed below also include forward-looking statements and our actual results may differ substantially from those discussed in these forward-looking statements. See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Exchange Offers</w:t>
      </w:r>
    </w:p>
    <w:p>
      <w:pPr>
        <w:spacing w:after="0" w:line="117" w:lineRule="exact"/>
        <w:rPr>
          <w:sz w:val="20"/>
          <w:szCs w:val="20"/>
          <w:color w:val="auto"/>
        </w:rPr>
      </w:pPr>
    </w:p>
    <w:p>
      <w:pPr>
        <w:ind w:left="34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board of directors has not made a recommendation as to whether you should tender your Original Notes in exchange for Exchange Notes in the Exchange Offers, and we have not obtained a third-party determination that the Exchange Offers are fair to holders of our Original Notes.</w:t>
      </w:r>
    </w:p>
    <w:p>
      <w:pPr>
        <w:spacing w:after="0" w:line="2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has not made, and will not make, any recommendation as to whether holders of Original Notes should tender their Original Notes in exchange for Exchange Notes pursuant to the Exchange Offers. We have not retained, and do not intend to retain, any unaffiliated representative to act solely on behalf of the holders of the Original Notes for purposes of negotiating the terms of these Exchange Offers, or preparing a report or making any recommendation concerning the fairness of these Exchange Offers. Therefore, if you tender your Original Notes, you may not receive more than or as much value as if you chose to keep them. Holders of Original Notes must make their own independent decisions regarding their participation in the Exchange Offers.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Exchange Offers may be cancelled or delayed.</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consummation of the Exchange Offers is subject to, and conditional upon, the satisfaction or waiver of the conditions discussed under “The Exchange Offers—Conditions to the Exchange Offers.” We may, at our option and in our sole discretion, waive any such conditions. Even if the Exchange Offers are completed, the Exchange Offers may not be completed on the schedule described in this prospectus. Accordingly, holders participating in the Exchange Offers may have to wait longer than expected to receive their Exchange Notes, during which time those holders of the Original Notes will not be able to effect transfers of their Original Notes tendered for exchange.</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you fail to exchange your Original Notes, they will continue to be restricted securities and may become less liquid.</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Original Notes that you do not tender or that we do not accept will, following the Exchange Offers, continue to be restricted securities, and you may not offer to sell them except pursuant to an exemption from, or in a transaction not subject to, the Securities Act and applicable state securities law. We will issue Exchange Notes in exchange for the Original Notes pursuant to the Exchange Offers only following the satisfaction of the procedures and conditions set forth in “The Exchange Offers—Conditions to the Exchange Offers” and “The Exchange Offers—Procedures for Tendering Original Notes.” These procedures and conditions include timely receipt by the Exchange Agent of confirmation of book-entry transfer of such Original Notes and of an agent’s message from DTC. Therefore, holders of the Original Notes desiring to tender such Original Notes in exchange for Exchange Notes should allow sufficient time to ensure timely delivery. Additionally, we are under no duty to give notification of defects or irregularities of tenders of Original Notes for exchange.</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Because we anticipate that most holders of Original Notes will elect to exchange their Original Notes, we expect that the liquidity of the market for any Original Notes remaining after the completion of the Exchange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Offers will be substantially limited. Any Original Notes tendered and exchanged in the Exchange Offers will reduce the aggregate principal amount of the applicable series of Original Notes outstanding. Following the Exchange Offers, if you do not tender your Original Notes, you generally will not have any further registration rights, and your Original Notes will continue to be subject to certain transfer restrictions. Accordingly, the liquidity of the market for the Original Notes could be adversely affected.</w:t>
      </w:r>
    </w:p>
    <w:p>
      <w:pPr>
        <w:spacing w:after="0" w:line="284" w:lineRule="exact"/>
        <w:rPr>
          <w:sz w:val="20"/>
          <w:szCs w:val="20"/>
          <w:color w:val="auto"/>
        </w:rPr>
      </w:pPr>
    </w:p>
    <w:p>
      <w:pPr>
        <w:ind w:left="3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 active trading market does not develop for the Exchange Notes, you may be unable to sell the Exchange Notes or to sell them at a price you deem sufficient.</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Exchange Notes are a new issue of securities for which there is currently no public trading market. We do not intend to list the Exchange Notes on any national securities exchange. Accordingly, there can be no assurances that an active trading market will develop upon completion of the Exchange Offers or, if it develops, that such market will be sustained, or as to the liquidity of any market. If an active trading market does not develop or is not sustained, the market price and the liquidity of the Exchange Notes may be adversely affected. In addition, the liquidity of the trading market for the Exchange Notes, if it develops, and the market price quoted for the Exchange Notes, may be adversely affected by changes in the overall market for those securities and by changes in our financial performance or prospects or in the prospects for companies in our industry generally.</w:t>
      </w:r>
    </w:p>
    <w:p>
      <w:pPr>
        <w:spacing w:after="0" w:line="291" w:lineRule="exact"/>
        <w:rPr>
          <w:sz w:val="20"/>
          <w:szCs w:val="20"/>
          <w:color w:val="auto"/>
        </w:rPr>
      </w:pPr>
    </w:p>
    <w:p>
      <w:pPr>
        <w:ind w:left="3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repurchase any Original Notes that are not accepted for purchase and exchange in the Exchange Offers in future transactions on terms that are more favorable to the holders of the Original Notes than the terms of the Exchange Offers.</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after completion of the Exchange Offers, purchase additional Original Notes in the open market, in privately negotiated transactions, through tender offers, exchange offers or otherwise. Any future purchases or exchanges may be on the same terms or on terms that are more or less favorable to holders of Original Notes than the terms of the Exchange Offers. Any future purchases or exchanges by us will depend on various factors existing at that time. There can be no assurance as to which, if any, of these alternatives (or combinations thereof) we may choose to pursue in the future.</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Some noteholders may be required to comply with the registration and prospectus delivery requirements of the Securities Act.</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you exchange your Original Notes in the Exchange Offers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Our obligation to keep the registration statement of which this prospectus forms a part effective is limited. Accordingly, we cannot guarantee that a current prospectus will be available at all times to broker-dealers wishing to resell their Exchange Notes.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Exchange Offers are intended to satisfy our obligations under the Registration Rights Agreement entered into in connection with the issuance of the Original Notes. We will not receive any cash proceeds from the issuance of the Exchange Notes in the Exchange Offers. The Original Notes surrendered and exchanged for the Exchange Notes will be retired and canceled.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Exchange Offers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offering to exchange our (i) 2.887% Notes due 2051, which have been registered under the Securities Act and which we refer to as the “2051 Exchange Notes,” for our outstanding 2.887% Notes due 2051, which have not been so registered and which we refer to as the “2051 Original Notes,” (ii) 2.937% Notes due 2056, which have been registered under the Securities Act and which we refer to as the “2056 Exchange Notes,” for our outstanding 2.937% Notes due 2056, which have not been so registered and which we refer to as the “2056 Original Notes” and (iii) 2.987% Notes due 2063, which have been registered under the Securities Act and which we refer to as the “2063 Exchange Notes,” for our outstanding 2.987% Notes due 2063, which have not been so registered and which we refer to as the “2063 Original Notes.” We refer to these exchange offers as the “Exchange Offers.”</w:t>
      </w:r>
    </w:p>
    <w:p>
      <w:pPr>
        <w:spacing w:after="0" w:line="18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2, 2021, Comcast and NBCUniversal consummated prior private offers (i) (A) by Comcast to exchange its 6.400% Notes due 2038, 6.950% Notes due 2037, 6.450% Notes due 2037, 6.400% Notes due March 2040, 6.550% Notes due 2039, 4.600% Notes due 2038, 6.500% Notes due 2035, 5.650% Notes due 2035 and 7.050% Notes due 2033 and (B) by NBCUniversal to exchange NBCUniversal’s 6.400% Notes due April 2040 for up to $3,000,000,000 in aggregate principal amount of 2051 Original Notes, (ii) (A) by Comcast to exchange its 4.700% Notes due 2048, 4.750% Notes due 2044, 4.650% Notes due 2042 and 4.500% Notes due 2043 and (B) by NBCUniversal to exchange NBCUniversal’s 5.950% Notes due 2041 and 4.450% Notes due 2043 for up to $3,000,000,000 in aggregate principal amount of 2056 Original Notes and (iii) by Comcast to exchange its 4.600% Notes due 2045, 4.950% Notes due 2058 and 4.049% Notes due 2052 for up to $3,000,000,000 in aggregate principal amount of 2063 Original Notes.</w:t>
      </w:r>
    </w:p>
    <w:p>
      <w:pPr>
        <w:spacing w:after="0" w:line="18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previous exchange offers, Comcast and the guarantors entered into the Registration Rights Agreement, with Credit Suisse Securities (USA) LLC, Morgan Stanley &amp; Co. LLC, BofA Securities, Inc., Citigroup Global Markets Inc., J.P. Morgan Securities LLC, Mizuho Securities USA LLC and Wells Fargo Securities, LLC, as joint-lead dealer managers and as representatives of the several dealer managers for the previous exchange offers, whom we refer to collectively as the “Dealer Managers.” Under the Registration Rights Agreement, we agreed to file and to use our reasonable efforts to have declared effective the exchange offer registration statement under the Securities Act and to consummate the Exchange Offers.</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are making the Exchange Offers in reliance on the position of the SEC as set forth in </w:t>
      </w:r>
      <w:r>
        <w:rPr>
          <w:rFonts w:ascii="Times New Roman" w:cs="Times New Roman" w:eastAsia="Times New Roman" w:hAnsi="Times New Roman"/>
          <w:sz w:val="18"/>
          <w:szCs w:val="18"/>
          <w:i w:val="1"/>
          <w:iCs w:val="1"/>
          <w:color w:val="auto"/>
        </w:rPr>
        <w:t>Exxon Capital Holdings Corporation</w:t>
      </w:r>
      <w:r>
        <w:rPr>
          <w:rFonts w:ascii="Times New Roman" w:cs="Times New Roman" w:eastAsia="Times New Roman" w:hAnsi="Times New Roman"/>
          <w:sz w:val="18"/>
          <w:szCs w:val="18"/>
          <w:color w:val="auto"/>
        </w:rPr>
        <w:t xml:space="preserve"> and similar no-action letters. However, we have not sought our own no-action letter. Based upon these interpretations by the SEC, we believe that a holder of Exchange Notes who is not our “affiliate” within the meaning of Rule 405 of the Securities Act and who exchanges Original Notes for Exchange Notes in the Exchange Offers generally may offer the Exchange Notes for resale, sell the Exchange Notes and otherwise transfer the Exchange Notes without further registration under the Securities Act and without delivery of a prospectus that satisfies the requirements of Section 10 of the Securities Act. This does not apply, however, to a holder who is our “affiliate”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of the Exchange Notes.</w:t>
      </w:r>
    </w:p>
    <w:p>
      <w:pPr>
        <w:spacing w:after="0" w:line="19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Any holder of the Original Notes using the Exchange Offers to participate in a distribution of Exchange Notes cannot rely on the no-action letters referred to above. 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See “Plan of Distribution.” You may not participate in the Exchange Offers if you are a broker-dealer tendering Original Notes that you acquired directly from us for your own account.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set forth in this prospectus, this prospectus may not be used for an offer to resell, resale or other transfer of Exchange Notes.</w:t>
      </w:r>
    </w:p>
    <w:p>
      <w:pPr>
        <w:spacing w:after="0" w:line="225"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Exchange Offers are not being made to, nor will we accept tenders for exchange from, holders of Original Notes in any jurisdiction in which the Exchange Offers or the acceptance of them would not be in compliance with the securities or blue sky laws of such jurisdiction.</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exchange for Original Notes, where such Original Notes were acquired by such broker-dealer as a result of market-making activities or other trading activities, shall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We have agreed that, for a period of 90 days after the Expiration Date (as defined herein), we will make this prospectus available to any broker-dealer for use in connection with any such resale. See “Plan of Distribution” below.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Resale of Exchange Notes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not entered into any arrangement or understanding with any person to distribute the Exchange Notes to be received in the Exchange Offers and, to the best of our information and belief, each person that will participate in the Exchange Offers will acquire the Exchange Notes in its ordinary course of business and has no arrangement or understanding with any person to participate in the distribution of the Exchange Notes to be received in the Exchange Offer.</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Based upon the position of the staff of the SEC as described in previous no-action letters and subject to the immediately following sentence, we believe that Exchange Notes issued pursuant to the Exchange Offers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Offers that:</w:t>
      </w:r>
    </w:p>
    <w:p>
      <w:pPr>
        <w:spacing w:after="0" w:line="85"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broker-dealer tendering Original Notes that you acquired directly from us for your own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not participated in, do not intend to participate in, and have no arrangement or understanding with any person to participate in, a distribution of the Exchange Notes;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our “affiliate” as defined under Rule 405 of the Securities Act.</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However, any purchaser of Exchange Notes who is an affiliate of ours or who intends to participate in the Exchange Offers for the purpose of distributing the Exchange Notes (i) will not be able to rely on the interpretations of the SEC staff set forth in the above-mentioned no-action letters,</w:t>
      </w:r>
    </w:p>
    <w:p>
      <w:pPr>
        <w:jc w:val="both"/>
        <w:ind w:left="120" w:right="20" w:hanging="4"/>
        <w:spacing w:after="0" w:line="255" w:lineRule="auto"/>
        <w:tabs>
          <w:tab w:leader="none" w:pos="4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tender its Original Notes in the Exchange Offers and (iii) must comply with the registration and prospectus delivery requirements of the Securities Act in connection with any sale or transfer of the Exchange Notes unless such sale or transfer is made pursuant to an exemption from such requirements.</w:t>
      </w:r>
    </w:p>
    <w:p>
      <w:pPr>
        <w:spacing w:after="0" w:line="18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With regard to broker-dealers, any broker-dealer who holds any Original Notes acquired for its own account as a result of market-making activities or other trading activities may participate in the Exchange Offers so long as the broker-dealer has not entered into any arrangement or understanding with us or an affiliate of ours to distribute the Exchange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Exchange Offers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the terms and subject to the conditions of the Exchange Offers, we will accept any and all Original Notes validly tendered prior to 11:59 p.m., New York City time, on the Expiration Date for the Exchange Offers. Subject to the minimum denomination requirements of the Exchange Notes, we will issue $1,000 principal amount of Exchange Notes in exchange for each $1,000 principal amount of outstanding Original Notes validly tendered pursuant to the Exchange Offers on or before the Expiration Date and not validly withdrawn. Holders may tender some or all of the Original Notes pursuant to the Exchange Offers. However, Original Notes may be tendered only in minimum denominations of $2,000 and multiples of $1,000 thereafter. Promptly after the Expiration Date (unless extended as described in this prospectus), we will issue an aggregate principal amount of up to $4,999,854,000 of 2051 Exchange Notes for a like principal amount of outstanding 2051 Original Notes tendered and accepted in connection with the Exchange Offers, up to $5,999,998,000 of 2056 Exchange Notes for a like principal amount of outstanding 2056 Original Notes tendered and accepted in connection with the Exchange Offers and up to $4,000,000,000 of 2063 Exchange Notes for a like principal amount of outstanding 2063 Original Notes tendered and accepted in connection with the Exchange Offers. The Exchange Notes issued in connection with the Exchange Offers will be delivered promptly after the Expiration Date.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terms of the Exchange Notes will be substantially identical to the terms of the Original Notes, except that:</w:t>
      </w:r>
    </w:p>
    <w:p>
      <w:pPr>
        <w:spacing w:after="0" w:line="131" w:lineRule="exact"/>
        <w:rPr>
          <w:sz w:val="20"/>
          <w:szCs w:val="20"/>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of the Exchange Notes will have been registered under the Securities Act and, therefore, the Exchange Notes will not bear legends restricting the transfer of the Exchange Notes;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Exchange Notes will not be entitled to any rights under the Registration Rights Agreement, which rights will terminate upon the consummation of the Exchange Offers, or to the additional interest provisions of the Registration Rights Agreement.</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Exchange Notes will evidence the same debt as the Original Notes and will be issued under the same indenture and be entitled to the same benefits under that indenture as the Original Notes being exchanged. As of the date of this prospectus, $14,999,852,000 in aggregate principal amount of the Original Notes is outstanding.</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Original Notes, we arranged for the Original Notes purchased by qualified institutional buyers and those sold in reliance on Regulation S under the Securities Act to be issued and transferable in book-entry form through the facilities of DTC, acting as depositary. Except as described under “Description of Exchange Notes—Book-Entry System,” Exchange Notes will be issued in the form of one or more global notes registered in the name of DTC or its nominee and each beneficial owner’s interest in it will be transferable in book-entry form through DTC. See “Description of Exchange Notes—Book-Entry System.”</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Original Notes do not have any appraisal or dissenters’ rights in connection with the Exchange Offers. Original Notes that are not tendered for exchange or are tendered but not accepted in connection with the Exchange Offers will remain outstanding and be entitled to the benefits of our Indenture (as defined below), but certain registration and other rights under the Registration Rights Agreement will terminate and holders of the Original Notes will generally not be entitled to any registration rights under the Registration Rights Agreement. See “—Consequences of Failure to Properly Tender Original Notes in the Exchange Offers.”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shall be considered to have accepted validly tendered Original Notes if and when we have given oral (to be followed by prompt written notice) or written notice to the Exchange Agent. The Exchange Agent will act as agent for the tendering holders for the purposes of receiving the Exchange Notes from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tendered Original Notes are not accepted for exchange because of an invalid tender, the occurrence of certain other events described in this prospectus or otherwise, we will return the Original Notes, without expense, to the tendering holder promptly after the Expiration Date for the Exchange Offers.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Holders who tender Original Notes will not be required to pay brokerage commissions or fees or transfer taxes on exchange of Original Notes in connection with the Exchange Offers, except as described under “—Fees and Expenses” and “—Transfer Taxes.”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Date; Extension; Termination; Amendment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Expiration Date for the Exchange Offers is 11:59 p.m., New York City time, on June 6, 2022, unless extended by us in our sole discretion, in which case the term “Expiration Date” shall mean the latest date and time to which the Exchange Offers are extended with respect to either or both series of Exchange Notes.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applicable law, we reserve the right, in our sole discretion:</w:t>
      </w:r>
    </w:p>
    <w:p>
      <w:pPr>
        <w:spacing w:after="0" w:line="131" w:lineRule="exact"/>
        <w:rPr>
          <w:sz w:val="20"/>
          <w:szCs w:val="20"/>
          <w:color w:val="auto"/>
        </w:rPr>
      </w:pPr>
    </w:p>
    <w:p>
      <w:pPr>
        <w:jc w:val="both"/>
        <w:ind w:left="1080" w:right="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delay accepting any Original Notes, to extend any Exchange Offer or to terminate any Exchange Offer if, in our reasonable judgment, any of the conditions described below shall not have been satisfied, by giving oral (to be followed by prompt written notice) or written notice of the delay, extension or termination to the Exchange Agent;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terms of any Exchange Offer in any manner.</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amend any Exchange Offer in a manner that we consider material, we will disclose such amendment by means of a prospectus supplement, and we will extend such Exchange Offer for a period of five to ten business days. No Exchange Offer is conditioned upon the other Exchange Offers, and we may terminate any Exchange Offer without terminating the other Exchange Offers.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determine to extend, amend or terminate any Exchange Offer, we will publicly announce this determination by making a timely release through an appropriate news agency.</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delay accepting any Original Notes or terminate any Exchange Offer, we promptly will pay the consideration offered, or return any Original Notes deposited, pursuant to the Exchange Offers as required by Rule 14e-1(c).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on the Exchange Notes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2051 Exchange Notes will bear interest at the rate of 2.887% per annum, the 2056 Exchange Notes will bear interest at the rate of 2.937% per annum and the 2063 Exchange Notes will bear interest at the rate of 2.987% per annum, each from the most recent date on which interest on the Original Notes has been paid (May 1, 2022). Interest will be payable semiannually in arrears on May 1 and November 1 of each year, commencing on November 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Exchange Offers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provisions of the Exchange Offers, or any extension of the Exchange Offers, we will not be required to accept for exchange, or to exchange any Exchange Notes for, any Original Notes and we may terminate any Exchange Offer or, at our option, modify, extend or otherwise amend any Exchange Offer, if any of the following conditions are not satisfied at or prior to the Expiration Date:</w:t>
      </w:r>
    </w:p>
    <w:p>
      <w:pPr>
        <w:spacing w:after="0" w:line="81" w:lineRule="exact"/>
        <w:rPr>
          <w:sz w:val="20"/>
          <w:szCs w:val="20"/>
          <w:color w:val="auto"/>
        </w:rPr>
      </w:pPr>
    </w:p>
    <w:p>
      <w:pPr>
        <w:ind w:left="1080" w:right="2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reasonable judgment, no action or event has occurred or been threatened (including a default under an agreement, indenture or other instrument or obligation to which we or one of our affiliates is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61" w:lineRule="auto"/>
        <w:rPr>
          <w:sz w:val="20"/>
          <w:szCs w:val="20"/>
          <w:color w:val="auto"/>
        </w:rPr>
      </w:pPr>
      <w:r>
        <w:rPr>
          <w:rFonts w:ascii="Times New Roman" w:cs="Times New Roman" w:eastAsia="Times New Roman" w:hAnsi="Times New Roman"/>
          <w:sz w:val="18"/>
          <w:szCs w:val="18"/>
          <w:color w:val="auto"/>
        </w:rPr>
        <w:t>party or by which we or any of our affiliates is bound), no action is pending, no action has been taken, and no statute, rule, regulation, judgment, order, stay, decree or injunction has been promulgated, enacted, entered, enforced or deemed applicable to the Exchange Offers or the exchange of Original Notes for Exchange Notes under the Exchange Offers by or before any court or governmental regulatory or administrative agency, authority, or tribunal, which either:</w:t>
      </w:r>
    </w:p>
    <w:p>
      <w:pPr>
        <w:spacing w:after="0" w:line="85" w:lineRule="exact"/>
        <w:rPr>
          <w:sz w:val="20"/>
          <w:szCs w:val="20"/>
          <w:color w:val="auto"/>
        </w:rPr>
      </w:pPr>
    </w:p>
    <w:p>
      <w:pPr>
        <w:jc w:val="both"/>
        <w:ind w:left="1540" w:hanging="331"/>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the making of the Exchange Offers or the exchange of Original Notes for Exchange Notes under the Exchange Offers or might, directly or indirectly, prohibit, prevent, restrict or delay consummation of, or might otherwise adversely affect in any material manner, the Exchange Offers or the exchange of Original Notes for Exchange Notes under the Exchange Offers; or</w:t>
      </w:r>
    </w:p>
    <w:p>
      <w:pPr>
        <w:spacing w:after="0" w:line="81" w:lineRule="exact"/>
        <w:rPr>
          <w:rFonts w:ascii="Times New Roman" w:cs="Times New Roman" w:eastAsia="Times New Roman" w:hAnsi="Times New Roman"/>
          <w:sz w:val="18"/>
          <w:szCs w:val="18"/>
          <w:color w:val="auto"/>
        </w:rPr>
      </w:pPr>
    </w:p>
    <w:p>
      <w:pPr>
        <w:jc w:val="both"/>
        <w:ind w:left="1540" w:hanging="331"/>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reasonable judgment, could materially affect the business, condition (financial or otherwise), income, operations, properties, assets, liabilities or prospects of Comcast and its subsidiaries, taken as a whole, or materially impair the contemplated benefits to Comcast of the Exchange Offers or the exchange of Original Notes for Exchange Notes under the Exchange Offers;</w:t>
      </w:r>
    </w:p>
    <w:p>
      <w:pPr>
        <w:spacing w:after="0" w:line="20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has occurred:</w:t>
      </w:r>
    </w:p>
    <w:p>
      <w:pPr>
        <w:spacing w:after="0" w:line="130"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issued a stop order which would suspend the effectiveness of the registration statement of which this prospectus forms a part or the qualification of the applicable indenture governing the Exchange Notes under the Trust Indenture Act of 1939;</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suspension of, or limitation on, trading in securities on any United States national securities exchanges or in the over the counter market (whether or not mandatory);</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of a banking moratorium or any suspension of payments in respect of banks by federal or state authorities in the United States (whether or not mandatory);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change in the United States’ securities or financial markets generally; or</w:t>
      </w:r>
    </w:p>
    <w:p>
      <w:pPr>
        <w:spacing w:after="0" w:line="130"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of the foregoing existing at the time of the commencement of the Exchange Offers, a material acceleration or worsening thereof; and</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(as defined below) under our Indenture has not objected in any respect to, or taken any action that could in our reasonable judgment adversely affect the consummation of, any of the Exchange Offers, nor has the Trustee taken any action that challenges the validity or effectiveness of the procedures used by us in making the Exchange Offers.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expressly reserve the right to amend or terminate any Exchange Offer and to reject for exchange any Original Notes not previously accepted for exchange, upon the occurrence of any of the conditions of the Exchange Offers specified above. We will give oral or written notice (with any oral notice to be promptly confirmed in writing) of any amendment, non-acceptance, termination or waiver to the Exchange Agent as promptly as practicable, followed by a timely press release.</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conditions are for our sole benefit and, except as set forth below, may be waived by us, in whole or in part in our sole discretion. Any determination made by us concerning these events, developments or circumstances shall be conclusive and binding. We may, at our option and in our sole discretion, waive any such conditions except for the condition that the registration statement of which this prospectus forms a part is not subject to a stop order or any proceedings for that purpose.</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All conditions to the Exchange Offers must be satisfied or, where permitted, waived at or by the Expiration Date. In addition, we may in our absolute discretion, subject to applicable law, terminate any Exchange Offer for any other reason.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any of the foregoing conditions are not satisfied, we may, at any time at or prior to the Expiration Date:</w:t>
      </w:r>
    </w:p>
    <w:p>
      <w:pPr>
        <w:spacing w:after="0" w:line="131" w:lineRule="exact"/>
        <w:rPr>
          <w:sz w:val="20"/>
          <w:szCs w:val="20"/>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Exchange Offer and promptly return all tendered Original Notes with respect to that Exchange Offer to the respective tendering holders;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extend or otherwise amend any Exchange Offer and retain all tendered Original Notes with respect to that Exchange Offer until the Expiration Date, as extended, subject, however, to the withdrawal rights of holders; or</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unsatisfied conditions, except for the condition that the registration statement of which this prospectus forms a part is not subject to a stop order or any proceedings for that purpose, with respect to any Exchange Offer and accept all Original Notes tendered and not previously validly withdrawn.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Tender</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Any tender by a holder, and our subsequent acceptance of that tender, of Original Notes will constitute a binding agreement between that holder and us upon the terms and subject to the conditions of the Exchange Offers described in this prospectus. The participation in the Exchange Offers by a tendering holder of Original Notes will constitute the agreement by that holder to deliver good and marketable title to the tendered Original Notes, free and clear of any and all liens, restrictions, charges, pledges, security interests, encumbrances or rights of any kind of third parties.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Absence of Dissenters’ Rights of Appraisal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the Original Notes do not have any dissenters’ rights of appraisal in connection with the Exchange Offers.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Original Notes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hold Original Notes and wish to have those notes exchanged for Exchange Notes, you must validly tender (or cause the valid tender of) your Original Notes using the procedures described in this prospectus.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procedures by which you may tender or cause to be tendered Original Notes will depend upon the manner in which you hold the Original Notes, as described below.</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are a beneficial owner which holds Original Notes through Euroclear or Clearstream Luxembourg and wish to tender your Original Notes, you must instruct Euroclear or Clearstream Luxembourg, as the case may be, to block the account in respect of the tendered Original Notes in accordance with the procedures established by Euroclear or Clearstream Luxembourg. You are encouraged to contact Euroclear and Clearstream Luxembourg directly to ascertain their procedure for tendering Original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Original Notes Held with DTC by a DTC Participant</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authority granted by DTC, if you are a DTC participant that has Original Notes credited to your DTC account and thereby held of record by DTC’s nominee, you may directly tender your Original Notes as if you were the record holder. Accordingly, references herein to record holders include DTC participants with Original Notes credited to their accounts. Within two business days after the date of this prospectus, the Exchange Agent will establish accounts with respect to the Original Notes at DTC for purposes of the Exchange Offers.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Tenders of Original Notes will be accepted only in minimum denominations of $2,000 and multiples of $1,000 thereafter. No alternative, conditional or contingent tenders will be accepted. Holders who tender less than all of their Original Notes must continue to hold Original Notes in at least the minimum authorized denomination of $2,000 principal amount.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DTC participant may tender Original Notes by effecting a book-entry transfer of the Original Notes to be tendered in the Exchange Offers into the account of the Exchange Agent at DTC and electronically transmitting its acceptance of the Exchange Offers through DTC’s ATOP procedures for transfer before the Expiration Date of the Exchange Offers. No letter of transmittal will be used in connection with the Exchange Offers. The valid electronic transmission of acceptance through ATOP shall constitute delivery of Original Notes in connection with the Exchange Offers.</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DTC will verify each acceptance transmitted to it,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 DTC participant tendering Original Notes that the participant has received and agrees to be bound by the terms of the Exchange Offers and that Comcast may enforce the agreement against the participant. DTC participants following this procedure should allow sufficient time for completion of the ATOP procedures prior to the Expiration Date of the Exchange Offers.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 agent’s message, and any other required documents, must be transmitted to and received by the Exchange Agent prior to the Expiration Date of the Exchange Offers at one of its addresses set forth on the back cover page of this prospectus. Delivery of these documents to Comcast or DTC does not constitute delivery to the Exchange Agent.</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Original Notes Held Through a Nominee by a Beneficial Owner</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Currently, all of the Original Notes are held in book-entry form and can only be tendered by following the procedures described under “— Procedures for Tendering Original Notes—Original Notes Held with DTC by a DTC Participant.” However, any beneficial owner whose Original Notes are registered in the name of a broker, dealer, commercial bank, trust company or other nominee and who wishes to tender should contact the registered holder promptly and instruct it to tender on the owner’s behalf if it wishes to participate in the Exchange Offers. You should keep in mind that your intermediary may require you to take action with respect to the Exchange Offers a number of days before the Expiration Date in order for such entity to tender Original Notes on your behalf at or prior to the Expiration Date in accordance with the terms of the Exchange Offers.</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Beneficial owners should be aware that their broker, dealer, commercial bank, trust company or other nominee may establish its own earlier deadlines for participation in the Exchange Offers. Accordingly, beneficial owners wishing to participate in the Exchange Offers should contact their broker, dealer, commercial bank, trust company or other nominee as soon as possible in order to determine the times by which such owner must take action in order to participate in the Exchange Offers.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Warranties, Acknowledgements and Undertakings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By tendering Original Notes through the submission of an electronic acceptance instruction in accordance with the requirements of ATOP, a tendering holder of Original Notes:</w:t>
      </w:r>
    </w:p>
    <w:p>
      <w:pPr>
        <w:spacing w:after="0" w:line="67" w:lineRule="exact"/>
        <w:rPr>
          <w:sz w:val="20"/>
          <w:szCs w:val="20"/>
          <w:color w:val="auto"/>
        </w:rPr>
      </w:pPr>
    </w:p>
    <w:p>
      <w:pPr>
        <w:ind w:left="1080" w:right="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this prospectus (as it may be amended or supplemented from time to time), and agrees to all of the terms of the Exchange Offers;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tenders of Original Notes pursuant to the Exchange Offers will, upon Comcast’s acceptance for exchange of such tendered Original Notes, constitute a binding agreement between such holder and Comcast upon the terms and subject to the conditions of the Exchange Offers;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constitutes and appoints the Exchange Agent the true and lawful agent and attorney-in-fact of the holder with respect to any tendered Original Notes (with full knowledge that the Exchange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20"/>
        <w:spacing w:after="0" w:line="258" w:lineRule="auto"/>
        <w:rPr>
          <w:sz w:val="20"/>
          <w:szCs w:val="20"/>
          <w:color w:val="auto"/>
        </w:rPr>
      </w:pPr>
      <w:r>
        <w:rPr>
          <w:rFonts w:ascii="Times New Roman" w:cs="Times New Roman" w:eastAsia="Times New Roman" w:hAnsi="Times New Roman"/>
          <w:sz w:val="18"/>
          <w:szCs w:val="18"/>
          <w:color w:val="auto"/>
        </w:rPr>
        <w:t>Agent also acts as the agent of Comcast and an affiliate of the Exchange Agent acts as Trustee under the Indenture), with full powers of substitution and revocation (such power of attorney being deemed to be an irrevocable power coupled with an interest) to (a) transfer ownership of such Original Notes on the account books maintained by DTC with all accompanying evidences of transfer and authenticity to, or upon the order of, Comcast and (b) present such Original Notes for transfer on the books of Comcast and receive all benefits and otherwise exercise all rights of beneficial ownership of such Original Notes, all in accordance with the terms of the Exchange Offers;</w:t>
      </w:r>
    </w:p>
    <w:p>
      <w:pPr>
        <w:spacing w:after="0" w:line="89" w:lineRule="exact"/>
        <w:rPr>
          <w:sz w:val="20"/>
          <w:szCs w:val="20"/>
          <w:color w:val="auto"/>
        </w:rPr>
      </w:pPr>
    </w:p>
    <w:p>
      <w:pPr>
        <w:jc w:val="both"/>
        <w:ind w:left="1080" w:right="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that such holder has full power and authority to tender, sell, assign and transfer the Original Notes tendered thereby and that Comcast will acquire good and unencumbered title thereto, free and clear of all liens, restrictions, charges and encumbrances and not subject to any adverse claim when the same are accepted by Comcast;</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agrees that such holder is not an “affiliate” of Comcast or the guarantors, any Exchange Notes to be received by such holder are being acquired in the ordinary course of its business and such holder has no arrangement or understanding with any person to participate, and is not engaged and does not intend to engage, in a distribution (within the meaning of the Securities Act) of such Exchange Notes;</w:t>
      </w:r>
    </w:p>
    <w:p>
      <w:pPr>
        <w:spacing w:after="0" w:line="85" w:lineRule="exact"/>
        <w:rPr>
          <w:rFonts w:ascii="Times New Roman" w:cs="Times New Roman" w:eastAsia="Times New Roman" w:hAnsi="Times New Roman"/>
          <w:sz w:val="18"/>
          <w:szCs w:val="18"/>
          <w:color w:val="auto"/>
        </w:rPr>
      </w:pPr>
    </w:p>
    <w:p>
      <w:pPr>
        <w:jc w:val="both"/>
        <w:ind w:left="1080" w:right="20" w:hanging="424"/>
        <w:spacing w:after="0" w:line="25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 broker-dealer that will receive Exchange Notes for its own account in exchange for Original Notes, it represents that the Original Notes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such holder will not be deemed to admit that it is an “underwriter” within the meaning of the Securities Act;</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upon request, to execute and deliver any additional documents deemed by Comcast or the Exchange Agent to be necessary or desirable to complete the exchange, assignment and transfer of the Original Notes tendered thereby;</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for purposes of the Exchange Offers, Comcast shall be deemed to have accepted validly tendered Original Notes when and if Comcast has given oral or written notice thereof to the Exchange Agent;</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subject to, and effective upon, the acceptance for exchange of the Original Notes tendered thereby, such holder thereby sells, assigns and transfers to, or upon the order of, Comcast, all right, title and interest in and to such Original Notes as are being tendered thereby upon the terms and subject to the conditions set forth in this prospectus (as the same may be amended or supplemented from time to time); and</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except as stated in this prospectus in connection with a valid withdrawal, the tender of such holder’s Original Notes is irrevocable.</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Comcast has agreed that, subject to the provisions of the Registration Rights Agreement, dated as of August 19, 2021, the prospectus, as it may be amended or supplemented from time to time, may be used by a broker-dealer who acquired the Original Notes for its own account as a result of market making or other trading activities (a “participating broker-dealer”) in connection with resales of Exchange Notes received in exchange for Original Notes, where such Original Notes were acquired by such participating broker-dealer for its own account as a result of market-making activities or other trading activities, for a period ending 90 days after the Expiration Date or, if earlier, when all such Exchange Notes have been disposed of by such participating broker-dealer.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that regard, each participating broker-dealer, by tendering such Original Notes through the submission of an electronic acceptance instruction in accordance with the requirements of ATOP, agrees that, upon receipt of notice from Comcast of the occurrence of any event or the discovery of any fact which makes any statement contained or incorporated by reference in the prospectus untrue in any material respect or which causes the prospectus to omit to state a material fact necessary in order to make the statements contained or incorporated by reference therein, in light of the circumstances under which they were made, not misleading, or of the occurrence of certain other events specified in the Registration Rights Agreement, such participating broker-dealer will suspend the sale of Exchange Notes pursuant to the prospectus until Comcast has amended or supplemented the prospectus to correct such misstatement or omission and has furnished copies of the amended or supplemented prospectus to the participating broker-dealer or Comcast has given notice that the sale of the Exchange Notes may be resumed, as the case may be. If Comcast gives such notice to suspend the sale of the Exchange Notes, it shall extend the 90-day period referred to above during which participating broker-dealers are entitled to use the prospectus in connection with the resale of Exchange Notes by the number of days during the period from and including the date of the giving of such notice to and including the date when participating broker-dealers shall have received copies of the supplemented or amended prospectus necessary to permit resales of the Exchange Notes or to and including the date on which Comcast has given notice that the sale of Exchange Notes may be resumed, as the case may be.</w:t>
      </w:r>
    </w:p>
    <w:p>
      <w:pPr>
        <w:spacing w:after="0" w:line="19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By tendering Original Notes through the submission of an electronic acceptance instruction in accordance with the requirements of ATOP, a tendering holder of Original Notes also acknowledges that the Exchange Offers are being made by Comcast based upon Comcast’s understanding of an interpretation by the staff of the SEC as set forth in no-action letters issued to third parties, that the Exchange Notes issued in exchange for the Original Notes pursuant to the Exchange Offers may be offered for resale, resold and otherwise transferred by holders thereof, without compliance with the registration and prospectus delivery provisions of the Securities Act, provided that: (1) such holders are not affiliates of Comcast or the guarantors within the meaning of Rule 405 under the Securities Act; (2) such Exchange Notes are acquired in the ordinary course of such holders’ business;</w:t>
      </w:r>
    </w:p>
    <w:p>
      <w:pPr>
        <w:spacing w:after="0" w:line="5" w:lineRule="exact"/>
        <w:rPr>
          <w:sz w:val="20"/>
          <w:szCs w:val="20"/>
          <w:color w:val="auto"/>
        </w:rPr>
      </w:pPr>
    </w:p>
    <w:p>
      <w:pPr>
        <w:jc w:val="both"/>
        <w:ind w:left="120" w:hanging="4"/>
        <w:spacing w:after="0" w:line="251" w:lineRule="auto"/>
        <w:tabs>
          <w:tab w:leader="none" w:pos="3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are not engaged in, and do not intend to engage in, a distribution of such Exchange Notes and have no arrangement or understanding with any person to participate in the distribution of such Exchange Notes and (4) such holders are not broker-dealers tendering Original Notes that have been acquired from Comcast for their own account. However, the staff of the SEC has not considered the Exchange Offers in the context of a no-action letter, and there can be no assurance that the staff of the SEC would make a similar determination with respect to the Exchange Offers as in other circumstances. If a holder of Original Notes is an affiliate of Comcast or the guarantors, acquires the Exchange Notes other than in the ordinary course of such holder’s business or is engaged in or intends to engage in a distribution of the Exchange Notes or has any arrangement or understanding with respect to the distribution of the Exchange Notes to be acquired pursuant to the Exchange Offers, such holder could not rely on the applicable interpretations of the staff of the SEC and must comply with the registration and prospectus delivery requirements of the Securities Act in connection with any secondary resale transaction.</w:t>
      </w:r>
    </w:p>
    <w:p>
      <w:pPr>
        <w:spacing w:after="0" w:line="19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alternative, conditional, irregular or contingent tenders will be accepted. By tendering Original Notes through the submission of an electronic acceptance instruction in accordance with the requirements of ATOP, the tendering holders of Original Notes waive any right to receive any notice of the acceptance for exchange of their Original Notes.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All questions as to the validity, form, eligibility, including time of receipt, and acceptance and withdrawal of tendered Original Notes will be determined by us in our absolute discretion, which determination will be final and binding. We reserve the absolute right to reject any and all tendered Original Notes determined by us not to be in proper form or not to be tendered properly or any tendered Original Notes our acceptance of which would, in the opinion of our counsel, be unlawful. We also reserve the right to waive, in our absolute discretion,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defects, irregularities or conditions of tender as to particular Original Notes, whether or not waived in the case of other Original Notes. Our interpretation of the terms and conditions of the Exchange Offers will be final and binding on all parties.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waived, any defects or irregularities in connection with tenders of Original Notes must be cured within the time we determine. Although we intend to notify holders of defects or irregularities with respect to tenders of Original Notes, none of we, the Exchange Agent or any other person will be under any duty to give that notification or shall incur any liability for failure to give that notification. Tenders of Original Notes will not be deemed to have been made until any defects or irregularities therein have been cured or waived.</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we reserve the right, as set forth above under the caption “—Conditions to the Exchange Offers,” to terminate any Exchange Offer. By tendering, each holder represents and acknowledges to us, among other things, that:</w:t>
      </w:r>
    </w:p>
    <w:p>
      <w:pPr>
        <w:spacing w:after="0" w:line="67" w:lineRule="exact"/>
        <w:rPr>
          <w:sz w:val="20"/>
          <w:szCs w:val="20"/>
          <w:color w:val="auto"/>
        </w:rPr>
      </w:pPr>
    </w:p>
    <w:p>
      <w:pPr>
        <w:jc w:val="both"/>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and authority to tender, sell, assign and transfer the Original Notes it is tendering and that we will acquire good and unencumbered title thereto, free and clear of all liens, restrictions, charges and encumbrances and not subject to any adverse claim when the same are accepted by us;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acquired in connection with the Exchange Offers are being obtained in the ordinary course of business of the person receiving the Exchange Notes;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commencement of the Exchange Offers it had no arrangement with any person to participate in a distribution of such Exchange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“affiliate” (as defined in Rule 405 under the Securities Act) of our company; and</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broker-dealer, it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 See “Plan of Distribution.”</w:t>
      </w:r>
    </w:p>
    <w:p>
      <w:pPr>
        <w:spacing w:after="0" w:line="176"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 letter of transmittal will be used in connection with the Exchange Offers. The valid electronic transmission of acceptance through ATOP shall constitute delivery of Original Notes in connection with the Exchange Offers. There are no guaranteed delivery procedures for the Exchange Offers.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Tenders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Tenders of Original Notes in the Exchange Offers may be validly withdrawn at any time prior to the Expiration Date.</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 desiring to withdraw a tender of Original Notes previously tendered through the ATOP procedures should contact the DTC participant through which they hold their Original Notes. In order to withdraw Original Notes previously tendered, a DTC participant may, prior to the Expiration Date of the Exchange Offers, withdraw its instruction previously transmitted through ATOP by withdrawing its acceptance through ATOP.</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Withdrawal of tenders of Original Notes may not be rescinded, and any Original Notes validly withdrawn will thereafter be deemed not to have been validly tendered for purposes of the Exchange Offers. Validly withdrawn Original Notes may, however, be re-tendered by again following one of the procedures described in “—Procedures for Tendering Original Notes” at or prior to the Expiration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Bank of New York Mellon has been appointed as Exchange Agent in connection with the Exchange Offers. Questions and requests for assistance, as well as requests for additional copies of this prospectus, should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be directed to the Exchange Agent at its offices at: The Bank of New York Mellon, as Exchange Agent, c/o BNY Mellon, Corporate Trust Operations— Reorganization Unit, 2001 Bryan Street, 10th Floor, Dallas, Texas 75201, Attention: Tiffany Castor, Telephone Number: (315) 414-3034. The Exchange Agent’s e-mail address is CT_REORG_UNIT_INQUIRIES@bnymellon.com and facsimile number is (732) 667-9408.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not make any payment to brokers, dealers or others soliciting acceptances of the Exchange Offers. We will pay certain other expenses to be incurred in connection with the Exchange Offers, including the fees and expenses of the Exchange Agent and certain accounting and legal fees.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 will not be obligated to pay any transfer taxes in connection with the tender of Original Notes in the Exchange Offers unless you instruct us to issue Exchange Notes, or request that Original Notes not tendered or accepted in the Exchange Offers be returned, to a person other than the tendering holder. In those cases, you will be responsible for the payment of any applicable transfer taxes.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Exchange Notes will be recorded at the same carrying value as the Original Notes as reflected in our accounting records on the date of the exchange. Accordingly, we will not recognize any gain or loss for accounting purposes upon the completion of the Exchange Offers. Payments made to other third parties will be expensed as incurred in accordance with GAAP.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Failure to Properly Tender Original Notes in the Exchange Offers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Issuance of the Exchange Notes in exchange for the Original Notes under the Exchange Offers will be made only after timely receipt by the Exchange Agent of an agent’s message from DTC through ATOP and confirmation of book-entry transfer of such Original Notes, and all other required documents. Therefore, holders of the Original Notes desiring to tender such Original Notes in exchange for Exchange Notes should allow sufficient time to ensure timely delivery. We are under no duty to give notification of defects or irregularities of tenders of Original Notes for exchange. Original Notes that are not tendered or that are tendered but not accepted by us will, following completion of the Exchange Offers, continue to be subject to the existing restrictions upon transfer thereof under the Securities Act, and, upon completion of the Exchange Offers, certain registration rights under the Registration Rights Agreement will terminate.</w:t>
      </w:r>
    </w:p>
    <w:p>
      <w:pPr>
        <w:spacing w:after="0" w:line="18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event the Exchange Offers are completed, we generally will not be required to register the remaining Original Notes. Remaining Original Notes will continue to be subject to the following restrictions on transfer:</w:t>
      </w:r>
    </w:p>
    <w:p>
      <w:pPr>
        <w:spacing w:after="0" w:line="67" w:lineRule="exact"/>
        <w:rPr>
          <w:sz w:val="20"/>
          <w:szCs w:val="20"/>
          <w:color w:val="auto"/>
        </w:rPr>
      </w:pPr>
    </w:p>
    <w:p>
      <w:pPr>
        <w:ind w:left="1080" w:right="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Original Notes may be resold only if registered pursuant to the Securities Act, if any exemption from registration is available, or if neither such registration nor such exemption is required by law;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Original Notes will bear a legend restricting transfer in the absence of registration or an exemption.</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anticipate that we will register the remaining Original Notes under the Securities Act. To the extent that Original Notes are tendered and accepted in connection with the Exchange Offers, any trading market for remaining Original Notes could be adversely affected. See “Risk Factors—Risks Relating to Participation in the Exchange Offers—If you fail to exchange your Original Notes, they will continue to be restricted securities and may become less liquid.”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EXCHANGE NOTES AND THE GUARANTEES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Exchange Notes will be our direct unsecured and unsubordinated obligations and will be fully and unconditionally guaranteed by Comcast Cable Communications and NBCUniversal, referred to as the guarantors, as described below. The Exchange Notes will be issued under an indenture dated as of September 18, 2013, entered into among us, the guarantors named therein and The Bank of New York Mellon, as trustee, as amended by the first supplemental indenture dated as of November 17, 2015, entered into among us, the guarantors, and The Bank of New York Mellon, as trustee (as amended, the “indenture”). The terms of the Exchange Notes include those stated in the indenture and those made part of the indenture by reference to the Trust Indenture Act of 1939, as amended. The indenture provides that we will have the ability to issue securities with terms different from those of the Exchange Notes. We also have the ability to “reopen” a series of Exchange Notes and issue additional notes of such series. Additional notes of such series will be consolidated with and form a single series with the notes then outstanding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Exchange Notes are available from us upon request.</w:t>
      </w:r>
    </w:p>
    <w:p>
      <w:pPr>
        <w:spacing w:after="0" w:line="19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indenture, the Exchange Notes and the guarantees. Because this is a summary, it may not contain all the information that is important to you. For further information, you should read the Exchange Notes and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Terms of the Exchange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Notes:</w:t>
      </w:r>
    </w:p>
    <w:p>
      <w:pPr>
        <w:spacing w:after="0" w:line="131" w:lineRule="exact"/>
        <w:rPr>
          <w:sz w:val="20"/>
          <w:szCs w:val="20"/>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debt and will be entitled to the benefits of the guarantees described below;</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an aggregate principal amount of 2051 Exchange Notes, 2056 Exchange Notes and 2063 Exchange Notes not to exceed the aggregate principal amount of the 2051 Original Notes, 2056 Original Notes and 2063 Original Notes, respectively, validly tendered and accepted for exchange in the Exchange Offers, comprised as follows:</w:t>
      </w:r>
    </w:p>
    <w:p>
      <w:pPr>
        <w:spacing w:after="0" w:line="81"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2.887% 2051 Exchange Notes, maturing on November 1, 2051 with interest payable semiannually on each May 1 and November 1, beginning November 1, 2022, to holders of record on the preceding April 15 and October 15;</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2.937% 2056 Exchange Notes, maturing on November 1, 2056 with interest payable semiannually on each May 1 and November 1, beginning November 1, 2022, to holders of record on the preceding April 15 and October 15; and</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2.987% 2063 Exchange Notes, maturing on November 1, 2063 with interest payable semiannually on each May 1 and November 1, beginning November 1, 2022, to holders of record on the preceding April 15 and October 15;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 registered form, in denominations of $2,000 and multiples of $1,000 in excess thereof.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Interest for the Exchange Notes will be computed on the basis of a 360-day year consisting of twelve 30-day months. Interest on the Exchange Notes will accrue from the most recent date to which interest on the Original Notes has been paid (May 1, 2022) and will be payable semiannually on the interest payment dates described for each year.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Exchange Notes, see “—Book-Entry System” and “—Same Day Payment.”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the Exchange Notes and the indenture, including, without limitation, the payment of principal, premium, if any, and interest, will be fully and unconditionally guaranteed by each of the guarantors. The guarantees will rank equally with all other general unsecured and unsubordinated obligations of the guarantors.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have the right at our option to redeem any of the Exchange Notes of each series in whole or in part, at any time or from time to time prior to their maturity, on at least 15 days’, but not more than 60 days’, prior notice mailed to the registered address of each holder of Exchange Notes, at the applicable Redemption Price.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“Redemption Price” means:</w:t>
      </w:r>
    </w:p>
    <w:p>
      <w:pPr>
        <w:spacing w:after="0" w:line="117" w:lineRule="exact"/>
        <w:rPr>
          <w:sz w:val="20"/>
          <w:szCs w:val="20"/>
          <w:color w:val="auto"/>
        </w:rPr>
      </w:pPr>
    </w:p>
    <w:p>
      <w:pPr>
        <w:jc w:val="both"/>
        <w:ind w:left="120" w:firstLine="436"/>
        <w:spacing w:after="0" w:line="256" w:lineRule="auto"/>
        <w:tabs>
          <w:tab w:leader="none" w:pos="8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2051 Exchange Notes, at any time prior to May 1, 2051 (six months prior to the maturity of the 2051 Exchange Notes) (the “2051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2051 Par Call Date, in each case discounted to the redemption date on a semiannual basis (assuming a 360-day year consisting of twelve 30-day months) at the Treasury Rate plus 15 basis points; provided that, if the 2051 Exchange Notes are redeemed on or after the 2051 Par Call Date, the Redemption Price will equal 100% of the principal amount of such notes;</w:t>
      </w:r>
    </w:p>
    <w:p>
      <w:pPr>
        <w:spacing w:after="0" w:line="187" w:lineRule="exact"/>
        <w:rPr>
          <w:rFonts w:ascii="Times New Roman" w:cs="Times New Roman" w:eastAsia="Times New Roman" w:hAnsi="Times New Roman"/>
          <w:sz w:val="18"/>
          <w:szCs w:val="18"/>
          <w:color w:val="auto"/>
        </w:rPr>
      </w:pPr>
    </w:p>
    <w:p>
      <w:pPr>
        <w:jc w:val="both"/>
        <w:ind w:left="120" w:firstLine="436"/>
        <w:spacing w:after="0" w:line="256" w:lineRule="auto"/>
        <w:tabs>
          <w:tab w:leader="none" w:pos="8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2056 Exchange Notes, at any time prior to May 1, 2056 (six months prior to the maturity of the 2056 Exchange Notes) (the “2056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2056 Par Call Date, in each case discounted to the redemption date on a semiannual basis (assuming a 360-day year consisting of twelve 30-day months) at the Treasury Rate plus 20 basis points; provided that, if the 2056 Exchange Notes are redeemed on or after the 2056 Par Call Date, the Redemption Price will equal 100% of the principal amount of such notes;</w:t>
      </w:r>
    </w:p>
    <w:p>
      <w:pPr>
        <w:spacing w:after="0" w:line="187" w:lineRule="exact"/>
        <w:rPr>
          <w:rFonts w:ascii="Times New Roman" w:cs="Times New Roman" w:eastAsia="Times New Roman" w:hAnsi="Times New Roman"/>
          <w:sz w:val="18"/>
          <w:szCs w:val="18"/>
          <w:color w:val="auto"/>
        </w:rPr>
      </w:pPr>
    </w:p>
    <w:p>
      <w:pPr>
        <w:jc w:val="both"/>
        <w:ind w:left="120" w:firstLine="436"/>
        <w:spacing w:after="0" w:line="256" w:lineRule="auto"/>
        <w:tabs>
          <w:tab w:leader="none" w:pos="8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2063 Exchange Notes, at any time prior to May 1, 2063 (six months prior to the maturity of the 2063 Exchange Notes) (the “2063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2063 Par Call Date, in each case discounted to the redemption date on a semiannual basis (assuming a 360-day year consisting of twelve 30-day months) at the Treasury Rate plus 20 basis points; provided that, if the 2063 Exchange Notes are redeemed on or after the 2063 Par Call Date, the Redemption Price will equal 100% of the principal amount of such notes;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each case, accrued and unpaid interest thereon to the date of redemption.</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or securities selected by an Independent Investment Banker as having an actual or interpolated maturity comparable to the remaining term of the Exchange Notes to be redeemed calculated as if the maturity date of such series of Exchange Notes were the applicable Par Call Date (the “Remaining Life”) that would be utilized, at the time of selection and in accordance with customary financial practice.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“Independent Investment Banker” means one of the Reference Treasury Dealers appointed by us.</w:t>
      </w:r>
    </w:p>
    <w:p>
      <w:pPr>
        <w:spacing w:after="0" w:line="225"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“Reference Treasury Dealer” means each of Credit Suisse Securities (USA) LLC, Morgan Stanley &amp; Co. LLC, BofA Securities, Inc., Citigroup Global Markets Inc., J.P. Morgan Securities LLC, Mizuho Securities USA LLC and Wells Fargo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and after the redemption date, interest will cease to accrue on the Exchange Notes or any portion of the Exchange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Exchange Notes to be redeemed on such date. If less than all of the Exchange Notes of any series are to be redeemed, the Exchange Notes to be redeemed shall be selected by lot (provided that interests in Exchange Notes represented by a Global Note will be selected for redemption by The Depository Trust Company in accordance with its standard procedures therefor). Additionally, we may at any time repurchase Exchange Notes in the open market and may hold or surrender such Exchange Notes to the trustee for cancellation.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Exchange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does not limit the amount of debt we may issue under the indenture or otherwise.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Debt” means, with respect to an Obligor, the sum of the following as of the date of determination:</w:t>
      </w:r>
    </w:p>
    <w:p>
      <w:pPr>
        <w:spacing w:after="0" w:line="225" w:lineRule="exact"/>
        <w:rPr>
          <w:sz w:val="20"/>
          <w:szCs w:val="20"/>
          <w:color w:val="auto"/>
        </w:rPr>
      </w:pPr>
    </w:p>
    <w:p>
      <w:pPr>
        <w:ind w:left="120" w:firstLine="436"/>
        <w:spacing w:after="0" w:line="282" w:lineRule="auto"/>
        <w:tabs>
          <w:tab w:leader="none" w:pos="8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Obligor’s Indebtedness incurred after the date of initial issuance of the senior debt securities and secured by Liens not permitted by the first sentence under “—Certain Covenants—Limitation on Liens Securing Indebtedness”; and</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Obligor’s Attributable Liens in respect of sale and leaseback transactions entered into after the date of the initial issuance of the senior debt securities pursuant to the second paragraph of “—Certain Covenants—Limitation on Sale and Leaseback Transactions.”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left="120" w:right="20" w:firstLine="436"/>
        <w:spacing w:after="0" w:line="282" w:lineRule="auto"/>
        <w:tabs>
          <w:tab w:leader="none" w:pos="83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our board of directors (in our case) or the equivalent governing body of any guarantor); and</w:t>
      </w:r>
    </w:p>
    <w:p>
      <w:pPr>
        <w:spacing w:after="0" w:line="161" w:lineRule="exact"/>
        <w:rPr>
          <w:rFonts w:ascii="Times New Roman" w:cs="Times New Roman" w:eastAsia="Times New Roman" w:hAnsi="Times New Roman"/>
          <w:sz w:val="18"/>
          <w:szCs w:val="18"/>
          <w:color w:val="auto"/>
        </w:rPr>
      </w:pPr>
    </w:p>
    <w:p>
      <w:pPr>
        <w:jc w:val="both"/>
        <w:ind w:left="120" w:firstLine="436"/>
        <w:spacing w:after="0" w:line="266" w:lineRule="auto"/>
        <w:tabs>
          <w:tab w:leader="none" w:pos="8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indenture, whether entered into before or after the date of the indenture.</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“Obligor” means us and the guarantors.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“Permitted Liens” means, with respect to an Obligor:</w:t>
      </w:r>
    </w:p>
    <w:p>
      <w:pPr>
        <w:spacing w:after="0" w:line="117" w:lineRule="exact"/>
        <w:rPr>
          <w:sz w:val="20"/>
          <w:szCs w:val="20"/>
          <w:color w:val="auto"/>
        </w:rPr>
      </w:pPr>
    </w:p>
    <w:p>
      <w:pPr>
        <w:jc w:val="both"/>
        <w:ind w:left="120" w:right="20" w:firstLine="436"/>
        <w:spacing w:after="0" w:line="266" w:lineRule="auto"/>
        <w:tabs>
          <w:tab w:leader="none" w:pos="8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75" w:lineRule="exact"/>
        <w:rPr>
          <w:rFonts w:ascii="Times New Roman" w:cs="Times New Roman" w:eastAsia="Times New Roman" w:hAnsi="Times New Roman"/>
          <w:sz w:val="18"/>
          <w:szCs w:val="18"/>
          <w:color w:val="auto"/>
        </w:rPr>
      </w:pPr>
    </w:p>
    <w:p>
      <w:pPr>
        <w:jc w:val="both"/>
        <w:ind w:left="120" w:firstLine="436"/>
        <w:spacing w:after="0" w:line="255" w:lineRule="auto"/>
        <w:tabs>
          <w:tab w:leader="none" w:pos="8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88"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1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161" w:lineRule="exact"/>
        <w:rPr>
          <w:rFonts w:ascii="Times New Roman" w:cs="Times New Roman" w:eastAsia="Times New Roman" w:hAnsi="Times New Roman"/>
          <w:sz w:val="18"/>
          <w:szCs w:val="18"/>
          <w:color w:val="auto"/>
        </w:rPr>
      </w:pPr>
    </w:p>
    <w:p>
      <w:pPr>
        <w:jc w:val="both"/>
        <w:ind w:left="120" w:right="20" w:firstLine="436"/>
        <w:spacing w:after="0" w:line="266" w:lineRule="auto"/>
        <w:tabs>
          <w:tab w:leader="none" w:pos="8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any guarantor;</w:t>
      </w:r>
    </w:p>
    <w:p>
      <w:pPr>
        <w:spacing w:after="0" w:line="225" w:lineRule="exact"/>
        <w:rPr>
          <w:rFonts w:ascii="Times New Roman" w:cs="Times New Roman" w:eastAsia="Times New Roman" w:hAnsi="Times New Roman"/>
          <w:sz w:val="18"/>
          <w:szCs w:val="18"/>
          <w:color w:val="auto"/>
        </w:rPr>
      </w:pPr>
    </w:p>
    <w:p>
      <w:pPr>
        <w:jc w:val="both"/>
        <w:ind w:left="120" w:right="20" w:firstLine="436"/>
        <w:spacing w:after="0" w:line="266" w:lineRule="auto"/>
        <w:tabs>
          <w:tab w:leader="none" w:pos="8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36"/>
        <w:spacing w:after="0" w:line="282" w:lineRule="auto"/>
        <w:tabs>
          <w:tab w:leader="none" w:pos="7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61" w:lineRule="exact"/>
        <w:rPr>
          <w:rFonts w:ascii="Times New Roman" w:cs="Times New Roman" w:eastAsia="Times New Roman" w:hAnsi="Times New Roman"/>
          <w:sz w:val="18"/>
          <w:szCs w:val="18"/>
          <w:color w:val="auto"/>
        </w:rPr>
      </w:pPr>
    </w:p>
    <w:p>
      <w:pPr>
        <w:jc w:val="both"/>
        <w:ind w:left="120" w:right="20" w:firstLine="436"/>
        <w:spacing w:after="0" w:line="266" w:lineRule="auto"/>
        <w:tabs>
          <w:tab w:leader="none" w:pos="8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such Obligor’s statutory obligations in the ordinary course of our business;</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sale and leaseback transactions, and any renewals or extensions thereof, so long as the Indebtedness secured thereby does not exceed $300,000,000 in the aggregate;</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8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61" w:lineRule="exact"/>
        <w:rPr>
          <w:rFonts w:ascii="Times New Roman" w:cs="Times New Roman" w:eastAsia="Times New Roman" w:hAnsi="Times New Roman"/>
          <w:sz w:val="18"/>
          <w:szCs w:val="18"/>
          <w:color w:val="auto"/>
        </w:rPr>
      </w:pPr>
    </w:p>
    <w:p>
      <w:pPr>
        <w:jc w:val="both"/>
        <w:ind w:left="120" w:right="20" w:firstLine="436"/>
        <w:spacing w:after="0" w:line="266" w:lineRule="auto"/>
        <w:tabs>
          <w:tab w:leader="none" w:pos="8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75" w:lineRule="exact"/>
        <w:rPr>
          <w:rFonts w:ascii="Times New Roman" w:cs="Times New Roman" w:eastAsia="Times New Roman" w:hAnsi="Times New Roman"/>
          <w:sz w:val="18"/>
          <w:szCs w:val="18"/>
          <w:color w:val="auto"/>
        </w:rPr>
      </w:pPr>
    </w:p>
    <w:p>
      <w:pPr>
        <w:jc w:val="both"/>
        <w:ind w:left="120" w:firstLine="436"/>
        <w:spacing w:after="0" w:line="266" w:lineRule="auto"/>
        <w:tabs>
          <w:tab w:leader="none" w:pos="7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7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arising in the ordinary course of business.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“Property” means with respect to any Person any property or asset, whether real, personal or mixed, or tangible or intangible, including shares of capital stock.</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and the guarantors have agreed to some restrictions on our activities for the benefit of holders of all series of senior debt securities issued under the indenture. The restrictive covenants summarized below will apply, unless the covenants are waived or amended, so long as any of the senior debt securities are outstanding.</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contain any financial covenants other than those summarized below and does not restrict us or our subsidiaries from paying dividends or incurring additional debt. In addition, the indenture will not protect holders of notes issued under it in the event of a highly leveraged transaction or a change in control.</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 Securing Indebtedness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senior debt securities of each series, each Obligor will covenant under the indenture not to create or incur any Lien on any of its Properties, whether owned at the time the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85"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date of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date of initial issuance of the senior debt securities of such series, created in favor of the registered holders of the senior debt securities of such series;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With respect to the senior debt securities of each series, each Obligor will covenant under the indenture not to enter into any sale and leaseback transaction for the sale and leasing back of any Property, whether owned at the time the indenture is executed or acquired afterward, unless:</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such Obligor of any Property by one of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Exchange Notes of such series.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and Sale of Assets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1" w:lineRule="exact"/>
        <w:rPr>
          <w:sz w:val="20"/>
          <w:szCs w:val="20"/>
          <w:color w:val="auto"/>
        </w:rPr>
      </w:pPr>
    </w:p>
    <w:p>
      <w:pPr>
        <w:jc w:val="both"/>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no default has occurred and is continuing; and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in the third bullet above shall not be applicable to:</w:t>
      </w:r>
    </w:p>
    <w:p>
      <w:pPr>
        <w:spacing w:after="0" w:line="131" w:lineRule="exact"/>
        <w:rPr>
          <w:sz w:val="20"/>
          <w:szCs w:val="20"/>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assets occurs in accordance with the indenture, the successor person will succeed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and be substituted for us,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Exchange Notes).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Existence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the guarantors and the trustee may amend or modify the indenture or the senior debt securities of any series issued under the indenture without notice to or the consent of any holder in order to:</w:t>
      </w:r>
    </w:p>
    <w:p>
      <w:pPr>
        <w:spacing w:after="0" w:line="67" w:lineRule="exact"/>
        <w:rPr>
          <w:sz w:val="20"/>
          <w:szCs w:val="20"/>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ambiguities, omissions, defects or inconsistencies in the indenture in a manner that does not adversely affect the interests of the holders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add guarantors with respect to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senior debt securities in addition to or in place of certificated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Exchange Notes and Guarantees”;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by the amendment or modification (voting together as a single class), and our compliance with any provision of the indenture with respect to the debt securities of any series issued under the indenture (including the Exchange Notes)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85" w:lineRule="exact"/>
        <w:rPr>
          <w:sz w:val="20"/>
          <w:szCs w:val="20"/>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senior debt securities of such series or alter or waive the redemption provisions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senior debt securities of such series which must consent to an amendment, supplement or waiver or consent to take any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senior debt securities of such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senior debt securities of such series.</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Each of the following will constitute an event of default in the indenture with respect to the senior debt securities of any series issued under the indenture:</w:t>
      </w:r>
    </w:p>
    <w:p>
      <w:pPr>
        <w:spacing w:after="0" w:line="67" w:lineRule="exact"/>
        <w:rPr>
          <w:sz w:val="20"/>
          <w:szCs w:val="20"/>
          <w:color w:val="auto"/>
        </w:rPr>
      </w:pPr>
    </w:p>
    <w:p>
      <w:pPr>
        <w:ind w:left="1080" w:right="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interest on the senior debt securities of such series when it becomes due and the default continues for a period of 30 days or more;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on the senior debt securities of such series when due;</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or breach, of any covenant in the indenture (other than defaults specified in clause (1) or (2)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indenture (voting together as a single class);</w:t>
      </w:r>
    </w:p>
    <w:p>
      <w:pPr>
        <w:spacing w:after="0" w:line="85"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or any Obligor have occurred;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not be (or shall be claimed by the relevant guarantor not to be) in full force and effect.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clause (4) above) under the indenture occurs and is continuing, then the trustee may and, at the direction of the holders of at least 25% in aggregate principal amount of the senior debt securities of all affected series and the debt securities of all other affected series outstanding under the indenture (voting together as a single class), will by written notice, require us to repay immediately the entire principal amount of the outstanding debt securities of each affected series, together with all accrued and unpaid interest.</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indenture specified in clause (4) occurs and is continuing, then the entire principal amount of the outstanding senior debt securities will automatically become due immediately and payable without any declaration or other act on the part of the trustee or any holder.</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After a declaration of acceleration or any automatic acceleration under clause (4)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of all affected series and the debt securities of all other affected series outstanding under the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holders of at least 25% in aggregate principal amount of the senior debt securities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8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trustee will, within 90 days after any default occurs with respect to the senior debt securities of any series, give notice of the default to the holders of the senior debt securities of such series, unless the default was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 annual statement as to compliance with all conditions and covenants under the indenture within 120 days of the end of each fiscal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and Defeasance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that have been authenticated and delivered have been canceled or delivered to the trustee for cancellation; or</w:t>
      </w:r>
    </w:p>
    <w:p>
      <w:pPr>
        <w:spacing w:after="0" w:line="67" w:lineRule="exact"/>
        <w:rPr>
          <w:rFonts w:ascii="Times New Roman" w:cs="Times New Roman" w:eastAsia="Times New Roman" w:hAnsi="Times New Roman"/>
          <w:sz w:val="18"/>
          <w:szCs w:val="18"/>
          <w:color w:val="auto"/>
        </w:rPr>
      </w:pPr>
    </w:p>
    <w:p>
      <w:pPr>
        <w:jc w:val="both"/>
        <w:ind w:left="1540" w:hanging="331"/>
        <w:spacing w:after="0" w:line="258"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88"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with respect to the senior debt securities of such series; and</w:t>
      </w:r>
    </w:p>
    <w:p>
      <w:pPr>
        <w:spacing w:after="0" w:line="67" w:lineRule="exact"/>
        <w:rPr>
          <w:rFonts w:ascii="Times New Roman" w:cs="Times New Roman" w:eastAsia="Times New Roman" w:hAnsi="Times New Roman"/>
          <w:sz w:val="18"/>
          <w:szCs w:val="18"/>
          <w:color w:val="auto"/>
        </w:rPr>
      </w:pPr>
    </w:p>
    <w:p>
      <w:pPr>
        <w:jc w:val="both"/>
        <w:ind w:left="1540" w:hanging="331"/>
        <w:spacing w:after="0" w:line="266"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senior debt securities of such series to receive principal or interest when due;</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provisions relating to the resignation and removal of the trustee and the appointment of a successor trustee;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to have our and the guarantors’ obligations released with respect to certain covenants in the indenture (“covenant defeasance”). If covenant defeasance occurs, certain events, not including nonpayment, bankruptcy and insolvency events, described under “—Events of Default” will no longer constitute an event of default for that series.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senior debt securities and guarantees of any series:</w:t>
      </w:r>
    </w:p>
    <w:p>
      <w:pPr>
        <w:spacing w:after="0" w:line="131" w:lineRule="exact"/>
        <w:rPr>
          <w:sz w:val="20"/>
          <w:szCs w:val="20"/>
          <w:color w:val="auto"/>
        </w:rPr>
      </w:pPr>
    </w:p>
    <w:p>
      <w:pPr>
        <w:jc w:val="both"/>
        <w:ind w:left="1080" w:right="20" w:hanging="424"/>
        <w:spacing w:after="0" w:line="312" w:lineRule="auto"/>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(measured with respect to the scheduled payments of principal and interest thereon);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cash and U.S. Government Obligations;</w:t>
      </w:r>
    </w:p>
    <w:p>
      <w:pPr>
        <w:spacing w:after="0" w:line="117" w:lineRule="exact"/>
        <w:rPr>
          <w:sz w:val="20"/>
          <w:szCs w:val="20"/>
          <w:color w:val="auto"/>
        </w:rPr>
      </w:pPr>
    </w:p>
    <w:p>
      <w:pPr>
        <w:jc w:val="both"/>
        <w:ind w:left="1100"/>
        <w:spacing w:after="0" w:line="261"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85" w:lineRule="exact"/>
        <w:rPr>
          <w:sz w:val="20"/>
          <w:szCs w:val="20"/>
          <w:color w:val="auto"/>
        </w:rPr>
      </w:pPr>
    </w:p>
    <w:p>
      <w:pPr>
        <w:jc w:val="both"/>
        <w:ind w:left="1080" w:right="2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85" w:lineRule="exact"/>
        <w:rPr>
          <w:rFonts w:ascii="Times New Roman" w:cs="Times New Roman" w:eastAsia="Times New Roman" w:hAnsi="Times New Roman"/>
          <w:sz w:val="18"/>
          <w:szCs w:val="18"/>
          <w:color w:val="auto"/>
        </w:rPr>
      </w:pPr>
    </w:p>
    <w:p>
      <w:pPr>
        <w:jc w:val="both"/>
        <w:ind w:left="1080" w:right="2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Incorporators, Stockholders, Officers, Directors or Employees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contained in the indenture, the guarantees or in any note,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need perform only those duties that are specifically set forth in the indenture and no others, and no implied covenants or obligations will be read into the indenture against the trustee. In case an event of default of which certain officers of the trustee shall have actual knowledge or shall have received written notice from us or any holder of our senior debt securities of any series has occurred and is continuing, the trustee shall exercise those rights and powers vested in it by the indenture, and use the same degree of care and skill in their exercise, as a prudent person would exercise or use under the circumstances in the conduct of such person’s own affairs.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including any guarantee, and the Exchange Notes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initially issue the Exchange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Holders may hold interests in the Exchange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DTC has advised us as follows: DTC is a limited purpose trust company organized under the laws of the State of New York, a member of the Federal Reserve System, a clearing corporation within the meaning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that pursuant to procedures established by DTC, upon the deposit of the Global Notes with DTC, DTC will credit on its book-entry registration and transfer system the principal amount of Exchange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62"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9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make payments of principal of, premium, if any, and interest on the Exchange Notes represented by the Global Notes registered in the name of and held by DTC or its nominee to DTC or its nominee, as the case may be, as the registered owner and holder of the Global Notes.</w:t>
      </w:r>
    </w:p>
    <w:p>
      <w:pPr>
        <w:spacing w:after="0" w:line="16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conditions, the Exchange Notes represented by the Global Notes are exchangeable for certificated Exchange Notes in definitive form of like tenor in denominations of $2,000 principal amount and multiples of $1,000 in excess thereof if:</w:t>
      </w:r>
    </w:p>
    <w:p>
      <w:pPr>
        <w:spacing w:after="0" w:line="67" w:lineRule="exact"/>
        <w:rPr>
          <w:sz w:val="20"/>
          <w:szCs w:val="20"/>
          <w:color w:val="auto"/>
        </w:rPr>
      </w:pPr>
    </w:p>
    <w:p>
      <w:pPr>
        <w:ind w:left="1080" w:right="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discretion at any time determine not to have all the Exchange Notes represented by the Global Notes;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entitling the holders of the applicable Exchange Notes to accelerate the maturity thereof has occurred and is continuing.</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Exchange Note that is exchangeable as above is for certificated Exchange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Same-Day Payment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indenture requires payments to be made in respect of the applicable Exchange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exchange of Original Notes for Exchange Notes in the Exchange Offers will not result in any United States federal income tax consequences to holders. The tax consequences of holding the Exchange Notes are identical to those of holding the Original Notes. Accordingly, when a holder exchanges an Original Note for an Exchange Note in the Exchange Offer, the holder will have the same adjusted basis and holding period in the Exchange Note as in the Original Note immediately before the exchange, and the Exchange Note will have the same adjusted issue price as the adjusted issue price of the Original Note immediately before the exchange.</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want to participate in the Exchange Offers, you must represent, among other things, that you:</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a broker-dealer tendering Original Notes that you acquired directly from us for your own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acquiring the Exchange Notes in the ordinary course of your business;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participated in, do not intend to participate in, and have no arrangement or understanding with any person to participate in, a distribution of the Exchange Notes;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an “affiliate” as defined under Rule 405 of the Securities Act.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you fail to satisfy any of these conditions, you cannot rely on the position of the SEC set forth in the no-action letters referred to above under “Summary—The Exchange Offers—Resale of Exchange Notes” and you must comply with the registration and prospectus delivery requirements of the Securities Act in connection with a resale of the Exchange Notes.</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Offers will be deemed to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Comcast has agreed that, for a period of 90 days after the Expiration Date, it will make this prospectus, as amended or supplemented, available to any broker-dealer for use in connection with any such resale.</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Comcast will not receive any proceeds from any sale of Exchange Notes by broker-dealers. Exchange Notes received by broker-dealers for their own account pursuant to the Exchange Offers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Offers and any broker or dealer that participates in a distribution of such Exchange Notes may be deemed to be an “underwriter” within the meaning of the Securities Act and any profit on any such resale of Exchange Notes and any commission or concessions received by any such persons may be deemed to be underwriting compensation under the Securities Act. By acknowledging that it will deliver and by delivering a prospectus, a broker-dealer will not be deemed to admit that it is an “underwriter” within the meaning of the Securities Act.</w:t>
      </w:r>
    </w:p>
    <w:p>
      <w:pPr>
        <w:spacing w:after="0" w:line="19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 a period of 90 days after the Expiration Date, Comcast will promptly send additional copies of this prospectus and any amendment or supplement to this prospectus to any broker-dealer that requests such documents. We have agreed to pay all expenses incident to the Exchange Offers other than commissions or concessions of any brokers or dealers, and will indemnify the holders of the Exchange Notes (including any broker-dealers) against certain liabilities, including liabilities under the Securities Act.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AGENT</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Bank of New York Mellon has been appointed as the Exchange Agent for the Exchange Offers. All correspondence in connection with the Exchange Offers should be sent or delivered by each holder of Original Notes, or a beneficial owner’s commercial bank, broker, dealer, trust company or other nominee, to the Exchange Agent at the address and telephone number set forth on the back cover of this prospectus.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Questions concerning tender procedures and requests for additional copies of this prospectus should be directed to the Exchange Agent at the address and telephone numbers listed below. Holders of Original Notes may also contact their commercial bank, broker, dealer, trust company or other nominee for assistance concerning the Exchange Offers.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pay the Exchange Agent reasonable and customary fees for its services and will reimburse it for its reasonable out-of-pocket expenses.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address for The Bank of New York Mellon is: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Bank of New York Mellon, as Exchange Agent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 BNY Mellon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Corporate Trust Operations—Reorganization Unit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2001 Bryan Street, 10th Floor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Tiffany Castor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Telephone: (315) 414-3034</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Fax: (732) 667-9408</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CT_REORG_UNIT_INQUIRIES@bnymellon.com</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Questions and requests for assistance related to the Exchange Offers or for additional copies of this prospectus may be directed to the Exchange Agent at the telephone number and address listed above.</w:t>
      </w:r>
    </w:p>
    <w:p>
      <w:pPr>
        <w:spacing w:after="0" w:line="158"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TRANSMISSION OF INSTRUCTIONS TO AN ADDRESS OR FACSIMILE NUMBER OTHER THAN THAT OF THE EXCHANGE AGENT AS SET FORTH ON THE BACK COVER OF THIS PROSPECTUS DOES NOT CONSTITUTE VALID DELIVERY.</w:t>
      </w: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2021 and 2020, and for each of the three years in the period ended December 31, 2021, incorporated by reference in this Prospectus,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961390</wp:posOffset>
            </wp:positionV>
            <wp:extent cx="1397000" cy="4883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OFFERS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572770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Exchange Agent for the Exchange Offers is: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The Bank of New York Mellon</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By Facsimile (Eligible Institutions Only):</w:t>
      </w:r>
    </w:p>
    <w:p>
      <w:pPr>
        <w:spacing w:after="0" w:line="29" w:lineRule="exact"/>
        <w:rPr>
          <w:sz w:val="20"/>
          <w:szCs w:val="20"/>
          <w:color w:val="auto"/>
        </w:rPr>
      </w:pPr>
    </w:p>
    <w:p>
      <w:pPr>
        <w:ind w:left="4980" w:right="4880" w:firstLine="82"/>
        <w:spacing w:after="0" w:line="277" w:lineRule="auto"/>
        <w:tabs>
          <w:tab w:leader="none" w:pos="549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667-9408 </w:t>
      </w:r>
      <w:r>
        <w:rPr>
          <w:rFonts w:ascii="Times New Roman" w:cs="Times New Roman" w:eastAsia="Times New Roman" w:hAnsi="Times New Roman"/>
          <w:sz w:val="17"/>
          <w:szCs w:val="17"/>
          <w:i w:val="1"/>
          <w:iCs w:val="1"/>
          <w:color w:val="auto"/>
        </w:rPr>
        <w:t xml:space="preserve">By Mail or Hand: </w:t>
      </w:r>
      <w:r>
        <w:rPr>
          <w:rFonts w:ascii="Times New Roman" w:cs="Times New Roman" w:eastAsia="Times New Roman" w:hAnsi="Times New Roman"/>
          <w:sz w:val="17"/>
          <w:szCs w:val="17"/>
          <w:color w:val="auto"/>
        </w:rPr>
        <w:t>c/o BNY Mellon</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Corporate Trust Operations—Reorganization Unit</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2001 Bryan Street, 10th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Tiffany Castor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(315) 414-3034</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CT_REORG_UNIT_INQUIRIES@bnymellon.com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Requests for additional copies of this prospectus may be directed to the Exchange Agent at the address or telephone number set forth above.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Beneficial owners may also contact their custodian for assistance concerning the Exchange Offers.</w:t>
      </w:r>
    </w:p>
    <w:p>
      <w:pPr>
        <w:spacing w:after="0" w:line="203"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Until July 24, 2022, all dealers that effect transactions in the Exchange Notes, whether or not participating in the Exchange Offers,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199390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lowerRoman"/>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lowerRoman"/>
      <w:start w:val="2"/>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lvl w:ilvl="1">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3"/>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lvl w:ilvl="1">
      <w:lvlJc w:val="left"/>
      <w:lvlText w:val="•"/>
      <w:numFmt w:val="bullet"/>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9"/>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
      <w:numFmt w:val="bullet"/>
      <w:start w:val="1"/>
    </w:lvl>
    <w:lvl w:ilvl="1">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lvl w:ilvl="1">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1)"/>
      <w:numFmt w:val="decimal"/>
      <w:start w:val="7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15" Type="http://schemas.openxmlformats.org/officeDocument/2006/relationships/hyperlink" Target="http://www.sec.gov/ix?doc=/Archives/edgar/data/1166691/000116669122000009/cmcsa-20211231.htm" TargetMode="External"/><Relationship Id="rId16" Type="http://schemas.openxmlformats.org/officeDocument/2006/relationships/hyperlink" Target="http://www.sec.gov/Archives/edgar/data/1166691/000120677422001186/cmcsa4011221-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2022-04-25T11:59:33Z</dcterms:created>
  <dcterms:modified xsi:type="dcterms:W3CDTF">2022-04-25T11:59:33Z</dcterms:modified>
</cp:coreProperties>
</file>