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503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5037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ROBERTS BRIAN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Chairman of Board, Pres. &amp; CEO</w:t>
      </w:r>
    </w:p>
    <w:p>
      <w:pPr>
        <w:spacing w:after="0" w:line="290"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8"/>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4"/>
          </w:tcPr>
          <w:p>
            <w:pPr>
              <w:ind w:left="520"/>
              <w:spacing w:after="0" w:line="155" w:lineRule="exact"/>
              <w:rPr>
                <w:sz w:val="20"/>
                <w:szCs w:val="20"/>
                <w:color w:val="auto"/>
              </w:rPr>
            </w:pPr>
            <w:r>
              <w:rPr>
                <w:rFonts w:ascii="Arial" w:cs="Arial" w:eastAsia="Arial" w:hAnsi="Arial"/>
                <w:sz w:val="14"/>
                <w:szCs w:val="14"/>
                <w:color w:val="auto"/>
              </w:rPr>
              <w:t>Line)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PHILADELPHIA PA</w:t>
            </w:r>
          </w:p>
        </w:tc>
        <w:tc>
          <w:tcPr>
            <w:tcW w:w="1260" w:type="dxa"/>
            <w:vAlign w:val="bottom"/>
          </w:tcPr>
          <w:p>
            <w:pPr>
              <w:ind w:left="40"/>
              <w:spacing w:after="0"/>
              <w:rPr>
                <w:sz w:val="20"/>
                <w:szCs w:val="20"/>
                <w:color w:val="auto"/>
              </w:rPr>
            </w:pPr>
            <w:r>
              <w:rPr>
                <w:rFonts w:ascii="Arial" w:cs="Arial" w:eastAsia="Arial" w:hAnsi="Arial"/>
                <w:sz w:val="18"/>
                <w:szCs w:val="18"/>
                <w:color w:val="0000FF"/>
              </w:rPr>
              <w:t>19103</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08/03/2010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91,539</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19.3238</w:t>
            </w:r>
            <w:r>
              <w:rPr>
                <w:rFonts w:ascii="Arial" w:cs="Arial" w:eastAsia="Arial" w:hAnsi="Arial"/>
                <w:sz w:val="22"/>
                <w:szCs w:val="22"/>
                <w:color w:val="008000"/>
                <w:w w:val="85"/>
                <w:vertAlign w:val="superscript"/>
              </w:rPr>
              <w:t>(1)</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2"/>
              <w:spacing w:after="0"/>
              <w:rPr>
                <w:sz w:val="20"/>
                <w:szCs w:val="20"/>
                <w:color w:val="auto"/>
              </w:rPr>
            </w:pPr>
            <w:r>
              <w:rPr>
                <w:rFonts w:ascii="Arial" w:cs="Arial" w:eastAsia="Arial" w:hAnsi="Arial"/>
                <w:sz w:val="18"/>
                <w:szCs w:val="18"/>
                <w:color w:val="0000FF"/>
                <w:w w:val="86"/>
              </w:rPr>
              <w:t>276,137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620" w:type="dxa"/>
            <w:vAlign w:val="bottom"/>
            <w:gridSpan w:val="2"/>
          </w:tcPr>
          <w:p>
            <w:pPr>
              <w:ind w:left="620"/>
              <w:spacing w:after="0"/>
              <w:rPr>
                <w:sz w:val="20"/>
                <w:szCs w:val="20"/>
                <w:color w:val="auto"/>
              </w:rPr>
            </w:pPr>
            <w:r>
              <w:rPr>
                <w:rFonts w:ascii="Arial" w:cs="Arial" w:eastAsia="Arial" w:hAnsi="Arial"/>
                <w:sz w:val="18"/>
                <w:szCs w:val="18"/>
                <w:color w:val="0000FF"/>
              </w:rPr>
              <w:t>08/03/2010</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0000FF"/>
              </w:rPr>
              <w:t>G</w:t>
            </w:r>
          </w:p>
        </w:tc>
        <w:tc>
          <w:tcPr>
            <w:tcW w:w="380" w:type="dxa"/>
            <w:vAlign w:val="bottom"/>
          </w:tcPr>
          <w:p>
            <w:pPr>
              <w:ind w:left="100"/>
              <w:spacing w:after="0"/>
              <w:rPr>
                <w:sz w:val="20"/>
                <w:szCs w:val="20"/>
                <w:color w:val="auto"/>
              </w:rPr>
            </w:pPr>
            <w:r>
              <w:rPr>
                <w:rFonts w:ascii="Arial" w:cs="Arial" w:eastAsia="Arial" w:hAnsi="Arial"/>
                <w:sz w:val="14"/>
                <w:szCs w:val="14"/>
                <w:color w:val="0000FF"/>
              </w:rPr>
              <w:t>V</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76,500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left="25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center"/>
              <w:ind w:right="212"/>
              <w:spacing w:after="0"/>
              <w:rPr>
                <w:sz w:val="20"/>
                <w:szCs w:val="20"/>
                <w:color w:val="auto"/>
              </w:rPr>
            </w:pPr>
            <w:r>
              <w:rPr>
                <w:rFonts w:ascii="Arial" w:cs="Arial" w:eastAsia="Arial" w:hAnsi="Arial"/>
                <w:sz w:val="18"/>
                <w:szCs w:val="18"/>
                <w:color w:val="0000FF"/>
                <w:w w:val="86"/>
              </w:rPr>
              <w:t>926,133</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62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08/03/2010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533,461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18.0625</w:t>
            </w:r>
            <w:r>
              <w:rPr>
                <w:rFonts w:ascii="Arial" w:cs="Arial" w:eastAsia="Arial" w:hAnsi="Arial"/>
                <w:sz w:val="22"/>
                <w:szCs w:val="22"/>
                <w:color w:val="008000"/>
                <w:w w:val="85"/>
                <w:vertAlign w:val="superscript"/>
              </w:rPr>
              <w:t>(2)</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2"/>
              <w:spacing w:after="0"/>
              <w:rPr>
                <w:sz w:val="20"/>
                <w:szCs w:val="20"/>
                <w:color w:val="auto"/>
              </w:rPr>
            </w:pPr>
            <w:r>
              <w:rPr>
                <w:rFonts w:ascii="Arial" w:cs="Arial" w:eastAsia="Arial" w:hAnsi="Arial"/>
                <w:sz w:val="18"/>
                <w:szCs w:val="18"/>
                <w:color w:val="0000FF"/>
                <w:w w:val="86"/>
              </w:rPr>
              <w:t>392,672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restart"/>
          </w:tcPr>
          <w:p>
            <w:pPr>
              <w:jc w:val="center"/>
              <w:ind w:right="232"/>
              <w:spacing w:after="0"/>
              <w:rPr>
                <w:sz w:val="20"/>
                <w:szCs w:val="20"/>
                <w:color w:val="auto"/>
              </w:rPr>
            </w:pPr>
            <w:r>
              <w:rPr>
                <w:rFonts w:ascii="Arial" w:cs="Arial" w:eastAsia="Arial" w:hAnsi="Arial"/>
                <w:sz w:val="18"/>
                <w:szCs w:val="18"/>
                <w:color w:val="0000FF"/>
                <w:w w:val="87"/>
              </w:rPr>
              <w:t>11,902.31</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gridSpan w:val="4"/>
            <w:vMerge w:val="restart"/>
          </w:tcPr>
          <w:p>
            <w:pPr>
              <w:jc w:val="center"/>
              <w:ind w:left="150"/>
              <w:spacing w:after="0"/>
              <w:rPr>
                <w:sz w:val="20"/>
                <w:szCs w:val="20"/>
                <w:color w:val="auto"/>
              </w:rPr>
            </w:pPr>
            <w:r>
              <w:rPr>
                <w:rFonts w:ascii="Arial" w:cs="Arial" w:eastAsia="Arial" w:hAnsi="Arial"/>
                <w:sz w:val="18"/>
                <w:szCs w:val="18"/>
                <w:color w:val="0000FF"/>
                <w:w w:val="86"/>
              </w:rPr>
              <w:t>63,929.119</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restart"/>
          </w:tcPr>
          <w:p>
            <w:pPr>
              <w:jc w:val="center"/>
              <w:ind w:right="392"/>
              <w:spacing w:after="0"/>
              <w:rPr>
                <w:sz w:val="20"/>
                <w:szCs w:val="20"/>
                <w:color w:val="auto"/>
              </w:rPr>
            </w:pPr>
            <w:r>
              <w:rPr>
                <w:rFonts w:ascii="Arial" w:cs="Arial" w:eastAsia="Arial" w:hAnsi="Arial"/>
                <w:sz w:val="18"/>
                <w:szCs w:val="18"/>
                <w:color w:val="0000FF"/>
                <w:w w:val="86"/>
              </w:rPr>
              <w:t>240</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center"/>
              <w:ind w:right="232"/>
              <w:spacing w:after="0"/>
              <w:rPr>
                <w:sz w:val="20"/>
                <w:szCs w:val="20"/>
                <w:color w:val="auto"/>
              </w:rPr>
            </w:pPr>
            <w:r>
              <w:rPr>
                <w:rFonts w:ascii="Arial" w:cs="Arial" w:eastAsia="Arial" w:hAnsi="Arial"/>
                <w:sz w:val="18"/>
                <w:szCs w:val="18"/>
                <w:color w:val="0000FF"/>
                <w:w w:val="87"/>
              </w:rPr>
              <w:t>7,056,323</w:t>
            </w:r>
          </w:p>
        </w:tc>
        <w:tc>
          <w:tcPr>
            <w:tcW w:w="900" w:type="dxa"/>
            <w:vAlign w:val="bottom"/>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restart"/>
          </w:tcPr>
          <w:p>
            <w:pPr>
              <w:jc w:val="center"/>
              <w:ind w:right="372"/>
              <w:spacing w:after="0"/>
              <w:rPr>
                <w:sz w:val="20"/>
                <w:szCs w:val="20"/>
                <w:color w:val="auto"/>
              </w:rPr>
            </w:pPr>
            <w:r>
              <w:rPr>
                <w:rFonts w:ascii="Arial" w:cs="Arial" w:eastAsia="Arial" w:hAnsi="Arial"/>
                <w:sz w:val="18"/>
                <w:szCs w:val="18"/>
                <w:color w:val="0000FF"/>
                <w:w w:val="88"/>
              </w:rPr>
              <w:t>2,034</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restart"/>
          </w:tcPr>
          <w:p>
            <w:pPr>
              <w:jc w:val="center"/>
              <w:ind w:right="372"/>
              <w:spacing w:after="0"/>
              <w:rPr>
                <w:sz w:val="20"/>
                <w:szCs w:val="20"/>
                <w:color w:val="auto"/>
              </w:rPr>
            </w:pPr>
            <w:r>
              <w:rPr>
                <w:rFonts w:ascii="Arial" w:cs="Arial" w:eastAsia="Arial" w:hAnsi="Arial"/>
                <w:sz w:val="18"/>
                <w:szCs w:val="18"/>
                <w:color w:val="0000FF"/>
                <w:w w:val="88"/>
              </w:rPr>
              <w:t>4,068</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restart"/>
          </w:tcPr>
          <w:p>
            <w:pPr>
              <w:jc w:val="center"/>
              <w:ind w:right="232"/>
              <w:spacing w:after="0"/>
              <w:rPr>
                <w:sz w:val="20"/>
                <w:szCs w:val="20"/>
                <w:color w:val="auto"/>
              </w:rPr>
            </w:pPr>
            <w:r>
              <w:rPr>
                <w:rFonts w:ascii="Arial" w:cs="Arial" w:eastAsia="Arial" w:hAnsi="Arial"/>
                <w:sz w:val="18"/>
                <w:szCs w:val="18"/>
                <w:color w:val="0000FF"/>
                <w:w w:val="87"/>
              </w:rPr>
              <w:t>1,222,065</w:t>
            </w:r>
          </w:p>
        </w:tc>
        <w:tc>
          <w:tcPr>
            <w:tcW w:w="90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$19.25 to $19.46. The price reported above reflects the weighted-average purchase price. The reporting person hereby undertakes, upon request, to provide full information regarding the number of shares and prices at which the transactions were effected to the SEC staff, the issuer or a security holder of the issuer.</w:t>
      </w: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$18.00 to $18.37. The price reported above reflects the weighted-average purchase price. The reporting person hereby undertakes, upon request, to provide full information regarding the number of shares and prices at which the transactions were effected to the SEC staff, the issuer or a security holder of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08/04/2010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2019-12-18T07:35:58Z</dcterms:created>
  <dcterms:modified xsi:type="dcterms:W3CDTF">2019-12-18T07:35:58Z</dcterms:modified>
</cp:coreProperties>
</file>