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Washington, D. 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6 )</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Number 20030N200</w:t>
      </w:r>
    </w:p>
    <w:p>
      <w:pPr>
        <w:spacing w:after="0" w:line="200"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December 31, 2011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 - - - - - - - - - - - - - - - - - - - - - - - - - - - - - -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20030N200</w:t>
      </w:r>
    </w:p>
    <w:p>
      <w:pPr>
        <w:spacing w:after="0" w:line="207" w:lineRule="exact"/>
        <w:rPr>
          <w:sz w:val="24"/>
          <w:szCs w:val="24"/>
          <w:color w:val="auto"/>
        </w:rPr>
      </w:pPr>
    </w:p>
    <w:p>
      <w:pPr>
        <w:jc w:val="both"/>
        <w:ind w:left="420" w:right="7159" w:hanging="412"/>
        <w:spacing w:after="0" w:line="268"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ClearBridge Advisors, LLC Tax Identification No.:</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01-0846058</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40" w:hanging="311"/>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40" w:hanging="311"/>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35,675,861</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44,328,736</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420" w:right="33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44,328,736</w:t>
      </w:r>
    </w:p>
    <w:p>
      <w:pPr>
        <w:spacing w:after="0" w:line="208" w:lineRule="exact"/>
        <w:rPr>
          <w:rFonts w:ascii="Courier New" w:cs="Courier New" w:eastAsia="Courier New" w:hAnsi="Courier New"/>
          <w:sz w:val="18"/>
          <w:szCs w:val="18"/>
          <w:color w:val="auto"/>
        </w:rPr>
      </w:pPr>
    </w:p>
    <w:p>
      <w:pPr>
        <w:ind w:left="420" w:right="293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420" w:right="451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7.12%</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96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960"/>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Philadelphia, PA 19102 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ind w:left="960"/>
        <w:spacing w:after="0" w:line="238" w:lineRule="auto"/>
        <w:rPr>
          <w:sz w:val="20"/>
          <w:szCs w:val="20"/>
          <w:color w:val="auto"/>
        </w:rPr>
      </w:pPr>
      <w:r>
        <w:rPr>
          <w:rFonts w:ascii="Courier New" w:cs="Courier New" w:eastAsia="Courier New" w:hAnsi="Courier New"/>
          <w:sz w:val="18"/>
          <w:szCs w:val="18"/>
          <w:color w:val="auto"/>
        </w:rPr>
        <w:t>ClearBridge Advisors, LLC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960"/>
        <w:spacing w:after="0" w:line="238" w:lineRule="auto"/>
        <w:rPr>
          <w:sz w:val="20"/>
          <w:szCs w:val="20"/>
          <w:color w:val="auto"/>
        </w:rPr>
      </w:pPr>
      <w:r>
        <w:rPr>
          <w:rFonts w:ascii="Courier New" w:cs="Courier New" w:eastAsia="Courier New" w:hAnsi="Courier New"/>
          <w:sz w:val="18"/>
          <w:szCs w:val="18"/>
          <w:color w:val="auto"/>
        </w:rPr>
        <w:t>620 8th Avenue</w:t>
      </w:r>
    </w:p>
    <w:p>
      <w:pPr>
        <w:ind w:left="960"/>
        <w:spacing w:after="0"/>
        <w:rPr>
          <w:sz w:val="20"/>
          <w:szCs w:val="20"/>
          <w:color w:val="auto"/>
        </w:rPr>
      </w:pPr>
      <w:r>
        <w:rPr>
          <w:rFonts w:ascii="Courier New" w:cs="Courier New" w:eastAsia="Courier New" w:hAnsi="Courier New"/>
          <w:sz w:val="18"/>
          <w:szCs w:val="18"/>
          <w:color w:val="auto"/>
        </w:rPr>
        <w:t>New York, NY 10018</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960"/>
        <w:spacing w:after="0" w:line="238" w:lineRule="auto"/>
        <w:rPr>
          <w:sz w:val="20"/>
          <w:szCs w:val="20"/>
          <w:color w:val="auto"/>
        </w:rPr>
      </w:pPr>
      <w:r>
        <w:rPr>
          <w:rFonts w:ascii="Courier New" w:cs="Courier New" w:eastAsia="Courier New" w:hAnsi="Courier New"/>
          <w:sz w:val="18"/>
          <w:szCs w:val="18"/>
          <w:color w:val="auto"/>
        </w:rPr>
        <w:t>Delaware Limited Liability Corporation</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ind w:left="960"/>
        <w:spacing w:after="0" w:line="238" w:lineRule="auto"/>
        <w:rPr>
          <w:sz w:val="20"/>
          <w:szCs w:val="20"/>
          <w:color w:val="auto"/>
        </w:rPr>
      </w:pPr>
      <w:r>
        <w:rPr>
          <w:rFonts w:ascii="Courier New" w:cs="Courier New" w:eastAsia="Courier New" w:hAnsi="Courier New"/>
          <w:sz w:val="18"/>
          <w:szCs w:val="18"/>
          <w:color w:val="auto"/>
        </w:rPr>
        <w:t>Common Stock</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20030N200</w:t>
      </w:r>
    </w:p>
    <w:p>
      <w:pPr>
        <w:spacing w:after="0" w:line="207" w:lineRule="exact"/>
        <w:rPr>
          <w:sz w:val="20"/>
          <w:szCs w:val="20"/>
          <w:color w:val="auto"/>
        </w:rPr>
      </w:pPr>
    </w:p>
    <w:p>
      <w:pPr>
        <w:ind w:left="960" w:right="3679" w:hanging="947"/>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 2(b), check whether the person filing is a:</w:t>
      </w:r>
    </w:p>
    <w:p>
      <w:pPr>
        <w:ind w:left="1160" w:hanging="415"/>
        <w:spacing w:after="0" w:line="233"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under Section 15 of the Act.</w:t>
      </w:r>
    </w:p>
    <w:p>
      <w:pPr>
        <w:ind w:left="1160" w:hanging="415"/>
        <w:spacing w:after="0" w:line="238"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1160" w:hanging="415"/>
        <w:spacing w:after="0" w:line="238"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3(a)(6) of the Act.</w:t>
      </w:r>
    </w:p>
    <w:p>
      <w:pPr>
        <w:ind w:left="1160" w:hanging="415"/>
        <w:spacing w:after="0" w:line="238"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580" w:right="3359" w:hanging="835"/>
        <w:spacing w:after="0" w:line="235" w:lineRule="auto"/>
        <w:tabs>
          <w:tab w:leader="none" w:pos="115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1" w:lineRule="exact"/>
        <w:rPr>
          <w:rFonts w:ascii="Courier New" w:cs="Courier New" w:eastAsia="Courier New" w:hAnsi="Courier New"/>
          <w:sz w:val="18"/>
          <w:szCs w:val="18"/>
          <w:color w:val="auto"/>
        </w:rPr>
      </w:pPr>
    </w:p>
    <w:p>
      <w:pPr>
        <w:ind w:left="1160" w:hanging="415"/>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w:t>
      </w:r>
    </w:p>
    <w:p>
      <w:pPr>
        <w:ind w:left="1580"/>
        <w:spacing w:after="0"/>
        <w:rPr>
          <w:sz w:val="20"/>
          <w:szCs w:val="20"/>
          <w:color w:val="auto"/>
        </w:rPr>
      </w:pPr>
      <w:r>
        <w:rPr>
          <w:rFonts w:ascii="Courier New" w:cs="Courier New" w:eastAsia="Courier New" w:hAnsi="Courier New"/>
          <w:sz w:val="18"/>
          <w:szCs w:val="18"/>
          <w:color w:val="auto"/>
        </w:rPr>
        <w:t>to ERISA of 1974 or Endowment Funds; see 240.13d-1(b)(ii)(F).</w:t>
      </w:r>
    </w:p>
    <w:p>
      <w:pPr>
        <w:spacing w:after="0" w:line="3" w:lineRule="exact"/>
        <w:rPr>
          <w:sz w:val="20"/>
          <w:szCs w:val="20"/>
          <w:color w:val="auto"/>
        </w:rPr>
      </w:pPr>
    </w:p>
    <w:p>
      <w:pPr>
        <w:ind w:left="1160" w:hanging="415"/>
        <w:spacing w:after="0"/>
        <w:tabs>
          <w:tab w:leader="none" w:pos="11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240.13d-1(b)(ii)(G),</w:t>
      </w:r>
    </w:p>
    <w:p>
      <w:pPr>
        <w:spacing w:after="0" w:line="16"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44,328,736</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7.12%</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480" w:right="4419" w:hanging="419"/>
        <w:spacing w:after="0" w:line="235" w:lineRule="auto"/>
        <w:tabs>
          <w:tab w:leader="none" w:pos="14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35,675,861</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800" w:hanging="212"/>
        <w:spacing w:after="0" w:line="238" w:lineRule="auto"/>
        <w:tabs>
          <w:tab w:leader="none" w:pos="180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1580" w:right="2839" w:hanging="519"/>
        <w:spacing w:after="0" w:line="235" w:lineRule="auto"/>
        <w:tabs>
          <w:tab w:leader="none" w:pos="168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44,328,736</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800" w:hanging="212"/>
        <w:spacing w:after="0" w:line="238" w:lineRule="auto"/>
        <w:tabs>
          <w:tab w:leader="none" w:pos="180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060" w:right="31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Signature</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40" w:right="23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2012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ClearBridge Advisors, LLC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/s/Barbara Brooke Manning</w:t>
      </w:r>
    </w:p>
    <w:p>
      <w:pPr>
        <w:ind w:left="740"/>
        <w:spacing w:after="0" w:line="238" w:lineRule="auto"/>
        <w:rPr>
          <w:sz w:val="20"/>
          <w:szCs w:val="20"/>
          <w:color w:val="auto"/>
        </w:rPr>
      </w:pPr>
      <w:r>
        <w:rPr>
          <w:rFonts w:ascii="Courier New" w:cs="Courier New" w:eastAsia="Courier New" w:hAnsi="Courier New"/>
          <w:sz w:val="18"/>
          <w:szCs w:val="18"/>
          <w:color w:val="auto"/>
        </w:rPr>
        <w:t>Barbara Brooke Manning, General Counsel &amp; Chief Compliance Officer</w:t>
      </w:r>
    </w:p>
    <w:p>
      <w:pPr>
        <w:sectPr>
          <w:pgSz w:w="11900" w:h="16838" w:orient="portrait"/>
          <w:cols w:equalWidth="0" w:num="1">
            <w:col w:w="10219"/>
          </w:cols>
          <w:pgMar w:left="240" w:top="339"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5"/>
    </w:lvl>
  </w:abstractNum>
  <w:abstractNum w:abstractNumId="5">
    <w:nsid w:val="2EB141F2"/>
    <w:multiLevelType w:val="hybridMultilevel"/>
    <w:lvl w:ilvl="0">
      <w:lvlJc w:val="left"/>
      <w:lvlText w:val="(%1)"/>
      <w:numFmt w:val="lowerLetter"/>
      <w:start w:val="7"/>
    </w:lvl>
  </w:abstractNum>
  <w:abstractNum w:abstractNumId="6">
    <w:nsid w:val="41B71EF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2019-12-09T15:17:44Z</dcterms:created>
  <dcterms:modified xsi:type="dcterms:W3CDTF">2019-12-09T15:17:44Z</dcterms:modified>
</cp:coreProperties>
</file>