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333-174175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NBCUniversal Media, LLC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5"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4420" w:type="dxa"/>
            <w:vAlign w:val="bottom"/>
          </w:tcPr>
          <w:p>
            <w:pPr>
              <w:jc w:val="center"/>
              <w:ind w:right="1552"/>
              <w:spacing w:after="0"/>
              <w:rPr>
                <w:sz w:val="20"/>
                <w:szCs w:val="20"/>
                <w:color w:val="auto"/>
              </w:rPr>
            </w:pPr>
            <w:r>
              <w:rPr>
                <w:rFonts w:ascii="Times New Roman" w:cs="Times New Roman" w:eastAsia="Times New Roman" w:hAnsi="Times New Roman"/>
                <w:sz w:val="18"/>
                <w:szCs w:val="18"/>
                <w:b w:val="1"/>
                <w:bCs w:val="1"/>
                <w:color w:val="auto"/>
                <w:w w:val="92"/>
              </w:rPr>
              <w:t>DELAWARE</w:t>
            </w:r>
          </w:p>
        </w:tc>
        <w:tc>
          <w:tcPr>
            <w:tcW w:w="4180" w:type="dxa"/>
            <w:vAlign w:val="bottom"/>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6"/>
              </w:rPr>
              <w:t>14-1682529</w:t>
            </w:r>
          </w:p>
        </w:tc>
      </w:tr>
      <w:tr>
        <w:trPr>
          <w:trHeight w:val="216"/>
        </w:trPr>
        <w:tc>
          <w:tcPr>
            <w:tcW w:w="4420" w:type="dxa"/>
            <w:vAlign w:val="bottom"/>
          </w:tcPr>
          <w:p>
            <w:pPr>
              <w:jc w:val="center"/>
              <w:ind w:right="1552"/>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418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4420" w:type="dxa"/>
            <w:vAlign w:val="bottom"/>
          </w:tcPr>
          <w:p>
            <w:pPr>
              <w:jc w:val="center"/>
              <w:ind w:right="1552"/>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4180" w:type="dxa"/>
            <w:vAlign w:val="bottom"/>
          </w:tcPr>
          <w:p>
            <w:pPr>
              <w:spacing w:after="0"/>
              <w:rPr>
                <w:sz w:val="19"/>
                <w:szCs w:val="19"/>
                <w:color w:val="auto"/>
              </w:rPr>
            </w:pPr>
          </w:p>
        </w:tc>
      </w:tr>
      <w:tr>
        <w:trPr>
          <w:trHeight w:val="418"/>
        </w:trPr>
        <w:tc>
          <w:tcPr>
            <w:tcW w:w="4420" w:type="dxa"/>
            <w:vAlign w:val="bottom"/>
          </w:tcPr>
          <w:p>
            <w:pPr>
              <w:jc w:val="center"/>
              <w:ind w:right="1552"/>
              <w:spacing w:after="0"/>
              <w:rPr>
                <w:sz w:val="20"/>
                <w:szCs w:val="20"/>
                <w:color w:val="auto"/>
              </w:rPr>
            </w:pPr>
            <w:r>
              <w:rPr>
                <w:rFonts w:ascii="Times New Roman" w:cs="Times New Roman" w:eastAsia="Times New Roman" w:hAnsi="Times New Roman"/>
                <w:sz w:val="18"/>
                <w:szCs w:val="18"/>
                <w:b w:val="1"/>
                <w:bCs w:val="1"/>
                <w:color w:val="auto"/>
                <w:w w:val="98"/>
              </w:rPr>
              <w:t>30 Rockefeller Plaza</w:t>
            </w:r>
          </w:p>
        </w:tc>
        <w:tc>
          <w:tcPr>
            <w:tcW w:w="4180" w:type="dxa"/>
            <w:vAlign w:val="bottom"/>
          </w:tcPr>
          <w:p>
            <w:pPr>
              <w:spacing w:after="0"/>
              <w:rPr>
                <w:sz w:val="24"/>
                <w:szCs w:val="24"/>
                <w:color w:val="auto"/>
              </w:rPr>
            </w:pPr>
          </w:p>
        </w:tc>
      </w:tr>
      <w:tr>
        <w:trPr>
          <w:trHeight w:val="232"/>
        </w:trPr>
        <w:tc>
          <w:tcPr>
            <w:tcW w:w="4420" w:type="dxa"/>
            <w:vAlign w:val="bottom"/>
          </w:tcPr>
          <w:p>
            <w:pPr>
              <w:jc w:val="center"/>
              <w:ind w:right="1552"/>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4180" w:type="dxa"/>
            <w:vAlign w:val="bottom"/>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6"/>
              </w:rPr>
              <w:t>10112-0015</w:t>
            </w:r>
          </w:p>
        </w:tc>
      </w:tr>
      <w:tr>
        <w:trPr>
          <w:trHeight w:val="228"/>
        </w:trPr>
        <w:tc>
          <w:tcPr>
            <w:tcW w:w="4420" w:type="dxa"/>
            <w:vAlign w:val="bottom"/>
          </w:tcPr>
          <w:p>
            <w:pPr>
              <w:jc w:val="center"/>
              <w:ind w:right="15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18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auto"/>
                <w:w w:val="95"/>
              </w:rPr>
              <w:t>(Zip Code)</w:t>
            </w:r>
          </w:p>
        </w:tc>
      </w:tr>
    </w:tbl>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2" w:lineRule="exact"/>
        <w:rPr>
          <w:sz w:val="24"/>
          <w:szCs w:val="24"/>
          <w:color w:val="auto"/>
        </w:rPr>
      </w:pPr>
    </w:p>
    <w:p>
      <w:pPr>
        <w:ind w:right="3520"/>
        <w:spacing w:after="0" w:line="27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ind w:left="52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practical date: Not applicable</w:t>
      </w:r>
    </w:p>
    <w:p>
      <w:pPr>
        <w:spacing w:after="0" w:line="75"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The Registrant meets the conditions set forth in General Instruction H(1)(a) and (b) of Form 10-Q and is therefore filing this Form 10-Q with the reduced disclosure format.</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40" w:type="dxa"/>
            <w:vAlign w:val="bottom"/>
            <w:gridSpan w:val="20"/>
          </w:tcPr>
          <w:p>
            <w:pPr>
              <w:spacing w:after="0" w:line="129" w:lineRule="exact"/>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PART I. FINANCIAL INFORMATION</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3"/>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1.</w:t>
            </w:r>
          </w:p>
        </w:tc>
        <w:tc>
          <w:tcPr>
            <w:tcW w:w="8520" w:type="dxa"/>
            <w:vAlign w:val="bottom"/>
            <w:gridSpan w:val="17"/>
          </w:tcPr>
          <w:p>
            <w:pPr>
              <w:spacing w:after="0" w:line="129" w:lineRule="exact"/>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Financial Statements</w:t>
              </w:r>
            </w:hyperlink>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320" w:type="dxa"/>
            <w:vAlign w:val="bottom"/>
            <w:tcBorders>
              <w:bottom w:val="single" w:sz="8" w:color="0000EE"/>
            </w:tcBorders>
            <w:gridSpan w:val="12"/>
          </w:tcPr>
          <w:p>
            <w:pPr>
              <w:spacing w:after="0" w:line="129" w:lineRule="exact"/>
              <w:rPr>
                <w:rFonts w:ascii="Times New Roman" w:cs="Times New Roman" w:eastAsia="Times New Roman" w:hAnsi="Times New Roman"/>
                <w:sz w:val="14"/>
                <w:szCs w:val="14"/>
                <w:color w:val="0000EE"/>
                <w:w w:val="95"/>
              </w:rPr>
            </w:pPr>
            <w:hyperlink w:anchor="page3">
              <w:r>
                <w:rPr>
                  <w:rFonts w:ascii="Times New Roman" w:cs="Times New Roman" w:eastAsia="Times New Roman" w:hAnsi="Times New Roman"/>
                  <w:sz w:val="14"/>
                  <w:szCs w:val="14"/>
                  <w:color w:val="0000EE"/>
                  <w:w w:val="95"/>
                </w:rPr>
                <w:t>Condensed Consolidated Balance Sheet as of March 31, 2012 and December 31, 2011 (Unaudited)</w:t>
              </w:r>
            </w:hyperlink>
          </w:p>
        </w:tc>
        <w:tc>
          <w:tcPr>
            <w:tcW w:w="3200" w:type="dxa"/>
            <w:vAlign w:val="bottom"/>
            <w:gridSpan w:val="5"/>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520" w:type="dxa"/>
            <w:vAlign w:val="bottom"/>
            <w:gridSpan w:val="17"/>
          </w:tcPr>
          <w:p>
            <w:pPr>
              <w:spacing w:after="0" w:line="129" w:lineRule="exact"/>
              <w:rPr>
                <w:rFonts w:ascii="Times New Roman" w:cs="Times New Roman" w:eastAsia="Times New Roman" w:hAnsi="Times New Roman"/>
                <w:sz w:val="14"/>
                <w:szCs w:val="14"/>
                <w:color w:val="0000EE"/>
                <w:w w:val="98"/>
              </w:rPr>
            </w:pPr>
            <w:hyperlink w:anchor="page4">
              <w:r>
                <w:rPr>
                  <w:rFonts w:ascii="Times New Roman" w:cs="Times New Roman" w:eastAsia="Times New Roman" w:hAnsi="Times New Roman"/>
                  <w:sz w:val="14"/>
                  <w:szCs w:val="14"/>
                  <w:color w:val="0000EE"/>
                  <w:w w:val="98"/>
                </w:rPr>
                <w:t>Condensed Consolidated Statement of Income for the Three Months Ended March 31, 2012 and the Periods Ended March 31, 2011 and January 28, 2011</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60" w:type="dxa"/>
            <w:vAlign w:val="bottom"/>
            <w:tcBorders>
              <w:top w:val="single" w:sz="8" w:color="0000EE"/>
            </w:tcBorders>
            <w:gridSpan w:val="16"/>
          </w:tcPr>
          <w:p>
            <w:pPr>
              <w:spacing w:after="0" w:line="129" w:lineRule="exact"/>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(Unaudited)</w:t>
              </w:r>
            </w:hyperlink>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0000EE"/>
            </w:tcBorders>
            <w:gridSpan w:val="3"/>
          </w:tcPr>
          <w:p>
            <w:pPr>
              <w:spacing w:after="0" w:line="129" w:lineRule="exact"/>
              <w:rPr>
                <w:rFonts w:ascii="Times New Roman" w:cs="Times New Roman" w:eastAsia="Times New Roman" w:hAnsi="Times New Roman"/>
                <w:sz w:val="14"/>
                <w:szCs w:val="14"/>
                <w:color w:val="0000EE"/>
                <w:w w:val="96"/>
              </w:rPr>
            </w:pPr>
            <w:hyperlink w:anchor="page5">
              <w:r>
                <w:rPr>
                  <w:rFonts w:ascii="Times New Roman" w:cs="Times New Roman" w:eastAsia="Times New Roman" w:hAnsi="Times New Roman"/>
                  <w:sz w:val="14"/>
                  <w:szCs w:val="14"/>
                  <w:color w:val="0000EE"/>
                  <w:w w:val="96"/>
                </w:rPr>
                <w:t>Condensed</w:t>
              </w:r>
            </w:hyperlink>
          </w:p>
        </w:tc>
        <w:tc>
          <w:tcPr>
            <w:tcW w:w="7900" w:type="dxa"/>
            <w:vAlign w:val="bottom"/>
            <w:gridSpan w:val="14"/>
          </w:tcPr>
          <w:p>
            <w:pPr>
              <w:spacing w:after="0" w:line="129"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Consolidated Statement of Comprehensive Income for the Three Months Ended March 31, 2012 and the Periods Ended March 31, 2011 and</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180" w:type="dxa"/>
            <w:vAlign w:val="bottom"/>
            <w:tcBorders>
              <w:top w:val="single" w:sz="8" w:color="0000EE"/>
            </w:tcBorders>
            <w:gridSpan w:val="14"/>
          </w:tcPr>
          <w:p>
            <w:pPr>
              <w:spacing w:after="0" w:line="129"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January 28, 2011 (Unaudited)</w:t>
              </w:r>
            </w:hyperlink>
          </w:p>
        </w:tc>
        <w:tc>
          <w:tcPr>
            <w:tcW w:w="2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520" w:type="dxa"/>
            <w:vAlign w:val="bottom"/>
            <w:gridSpan w:val="17"/>
          </w:tcPr>
          <w:p>
            <w:pPr>
              <w:spacing w:after="0" w:line="129" w:lineRule="exact"/>
              <w:rPr>
                <w:rFonts w:ascii="Times New Roman" w:cs="Times New Roman" w:eastAsia="Times New Roman" w:hAnsi="Times New Roman"/>
                <w:sz w:val="14"/>
                <w:szCs w:val="14"/>
                <w:color w:val="0000EE"/>
                <w:w w:val="99"/>
              </w:rPr>
            </w:pPr>
            <w:hyperlink w:anchor="page6">
              <w:r>
                <w:rPr>
                  <w:rFonts w:ascii="Times New Roman" w:cs="Times New Roman" w:eastAsia="Times New Roman" w:hAnsi="Times New Roman"/>
                  <w:sz w:val="14"/>
                  <w:szCs w:val="14"/>
                  <w:color w:val="0000EE"/>
                  <w:w w:val="99"/>
                </w:rPr>
                <w:t>Condensed Consolidated Statement of Cash Flows for the Three Months Ended March 31, 2012 and the Periods Ended March 31, 2011 and January 28,</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0" w:type="dxa"/>
            <w:vAlign w:val="bottom"/>
            <w:tcBorders>
              <w:top w:val="single" w:sz="8" w:color="0000EE"/>
            </w:tcBorders>
            <w:gridSpan w:val="15"/>
          </w:tcPr>
          <w:p>
            <w:pPr>
              <w:spacing w:after="0" w:line="129" w:lineRule="exact"/>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2011 (Unaudited)</w:t>
              </w:r>
            </w:hyperlink>
          </w:p>
        </w:tc>
        <w:tc>
          <w:tcPr>
            <w:tcW w:w="320" w:type="dxa"/>
            <w:vAlign w:val="bottom"/>
            <w:gridSpan w:val="2"/>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520" w:type="dxa"/>
            <w:vAlign w:val="bottom"/>
            <w:gridSpan w:val="17"/>
          </w:tcPr>
          <w:p>
            <w:pPr>
              <w:spacing w:after="0" w:line="129" w:lineRule="exact"/>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Condensed Consolidated Statement of Changes in Equity for the Three Months Ended March 31, 2012 and the Periods Ended March 31, 2011 and</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920" w:type="dxa"/>
            <w:vAlign w:val="bottom"/>
            <w:tcBorders>
              <w:top w:val="single" w:sz="8" w:color="0000EE"/>
            </w:tcBorders>
            <w:gridSpan w:val="13"/>
          </w:tcPr>
          <w:p>
            <w:pPr>
              <w:spacing w:after="0" w:line="129" w:lineRule="exact"/>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January 28, 2011 (Unaudited)</w:t>
              </w:r>
            </w:hyperlink>
          </w:p>
        </w:tc>
        <w:tc>
          <w:tcPr>
            <w:tcW w:w="600" w:type="dxa"/>
            <w:vAlign w:val="bottom"/>
            <w:gridSpan w:val="4"/>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8520" w:type="dxa"/>
            <w:vAlign w:val="bottom"/>
            <w:gridSpan w:val="17"/>
          </w:tcPr>
          <w:p>
            <w:pPr>
              <w:spacing w:after="0" w:line="129" w:lineRule="exact"/>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Notes to Condensed Consolidated Financial Statements (Unaudited)</w:t>
              </w:r>
            </w:hyperlink>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3660" w:type="dxa"/>
            <w:vAlign w:val="bottom"/>
            <w:tcBorders>
              <w:top w:val="single" w:sz="8" w:color="0000EE"/>
            </w:tcBorders>
            <w:gridSpan w:val="10"/>
          </w:tcPr>
          <w:p>
            <w:pPr>
              <w:spacing w:after="0" w:line="129" w:lineRule="exact"/>
              <w:rPr>
                <w:rFonts w:ascii="Times New Roman" w:cs="Times New Roman" w:eastAsia="Times New Roman" w:hAnsi="Times New Roman"/>
                <w:sz w:val="14"/>
                <w:szCs w:val="14"/>
                <w:color w:val="0000EE"/>
                <w:w w:val="96"/>
              </w:rPr>
            </w:pPr>
            <w:hyperlink w:anchor="page27">
              <w:r>
                <w:rPr>
                  <w:rFonts w:ascii="Times New Roman" w:cs="Times New Roman" w:eastAsia="Times New Roman" w:hAnsi="Times New Roman"/>
                  <w:sz w:val="14"/>
                  <w:szCs w:val="14"/>
                  <w:color w:val="0000EE"/>
                  <w:w w:val="96"/>
                </w:rPr>
                <w:t>Management’s Discussion and Analysis of Financial Condition and</w:t>
              </w:r>
            </w:hyperlink>
          </w:p>
        </w:tc>
        <w:tc>
          <w:tcPr>
            <w:tcW w:w="4860" w:type="dxa"/>
            <w:vAlign w:val="bottom"/>
            <w:gridSpan w:val="7"/>
          </w:tcPr>
          <w:p>
            <w:pPr>
              <w:spacing w:after="0" w:line="129" w:lineRule="exact"/>
              <w:rPr>
                <w:rFonts w:ascii="Times New Roman" w:cs="Times New Roman" w:eastAsia="Times New Roman" w:hAnsi="Times New Roman"/>
                <w:sz w:val="14"/>
                <w:szCs w:val="14"/>
                <w:color w:val="0000EE"/>
              </w:rPr>
            </w:pPr>
            <w:hyperlink w:anchor="page27">
              <w:r>
                <w:rPr>
                  <w:rFonts w:ascii="Times New Roman" w:cs="Times New Roman" w:eastAsia="Times New Roman" w:hAnsi="Times New Roman"/>
                  <w:sz w:val="14"/>
                  <w:szCs w:val="14"/>
                  <w:color w:val="0000EE"/>
                </w:rPr>
                <w:t>Results of Operations</w:t>
              </w:r>
            </w:hyperlink>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3"/>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4.</w:t>
            </w:r>
          </w:p>
        </w:tc>
        <w:tc>
          <w:tcPr>
            <w:tcW w:w="4820" w:type="dxa"/>
            <w:vAlign w:val="bottom"/>
            <w:tcBorders>
              <w:top w:val="single" w:sz="8" w:color="0000EE"/>
            </w:tcBorders>
            <w:gridSpan w:val="11"/>
          </w:tcPr>
          <w:p>
            <w:pPr>
              <w:spacing w:after="0" w:line="129" w:lineRule="exact"/>
              <w:rPr>
                <w:rFonts w:ascii="Times New Roman" w:cs="Times New Roman" w:eastAsia="Times New Roman" w:hAnsi="Times New Roman"/>
                <w:sz w:val="14"/>
                <w:szCs w:val="14"/>
                <w:color w:val="0000EE"/>
              </w:rPr>
            </w:pPr>
            <w:hyperlink w:anchor="page34">
              <w:r>
                <w:rPr>
                  <w:rFonts w:ascii="Times New Roman" w:cs="Times New Roman" w:eastAsia="Times New Roman" w:hAnsi="Times New Roman"/>
                  <w:sz w:val="14"/>
                  <w:szCs w:val="14"/>
                  <w:color w:val="0000EE"/>
                </w:rPr>
                <w:t>Controls and Procedures</w:t>
              </w:r>
            </w:hyperlink>
          </w:p>
        </w:tc>
        <w:tc>
          <w:tcPr>
            <w:tcW w:w="3700" w:type="dxa"/>
            <w:vAlign w:val="bottom"/>
            <w:gridSpan w:val="6"/>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2140" w:type="dxa"/>
            <w:vAlign w:val="bottom"/>
            <w:gridSpan w:val="4"/>
            <w:vMerge w:val="restart"/>
          </w:tcPr>
          <w:p>
            <w:pPr>
              <w:spacing w:after="0" w:line="149" w:lineRule="exact"/>
              <w:rPr>
                <w:rFonts w:ascii="Times New Roman" w:cs="Times New Roman" w:eastAsia="Times New Roman" w:hAnsi="Times New Roman"/>
                <w:sz w:val="14"/>
                <w:szCs w:val="14"/>
                <w:b w:val="1"/>
                <w:bCs w:val="1"/>
                <w:color w:val="0000EE"/>
                <w:w w:val="96"/>
              </w:rPr>
            </w:pPr>
            <w:hyperlink w:anchor="page34">
              <w:r>
                <w:rPr>
                  <w:rFonts w:ascii="Times New Roman" w:cs="Times New Roman" w:eastAsia="Times New Roman" w:hAnsi="Times New Roman"/>
                  <w:sz w:val="14"/>
                  <w:szCs w:val="14"/>
                  <w:b w:val="1"/>
                  <w:bCs w:val="1"/>
                  <w:color w:val="0000EE"/>
                  <w:w w:val="96"/>
                </w:rPr>
                <w:t>PART II. OTHER INFORMATION</w:t>
              </w:r>
            </w:hyperlink>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gridSpan w:val="4"/>
            <w:vMerge w:val="continue"/>
          </w:tcPr>
          <w:p>
            <w:pPr>
              <w:spacing w:after="0"/>
              <w:rPr>
                <w:sz w:val="11"/>
                <w:szCs w:val="11"/>
                <w:color w:val="auto"/>
              </w:rPr>
            </w:pPr>
          </w:p>
        </w:tc>
        <w:tc>
          <w:tcPr>
            <w:tcW w:w="8520" w:type="dxa"/>
            <w:vAlign w:val="bottom"/>
            <w:gridSpan w:val="17"/>
            <w:vMerge w:val="restart"/>
          </w:tcPr>
          <w:p>
            <w:pPr>
              <w:spacing w:after="0"/>
              <w:rPr>
                <w:rFonts w:ascii="Times New Roman" w:cs="Times New Roman" w:eastAsia="Times New Roman" w:hAnsi="Times New Roman"/>
                <w:sz w:val="14"/>
                <w:szCs w:val="14"/>
                <w:color w:val="0000EE"/>
              </w:rPr>
            </w:pPr>
            <w:hyperlink w:anchor="page34">
              <w:r>
                <w:rPr>
                  <w:rFonts w:ascii="Times New Roman" w:cs="Times New Roman" w:eastAsia="Times New Roman" w:hAnsi="Times New Roman"/>
                  <w:sz w:val="14"/>
                  <w:szCs w:val="14"/>
                  <w:color w:val="0000EE"/>
                </w:rPr>
                <w:t>Legal Proceedings</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top w:val="single" w:sz="8" w:color="0000EE"/>
            </w:tcBorders>
            <w:gridSpan w:val="2"/>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1.</w:t>
            </w:r>
          </w:p>
        </w:tc>
        <w:tc>
          <w:tcPr>
            <w:tcW w:w="60" w:type="dxa"/>
            <w:vAlign w:val="bottom"/>
          </w:tcPr>
          <w:p>
            <w:pPr>
              <w:spacing w:after="0"/>
              <w:rPr>
                <w:sz w:val="11"/>
                <w:szCs w:val="11"/>
                <w:color w:val="auto"/>
              </w:rPr>
            </w:pPr>
          </w:p>
        </w:tc>
        <w:tc>
          <w:tcPr>
            <w:tcW w:w="8520" w:type="dxa"/>
            <w:vAlign w:val="bottom"/>
            <w:gridSpan w:val="17"/>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3"/>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1A.</w:t>
            </w:r>
          </w:p>
        </w:tc>
        <w:tc>
          <w:tcPr>
            <w:tcW w:w="980" w:type="dxa"/>
            <w:vAlign w:val="bottom"/>
            <w:tcBorders>
              <w:top w:val="single" w:sz="8" w:color="0000EE"/>
            </w:tcBorders>
            <w:gridSpan w:val="6"/>
          </w:tcPr>
          <w:p>
            <w:pPr>
              <w:spacing w:after="0" w:line="129" w:lineRule="exact"/>
              <w:rPr>
                <w:rFonts w:ascii="Times New Roman" w:cs="Times New Roman" w:eastAsia="Times New Roman" w:hAnsi="Times New Roman"/>
                <w:sz w:val="14"/>
                <w:szCs w:val="14"/>
                <w:color w:val="0000EE"/>
              </w:rPr>
            </w:pPr>
            <w:hyperlink w:anchor="page34">
              <w:r>
                <w:rPr>
                  <w:rFonts w:ascii="Times New Roman" w:cs="Times New Roman" w:eastAsia="Times New Roman" w:hAnsi="Times New Roman"/>
                  <w:sz w:val="14"/>
                  <w:szCs w:val="14"/>
                  <w:color w:val="0000EE"/>
                </w:rPr>
                <w:t>Risk Factors</w:t>
              </w:r>
            </w:hyperlink>
          </w:p>
        </w:tc>
        <w:tc>
          <w:tcPr>
            <w:tcW w:w="7540" w:type="dxa"/>
            <w:vAlign w:val="bottom"/>
            <w:gridSpan w:val="11"/>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gridSpan w:val="3"/>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6.</w:t>
            </w:r>
          </w:p>
        </w:tc>
        <w:tc>
          <w:tcPr>
            <w:tcW w:w="660" w:type="dxa"/>
            <w:vAlign w:val="bottom"/>
            <w:tcBorders>
              <w:top w:val="single" w:sz="8" w:color="0000EE"/>
            </w:tcBorders>
            <w:gridSpan w:val="4"/>
          </w:tcPr>
          <w:p>
            <w:pPr>
              <w:spacing w:after="0" w:line="129" w:lineRule="exact"/>
              <w:rPr>
                <w:rFonts w:ascii="Times New Roman" w:cs="Times New Roman" w:eastAsia="Times New Roman" w:hAnsi="Times New Roman"/>
                <w:sz w:val="14"/>
                <w:szCs w:val="14"/>
                <w:color w:val="0000EE"/>
              </w:rPr>
            </w:pPr>
            <w:hyperlink w:anchor="page34">
              <w:r>
                <w:rPr>
                  <w:rFonts w:ascii="Times New Roman" w:cs="Times New Roman" w:eastAsia="Times New Roman" w:hAnsi="Times New Roman"/>
                  <w:sz w:val="14"/>
                  <w:szCs w:val="14"/>
                  <w:color w:val="0000EE"/>
                </w:rPr>
                <w:t>Exhibits</w:t>
              </w:r>
            </w:hyperlink>
          </w:p>
        </w:tc>
        <w:tc>
          <w:tcPr>
            <w:tcW w:w="7860" w:type="dxa"/>
            <w:vAlign w:val="bottom"/>
            <w:gridSpan w:val="13"/>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9"/>
        </w:trPr>
        <w:tc>
          <w:tcPr>
            <w:tcW w:w="2140" w:type="dxa"/>
            <w:vAlign w:val="bottom"/>
            <w:gridSpan w:val="4"/>
          </w:tcPr>
          <w:p>
            <w:pPr>
              <w:spacing w:after="0" w:line="129" w:lineRule="exact"/>
              <w:rPr>
                <w:rFonts w:ascii="Times New Roman" w:cs="Times New Roman" w:eastAsia="Times New Roman" w:hAnsi="Times New Roman"/>
                <w:sz w:val="14"/>
                <w:szCs w:val="14"/>
                <w:b w:val="1"/>
                <w:bCs w:val="1"/>
                <w:color w:val="0000EE"/>
              </w:rPr>
            </w:pPr>
            <w:hyperlink w:anchor="page35">
              <w:r>
                <w:rPr>
                  <w:rFonts w:ascii="Times New Roman" w:cs="Times New Roman" w:eastAsia="Times New Roman" w:hAnsi="Times New Roman"/>
                  <w:sz w:val="14"/>
                  <w:szCs w:val="14"/>
                  <w:b w:val="1"/>
                  <w:bCs w:val="1"/>
                  <w:color w:val="0000EE"/>
                </w:rPr>
                <w:t>SIGNATURES</w:t>
              </w:r>
            </w:hyperlink>
          </w:p>
        </w:tc>
        <w:tc>
          <w:tcPr>
            <w:tcW w:w="1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This Quarterly Report on Form 10-Q is for the three months ended March 31,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4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currently face a wide range of competition, and our businesses and results of operations could be adversely affected if we do not compete effectively</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behavior driven by new technologies may adversely affect our competitive position, businesses and results of operations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regulation by federal, state, local and foreign authorities, which may impose additional costs and restrictions on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economic conditions may have a negative impact on our results of operations and financial condition</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advertising expenditures or changes in advertising markets could negatively impact our results of operations</w:t>
      </w:r>
    </w:p>
    <w:p>
      <w:pPr>
        <w:spacing w:after="0" w:line="55" w:lineRule="exact"/>
        <w:rPr>
          <w:rFonts w:ascii="Times New Roman" w:cs="Times New Roman" w:eastAsia="Times New Roman" w:hAnsi="Times New Roman"/>
          <w:sz w:val="14"/>
          <w:szCs w:val="14"/>
          <w:color w:val="auto"/>
        </w:rPr>
      </w:pPr>
    </w:p>
    <w:p>
      <w:pPr>
        <w:ind w:left="1020" w:right="124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41" w:lineRule="exact"/>
        <w:rPr>
          <w:rFonts w:ascii="Times New Roman" w:cs="Times New Roman" w:eastAsia="Times New Roman" w:hAnsi="Times New Roman"/>
          <w:sz w:val="14"/>
          <w:szCs w:val="14"/>
          <w:color w:val="auto"/>
        </w:rPr>
      </w:pPr>
    </w:p>
    <w:p>
      <w:pPr>
        <w:ind w:left="1020" w:right="124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our programming distribution agreements, or the renewal of these agreements on less favorable terms, could adversely affect our businesses and results of operations</w:t>
      </w:r>
    </w:p>
    <w:p>
      <w:pPr>
        <w:spacing w:after="0" w:line="41"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depend on using and protecting certain intellectual property rights and on not infringing the intellectual property rights of others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depend on keeping pace with technological developments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DVDs have been declining</w:t>
      </w:r>
    </w:p>
    <w:p>
      <w:pPr>
        <w:spacing w:after="0" w:line="55" w:lineRule="exact"/>
        <w:rPr>
          <w:rFonts w:ascii="Times New Roman" w:cs="Times New Roman" w:eastAsia="Times New Roman" w:hAnsi="Times New Roman"/>
          <w:sz w:val="14"/>
          <w:szCs w:val="14"/>
          <w:color w:val="auto"/>
        </w:rPr>
      </w:pPr>
    </w:p>
    <w:p>
      <w:pPr>
        <w:ind w:left="1020" w:right="124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1"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obtain necessary hardware, software and operational support</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disputes, whether involving employees or sports organizations, may disrupt our operations and adversely affect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management personnel or popular on-air and creative talent could have an adverse effect on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relating to doing business internationally that could adversely affect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controlled by Comcast, and GE has certain approval rights</w:t>
      </w:r>
    </w:p>
    <w:p>
      <w:pPr>
        <w:spacing w:after="0" w:line="55" w:lineRule="exact"/>
        <w:rPr>
          <w:rFonts w:ascii="Times New Roman" w:cs="Times New Roman" w:eastAsia="Times New Roman" w:hAnsi="Times New Roman"/>
          <w:sz w:val="14"/>
          <w:szCs w:val="14"/>
          <w:color w:val="auto"/>
        </w:rPr>
      </w:pPr>
    </w:p>
    <w:p>
      <w:pPr>
        <w:ind w:left="1020" w:right="126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Holdings may be required to purchase all or part of GE’s interests in NBCUniversal Holdings and may cause us to make distributions or loans to it to fund these purchases</w:t>
      </w:r>
    </w:p>
    <w:p>
      <w:pPr>
        <w:spacing w:after="0" w:line="41"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Comcast and GE may compete with us in certain cases and have the ability on their own to pursue opportunities that might be attractive to us</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40"/>
              <w:spacing w:after="0" w:line="147" w:lineRule="exact"/>
              <w:rPr>
                <w:sz w:val="20"/>
                <w:szCs w:val="20"/>
                <w:color w:val="auto"/>
              </w:rPr>
            </w:pPr>
            <w:r>
              <w:rPr>
                <w:rFonts w:ascii="Times New Roman" w:cs="Times New Roman" w:eastAsia="Times New Roman" w:hAnsi="Times New Roman"/>
                <w:sz w:val="14"/>
                <w:szCs w:val="14"/>
                <w:color w:val="auto"/>
              </w:rPr>
              <w:t>Successor</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gridSpan w:val="2"/>
          </w:tcPr>
          <w:p>
            <w:pPr>
              <w:ind w:left="1120"/>
              <w:spacing w:after="0" w:line="142" w:lineRule="exact"/>
              <w:rPr>
                <w:sz w:val="20"/>
                <w:szCs w:val="20"/>
                <w:color w:val="auto"/>
              </w:rPr>
            </w:pPr>
            <w:r>
              <w:rPr>
                <w:rFonts w:ascii="Times New Roman" w:cs="Times New Roman" w:eastAsia="Times New Roman" w:hAnsi="Times New Roman"/>
                <w:sz w:val="14"/>
                <w:szCs w:val="14"/>
                <w:color w:val="auto"/>
              </w:rPr>
              <w:t>March 31, 2012</w:t>
            </w:r>
          </w:p>
        </w:tc>
        <w:tc>
          <w:tcPr>
            <w:tcW w:w="2000" w:type="dxa"/>
            <w:vAlign w:val="bottom"/>
            <w:tcBorders>
              <w:bottom w:val="single" w:sz="8" w:color="auto"/>
            </w:tcBorders>
            <w:gridSpan w:val="2"/>
          </w:tcPr>
          <w:p>
            <w:pPr>
              <w:ind w:left="840"/>
              <w:spacing w:after="0" w:line="142" w:lineRule="exact"/>
              <w:rPr>
                <w:sz w:val="20"/>
                <w:szCs w:val="20"/>
                <w:color w:val="auto"/>
              </w:rPr>
            </w:pPr>
            <w:r>
              <w:rPr>
                <w:rFonts w:ascii="Times New Roman" w:cs="Times New Roman" w:eastAsia="Times New Roman" w:hAnsi="Times New Roman"/>
                <w:sz w:val="14"/>
                <w:szCs w:val="14"/>
                <w:color w:val="auto"/>
              </w:rPr>
              <w:t>December 31, 2011</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shd w:val="clear" w:color="auto" w:fill="E5E5E5"/>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1,174</w:t>
            </w:r>
          </w:p>
        </w:tc>
        <w:tc>
          <w:tcPr>
            <w:tcW w:w="116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3,812</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Programming rights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948</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399</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6,333</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5,059</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3,453</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1,039</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$750 and $637</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4,955</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14,587</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$2,647 and $2,462</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15,557</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133</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7"/>
        </w:trPr>
        <w:tc>
          <w:tcPr>
            <w:tcW w:w="72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tcBorders>
              <w:bottom w:val="single" w:sz="8" w:color="auto"/>
            </w:tcBorders>
            <w:shd w:val="clear" w:color="auto" w:fill="E5E5E5"/>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51,116</w:t>
            </w:r>
          </w:p>
        </w:tc>
        <w:tc>
          <w:tcPr>
            <w:tcW w:w="1160" w:type="dxa"/>
            <w:vAlign w:val="bottom"/>
            <w:tcBorders>
              <w:bottom w:val="single" w:sz="8" w:color="auto"/>
            </w:tcBorders>
            <w:shd w:val="clear" w:color="auto" w:fill="E5E5E5"/>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r>
        <w:trPr>
          <w:trHeight w:val="30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2,230</w:t>
            </w:r>
          </w:p>
        </w:tc>
        <w:tc>
          <w:tcPr>
            <w:tcW w:w="1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1,394</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Program obligations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533</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842</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1,417</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c>
          <w:tcPr>
            <w:tcW w:w="11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6,569</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9,609</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910</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408</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2,938</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135</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Member’s capital</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30,190</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29,798</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30,113</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29,720</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314</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30,427</w:t>
            </w:r>
          </w:p>
        </w:tc>
        <w:tc>
          <w:tcPr>
            <w:tcW w:w="11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7"/>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51,116</w:t>
            </w:r>
          </w:p>
        </w:tc>
        <w:tc>
          <w:tcPr>
            <w:tcW w:w="11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color w:val="auto"/>
                <w:w w:val="95"/>
              </w:rPr>
              <w:t>Predecessor</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23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1"/>
                <w:szCs w:val="11"/>
                <w:color w:val="auto"/>
              </w:rPr>
            </w:pPr>
          </w:p>
        </w:tc>
        <w:tc>
          <w:tcPr>
            <w:tcW w:w="1000" w:type="dxa"/>
            <w:vAlign w:val="bottom"/>
          </w:tcPr>
          <w:p>
            <w:pPr>
              <w:jc w:val="right"/>
              <w:ind w:right="133"/>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7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15"/>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900" w:type="dxa"/>
            <w:vAlign w:val="bottom"/>
            <w:tcBorders>
              <w:right w:val="single" w:sz="8" w:color="auto"/>
            </w:tcBorders>
            <w:gridSpan w:val="3"/>
          </w:tcPr>
          <w:p>
            <w:pPr>
              <w:ind w:left="120"/>
              <w:spacing w:after="0" w:line="135" w:lineRule="exact"/>
              <w:rPr>
                <w:sz w:val="20"/>
                <w:szCs w:val="20"/>
                <w:color w:val="auto"/>
              </w:rPr>
            </w:pPr>
            <w:r>
              <w:rPr>
                <w:rFonts w:ascii="Times New Roman" w:cs="Times New Roman" w:eastAsia="Times New Roman" w:hAnsi="Times New Roman"/>
                <w:sz w:val="14"/>
                <w:szCs w:val="14"/>
                <w:color w:val="auto"/>
              </w:rPr>
              <w:t>January 29, 2011</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4"/>
                <w:szCs w:val="14"/>
                <w:color w:val="auto"/>
                <w:w w:val="94"/>
              </w:rPr>
              <w:t>January 1, 2011</w:t>
            </w:r>
          </w:p>
        </w:tc>
        <w:tc>
          <w:tcPr>
            <w:tcW w:w="0" w:type="dxa"/>
            <w:vAlign w:val="bottom"/>
          </w:tcPr>
          <w:p>
            <w:pPr>
              <w:spacing w:after="0"/>
              <w:rPr>
                <w:sz w:val="1"/>
                <w:szCs w:val="1"/>
                <w:color w:val="auto"/>
              </w:rPr>
            </w:pPr>
          </w:p>
        </w:tc>
      </w:tr>
      <w:tr>
        <w:trPr>
          <w:trHeight w:val="17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w w:val="98"/>
              </w:rPr>
              <w:t>March 31, 2012</w:t>
            </w:r>
          </w:p>
        </w:tc>
        <w:tc>
          <w:tcPr>
            <w:tcW w:w="19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7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left="392"/>
              <w:spacing w:after="0"/>
              <w:rPr>
                <w:sz w:val="20"/>
                <w:szCs w:val="20"/>
                <w:color w:val="auto"/>
              </w:rPr>
            </w:pPr>
            <w:r>
              <w:rPr>
                <w:rFonts w:ascii="Times New Roman" w:cs="Times New Roman" w:eastAsia="Times New Roman" w:hAnsi="Times New Roman"/>
                <w:sz w:val="14"/>
                <w:szCs w:val="14"/>
                <w:color w:val="auto"/>
                <w:w w:val="95"/>
              </w:rPr>
              <w:t>to January 28, 2011</w:t>
            </w:r>
          </w:p>
        </w:tc>
        <w:tc>
          <w:tcPr>
            <w:tcW w:w="0" w:type="dxa"/>
            <w:vAlign w:val="bottom"/>
          </w:tcPr>
          <w:p>
            <w:pPr>
              <w:spacing w:after="0"/>
              <w:rPr>
                <w:sz w:val="1"/>
                <w:szCs w:val="1"/>
                <w:color w:val="auto"/>
              </w:rPr>
            </w:pPr>
          </w:p>
        </w:tc>
      </w:tr>
      <w:tr>
        <w:trPr>
          <w:trHeight w:val="210"/>
        </w:trPr>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E5E5E5"/>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5,472</w:t>
            </w:r>
          </w:p>
        </w:tc>
        <w:tc>
          <w:tcPr>
            <w:tcW w:w="18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2,911</w:t>
            </w:r>
          </w:p>
        </w:tc>
        <w:tc>
          <w:tcPr>
            <w:tcW w:w="720" w:type="dxa"/>
            <w:vAlign w:val="bottom"/>
            <w:tcBorders>
              <w:right w:val="single" w:sz="8" w:color="auto"/>
            </w:tcBorders>
            <w:shd w:val="clear" w:color="auto" w:fill="E5E5E5"/>
          </w:tcPr>
          <w:p>
            <w:pPr>
              <w:spacing w:after="0"/>
              <w:rPr>
                <w:sz w:val="18"/>
                <w:szCs w:val="18"/>
                <w:color w:val="auto"/>
              </w:rPr>
            </w:pPr>
          </w:p>
        </w:tc>
        <w:tc>
          <w:tcPr>
            <w:tcW w:w="13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4,659</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2,519</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4,971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2,706</w:t>
            </w:r>
          </w:p>
        </w:tc>
        <w:tc>
          <w:tcPr>
            <w:tcW w:w="7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0"/>
        </w:trPr>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205</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8"/>
                <w:szCs w:val="18"/>
                <w:color w:val="auto"/>
              </w:rPr>
            </w:pPr>
          </w:p>
        </w:tc>
        <w:tc>
          <w:tcPr>
            <w:tcW w:w="16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7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7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385</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94</w:t>
            </w:r>
          </w:p>
        </w:tc>
        <w:tc>
          <w:tcPr>
            <w:tcW w:w="7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right="118"/>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r>
      <w:tr>
        <w:trPr>
          <w:trHeight w:val="149"/>
        </w:trPr>
        <w:tc>
          <w:tcPr>
            <w:tcW w:w="4540" w:type="dxa"/>
            <w:vAlign w:val="bottom"/>
          </w:tcPr>
          <w:p>
            <w:pPr>
              <w:spacing w:after="0"/>
              <w:rPr>
                <w:sz w:val="12"/>
                <w:szCs w:val="12"/>
                <w:color w:val="auto"/>
              </w:rPr>
            </w:pPr>
          </w:p>
        </w:tc>
        <w:tc>
          <w:tcPr>
            <w:tcW w:w="24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940" w:type="dxa"/>
            <w:vAlign w:val="bottom"/>
            <w:tcBorders>
              <w:right w:val="single" w:sz="8" w:color="auto"/>
            </w:tcBorders>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r>
      <w:tr>
        <w:trPr>
          <w:trHeight w:val="161"/>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color w:val="auto"/>
                <w:w w:val="98"/>
              </w:rPr>
              <w:t>March 31, 2012</w:t>
            </w:r>
          </w:p>
        </w:tc>
        <w:tc>
          <w:tcPr>
            <w:tcW w:w="19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7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5"/>
              </w:rPr>
              <w:t>to January 28, 2011</w:t>
            </w:r>
          </w:p>
        </w:tc>
      </w:tr>
      <w:tr>
        <w:trPr>
          <w:trHeight w:val="210"/>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E5E5E5"/>
          </w:tcPr>
          <w:p>
            <w:pPr>
              <w:jc w:val="right"/>
              <w:ind w:right="557"/>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138</w:t>
            </w:r>
          </w:p>
        </w:tc>
        <w:tc>
          <w:tcPr>
            <w:tcW w:w="740" w:type="dxa"/>
            <w:vAlign w:val="bottom"/>
            <w:tcBorders>
              <w:right w:val="single" w:sz="8" w:color="auto"/>
            </w:tcBorders>
            <w:shd w:val="clear" w:color="auto" w:fill="E5E5E5"/>
          </w:tcPr>
          <w:p>
            <w:pPr>
              <w:spacing w:after="0"/>
              <w:rPr>
                <w:sz w:val="18"/>
                <w:szCs w:val="18"/>
                <w:color w:val="auto"/>
              </w:rPr>
            </w:pPr>
          </w:p>
        </w:tc>
        <w:tc>
          <w:tcPr>
            <w:tcW w:w="14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obligations, net</w:t>
            </w:r>
          </w:p>
        </w:tc>
        <w:tc>
          <w:tcPr>
            <w:tcW w:w="740" w:type="dxa"/>
            <w:vAlign w:val="bottom"/>
          </w:tcPr>
          <w:p>
            <w:pPr>
              <w:spacing w:after="0"/>
              <w:rPr>
                <w:sz w:val="18"/>
                <w:szCs w:val="18"/>
                <w:color w:val="auto"/>
              </w:rPr>
            </w:pP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Currency translation adjustments, net</w:t>
            </w:r>
          </w:p>
        </w:tc>
        <w:tc>
          <w:tcPr>
            <w:tcW w:w="7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557"/>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557"/>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w w:val="99"/>
              </w:rPr>
              <w:t>Comprehensive income (loss) attributable to NBCUniversal</w:t>
            </w:r>
          </w:p>
        </w:tc>
        <w:tc>
          <w:tcPr>
            <w:tcW w:w="740" w:type="dxa"/>
            <w:vAlign w:val="bottom"/>
            <w:tcBorders>
              <w:bottom w:val="single" w:sz="8" w:color="auto"/>
            </w:tcBorders>
            <w:shd w:val="clear" w:color="auto" w:fill="E5E5E5"/>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E5E5E5"/>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386</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97</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144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5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33"/>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6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center"/>
              <w:ind w:right="115"/>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r>
      <w:tr>
        <w:trPr>
          <w:trHeight w:val="149"/>
        </w:trPr>
        <w:tc>
          <w:tcPr>
            <w:tcW w:w="5020" w:type="dxa"/>
            <w:vAlign w:val="bottom"/>
          </w:tcPr>
          <w:p>
            <w:pPr>
              <w:spacing w:after="0"/>
              <w:rPr>
                <w:sz w:val="12"/>
                <w:szCs w:val="12"/>
                <w:color w:val="auto"/>
              </w:rPr>
            </w:pPr>
          </w:p>
        </w:tc>
        <w:tc>
          <w:tcPr>
            <w:tcW w:w="22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820" w:type="dxa"/>
            <w:vAlign w:val="bottom"/>
            <w:tcBorders>
              <w:right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r>
      <w:tr>
        <w:trPr>
          <w:trHeight w:val="161"/>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96"/>
              </w:rPr>
              <w:t>March 31, 2012</w:t>
            </w:r>
          </w:p>
        </w:tc>
        <w:tc>
          <w:tcPr>
            <w:tcW w:w="18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6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352"/>
              <w:spacing w:after="0"/>
              <w:rPr>
                <w:sz w:val="20"/>
                <w:szCs w:val="20"/>
                <w:color w:val="auto"/>
              </w:rPr>
            </w:pPr>
            <w:r>
              <w:rPr>
                <w:rFonts w:ascii="Times New Roman" w:cs="Times New Roman" w:eastAsia="Times New Roman" w:hAnsi="Times New Roman"/>
                <w:sz w:val="14"/>
                <w:szCs w:val="14"/>
                <w:color w:val="auto"/>
                <w:w w:val="95"/>
              </w:rPr>
              <w:t>to January 28, 2011</w:t>
            </w:r>
          </w:p>
        </w:tc>
      </w:tr>
      <w:tr>
        <w:trPr>
          <w:trHeight w:val="210"/>
        </w:trPr>
        <w:tc>
          <w:tcPr>
            <w:tcW w:w="50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640" w:type="dxa"/>
            <w:vAlign w:val="bottom"/>
            <w:tcBorders>
              <w:bottom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1,037</w:t>
            </w:r>
          </w:p>
        </w:tc>
        <w:tc>
          <w:tcPr>
            <w:tcW w:w="16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126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14"/>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sale of businesses and investments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E5E5"/>
          </w:tcPr>
          <w:p>
            <w:pPr>
              <w:spacing w:after="0"/>
              <w:rPr>
                <w:sz w:val="18"/>
                <w:szCs w:val="18"/>
                <w:color w:val="auto"/>
              </w:rPr>
            </w:pPr>
          </w:p>
        </w:tc>
        <w:tc>
          <w:tcPr>
            <w:tcW w:w="1660" w:type="dxa"/>
            <w:vAlign w:val="bottom"/>
            <w:tcBorders>
              <w:right w:val="single" w:sz="8" w:color="auto"/>
            </w:tcBorders>
            <w:gridSpan w:val="2"/>
            <w:shd w:val="clear" w:color="auto" w:fill="E5E5E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right w:val="single" w:sz="8" w:color="auto"/>
            </w:tcBorders>
            <w:gridSpan w:val="2"/>
            <w:shd w:val="clear" w:color="auto" w:fill="E5E5E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(172)</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315</w:t>
            </w:r>
          </w:p>
        </w:tc>
      </w:tr>
      <w:tr>
        <w:trPr>
          <w:trHeight w:val="210"/>
        </w:trPr>
        <w:tc>
          <w:tcPr>
            <w:tcW w:w="50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1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E5E5E5"/>
          </w:tcPr>
          <w:p>
            <w:pPr>
              <w:spacing w:after="0"/>
              <w:rPr>
                <w:sz w:val="18"/>
                <w:szCs w:val="18"/>
                <w:color w:val="auto"/>
              </w:rPr>
            </w:pPr>
          </w:p>
        </w:tc>
        <w:tc>
          <w:tcPr>
            <w:tcW w:w="1660" w:type="dxa"/>
            <w:vAlign w:val="bottom"/>
            <w:tcBorders>
              <w:right w:val="single" w:sz="8" w:color="auto"/>
            </w:tcBorders>
            <w:gridSpan w:val="2"/>
            <w:shd w:val="clear" w:color="auto" w:fill="E5E5E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decrease in short-term loans to GE, net</w:t>
            </w:r>
          </w:p>
        </w:tc>
        <w:tc>
          <w:tcPr>
            <w:tcW w:w="640" w:type="dxa"/>
            <w:vAlign w:val="bottom"/>
          </w:tcPr>
          <w:p>
            <w:pPr>
              <w:spacing w:after="0"/>
              <w:rPr>
                <w:sz w:val="18"/>
                <w:szCs w:val="18"/>
                <w:color w:val="auto"/>
              </w:rPr>
            </w:pPr>
          </w:p>
        </w:tc>
        <w:tc>
          <w:tcPr>
            <w:tcW w:w="160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8,072</w:t>
            </w:r>
          </w:p>
        </w:tc>
      </w:tr>
      <w:tr>
        <w:trPr>
          <w:trHeight w:val="216"/>
        </w:trPr>
        <w:tc>
          <w:tcPr>
            <w:tcW w:w="5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Dividends paid</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E5E5"/>
          </w:tcPr>
          <w:p>
            <w:pPr>
              <w:spacing w:after="0"/>
              <w:rPr>
                <w:sz w:val="18"/>
                <w:szCs w:val="18"/>
                <w:color w:val="auto"/>
              </w:rPr>
            </w:pPr>
          </w:p>
        </w:tc>
        <w:tc>
          <w:tcPr>
            <w:tcW w:w="1660" w:type="dxa"/>
            <w:vAlign w:val="bottom"/>
            <w:tcBorders>
              <w:right w:val="single" w:sz="8" w:color="auto"/>
            </w:tcBorders>
            <w:gridSpan w:val="2"/>
            <w:shd w:val="clear" w:color="auto" w:fill="E5E5E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 of preferred stock interest</w:t>
            </w:r>
          </w:p>
        </w:tc>
        <w:tc>
          <w:tcPr>
            <w:tcW w:w="640" w:type="dxa"/>
            <w:vAlign w:val="bottom"/>
          </w:tcPr>
          <w:p>
            <w:pPr>
              <w:spacing w:after="0"/>
              <w:rPr>
                <w:sz w:val="18"/>
                <w:szCs w:val="18"/>
                <w:color w:val="auto"/>
              </w:rPr>
            </w:pPr>
          </w:p>
        </w:tc>
        <w:tc>
          <w:tcPr>
            <w:tcW w:w="160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5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Purchases of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414"/>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right w:val="single" w:sz="8" w:color="auto"/>
            </w:tcBorders>
            <w:gridSpan w:val="2"/>
            <w:shd w:val="clear" w:color="auto" w:fill="E5E5E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(499)</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10"/>
        </w:trPr>
        <w:tc>
          <w:tcPr>
            <w:tcW w:w="50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437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508</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1,084</w:t>
            </w:r>
          </w:p>
        </w:tc>
      </w:tr>
      <w:tr>
        <w:trPr>
          <w:trHeight w:val="217"/>
        </w:trPr>
        <w:tc>
          <w:tcPr>
            <w:tcW w:w="50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640" w:type="dxa"/>
            <w:vAlign w:val="bottom"/>
            <w:tcBorders>
              <w:bottom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1,174</w:t>
            </w:r>
          </w:p>
        </w:tc>
        <w:tc>
          <w:tcPr>
            <w:tcW w:w="16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945</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126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470</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Accumulated</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Additional</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Other</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Paid-</w:t>
            </w:r>
          </w:p>
        </w:tc>
        <w:tc>
          <w:tcPr>
            <w:tcW w:w="10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Comprehensive</w:t>
            </w:r>
          </w:p>
        </w:tc>
        <w:tc>
          <w:tcPr>
            <w:tcW w:w="13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9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4"/>
                <w:szCs w:val="14"/>
                <w:color w:val="auto"/>
              </w:rPr>
              <w:t>(in millions)</w:t>
            </w:r>
          </w:p>
        </w:tc>
        <w:tc>
          <w:tcPr>
            <w:tcW w:w="22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In Capital</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Income (Loss)</w:t>
            </w:r>
          </w:p>
        </w:tc>
        <w:tc>
          <w:tcPr>
            <w:tcW w:w="360" w:type="dxa"/>
            <w:vAlign w:val="bottom"/>
          </w:tcPr>
          <w:p>
            <w:pPr>
              <w:spacing w:after="0"/>
              <w:rPr>
                <w:sz w:val="15"/>
                <w:szCs w:val="15"/>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January 1, 2011</w:t>
            </w:r>
          </w:p>
        </w:tc>
        <w:tc>
          <w:tcPr>
            <w:tcW w:w="220" w:type="dxa"/>
            <w:vAlign w:val="bottom"/>
            <w:tcBorders>
              <w:top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$23,592</w:t>
            </w:r>
          </w:p>
        </w:tc>
        <w:tc>
          <w:tcPr>
            <w:tcW w:w="380" w:type="dxa"/>
            <w:vAlign w:val="bottom"/>
            <w:tcBorders>
              <w:top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320</w:t>
            </w:r>
          </w:p>
        </w:tc>
        <w:tc>
          <w:tcPr>
            <w:tcW w:w="840" w:type="dxa"/>
            <w:vAlign w:val="bottom"/>
            <w:tcBorders>
              <w:top w:val="single" w:sz="8" w:color="auto"/>
            </w:tcBorders>
            <w:shd w:val="clear" w:color="auto" w:fill="E5E5E5"/>
          </w:tcPr>
          <w:p>
            <w:pPr>
              <w:jc w:val="center"/>
              <w:ind w:left="42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top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5E5E5"/>
          </w:tcPr>
          <w:p>
            <w:pPr>
              <w:jc w:val="right"/>
              <w:ind w:right="115"/>
              <w:spacing w:after="0"/>
              <w:rPr>
                <w:sz w:val="20"/>
                <w:szCs w:val="20"/>
                <w:color w:val="auto"/>
              </w:rPr>
            </w:pPr>
            <w:r>
              <w:rPr>
                <w:rFonts w:ascii="Times New Roman" w:cs="Times New Roman" w:eastAsia="Times New Roman" w:hAnsi="Times New Roman"/>
                <w:sz w:val="18"/>
                <w:szCs w:val="18"/>
                <w:color w:val="auto"/>
              </w:rPr>
              <w:t>(82)</w:t>
            </w:r>
          </w:p>
        </w:tc>
        <w:tc>
          <w:tcPr>
            <w:tcW w:w="900" w:type="dxa"/>
            <w:vAlign w:val="bottom"/>
            <w:tcBorders>
              <w:top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(7,846)</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(297)</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January 28, 2011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$15,463</w:t>
            </w:r>
          </w:p>
        </w:tc>
        <w:tc>
          <w:tcPr>
            <w:tcW w:w="3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center"/>
              <w:ind w:left="4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E5E5E5"/>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(82)</w:t>
            </w:r>
          </w:p>
        </w:tc>
        <w:tc>
          <w:tcPr>
            <w:tcW w:w="90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2"/>
          </w:tcPr>
          <w:p>
            <w:pPr>
              <w:jc w:val="center"/>
              <w:ind w:right="52"/>
              <w:spacing w:after="0"/>
              <w:rPr>
                <w:sz w:val="20"/>
                <w:szCs w:val="20"/>
                <w:color w:val="auto"/>
              </w:rPr>
            </w:pPr>
            <w:r>
              <w:rPr>
                <w:rFonts w:ascii="Times New Roman" w:cs="Times New Roman" w:eastAsia="Times New Roman" w:hAnsi="Times New Roman"/>
                <w:sz w:val="14"/>
                <w:szCs w:val="14"/>
                <w:color w:val="auto"/>
                <w:w w:val="96"/>
              </w:rPr>
              <w:t>Accumulated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center"/>
              <w:ind w:left="424"/>
              <w:spacing w:after="0" w:line="149" w:lineRule="exact"/>
              <w:rPr>
                <w:sz w:val="20"/>
                <w:szCs w:val="20"/>
                <w:color w:val="auto"/>
              </w:rPr>
            </w:pPr>
            <w:r>
              <w:rPr>
                <w:rFonts w:ascii="Times New Roman" w:cs="Times New Roman" w:eastAsia="Times New Roman" w:hAnsi="Times New Roman"/>
                <w:sz w:val="14"/>
                <w:szCs w:val="14"/>
                <w:color w:val="auto"/>
                <w:w w:val="93"/>
              </w:rPr>
              <w:t>Other</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gridSpan w:val="2"/>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Member’s</w:t>
            </w:r>
          </w:p>
        </w:tc>
        <w:tc>
          <w:tcPr>
            <w:tcW w:w="1500" w:type="dxa"/>
            <w:vAlign w:val="bottom"/>
            <w:gridSpan w:val="2"/>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w w:val="95"/>
              </w:rPr>
              <w:t>Comprehensive</w:t>
            </w: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9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gridSpan w:val="2"/>
          </w:tcPr>
          <w:p>
            <w:pPr>
              <w:jc w:val="right"/>
              <w:ind w:right="332"/>
              <w:spacing w:after="0"/>
              <w:rPr>
                <w:sz w:val="20"/>
                <w:szCs w:val="20"/>
                <w:color w:val="auto"/>
              </w:rPr>
            </w:pPr>
            <w:r>
              <w:rPr>
                <w:rFonts w:ascii="Times New Roman" w:cs="Times New Roman" w:eastAsia="Times New Roman" w:hAnsi="Times New Roman"/>
                <w:sz w:val="14"/>
                <w:szCs w:val="14"/>
                <w:color w:val="auto"/>
              </w:rPr>
              <w:t>Capital</w:t>
            </w:r>
          </w:p>
        </w:tc>
        <w:tc>
          <w:tcPr>
            <w:tcW w:w="1500" w:type="dxa"/>
            <w:vAlign w:val="bottom"/>
            <w:gridSpan w:val="2"/>
          </w:tcPr>
          <w:p>
            <w:pPr>
              <w:jc w:val="center"/>
              <w:ind w:right="72"/>
              <w:spacing w:after="0"/>
              <w:rPr>
                <w:sz w:val="20"/>
                <w:szCs w:val="20"/>
                <w:color w:val="auto"/>
              </w:rPr>
            </w:pPr>
            <w:r>
              <w:rPr>
                <w:rFonts w:ascii="Times New Roman" w:cs="Times New Roman" w:eastAsia="Times New Roman" w:hAnsi="Times New Roman"/>
                <w:sz w:val="14"/>
                <w:szCs w:val="14"/>
                <w:color w:val="auto"/>
                <w:w w:val="95"/>
              </w:rPr>
              <w:t>Income (Loss)</w:t>
            </w:r>
          </w:p>
        </w:tc>
        <w:tc>
          <w:tcPr>
            <w:tcW w:w="360" w:type="dxa"/>
            <w:vAlign w:val="bottom"/>
          </w:tcPr>
          <w:p>
            <w:pPr>
              <w:spacing w:after="0"/>
              <w:rPr>
                <w:sz w:val="15"/>
                <w:szCs w:val="15"/>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w w:val="92"/>
              </w:rPr>
              <w:t>Interests</w:t>
            </w:r>
          </w:p>
        </w:tc>
        <w:tc>
          <w:tcPr>
            <w:tcW w:w="90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Member’s equity, remeasured at January 28, 2011</w:t>
            </w: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gridSpan w:val="2"/>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$24,089</w:t>
            </w:r>
          </w:p>
        </w:tc>
        <w:tc>
          <w:tcPr>
            <w:tcW w:w="840" w:type="dxa"/>
            <w:vAlign w:val="bottom"/>
            <w:tcBorders>
              <w:top w:val="single" w:sz="8" w:color="auto"/>
            </w:tcBorders>
            <w:shd w:val="clear" w:color="auto" w:fill="E5E5E5"/>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E5E5E5"/>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E5E5E5"/>
          </w:tcPr>
          <w:p>
            <w:pPr>
              <w:jc w:val="right"/>
              <w:ind w:right="275"/>
              <w:spacing w:after="0"/>
              <w:rPr>
                <w:sz w:val="20"/>
                <w:szCs w:val="20"/>
                <w:color w:val="auto"/>
              </w:rPr>
            </w:pPr>
            <w:r>
              <w:rPr>
                <w:rFonts w:ascii="Times New Roman" w:cs="Times New Roman" w:eastAsia="Times New Roman" w:hAnsi="Times New Roman"/>
                <w:sz w:val="18"/>
                <w:szCs w:val="18"/>
                <w:color w:val="auto"/>
              </w:rPr>
              <w:t>262</w:t>
            </w:r>
          </w:p>
        </w:tc>
        <w:tc>
          <w:tcPr>
            <w:tcW w:w="900" w:type="dxa"/>
            <w:vAlign w:val="bottom"/>
            <w:tcBorders>
              <w:top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Contribution of Comcast Content Business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4,344</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member’s equity at January 28, 2011</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28,433</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5"/>
              <w:spacing w:after="0"/>
              <w:rPr>
                <w:sz w:val="20"/>
                <w:szCs w:val="20"/>
                <w:color w:val="auto"/>
              </w:rPr>
            </w:pPr>
            <w:r>
              <w:rPr>
                <w:rFonts w:ascii="Times New Roman" w:cs="Times New Roman" w:eastAsia="Times New Roman" w:hAnsi="Times New Roman"/>
                <w:sz w:val="18"/>
                <w:szCs w:val="18"/>
                <w:color w:val="auto"/>
              </w:rPr>
              <w:t>319</w:t>
            </w:r>
          </w:p>
        </w:tc>
        <w:tc>
          <w:tcPr>
            <w:tcW w:w="90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(71)</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Contributions from (distributions to) noncontrolling interests, net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7"/>
              </w:rPr>
              <w:t>(181)</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94</w:t>
            </w:r>
          </w:p>
        </w:tc>
        <w:tc>
          <w:tcPr>
            <w:tcW w:w="8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5"/>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March 31, 2011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$28,283</w:t>
            </w:r>
          </w:p>
        </w:tc>
        <w:tc>
          <w:tcPr>
            <w:tcW w:w="8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320</w:t>
            </w: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$28,606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$29,798</w:t>
            </w:r>
          </w:p>
        </w:tc>
        <w:tc>
          <w:tcPr>
            <w:tcW w:w="840" w:type="dxa"/>
            <w:vAlign w:val="bottom"/>
            <w:shd w:val="clear" w:color="auto" w:fill="E5E5E5"/>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w w:val="99"/>
              </w:rPr>
              <w:t>(78)</w:t>
            </w:r>
          </w:p>
        </w:tc>
        <w:tc>
          <w:tcPr>
            <w:tcW w:w="36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275"/>
              <w:spacing w:after="0"/>
              <w:rPr>
                <w:sz w:val="20"/>
                <w:szCs w:val="20"/>
                <w:color w:val="auto"/>
              </w:rPr>
            </w:pPr>
            <w:r>
              <w:rPr>
                <w:rFonts w:ascii="Times New Roman" w:cs="Times New Roman" w:eastAsia="Times New Roman" w:hAnsi="Times New Roman"/>
                <w:sz w:val="18"/>
                <w:szCs w:val="18"/>
                <w:color w:val="auto"/>
              </w:rPr>
              <w:t>361</w:t>
            </w:r>
          </w:p>
        </w:tc>
        <w:tc>
          <w:tcPr>
            <w:tcW w:w="90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w w:val="99"/>
              </w:rPr>
              <w:t>Contributions from (distributions to) noncontrolling interests, net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1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385</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March 31, 2012</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gridSpan w:val="2"/>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$30,190</w:t>
            </w:r>
          </w:p>
        </w:tc>
        <w:tc>
          <w:tcPr>
            <w:tcW w:w="840" w:type="dxa"/>
            <w:vAlign w:val="bottom"/>
            <w:tcBorders>
              <w:bottom w:val="single" w:sz="8" w:color="auto"/>
            </w:tcBorders>
            <w:shd w:val="clear" w:color="auto" w:fill="E5E5E5"/>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9"/>
              </w:rPr>
              <w:t>(77)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314</w:t>
            </w:r>
          </w:p>
        </w:tc>
        <w:tc>
          <w:tcPr>
            <w:tcW w:w="90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$30,427</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80"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The results of operations of the businesses contributed by Comcast to NBCUniversal (the “Comcast Content Business”) and the results of operations of Universal Orlando have been consolidated with our results following their respective transaction dates. For a more complete discussion of the Joint Venture and Universal Orlando transactions, refer to our consolidated financial statements included in our 2011 Annual Report on Form 10-K.</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change in control of our company on January 28, 2011, Comcast has applied the acquisition method of accounting with respect to the assets and liabilities of the NBCUniversal businesses it acquired (the “NBCUniversal contributed businesses”), which have been remeasured to fair value as of the date of the Joint Venture Transaction. Our condensed consolidated financial statements for periods following the close of the Joint Venture transaction are labeled “Successor” and reflect both Comcast’s basis of accounting in the new fair values of the assets and liabilities of the NBCUniversal contributed businesses and the consolidation of the Comcast Content Business at historical cost. All periods prior to the closing of the Joint Venture transaction reflect the historical accounting basis in our assets and liabilities and are labeled “Predecessor.” Our condensed consolidated financial statements and footnotes include a black line division, which appears between the columns titled Predecessor and Successor, which signifies that the amounts shown for the periods prior to and following the Joint Venture transaction are not comparable.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have been made to the condensed consolidated financial statements for the prior year to conform to classifications used in the current period.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Related Party Transactions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enter into transactions with Comcast and GE. We generate revenue from Comcast primarily from the distribution of our cable network programming and, to a lesser extent, the sale of advertising and our owned programming, and we incur expenses primarily related to various support services provided by Comcast to us. We generate revenue from transactions with GE and its affiliates primarily from the sale of advertising and incur expenses primarily related to rental charges and our monetization program held with GE and its affiliates. In addition, we also provide management services to, and receive license fees from, certain of our equity method investees.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related party transactions included in our condensed consolidated financial statements.</w:t>
      </w:r>
    </w:p>
    <w:p>
      <w:pPr>
        <w:spacing w:after="0" w:line="12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Successor</w:t>
            </w: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37"/>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6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4"/>
                <w:szCs w:val="14"/>
                <w:color w:val="auto"/>
              </w:rPr>
              <w:t>March 31, 2012</w:t>
            </w:r>
          </w:p>
        </w:tc>
        <w:tc>
          <w:tcPr>
            <w:tcW w:w="13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w w:val="99"/>
              </w:rPr>
              <w:t>December 31, 2011</w:t>
            </w:r>
          </w:p>
        </w:tc>
      </w:tr>
      <w:tr>
        <w:trPr>
          <w:trHeight w:val="210"/>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Comcast and Affiliates</w:t>
            </w:r>
          </w:p>
        </w:tc>
        <w:tc>
          <w:tcPr>
            <w:tcW w:w="18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209</w:t>
            </w: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800" w:type="dxa"/>
            <w:vAlign w:val="bottom"/>
            <w:shd w:val="clear" w:color="auto" w:fill="E5E5E5"/>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454"/>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GE and Affiliates</w:t>
            </w:r>
          </w:p>
        </w:tc>
        <w:tc>
          <w:tcPr>
            <w:tcW w:w="18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800" w:type="dxa"/>
            <w:vAlign w:val="bottom"/>
            <w:shd w:val="clear" w:color="auto" w:fill="E5E5E5"/>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454"/>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7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tc>
        <w:tc>
          <w:tcPr>
            <w:tcW w:w="18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0" w:type="dxa"/>
            <w:vAlign w:val="bottom"/>
            <w:tcBorders>
              <w:bottom w:val="single" w:sz="8" w:color="auto"/>
            </w:tcBorders>
            <w:shd w:val="clear" w:color="auto" w:fill="E5E5E5"/>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ind w:right="454"/>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right="119"/>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r>
      <w:tr>
        <w:trPr>
          <w:trHeight w:val="149"/>
        </w:trPr>
        <w:tc>
          <w:tcPr>
            <w:tcW w:w="4540" w:type="dxa"/>
            <w:vAlign w:val="bottom"/>
          </w:tcPr>
          <w:p>
            <w:pPr>
              <w:spacing w:after="0"/>
              <w:rPr>
                <w:sz w:val="12"/>
                <w:szCs w:val="12"/>
                <w:color w:val="auto"/>
              </w:rPr>
            </w:pPr>
          </w:p>
        </w:tc>
        <w:tc>
          <w:tcPr>
            <w:tcW w:w="24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940" w:type="dxa"/>
            <w:vAlign w:val="bottom"/>
            <w:tcBorders>
              <w:right w:val="single" w:sz="8" w:color="auto"/>
            </w:tcBorders>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r>
      <w:tr>
        <w:trPr>
          <w:trHeight w:val="161"/>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color w:val="auto"/>
                <w:w w:val="98"/>
              </w:rPr>
              <w:t>March 31, 2012</w:t>
            </w:r>
          </w:p>
        </w:tc>
        <w:tc>
          <w:tcPr>
            <w:tcW w:w="19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7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to January 28, 2011</w:t>
            </w:r>
          </w:p>
        </w:tc>
      </w:tr>
      <w:tr>
        <w:trPr>
          <w:trHeight w:val="210"/>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Comcast and Affiliates</w:t>
            </w:r>
          </w:p>
        </w:tc>
        <w:tc>
          <w:tcPr>
            <w:tcW w:w="74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74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195</w:t>
            </w:r>
          </w:p>
        </w:tc>
        <w:tc>
          <w:tcPr>
            <w:tcW w:w="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40" w:type="dxa"/>
            <w:vAlign w:val="bottom"/>
            <w:tcBorders>
              <w:bottom w:val="single" w:sz="8" w:color="auto"/>
            </w:tcBorders>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E5E5E5"/>
          </w:tcPr>
          <w:p>
            <w:pPr>
              <w:jc w:val="right"/>
              <w:ind w:right="497"/>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9"/>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GE and Affiliates</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E5E5E5"/>
          </w:tcPr>
          <w:p>
            <w:pPr>
              <w:jc w:val="right"/>
              <w:ind w:right="557"/>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Borders>
              <w:right w:val="single" w:sz="8" w:color="auto"/>
            </w:tcBorders>
            <w:shd w:val="clear" w:color="auto" w:fill="E5E5E5"/>
          </w:tcPr>
          <w:p>
            <w:pPr>
              <w:spacing w:after="0"/>
              <w:rPr>
                <w:sz w:val="18"/>
                <w:szCs w:val="18"/>
                <w:color w:val="auto"/>
              </w:rPr>
            </w:pPr>
          </w:p>
        </w:tc>
        <w:tc>
          <w:tcPr>
            <w:tcW w:w="1440" w:type="dxa"/>
            <w:vAlign w:val="bottom"/>
            <w:gridSpan w:val="2"/>
            <w:shd w:val="clear" w:color="auto" w:fill="E5E5E5"/>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5E5E5"/>
          </w:tcPr>
          <w:p>
            <w:pPr>
              <w:jc w:val="right"/>
              <w:ind w:right="19"/>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Borders>
              <w:right w:val="single" w:sz="8" w:color="auto"/>
            </w:tcBorders>
          </w:tcPr>
          <w:p>
            <w:pPr>
              <w:spacing w:after="0"/>
              <w:rPr>
                <w:sz w:val="18"/>
                <w:szCs w:val="18"/>
                <w:color w:val="auto"/>
              </w:rPr>
            </w:pPr>
          </w:p>
        </w:tc>
        <w:tc>
          <w:tcPr>
            <w:tcW w:w="14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Borders>
              <w:bottom w:val="single" w:sz="8" w:color="auto"/>
            </w:tcBorders>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E5E5E5"/>
          </w:tcPr>
          <w:p>
            <w:pPr>
              <w:jc w:val="right"/>
              <w:ind w:right="497"/>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1440" w:type="dxa"/>
            <w:vAlign w:val="bottom"/>
            <w:tcBorders>
              <w:bottom w:val="single" w:sz="8" w:color="auto"/>
            </w:tcBorders>
            <w:gridSpan w:val="2"/>
            <w:shd w:val="clear" w:color="auto" w:fill="E5E5E5"/>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bottom w:val="single" w:sz="8" w:color="auto"/>
            </w:tcBorders>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E5E5E5"/>
          </w:tcPr>
          <w:p>
            <w:pPr>
              <w:jc w:val="right"/>
              <w:ind w:right="557"/>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1440" w:type="dxa"/>
            <w:vAlign w:val="bottom"/>
            <w:tcBorders>
              <w:bottom w:val="single" w:sz="8" w:color="auto"/>
            </w:tcBorders>
            <w:gridSpan w:val="2"/>
            <w:shd w:val="clear" w:color="auto" w:fill="E5E5E5"/>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E5E5E5"/>
          </w:tcPr>
          <w:p>
            <w:pPr>
              <w:jc w:val="right"/>
              <w:ind w:right="19"/>
              <w:spacing w:after="0"/>
              <w:rPr>
                <w:sz w:val="20"/>
                <w:szCs w:val="20"/>
                <w:color w:val="auto"/>
              </w:rPr>
            </w:pPr>
            <w:r>
              <w:rPr>
                <w:rFonts w:ascii="Times New Roman" w:cs="Times New Roman" w:eastAsia="Times New Roman" w:hAnsi="Times New Roman"/>
                <w:sz w:val="18"/>
                <w:szCs w:val="18"/>
                <w:color w:val="auto"/>
              </w:rPr>
              <w:t>22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auto"/>
            </w:tcBorders>
            <w:vMerge w:val="continue"/>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2"/>
          </w:tcPr>
          <w:p>
            <w:pPr>
              <w:ind w:left="1220"/>
              <w:spacing w:after="0" w:line="142" w:lineRule="exact"/>
              <w:rPr>
                <w:sz w:val="20"/>
                <w:szCs w:val="20"/>
                <w:color w:val="auto"/>
              </w:rPr>
            </w:pPr>
            <w:r>
              <w:rPr>
                <w:rFonts w:ascii="Times New Roman" w:cs="Times New Roman" w:eastAsia="Times New Roman" w:hAnsi="Times New Roman"/>
                <w:sz w:val="14"/>
                <w:szCs w:val="14"/>
                <w:color w:val="auto"/>
              </w:rPr>
              <w:t>March 31, 2012</w:t>
            </w:r>
          </w:p>
        </w:tc>
        <w:tc>
          <w:tcPr>
            <w:tcW w:w="2000" w:type="dxa"/>
            <w:vAlign w:val="bottom"/>
            <w:tcBorders>
              <w:bottom w:val="single" w:sz="8" w:color="auto"/>
            </w:tcBorders>
            <w:gridSpan w:val="2"/>
          </w:tcPr>
          <w:p>
            <w:pPr>
              <w:ind w:left="88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Film Costs:</w:t>
            </w: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424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1,440</w:t>
            </w:r>
          </w:p>
        </w:tc>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Completed, not released</w:t>
            </w: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328</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1,079</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18"/>
                <w:szCs w:val="18"/>
                <w:color w:val="auto"/>
              </w:rPr>
            </w:pP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2,847</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Television Costs:</w:t>
            </w:r>
          </w:p>
        </w:tc>
        <w:tc>
          <w:tcPr>
            <w:tcW w:w="2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1,019</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18"/>
                <w:szCs w:val="18"/>
                <w:color w:val="auto"/>
              </w:rPr>
            </w:pP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1,162</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Programming rights, less amortization</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1,998</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18"/>
                <w:szCs w:val="18"/>
                <w:color w:val="auto"/>
              </w:rPr>
            </w:pP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6,007</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948</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4240" w:type="dxa"/>
            <w:vAlign w:val="bottom"/>
            <w:tcBorders>
              <w:bottom w:val="single" w:sz="8" w:color="auto"/>
            </w:tcBorders>
            <w:gridSpan w:val="2"/>
            <w:shd w:val="clear" w:color="auto" w:fill="E5E5E5"/>
          </w:tcPr>
          <w:p>
            <w:pPr>
              <w:ind w:left="39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5,059</w:t>
            </w:r>
          </w:p>
        </w:tc>
        <w:tc>
          <w:tcPr>
            <w:tcW w:w="1260" w:type="dxa"/>
            <w:vAlign w:val="bottom"/>
            <w:tcBorders>
              <w:bottom w:val="single" w:sz="8" w:color="auto"/>
            </w:tcBorders>
            <w:shd w:val="clear" w:color="auto" w:fill="E5E5E5"/>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5,227</w:t>
            </w:r>
          </w:p>
        </w:tc>
        <w:tc>
          <w:tcPr>
            <w:tcW w:w="0" w:type="dxa"/>
            <w:vAlign w:val="bottom"/>
          </w:tcPr>
          <w:p>
            <w:pPr>
              <w:spacing w:after="0"/>
              <w:rPr>
                <w:sz w:val="1"/>
                <w:szCs w:val="1"/>
                <w:color w:val="auto"/>
              </w:rPr>
            </w:pPr>
          </w:p>
        </w:tc>
      </w:tr>
      <w:tr>
        <w:trPr>
          <w:trHeight w:val="367"/>
        </w:trPr>
        <w:tc>
          <w:tcPr>
            <w:tcW w:w="4400" w:type="dxa"/>
            <w:vAlign w:val="bottom"/>
          </w:tcPr>
          <w:p>
            <w:pPr>
              <w:spacing w:after="0"/>
              <w:rPr>
                <w:sz w:val="24"/>
                <w:szCs w:val="24"/>
                <w:color w:val="auto"/>
              </w:rPr>
            </w:pPr>
          </w:p>
        </w:tc>
        <w:tc>
          <w:tcPr>
            <w:tcW w:w="2760" w:type="dxa"/>
            <w:vAlign w:val="bottom"/>
          </w:tcPr>
          <w:p>
            <w:pPr>
              <w:jc w:val="right"/>
              <w:ind w:right="1312"/>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gridSpan w:val="2"/>
          </w:tcPr>
          <w:p>
            <w:pPr>
              <w:ind w:left="900"/>
              <w:spacing w:after="0" w:line="142" w:lineRule="exact"/>
              <w:rPr>
                <w:sz w:val="20"/>
                <w:szCs w:val="20"/>
                <w:color w:val="auto"/>
              </w:rPr>
            </w:pPr>
            <w:r>
              <w:rPr>
                <w:rFonts w:ascii="Times New Roman" w:cs="Times New Roman" w:eastAsia="Times New Roman" w:hAnsi="Times New Roman"/>
                <w:sz w:val="14"/>
                <w:szCs w:val="14"/>
                <w:color w:val="auto"/>
              </w:rPr>
              <w:t>March 31, 2012</w:t>
            </w:r>
          </w:p>
        </w:tc>
        <w:tc>
          <w:tcPr>
            <w:tcW w:w="1940" w:type="dxa"/>
            <w:vAlign w:val="bottom"/>
            <w:tcBorders>
              <w:bottom w:val="single" w:sz="8" w:color="auto"/>
            </w:tcBorders>
            <w:gridSpan w:val="2"/>
          </w:tcPr>
          <w:p>
            <w:pPr>
              <w:ind w:left="82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7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80" w:type="dxa"/>
            <w:vAlign w:val="bottom"/>
            <w:shd w:val="clear" w:color="auto" w:fill="E5E5E5"/>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A&amp;E Television Networks</w:t>
            </w:r>
          </w:p>
        </w:tc>
        <w:tc>
          <w:tcPr>
            <w:tcW w:w="11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2,019</w:t>
            </w:r>
          </w:p>
        </w:tc>
        <w:tc>
          <w:tcPr>
            <w:tcW w:w="12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Weather Channel</w:t>
            </w:r>
          </w:p>
        </w:tc>
        <w:tc>
          <w:tcPr>
            <w:tcW w:w="11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464</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75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MSNBC.com</w:t>
            </w:r>
          </w:p>
        </w:tc>
        <w:tc>
          <w:tcPr>
            <w:tcW w:w="11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175</w:t>
            </w:r>
          </w:p>
        </w:tc>
        <w:tc>
          <w:tcPr>
            <w:tcW w:w="12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603</w:t>
            </w:r>
          </w:p>
        </w:tc>
        <w:tc>
          <w:tcPr>
            <w:tcW w:w="1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0"/>
        </w:trPr>
        <w:tc>
          <w:tcPr>
            <w:tcW w:w="75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3,261</w:t>
            </w:r>
          </w:p>
        </w:tc>
        <w:tc>
          <w:tcPr>
            <w:tcW w:w="12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method</w:t>
            </w: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171</w:t>
            </w:r>
          </w:p>
        </w:tc>
        <w:tc>
          <w:tcPr>
            <w:tcW w:w="1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7"/>
        </w:trPr>
        <w:tc>
          <w:tcPr>
            <w:tcW w:w="7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180" w:type="dxa"/>
            <w:vAlign w:val="bottom"/>
            <w:tcBorders>
              <w:bottom w:val="single" w:sz="8" w:color="auto"/>
            </w:tcBorders>
            <w:shd w:val="clear" w:color="auto" w:fill="E5E5E5"/>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3,453</w:t>
            </w:r>
          </w:p>
        </w:tc>
        <w:tc>
          <w:tcPr>
            <w:tcW w:w="1200" w:type="dxa"/>
            <w:vAlign w:val="bottom"/>
            <w:tcBorders>
              <w:bottom w:val="single" w:sz="8" w:color="auto"/>
            </w:tcBorders>
            <w:shd w:val="clear" w:color="auto" w:fill="E5E5E5"/>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3,430</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2012, we exercised an option that requires A&amp;E Television Networks LLC (“A&amp;E Television Networks”) to redeem a substantial portion of our equity interest in A&amp;E Television Networks. We expect the transaction to close during the second half of 2012, upon agreement by all parties as to the value of our equity interest. Under the terms of our existing shareholder agreement, we are required to provide a last dollar guarantee of indebtedness that A&amp;E Television Networks may incur to finance the purchase of our equity interest.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860" w:type="dxa"/>
            <w:vAlign w:val="bottom"/>
          </w:tcPr>
          <w:p>
            <w:pPr>
              <w:jc w:val="right"/>
              <w:ind w:right="340"/>
              <w:spacing w:after="0"/>
              <w:rPr>
                <w:sz w:val="20"/>
                <w:szCs w:val="20"/>
                <w:color w:val="auto"/>
              </w:rPr>
            </w:pPr>
            <w:r>
              <w:rPr>
                <w:rFonts w:ascii="Times New Roman" w:cs="Times New Roman" w:eastAsia="Times New Roman" w:hAnsi="Times New Roman"/>
                <w:sz w:val="14"/>
                <w:szCs w:val="14"/>
                <w:color w:val="auto"/>
              </w:rPr>
              <w:t>Cable</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Broadcast</w:t>
            </w:r>
          </w:p>
        </w:tc>
        <w:tc>
          <w:tcPr>
            <w:tcW w:w="400" w:type="dxa"/>
            <w:vAlign w:val="bottom"/>
          </w:tcPr>
          <w:p>
            <w:pPr>
              <w:spacing w:after="0"/>
              <w:rPr>
                <w:sz w:val="13"/>
                <w:szCs w:val="13"/>
                <w:color w:val="auto"/>
              </w:rPr>
            </w:pPr>
          </w:p>
        </w:tc>
        <w:tc>
          <w:tcPr>
            <w:tcW w:w="90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Filmed</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4"/>
                <w:szCs w:val="14"/>
                <w:color w:val="auto"/>
              </w:rPr>
              <w:t>Theme</w:t>
            </w:r>
          </w:p>
        </w:tc>
        <w:tc>
          <w:tcPr>
            <w:tcW w:w="940" w:type="dxa"/>
            <w:vAlign w:val="bottom"/>
          </w:tcPr>
          <w:p>
            <w:pPr>
              <w:spacing w:after="0"/>
              <w:rPr>
                <w:sz w:val="13"/>
                <w:szCs w:val="13"/>
                <w:color w:val="auto"/>
              </w:rPr>
            </w:pPr>
          </w:p>
        </w:tc>
      </w:tr>
      <w:tr>
        <w:trPr>
          <w:trHeight w:val="161"/>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2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color w:val="auto"/>
              </w:rPr>
              <w:t>Networks</w:t>
            </w:r>
          </w:p>
        </w:tc>
        <w:tc>
          <w:tcPr>
            <w:tcW w:w="11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Television</w:t>
            </w:r>
          </w:p>
        </w:tc>
        <w:tc>
          <w:tcPr>
            <w:tcW w:w="13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Entertainment</w:t>
            </w: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color w:val="auto"/>
              </w:rPr>
              <w:t>Parks</w:t>
            </w: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40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2860" w:type="dxa"/>
            <w:vAlign w:val="bottom"/>
            <w:shd w:val="clear" w:color="auto" w:fill="E5E5E5"/>
          </w:tcPr>
          <w:p>
            <w:pPr>
              <w:jc w:val="right"/>
              <w:ind w:right="200"/>
              <w:spacing w:after="0"/>
              <w:rPr>
                <w:sz w:val="20"/>
                <w:szCs w:val="20"/>
                <w:color w:val="auto"/>
              </w:rPr>
            </w:pPr>
            <w:r>
              <w:rPr>
                <w:rFonts w:ascii="Times New Roman" w:cs="Times New Roman" w:eastAsia="Times New Roman" w:hAnsi="Times New Roman"/>
                <w:sz w:val="18"/>
                <w:szCs w:val="18"/>
                <w:color w:val="auto"/>
              </w:rPr>
              <w:t>$12,744</w:t>
            </w:r>
          </w:p>
        </w:tc>
        <w:tc>
          <w:tcPr>
            <w:tcW w:w="48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772</w:t>
            </w:r>
          </w:p>
        </w:tc>
        <w:tc>
          <w:tcPr>
            <w:tcW w:w="4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E5E5E5"/>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940" w:type="dxa"/>
            <w:vAlign w:val="bottom"/>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$14,657</w:t>
            </w:r>
          </w:p>
        </w:tc>
      </w:tr>
      <w:tr>
        <w:trPr>
          <w:trHeight w:val="216"/>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8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7"/>
        </w:trPr>
        <w:tc>
          <w:tcPr>
            <w:tcW w:w="40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March 31, 2012</w:t>
            </w:r>
          </w:p>
        </w:tc>
        <w:tc>
          <w:tcPr>
            <w:tcW w:w="2860" w:type="dxa"/>
            <w:vAlign w:val="bottom"/>
            <w:tcBorders>
              <w:bottom w:val="single" w:sz="8" w:color="auto"/>
            </w:tcBorders>
            <w:shd w:val="clear" w:color="auto" w:fill="E5E5E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$12,744</w:t>
            </w:r>
          </w:p>
        </w:tc>
        <w:tc>
          <w:tcPr>
            <w:tcW w:w="48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763</w:t>
            </w:r>
          </w:p>
        </w:tc>
        <w:tc>
          <w:tcPr>
            <w:tcW w:w="40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1</w:t>
            </w:r>
          </w:p>
        </w:tc>
        <w:tc>
          <w:tcPr>
            <w:tcW w:w="1120" w:type="dxa"/>
            <w:vAlign w:val="bottom"/>
            <w:tcBorders>
              <w:bottom w:val="single" w:sz="8" w:color="auto"/>
            </w:tcBorders>
            <w:shd w:val="clear" w:color="auto" w:fill="E5E5E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$1,079</w:t>
            </w:r>
          </w:p>
        </w:tc>
        <w:tc>
          <w:tcPr>
            <w:tcW w:w="940" w:type="dxa"/>
            <w:vAlign w:val="bottom"/>
            <w:tcBorders>
              <w:bottom w:val="single" w:sz="8" w:color="auto"/>
            </w:tcBorders>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$14,587</w:t>
            </w:r>
          </w:p>
        </w:tc>
      </w:tr>
    </w:tbl>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have been no significant changes during the three months ended March 31, 2012 to our preliminary allocation of purchase price for the Universal Orlando transaction from what was disclosed in our 2011 Annual Report on Form 10-K. The estimated fair values are not yet final and are subject to change. We will finalize the amounts recognized as we obtain the information necessary to complete the analysis, but no later than June 30, 2012.</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March 31, 2012, our debt had an estimated fair value of $10.6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2012, our net repayments of commercial paper were $400 million.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derivative financial instruments to manage our exposure to the risks associated with fluctuations in foreign exchange rates and interest rates.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manage our exposure to fluctuations in foreign exchange rates by using foreign exchange contracts such as forward contracts and currency options and manage our exposure to fluctuations in interest rates primarily by using interest rate exchange agreements (“swaps”).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2012, there were no significant changes in the composition of any of our derivative financial instruments or their classification in our condensed consolidated balance sheet. In addition, the impact of our derivative financial instruments to our condensed consolidated financial statements was not material for the three months ended March 31, 2012 and 2011.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additional information on the fair value of our derivative financial instruments as of March 31, 2012 and December 31, 2011.</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Fair Value as of</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6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96"/>
              </w:rPr>
              <w:t>March 31, 2012</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1000" w:type="dxa"/>
            <w:vAlign w:val="bottom"/>
            <w:tcBorders>
              <w:bottom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1260" w:type="dxa"/>
            <w:vAlign w:val="bottom"/>
            <w:tcBorders>
              <w:bottom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660" w:type="dxa"/>
            <w:vAlign w:val="bottom"/>
            <w:tcBorders>
              <w:bottom w:val="single" w:sz="8" w:color="auto"/>
            </w:tcBorders>
            <w:gridSpan w:val="2"/>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66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65</w:t>
            </w:r>
          </w:p>
        </w:tc>
        <w:tc>
          <w:tcPr>
            <w:tcW w:w="5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0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660" w:type="dxa"/>
            <w:vAlign w:val="bottom"/>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984</w:t>
            </w:r>
          </w:p>
        </w:tc>
        <w:tc>
          <w:tcPr>
            <w:tcW w:w="5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997</w:t>
            </w:r>
          </w:p>
        </w:tc>
        <w:tc>
          <w:tcPr>
            <w:tcW w:w="5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the fair values of the contractual obligations in the table above is primarily based on certain expected future discounted cash flows, which involves the use of significant unobservable inputs. The most significant unobservable input we use is our estimate of the future revenue we expect to generate from certain of our entities. The discount rates used in the measurements of fair value ranged between 11% and 13% and are based on the underlying risk associated with our estimate of future revenue, as well as the terms of the respective contracts. Fair value adjustments to these liabilities are recorded in other income (expense), net in our condensed consolidated statement of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tcPr>
          <w:p>
            <w:pPr>
              <w:spacing w:after="0"/>
              <w:rPr>
                <w:sz w:val="21"/>
                <w:szCs w:val="21"/>
                <w:color w:val="auto"/>
              </w:rPr>
            </w:pPr>
          </w:p>
        </w:tc>
        <w:tc>
          <w:tcPr>
            <w:tcW w:w="7520" w:type="dxa"/>
            <w:vAlign w:val="bottom"/>
          </w:tcPr>
          <w:p>
            <w:pPr>
              <w:jc w:val="right"/>
              <w:ind w:right="3612"/>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1"/>
                <w:szCs w:val="21"/>
                <w:color w:val="auto"/>
              </w:rPr>
            </w:pPr>
          </w:p>
        </w:tc>
      </w:tr>
      <w:tr>
        <w:trPr>
          <w:trHeight w:val="2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7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10"/>
        </w:trPr>
        <w:tc>
          <w:tcPr>
            <w:tcW w:w="3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7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w w:val="98"/>
              </w:rPr>
              <w:t>1,004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7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75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w:t>
            </w:r>
          </w:p>
        </w:tc>
        <w:tc>
          <w:tcPr>
            <w:tcW w:w="7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3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March 31, 2012</w:t>
            </w:r>
          </w:p>
        </w:tc>
        <w:tc>
          <w:tcPr>
            <w:tcW w:w="7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984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changes in equity resulting from net income (loss) attributable to NBCUniversal and transfers to or from noncontrolling interests.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color w:val="auto"/>
                <w:w w:val="95"/>
              </w:rPr>
              <w:t>Predecessor</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7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2"/>
          </w:tcPr>
          <w:p>
            <w:pPr>
              <w:jc w:val="center"/>
              <w:ind w:left="452"/>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w w:val="94"/>
              </w:rPr>
              <w:t>Three Months Ended</w:t>
            </w:r>
          </w:p>
        </w:tc>
        <w:tc>
          <w:tcPr>
            <w:tcW w:w="280" w:type="dxa"/>
            <w:vAlign w:val="bottom"/>
          </w:tcPr>
          <w:p>
            <w:pPr>
              <w:spacing w:after="0"/>
              <w:rPr>
                <w:sz w:val="12"/>
                <w:szCs w:val="12"/>
                <w:color w:val="auto"/>
              </w:rPr>
            </w:pPr>
          </w:p>
        </w:tc>
        <w:tc>
          <w:tcPr>
            <w:tcW w:w="15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7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gridSpan w:val="2"/>
          </w:tcPr>
          <w:p>
            <w:pPr>
              <w:jc w:val="center"/>
              <w:ind w:left="452"/>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w w:val="98"/>
              </w:rPr>
              <w:t>March 31, 2012</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 March 31, 2011</w:t>
            </w:r>
          </w:p>
        </w:tc>
        <w:tc>
          <w:tcPr>
            <w:tcW w:w="7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5"/>
              </w:rPr>
              <w:t>to January 28, 2011</w:t>
            </w:r>
          </w:p>
        </w:tc>
        <w:tc>
          <w:tcPr>
            <w:tcW w:w="0" w:type="dxa"/>
            <w:vAlign w:val="bottom"/>
          </w:tcPr>
          <w:p>
            <w:pPr>
              <w:spacing w:after="0"/>
              <w:rPr>
                <w:sz w:val="1"/>
                <w:szCs w:val="1"/>
                <w:color w:val="auto"/>
              </w:rPr>
            </w:pPr>
          </w:p>
        </w:tc>
      </w:tr>
      <w:tr>
        <w:trPr>
          <w:trHeight w:val="210"/>
        </w:trPr>
        <w:tc>
          <w:tcPr>
            <w:tcW w:w="4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NBCUniversal</w:t>
            </w:r>
          </w:p>
        </w:tc>
        <w:tc>
          <w:tcPr>
            <w:tcW w:w="740" w:type="dxa"/>
            <w:vAlign w:val="bottom"/>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780" w:type="dxa"/>
            <w:vAlign w:val="bottom"/>
            <w:gridSpan w:val="2"/>
            <w:shd w:val="clear" w:color="auto" w:fill="E5E5E5"/>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E5E5E5"/>
          </w:tcPr>
          <w:p>
            <w:pPr>
              <w:ind w:left="72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tcBorders>
              <w:right w:val="single" w:sz="8" w:color="auto"/>
            </w:tcBorders>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Transfers from (to) noncontrolling interests: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E5E5E5"/>
          </w:tcPr>
          <w:p>
            <w:pPr>
              <w:ind w:left="440"/>
              <w:spacing w:after="0" w:line="201" w:lineRule="exact"/>
              <w:rPr>
                <w:sz w:val="20"/>
                <w:szCs w:val="20"/>
                <w:color w:val="auto"/>
              </w:rPr>
            </w:pPr>
            <w:r>
              <w:rPr>
                <w:rFonts w:ascii="Times New Roman" w:cs="Times New Roman" w:eastAsia="Times New Roman" w:hAnsi="Times New Roman"/>
                <w:sz w:val="18"/>
                <w:szCs w:val="18"/>
                <w:color w:val="auto"/>
              </w:rPr>
              <w:t>Increase in NBCUniversal member’s capital resulting</w:t>
            </w: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760" w:type="dxa"/>
            <w:vAlign w:val="bottom"/>
            <w:tcBorders>
              <w:right w:val="single" w:sz="8" w:color="auto"/>
            </w:tcBorders>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auto"/>
            </w:tcBorders>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from the purchases of noncontrolling equity interest</w:t>
            </w:r>
          </w:p>
        </w:tc>
        <w:tc>
          <w:tcPr>
            <w:tcW w:w="74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E5E5E5"/>
          </w:tcPr>
          <w:p>
            <w:pPr>
              <w:spacing w:after="0"/>
              <w:rPr>
                <w:sz w:val="19"/>
                <w:szCs w:val="19"/>
                <w:color w:val="auto"/>
              </w:rPr>
            </w:pPr>
          </w:p>
        </w:tc>
        <w:tc>
          <w:tcPr>
            <w:tcW w:w="300" w:type="dxa"/>
            <w:vAlign w:val="bottom"/>
            <w:tcBorders>
              <w:bottom w:val="single" w:sz="8" w:color="auto"/>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45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Changes in member’s equity from net income (loss)</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attributable to NBCUniversal and transfers from (to)</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7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94</w:t>
            </w:r>
          </w:p>
        </w:tc>
        <w:tc>
          <w:tcPr>
            <w:tcW w:w="7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415"/>
        </w:trPr>
        <w:tc>
          <w:tcPr>
            <w:tcW w:w="8140" w:type="dxa"/>
            <w:vAlign w:val="bottom"/>
            <w:gridSpan w:val="6"/>
          </w:tcPr>
          <w:p>
            <w:pPr>
              <w:ind w:left="4160"/>
              <w:spacing w:after="0"/>
              <w:rPr>
                <w:sz w:val="20"/>
                <w:szCs w:val="20"/>
                <w:color w:val="auto"/>
              </w:rPr>
            </w:pPr>
            <w:r>
              <w:rPr>
                <w:rFonts w:ascii="Arial" w:cs="Arial" w:eastAsia="Arial" w:hAnsi="Arial"/>
                <w:sz w:val="18"/>
                <w:szCs w:val="18"/>
                <w:b w:val="1"/>
                <w:bCs w:val="1"/>
                <w:color w:val="auto"/>
              </w:rPr>
              <w:t>Redeemable Noncontrolling Interests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4"/>
                <w:szCs w:val="14"/>
                <w:color w:val="auto"/>
              </w:rPr>
              <w:t>Successor</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jc w:val="right"/>
              <w:ind w:right="11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2"/>
          </w:tcPr>
          <w:p>
            <w:pPr>
              <w:jc w:val="right"/>
              <w:ind w:right="56"/>
              <w:spacing w:after="0" w:line="135" w:lineRule="exact"/>
              <w:rPr>
                <w:sz w:val="20"/>
                <w:szCs w:val="20"/>
                <w:color w:val="auto"/>
              </w:rPr>
            </w:pPr>
            <w:r>
              <w:rPr>
                <w:rFonts w:ascii="Times New Roman" w:cs="Times New Roman" w:eastAsia="Times New Roman" w:hAnsi="Times New Roman"/>
                <w:sz w:val="14"/>
                <w:szCs w:val="14"/>
                <w:color w:val="auto"/>
              </w:rPr>
              <w:t>January 29, 2011</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color w:val="auto"/>
              </w:rPr>
              <w:t>March 31, 2012</w:t>
            </w: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to March 31, 2011</w:t>
            </w:r>
          </w:p>
        </w:tc>
        <w:tc>
          <w:tcPr>
            <w:tcW w:w="0" w:type="dxa"/>
            <w:vAlign w:val="bottom"/>
          </w:tcPr>
          <w:p>
            <w:pPr>
              <w:spacing w:after="0"/>
              <w:rPr>
                <w:sz w:val="1"/>
                <w:szCs w:val="1"/>
                <w:color w:val="auto"/>
              </w:rPr>
            </w:pPr>
          </w:p>
        </w:tc>
      </w:tr>
      <w:tr>
        <w:trPr>
          <w:trHeight w:val="210"/>
        </w:trPr>
        <w:tc>
          <w:tcPr>
            <w:tcW w:w="4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E5E5"/>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220" w:type="dxa"/>
            <w:vAlign w:val="bottom"/>
            <w:gridSpan w:val="2"/>
            <w:shd w:val="clear" w:color="auto" w:fill="E5E5E5"/>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Purchases</w:t>
            </w:r>
          </w:p>
        </w:tc>
        <w:tc>
          <w:tcPr>
            <w:tcW w:w="7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74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gridSpan w:val="2"/>
            <w:shd w:val="clear" w:color="auto" w:fill="E5E5E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w:t>
            </w:r>
          </w:p>
        </w:tc>
        <w:tc>
          <w:tcPr>
            <w:tcW w:w="1220" w:type="dxa"/>
            <w:vAlign w:val="bottom"/>
            <w:tcBorders>
              <w:bottom w:val="single" w:sz="8" w:color="auto"/>
            </w:tcBorders>
            <w:gridSpan w:val="2"/>
            <w:shd w:val="clear" w:color="auto" w:fill="E5E5E5"/>
          </w:tcPr>
          <w:p>
            <w:pPr>
              <w:ind w:left="1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hold any redeemable noncontrolling interests during the period January 1, 2011 through January 28, 2011.</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presents the components of net periodic benefit expense related to our pension plans and postretirement benefit plans that we established following the close of the Joint Venture transaction.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Successor</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29"/>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47"/>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60" w:type="dxa"/>
            <w:vAlign w:val="bottom"/>
          </w:tcPr>
          <w:p>
            <w:pPr>
              <w:spacing w:after="0"/>
              <w:rPr>
                <w:sz w:val="11"/>
                <w:szCs w:val="11"/>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460" w:type="dxa"/>
            <w:vAlign w:val="bottom"/>
          </w:tcPr>
          <w:p>
            <w:pPr>
              <w:spacing w:after="0"/>
              <w:rPr>
                <w:sz w:val="12"/>
                <w:szCs w:val="12"/>
                <w:color w:val="auto"/>
              </w:rPr>
            </w:pPr>
          </w:p>
        </w:tc>
      </w:tr>
      <w:tr>
        <w:trPr>
          <w:trHeight w:val="175"/>
        </w:trPr>
        <w:tc>
          <w:tcPr>
            <w:tcW w:w="5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color w:val="auto"/>
                <w:w w:val="96"/>
              </w:rPr>
              <w:t>March 31, 2012</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460" w:type="dxa"/>
            <w:vAlign w:val="bottom"/>
            <w:tcBorders>
              <w:bottom w:val="single" w:sz="8" w:color="auto"/>
            </w:tcBorders>
          </w:tcPr>
          <w:p>
            <w:pPr>
              <w:spacing w:after="0"/>
              <w:rPr>
                <w:sz w:val="15"/>
                <w:szCs w:val="15"/>
                <w:color w:val="auto"/>
              </w:rPr>
            </w:pPr>
          </w:p>
        </w:tc>
      </w:tr>
      <w:tr>
        <w:trPr>
          <w:trHeight w:val="129"/>
        </w:trPr>
        <w:tc>
          <w:tcPr>
            <w:tcW w:w="5640" w:type="dxa"/>
            <w:vAlign w:val="bottom"/>
          </w:tcPr>
          <w:p>
            <w:pPr>
              <w:spacing w:after="0"/>
              <w:rPr>
                <w:sz w:val="11"/>
                <w:szCs w:val="11"/>
                <w:color w:val="auto"/>
              </w:rPr>
            </w:pPr>
          </w:p>
        </w:tc>
        <w:tc>
          <w:tcPr>
            <w:tcW w:w="1280" w:type="dxa"/>
            <w:vAlign w:val="bottom"/>
            <w:gridSpan w:val="2"/>
          </w:tcPr>
          <w:p>
            <w:pPr>
              <w:ind w:left="740"/>
              <w:spacing w:after="0" w:line="129" w:lineRule="exact"/>
              <w:rPr>
                <w:sz w:val="20"/>
                <w:szCs w:val="20"/>
                <w:color w:val="auto"/>
              </w:rPr>
            </w:pPr>
            <w:r>
              <w:rPr>
                <w:rFonts w:ascii="Times New Roman" w:cs="Times New Roman" w:eastAsia="Times New Roman" w:hAnsi="Times New Roman"/>
                <w:sz w:val="14"/>
                <w:szCs w:val="14"/>
                <w:color w:val="auto"/>
              </w:rPr>
              <w:t>Pension</w:t>
            </w:r>
          </w:p>
        </w:tc>
        <w:tc>
          <w:tcPr>
            <w:tcW w:w="1580" w:type="dxa"/>
            <w:vAlign w:val="bottom"/>
            <w:gridSpan w:val="2"/>
          </w:tcPr>
          <w:p>
            <w:pPr>
              <w:ind w:left="720"/>
              <w:spacing w:after="0" w:line="129" w:lineRule="exact"/>
              <w:rPr>
                <w:sz w:val="20"/>
                <w:szCs w:val="20"/>
                <w:color w:val="auto"/>
              </w:rPr>
            </w:pPr>
            <w:r>
              <w:rPr>
                <w:rFonts w:ascii="Times New Roman" w:cs="Times New Roman" w:eastAsia="Times New Roman" w:hAnsi="Times New Roman"/>
                <w:sz w:val="14"/>
                <w:szCs w:val="14"/>
                <w:color w:val="auto"/>
              </w:rPr>
              <w:t>Postretirement</w:t>
            </w:r>
          </w:p>
        </w:tc>
        <w:tc>
          <w:tcPr>
            <w:tcW w:w="1240" w:type="dxa"/>
            <w:vAlign w:val="bottom"/>
            <w:gridSpan w:val="2"/>
          </w:tcPr>
          <w:p>
            <w:pPr>
              <w:ind w:left="760"/>
              <w:spacing w:after="0" w:line="129" w:lineRule="exact"/>
              <w:rPr>
                <w:sz w:val="20"/>
                <w:szCs w:val="20"/>
                <w:color w:val="auto"/>
              </w:rPr>
            </w:pPr>
            <w:r>
              <w:rPr>
                <w:rFonts w:ascii="Times New Roman" w:cs="Times New Roman" w:eastAsia="Times New Roman" w:hAnsi="Times New Roman"/>
                <w:sz w:val="14"/>
                <w:szCs w:val="14"/>
                <w:color w:val="auto"/>
              </w:rPr>
              <w:t>Pension</w:t>
            </w:r>
          </w:p>
        </w:tc>
        <w:tc>
          <w:tcPr>
            <w:tcW w:w="1680" w:type="dxa"/>
            <w:vAlign w:val="bottom"/>
            <w:gridSpan w:val="2"/>
          </w:tcPr>
          <w:p>
            <w:pPr>
              <w:ind w:left="800"/>
              <w:spacing w:after="0" w:line="129" w:lineRule="exact"/>
              <w:rPr>
                <w:sz w:val="20"/>
                <w:szCs w:val="20"/>
                <w:color w:val="auto"/>
              </w:rPr>
            </w:pPr>
            <w:r>
              <w:rPr>
                <w:rFonts w:ascii="Times New Roman" w:cs="Times New Roman" w:eastAsia="Times New Roman" w:hAnsi="Times New Roman"/>
                <w:sz w:val="14"/>
                <w:szCs w:val="14"/>
                <w:color w:val="auto"/>
              </w:rPr>
              <w:t>Postretirement</w:t>
            </w:r>
          </w:p>
        </w:tc>
      </w:tr>
      <w:tr>
        <w:trPr>
          <w:trHeight w:val="175"/>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color w:val="auto"/>
              </w:rPr>
              <w:t>Benefits</w:t>
            </w:r>
          </w:p>
        </w:tc>
        <w:tc>
          <w:tcPr>
            <w:tcW w:w="158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Benefits</w:t>
            </w:r>
          </w:p>
        </w:tc>
        <w:tc>
          <w:tcPr>
            <w:tcW w:w="12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w w:val="98"/>
              </w:rPr>
              <w:t>Benefits</w:t>
            </w:r>
          </w:p>
        </w:tc>
        <w:tc>
          <w:tcPr>
            <w:tcW w:w="16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Benefits</w:t>
            </w:r>
          </w:p>
        </w:tc>
      </w:tr>
      <w:tr>
        <w:trPr>
          <w:trHeight w:val="210"/>
        </w:trPr>
        <w:tc>
          <w:tcPr>
            <w:tcW w:w="5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shd w:val="clear" w:color="auto" w:fill="E5E5E5"/>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E5E5E5"/>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shd w:val="clear" w:color="auto" w:fill="E5E5E5"/>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18"/>
                <w:szCs w:val="18"/>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benefits expense</w:t>
            </w: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35</w:t>
            </w:r>
          </w:p>
        </w:tc>
        <w:tc>
          <w:tcPr>
            <w:tcW w:w="12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2012, we provided initial funding to our qualified defined benefit plan of $76 million. The expected return on the plan assets of this plan is 5%.</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employees and executive officers receive awards of stock options and restricted share units (“RSUs”) under Comcast equity plans and participate in employee stock purchase plans. The expense associated with participation in these plans, including the expense associated with awards to former Comcast employees who had non-vested equity awards as of the closing date, is settled in cash with Comcast. In addition, while the majority of GE granted stock options and RSUs vested in conjunction with the Joint Venture transaction, some of our employees continue to vest in GE equity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 – Comcast and GE Equity Awards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w:t>
            </w:r>
          </w:p>
        </w:tc>
        <w:tc>
          <w:tcPr>
            <w:tcW w:w="9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7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right="119"/>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r>
      <w:tr>
        <w:trPr>
          <w:trHeight w:val="149"/>
        </w:trPr>
        <w:tc>
          <w:tcPr>
            <w:tcW w:w="4580" w:type="dxa"/>
            <w:vAlign w:val="bottom"/>
          </w:tcPr>
          <w:p>
            <w:pPr>
              <w:spacing w:after="0"/>
              <w:rPr>
                <w:sz w:val="12"/>
                <w:szCs w:val="12"/>
                <w:color w:val="auto"/>
              </w:rPr>
            </w:pPr>
          </w:p>
        </w:tc>
        <w:tc>
          <w:tcPr>
            <w:tcW w:w="17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w w:val="94"/>
              </w:rPr>
              <w:t>Three Months Ended</w:t>
            </w:r>
          </w:p>
        </w:tc>
        <w:tc>
          <w:tcPr>
            <w:tcW w:w="2540" w:type="dxa"/>
            <w:vAlign w:val="bottom"/>
            <w:tcBorders>
              <w:right w:val="single" w:sz="8" w:color="auto"/>
            </w:tcBorders>
            <w:gridSpan w:val="3"/>
          </w:tcPr>
          <w:p>
            <w:pPr>
              <w:ind w:left="7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r>
      <w:tr>
        <w:trPr>
          <w:trHeight w:val="161"/>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w w:val="96"/>
              </w:rPr>
              <w:t>March 31, 2012</w:t>
            </w:r>
          </w:p>
        </w:tc>
        <w:tc>
          <w:tcPr>
            <w:tcW w:w="2540" w:type="dxa"/>
            <w:vAlign w:val="bottom"/>
            <w:tcBorders>
              <w:bottom w:val="single" w:sz="8" w:color="auto"/>
              <w:right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to March 31, 2011</w:t>
            </w:r>
          </w:p>
        </w:tc>
        <w:tc>
          <w:tcPr>
            <w:tcW w:w="7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to January 28, 2011</w:t>
            </w:r>
          </w:p>
        </w:tc>
      </w:tr>
      <w:tr>
        <w:trPr>
          <w:trHeight w:val="210"/>
        </w:trPr>
        <w:tc>
          <w:tcPr>
            <w:tcW w:w="4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Comcast equity awards</w:t>
            </w:r>
          </w:p>
        </w:tc>
        <w:tc>
          <w:tcPr>
            <w:tcW w:w="7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spacing w:after="0"/>
              <w:rPr>
                <w:sz w:val="18"/>
                <w:szCs w:val="18"/>
                <w:color w:val="auto"/>
              </w:rPr>
            </w:pPr>
          </w:p>
        </w:tc>
        <w:tc>
          <w:tcPr>
            <w:tcW w:w="14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Restricted share units</w:t>
            </w:r>
          </w:p>
        </w:tc>
        <w:tc>
          <w:tcPr>
            <w:tcW w:w="74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Borders>
              <w:right w:val="single" w:sz="8" w:color="auto"/>
            </w:tcBorders>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GE equity awards</w:t>
            </w:r>
          </w:p>
        </w:tc>
        <w:tc>
          <w:tcPr>
            <w:tcW w:w="7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spacing w:after="0"/>
              <w:rPr>
                <w:sz w:val="18"/>
                <w:szCs w:val="18"/>
                <w:color w:val="auto"/>
              </w:rPr>
            </w:pPr>
          </w:p>
        </w:tc>
        <w:tc>
          <w:tcPr>
            <w:tcW w:w="14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58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Restricted share units</w:t>
            </w:r>
          </w:p>
        </w:tc>
        <w:tc>
          <w:tcPr>
            <w:tcW w:w="74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auto"/>
              <w:right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7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auto"/>
            </w:tcBorders>
            <w:vMerge w:val="continue"/>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2"/>
          </w:tcPr>
          <w:p>
            <w:pPr>
              <w:ind w:left="920"/>
              <w:spacing w:after="0" w:line="142" w:lineRule="exact"/>
              <w:rPr>
                <w:sz w:val="20"/>
                <w:szCs w:val="20"/>
                <w:color w:val="auto"/>
              </w:rPr>
            </w:pPr>
            <w:r>
              <w:rPr>
                <w:rFonts w:ascii="Times New Roman" w:cs="Times New Roman" w:eastAsia="Times New Roman" w:hAnsi="Times New Roman"/>
                <w:sz w:val="14"/>
                <w:szCs w:val="14"/>
                <w:color w:val="auto"/>
              </w:rPr>
              <w:t>March 31, 2012</w:t>
            </w:r>
          </w:p>
        </w:tc>
        <w:tc>
          <w:tcPr>
            <w:tcW w:w="1940" w:type="dxa"/>
            <w:vAlign w:val="bottom"/>
            <w:tcBorders>
              <w:bottom w:val="single" w:sz="8" w:color="auto"/>
            </w:tcBorders>
            <w:gridSpan w:val="2"/>
          </w:tcPr>
          <w:p>
            <w:pPr>
              <w:ind w:left="82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4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4080" w:type="dxa"/>
            <w:vAlign w:val="bottom"/>
            <w:gridSpan w:val="2"/>
            <w:shd w:val="clear" w:color="auto" w:fill="E5E5E5"/>
          </w:tcPr>
          <w:p>
            <w:pPr>
              <w:ind w:left="38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4,180</w:t>
            </w:r>
          </w:p>
        </w:tc>
        <w:tc>
          <w:tcPr>
            <w:tcW w:w="1200" w:type="dxa"/>
            <w:vAlign w:val="bottom"/>
            <w:shd w:val="clear" w:color="auto" w:fill="E5E5E5"/>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returns and customer incentives</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333</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8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4080" w:type="dxa"/>
            <w:vAlign w:val="bottom"/>
            <w:tcBorders>
              <w:bottom w:val="single" w:sz="8" w:color="auto"/>
            </w:tcBorders>
            <w:gridSpan w:val="2"/>
          </w:tcPr>
          <w:p>
            <w:pPr>
              <w:ind w:left="38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3,812</w:t>
            </w:r>
          </w:p>
        </w:tc>
        <w:tc>
          <w:tcPr>
            <w:tcW w:w="1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3,557</w:t>
            </w:r>
          </w:p>
        </w:tc>
        <w:tc>
          <w:tcPr>
            <w:tcW w:w="0" w:type="dxa"/>
            <w:vAlign w:val="bottom"/>
          </w:tcPr>
          <w:p>
            <w:pPr>
              <w:spacing w:after="0"/>
              <w:rPr>
                <w:sz w:val="1"/>
                <w:szCs w:val="1"/>
                <w:color w:val="auto"/>
              </w:rPr>
            </w:pPr>
          </w:p>
        </w:tc>
      </w:tr>
      <w:tr>
        <w:trPr>
          <w:trHeight w:val="367"/>
        </w:trPr>
        <w:tc>
          <w:tcPr>
            <w:tcW w:w="4660" w:type="dxa"/>
            <w:vAlign w:val="bottom"/>
          </w:tcPr>
          <w:p>
            <w:pPr>
              <w:spacing w:after="0"/>
              <w:rPr>
                <w:sz w:val="24"/>
                <w:szCs w:val="24"/>
                <w:color w:val="auto"/>
              </w:rPr>
            </w:pPr>
          </w:p>
        </w:tc>
        <w:tc>
          <w:tcPr>
            <w:tcW w:w="2880" w:type="dxa"/>
            <w:vAlign w:val="bottom"/>
          </w:tcPr>
          <w:p>
            <w:pPr>
              <w:jc w:val="right"/>
              <w:ind w:right="1652"/>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Successor</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gridSpan w:val="3"/>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280"/>
              <w:spacing w:after="0" w:line="142" w:lineRule="exact"/>
              <w:rPr>
                <w:sz w:val="20"/>
                <w:szCs w:val="20"/>
                <w:color w:val="auto"/>
              </w:rPr>
            </w:pPr>
            <w:r>
              <w:rPr>
                <w:rFonts w:ascii="Times New Roman" w:cs="Times New Roman" w:eastAsia="Times New Roman" w:hAnsi="Times New Roman"/>
                <w:sz w:val="14"/>
                <w:szCs w:val="14"/>
                <w:color w:val="auto"/>
              </w:rPr>
              <w:t>March 31, 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700"/>
              <w:spacing w:after="0" w:line="142" w:lineRule="exact"/>
              <w:rPr>
                <w:sz w:val="20"/>
                <w:szCs w:val="20"/>
                <w:color w:val="auto"/>
              </w:rPr>
            </w:pPr>
            <w:r>
              <w:rPr>
                <w:rFonts w:ascii="Times New Roman" w:cs="Times New Roman" w:eastAsia="Times New Roman" w:hAnsi="Times New Roman"/>
                <w:sz w:val="14"/>
                <w:szCs w:val="14"/>
                <w:color w:val="auto"/>
              </w:rPr>
              <w:t>March 31, 2011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E5E5E5"/>
          </w:tcPr>
          <w:p>
            <w:pPr>
              <w:spacing w:after="0"/>
              <w:rPr>
                <w:sz w:val="20"/>
                <w:szCs w:val="20"/>
                <w:color w:val="auto"/>
              </w:rPr>
            </w:pPr>
            <w:r>
              <w:rPr>
                <w:rFonts w:ascii="Times New Roman" w:cs="Times New Roman" w:eastAsia="Times New Roman" w:hAnsi="Times New Roman"/>
                <w:sz w:val="18"/>
                <w:szCs w:val="18"/>
                <w:color w:val="auto"/>
              </w:rPr>
              <w:t>Unrealized gains (losses) on derivative financial instruments</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400" w:type="dxa"/>
            <w:vAlign w:val="bottom"/>
            <w:tcBorders>
              <w:right w:val="single" w:sz="8" w:color="E5E5E5"/>
            </w:tcBorders>
            <w:gridSpan w:val="3"/>
            <w:shd w:val="clear" w:color="auto" w:fill="E5E5E5"/>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3"/>
            <w:shd w:val="clear" w:color="auto" w:fill="E5E5E5"/>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gridSpan w:val="3"/>
            <w:shd w:val="clear" w:color="auto" w:fill="E5E5E5"/>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54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560" w:type="dxa"/>
            <w:vAlign w:val="bottom"/>
            <w:tcBorders>
              <w:bottom w:val="single" w:sz="8" w:color="auto"/>
            </w:tcBorders>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Accumulated other comprehensive income (loss), net of deferred taxes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w:t>
            </w:r>
          </w:p>
        </w:tc>
        <w:tc>
          <w:tcPr>
            <w:tcW w:w="12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415"/>
        </w:trPr>
        <w:tc>
          <w:tcPr>
            <w:tcW w:w="7120" w:type="dxa"/>
            <w:vAlign w:val="bottom"/>
            <w:gridSpan w:val="5"/>
          </w:tcPr>
          <w:p>
            <w:pPr>
              <w:jc w:val="center"/>
              <w:ind w:left="4234"/>
              <w:spacing w:after="0"/>
              <w:rPr>
                <w:sz w:val="20"/>
                <w:szCs w:val="20"/>
                <w:color w:val="auto"/>
              </w:rPr>
            </w:pPr>
            <w:r>
              <w:rPr>
                <w:rFonts w:ascii="Arial" w:cs="Arial" w:eastAsia="Arial" w:hAnsi="Arial"/>
                <w:sz w:val="18"/>
                <w:szCs w:val="18"/>
                <w:b w:val="1"/>
                <w:bCs w:val="1"/>
                <w:color w:val="auto"/>
                <w:w w:val="97"/>
              </w:rPr>
              <w:t>Operating Costs and Expenses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ind w:left="680"/>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860" w:type="dxa"/>
            <w:vAlign w:val="bottom"/>
            <w:tcBorders>
              <w:right w:val="single" w:sz="8" w:color="auto"/>
            </w:tcBorders>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January 1, 2011</w:t>
            </w:r>
          </w:p>
        </w:tc>
        <w:tc>
          <w:tcPr>
            <w:tcW w:w="0" w:type="dxa"/>
            <w:vAlign w:val="bottom"/>
          </w:tcPr>
          <w:p>
            <w:pPr>
              <w:spacing w:after="0"/>
              <w:rPr>
                <w:sz w:val="1"/>
                <w:szCs w:val="1"/>
                <w:color w:val="auto"/>
              </w:rPr>
            </w:pPr>
          </w:p>
        </w:tc>
      </w:tr>
      <w:tr>
        <w:trPr>
          <w:trHeight w:val="161"/>
        </w:trPr>
        <w:tc>
          <w:tcPr>
            <w:tcW w:w="5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0" w:type="dxa"/>
            <w:vAlign w:val="bottom"/>
            <w:tcBorders>
              <w:bottom w:val="single" w:sz="8" w:color="auto"/>
            </w:tcBorders>
            <w:gridSpan w:val="2"/>
          </w:tcPr>
          <w:p>
            <w:pPr>
              <w:jc w:val="right"/>
              <w:ind w:right="655"/>
              <w:spacing w:after="0"/>
              <w:rPr>
                <w:sz w:val="20"/>
                <w:szCs w:val="20"/>
                <w:color w:val="auto"/>
              </w:rPr>
            </w:pPr>
            <w:r>
              <w:rPr>
                <w:rFonts w:ascii="Times New Roman" w:cs="Times New Roman" w:eastAsia="Times New Roman" w:hAnsi="Times New Roman"/>
                <w:sz w:val="14"/>
                <w:szCs w:val="14"/>
                <w:color w:val="auto"/>
              </w:rPr>
              <w:t>March 31, 2012</w:t>
            </w:r>
          </w:p>
        </w:tc>
        <w:tc>
          <w:tcPr>
            <w:tcW w:w="18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w w:val="99"/>
              </w:rPr>
              <w:t>to January 28, 2011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E5E5E5"/>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54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2,950</w:t>
            </w:r>
          </w:p>
        </w:tc>
        <w:tc>
          <w:tcPr>
            <w:tcW w:w="42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340" w:type="dxa"/>
            <w:vAlign w:val="bottom"/>
            <w:shd w:val="clear" w:color="auto" w:fill="E5E5E5"/>
          </w:tcPr>
          <w:p>
            <w:pPr>
              <w:spacing w:after="0"/>
              <w:rPr>
                <w:sz w:val="18"/>
                <w:szCs w:val="18"/>
                <w:color w:val="auto"/>
              </w:rPr>
            </w:pPr>
          </w:p>
        </w:tc>
        <w:tc>
          <w:tcPr>
            <w:tcW w:w="400" w:type="dxa"/>
            <w:vAlign w:val="bottom"/>
            <w:tcBorders>
              <w:right w:val="single" w:sz="8" w:color="auto"/>
            </w:tcBorders>
            <w:shd w:val="clear" w:color="auto" w:fill="E5E5E5"/>
          </w:tcPr>
          <w:p>
            <w:pPr>
              <w:spacing w:after="0"/>
              <w:rPr>
                <w:sz w:val="18"/>
                <w:szCs w:val="18"/>
                <w:color w:val="auto"/>
              </w:rPr>
            </w:pPr>
          </w:p>
        </w:tc>
        <w:tc>
          <w:tcPr>
            <w:tcW w:w="20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20" w:type="dxa"/>
            <w:vAlign w:val="bottom"/>
            <w:gridSpan w:val="3"/>
            <w:shd w:val="clear" w:color="auto" w:fill="E5E5E5"/>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center"/>
              <w:ind w:left="192"/>
              <w:spacing w:after="0"/>
              <w:rPr>
                <w:sz w:val="20"/>
                <w:szCs w:val="20"/>
                <w:color w:val="auto"/>
              </w:rPr>
            </w:pPr>
            <w:r>
              <w:rPr>
                <w:rFonts w:ascii="Times New Roman" w:cs="Times New Roman" w:eastAsia="Times New Roman" w:hAnsi="Times New Roman"/>
                <w:sz w:val="18"/>
                <w:szCs w:val="18"/>
                <w:color w:val="auto"/>
                <w:w w:val="96"/>
              </w:rPr>
              <w:t>711</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54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599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153</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gridSpan w:val="3"/>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1,110</w:t>
            </w:r>
          </w:p>
        </w:tc>
        <w:tc>
          <w:tcPr>
            <w:tcW w:w="42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auto"/>
            </w:tcBorders>
            <w:shd w:val="clear" w:color="auto" w:fill="E5E5E5"/>
          </w:tcPr>
          <w:p>
            <w:pPr>
              <w:spacing w:after="0"/>
              <w:rPr>
                <w:sz w:val="18"/>
                <w:szCs w:val="18"/>
                <w:color w:val="auto"/>
              </w:rPr>
            </w:pPr>
          </w:p>
        </w:tc>
        <w:tc>
          <w:tcPr>
            <w:tcW w:w="20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center"/>
              <w:ind w:left="192"/>
              <w:spacing w:after="0"/>
              <w:rPr>
                <w:sz w:val="20"/>
                <w:szCs w:val="20"/>
                <w:color w:val="auto"/>
              </w:rPr>
            </w:pPr>
            <w:r>
              <w:rPr>
                <w:rFonts w:ascii="Times New Roman" w:cs="Times New Roman" w:eastAsia="Times New Roman" w:hAnsi="Times New Roman"/>
                <w:sz w:val="18"/>
                <w:szCs w:val="18"/>
                <w:color w:val="auto"/>
                <w:w w:val="96"/>
              </w:rPr>
              <w:t>307</w:t>
            </w:r>
          </w:p>
        </w:tc>
        <w:tc>
          <w:tcPr>
            <w:tcW w:w="0" w:type="dxa"/>
            <w:vAlign w:val="bottom"/>
          </w:tcPr>
          <w:p>
            <w:pPr>
              <w:spacing w:after="0"/>
              <w:rPr>
                <w:sz w:val="1"/>
                <w:szCs w:val="1"/>
                <w:color w:val="auto"/>
              </w:rPr>
            </w:pPr>
          </w:p>
        </w:tc>
      </w:tr>
      <w:tr>
        <w:trPr>
          <w:trHeight w:val="193"/>
        </w:trPr>
        <w:tc>
          <w:tcPr>
            <w:tcW w:w="5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costs and expenses (excluding depreciation and</w:t>
            </w: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4,659</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2,519</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0" w:type="dxa"/>
            <w:vAlign w:val="bottom"/>
          </w:tcPr>
          <w:p>
            <w:pPr>
              <w:spacing w:after="0"/>
              <w:rPr>
                <w:sz w:val="1"/>
                <w:szCs w:val="1"/>
                <w:color w:val="auto"/>
              </w:rPr>
            </w:pPr>
          </w:p>
        </w:tc>
      </w:tr>
      <w:tr>
        <w:trPr>
          <w:trHeight w:val="415"/>
        </w:trPr>
        <w:tc>
          <w:tcPr>
            <w:tcW w:w="7580" w:type="dxa"/>
            <w:vAlign w:val="bottom"/>
            <w:gridSpan w:val="7"/>
          </w:tcPr>
          <w:p>
            <w:pPr>
              <w:jc w:val="center"/>
              <w:ind w:left="377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color w:val="auto"/>
              </w:rPr>
              <w:t>Successor</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right"/>
              <w:ind w:right="152"/>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right"/>
              <w:ind w:right="172"/>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860" w:type="dxa"/>
            <w:vAlign w:val="bottom"/>
            <w:gridSpan w:val="5"/>
          </w:tcPr>
          <w:p>
            <w:pPr>
              <w:ind w:left="40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January 1, 2011</w:t>
            </w:r>
          </w:p>
        </w:tc>
        <w:tc>
          <w:tcPr>
            <w:tcW w:w="0" w:type="dxa"/>
            <w:vAlign w:val="bottom"/>
          </w:tcPr>
          <w:p>
            <w:pPr>
              <w:spacing w:after="0"/>
              <w:rPr>
                <w:sz w:val="1"/>
                <w:szCs w:val="1"/>
                <w:color w:val="auto"/>
              </w:rPr>
            </w:pPr>
          </w:p>
        </w:tc>
      </w:tr>
      <w:tr>
        <w:trPr>
          <w:trHeight w:val="161"/>
        </w:trPr>
        <w:tc>
          <w:tcPr>
            <w:tcW w:w="5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w w:val="98"/>
              </w:rPr>
              <w:t>March 31, 2012</w:t>
            </w:r>
          </w:p>
        </w:tc>
        <w:tc>
          <w:tcPr>
            <w:tcW w:w="18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color w:val="auto"/>
              </w:rPr>
              <w:t>to March 31, 2011</w:t>
            </w:r>
          </w:p>
        </w:tc>
        <w:tc>
          <w:tcPr>
            <w:tcW w:w="20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to January 28, 2011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417</w:t>
            </w:r>
          </w:p>
        </w:tc>
        <w:tc>
          <w:tcPr>
            <w:tcW w:w="460" w:type="dxa"/>
            <w:vAlign w:val="bottom"/>
            <w:gridSpan w:val="2"/>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20" w:type="dxa"/>
            <w:vAlign w:val="bottom"/>
            <w:gridSpan w:val="3"/>
            <w:shd w:val="clear" w:color="auto" w:fill="E5E5E5"/>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2"/>
        </w:trPr>
        <w:tc>
          <w:tcPr>
            <w:tcW w:w="53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gridSpan w:val="3"/>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Amortization of film and television costs</w:t>
            </w:r>
          </w:p>
        </w:tc>
        <w:tc>
          <w:tcPr>
            <w:tcW w:w="540" w:type="dxa"/>
            <w:vAlign w:val="bottom"/>
          </w:tcPr>
          <w:p>
            <w:pPr>
              <w:spacing w:after="0"/>
              <w:rPr>
                <w:sz w:val="18"/>
                <w:szCs w:val="18"/>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2,146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1,163</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received from investees</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5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2"/>
        </w:trPr>
        <w:tc>
          <w:tcPr>
            <w:tcW w:w="53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divestitures:</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gridSpan w:val="3"/>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Change in receivables, net</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596</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Change in film and television costs</w:t>
            </w:r>
          </w:p>
        </w:tc>
        <w:tc>
          <w:tcPr>
            <w:tcW w:w="5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(1,941)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2"/>
        </w:trPr>
        <w:tc>
          <w:tcPr>
            <w:tcW w:w="5320" w:type="dxa"/>
            <w:vAlign w:val="bottom"/>
            <w:gridSpan w:val="3"/>
            <w:shd w:val="clear" w:color="auto" w:fill="E5E5E5"/>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accounts payable and accrued expenses related to trade</w:t>
            </w:r>
          </w:p>
        </w:tc>
        <w:tc>
          <w:tcPr>
            <w:tcW w:w="54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400" w:type="dxa"/>
            <w:vAlign w:val="bottom"/>
            <w:tcBorders>
              <w:right w:val="single" w:sz="8" w:color="E5E5E5"/>
            </w:tcBorders>
            <w:shd w:val="clear" w:color="auto" w:fill="E5E5E5"/>
          </w:tcPr>
          <w:p>
            <w:pPr>
              <w:spacing w:after="0"/>
              <w:rPr>
                <w:sz w:val="17"/>
                <w:szCs w:val="17"/>
                <w:color w:val="auto"/>
              </w:rPr>
            </w:pPr>
          </w:p>
        </w:tc>
        <w:tc>
          <w:tcPr>
            <w:tcW w:w="200" w:type="dxa"/>
            <w:vAlign w:val="bottom"/>
            <w:tcBorders>
              <w:right w:val="single" w:sz="8" w:color="auto"/>
            </w:tcBorders>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3"/>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creditors</w:t>
            </w:r>
          </w:p>
        </w:tc>
        <w:tc>
          <w:tcPr>
            <w:tcW w:w="540" w:type="dxa"/>
            <w:vAlign w:val="bottom"/>
            <w:shd w:val="clear" w:color="auto" w:fill="E5E5E5"/>
          </w:tcPr>
          <w:p>
            <w:pPr>
              <w:spacing w:after="0"/>
              <w:rPr>
                <w:sz w:val="20"/>
                <w:szCs w:val="20"/>
                <w:color w:val="auto"/>
              </w:rPr>
            </w:pPr>
          </w:p>
        </w:tc>
        <w:tc>
          <w:tcPr>
            <w:tcW w:w="12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100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tcBorders>
              <w:right w:val="single" w:sz="8" w:color="E5E5E5"/>
            </w:tcBorders>
            <w:shd w:val="clear" w:color="auto" w:fill="E5E5E5"/>
          </w:tcPr>
          <w:p>
            <w:pPr>
              <w:spacing w:after="0"/>
              <w:rPr>
                <w:sz w:val="20"/>
                <w:szCs w:val="20"/>
                <w:color w:val="auto"/>
              </w:rPr>
            </w:pPr>
          </w:p>
        </w:tc>
        <w:tc>
          <w:tcPr>
            <w:tcW w:w="200" w:type="dxa"/>
            <w:vAlign w:val="bottom"/>
            <w:tcBorders>
              <w:right w:val="single" w:sz="8" w:color="auto"/>
            </w:tcBorders>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2"/>
        </w:trPr>
        <w:tc>
          <w:tcPr>
            <w:tcW w:w="5320" w:type="dxa"/>
            <w:vAlign w:val="bottom"/>
            <w:gridSpan w:val="3"/>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accrued participations and residuals, program</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obligations and deferred revenue</w:t>
            </w:r>
          </w:p>
        </w:tc>
        <w:tc>
          <w:tcPr>
            <w:tcW w:w="54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gridSpan w:val="3"/>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20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1,037</w:t>
            </w:r>
          </w:p>
        </w:tc>
        <w:tc>
          <w:tcPr>
            <w:tcW w:w="4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523</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c>
          <w:tcPr>
            <w:tcW w:w="0" w:type="dxa"/>
            <w:vAlign w:val="bottom"/>
          </w:tcPr>
          <w:p>
            <w:pPr>
              <w:spacing w:after="0"/>
              <w:rPr>
                <w:sz w:val="1"/>
                <w:szCs w:val="1"/>
                <w:color w:val="auto"/>
              </w:rPr>
            </w:pPr>
          </w:p>
        </w:tc>
      </w:tr>
      <w:tr>
        <w:trPr>
          <w:trHeight w:val="367"/>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center"/>
              <w:ind w:left="180"/>
              <w:spacing w:after="0"/>
              <w:rPr>
                <w:sz w:val="20"/>
                <w:szCs w:val="20"/>
                <w:color w:val="auto"/>
              </w:rPr>
            </w:pPr>
            <w:r>
              <w:rPr>
                <w:rFonts w:ascii="Arial" w:cs="Arial" w:eastAsia="Arial" w:hAnsi="Arial"/>
                <w:sz w:val="18"/>
                <w:szCs w:val="18"/>
                <w:color w:val="auto"/>
                <w:w w:val="99"/>
              </w:rPr>
              <w:t>12</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color w:val="auto"/>
              </w:rPr>
              <w:t>Successor</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Borders>
              <w:bottom w:val="single" w:sz="8" w:color="auto"/>
            </w:tcBorders>
            <w:gridSpan w:val="2"/>
          </w:tcPr>
          <w:p>
            <w:pPr>
              <w:jc w:val="center"/>
              <w:ind w:left="572"/>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99"/>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7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2"/>
          </w:tcPr>
          <w:p>
            <w:pPr>
              <w:jc w:val="center"/>
              <w:ind w:left="55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4500" w:type="dxa"/>
            <w:vAlign w:val="bottom"/>
          </w:tcPr>
          <w:p>
            <w:pPr>
              <w:spacing w:after="0"/>
              <w:rPr>
                <w:sz w:val="12"/>
                <w:szCs w:val="12"/>
                <w:color w:val="auto"/>
              </w:rPr>
            </w:pPr>
          </w:p>
        </w:tc>
        <w:tc>
          <w:tcPr>
            <w:tcW w:w="246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900" w:type="dxa"/>
            <w:vAlign w:val="bottom"/>
            <w:tcBorders>
              <w:right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760" w:type="dxa"/>
            <w:vAlign w:val="bottom"/>
          </w:tcPr>
          <w:p>
            <w:pPr>
              <w:spacing w:after="0"/>
              <w:rPr>
                <w:sz w:val="12"/>
                <w:szCs w:val="12"/>
                <w:color w:val="auto"/>
              </w:rPr>
            </w:pPr>
          </w:p>
        </w:tc>
        <w:tc>
          <w:tcPr>
            <w:tcW w:w="1800" w:type="dxa"/>
            <w:vAlign w:val="bottom"/>
            <w:gridSpan w:val="2"/>
          </w:tcPr>
          <w:p>
            <w:pPr>
              <w:jc w:val="center"/>
              <w:ind w:left="552"/>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r>
      <w:tr>
        <w:trPr>
          <w:trHeight w:val="16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color w:val="auto"/>
                <w:w w:val="98"/>
              </w:rPr>
              <w:t>March 31, 2012</w:t>
            </w:r>
          </w:p>
        </w:tc>
        <w:tc>
          <w:tcPr>
            <w:tcW w:w="19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to March 31, 2011</w:t>
            </w:r>
          </w:p>
        </w:tc>
        <w:tc>
          <w:tcPr>
            <w:tcW w:w="7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14"/>
                <w:szCs w:val="14"/>
                <w:color w:val="auto"/>
                <w:w w:val="95"/>
              </w:rPr>
              <w:t>to January 28, 2011</w:t>
            </w:r>
          </w:p>
        </w:tc>
      </w:tr>
      <w:tr>
        <w:trPr>
          <w:trHeight w:val="210"/>
        </w:trPr>
        <w:tc>
          <w:tcPr>
            <w:tcW w:w="45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w:t>
            </w:r>
          </w:p>
        </w:tc>
        <w:tc>
          <w:tcPr>
            <w:tcW w:w="760" w:type="dxa"/>
            <w:vAlign w:val="bottom"/>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E5E5E5"/>
          </w:tcPr>
          <w:p>
            <w:pPr>
              <w:jc w:val="right"/>
              <w:ind w:right="58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right w:val="single" w:sz="8" w:color="auto"/>
            </w:tcBorders>
            <w:shd w:val="clear" w:color="auto" w:fill="E5E5E5"/>
          </w:tcPr>
          <w:p>
            <w:pPr>
              <w:spacing w:after="0"/>
              <w:rPr>
                <w:sz w:val="18"/>
                <w:szCs w:val="18"/>
                <w:color w:val="auto"/>
              </w:rPr>
            </w:pPr>
          </w:p>
        </w:tc>
        <w:tc>
          <w:tcPr>
            <w:tcW w:w="2240" w:type="dxa"/>
            <w:vAlign w:val="bottom"/>
            <w:gridSpan w:val="2"/>
            <w:shd w:val="clear" w:color="auto" w:fill="E5E5E5"/>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493</w:t>
            </w:r>
          </w:p>
        </w:tc>
      </w:tr>
      <w:tr>
        <w:trPr>
          <w:trHeight w:val="409"/>
        </w:trPr>
        <w:tc>
          <w:tcPr>
            <w:tcW w:w="450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Other Cash Flow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January 28, 2011 (in millions)</w:t>
            </w:r>
          </w:p>
        </w:tc>
        <w:tc>
          <w:tcPr>
            <w:tcW w:w="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10"/>
        </w:trPr>
        <w:tc>
          <w:tcPr>
            <w:tcW w:w="45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at end of Predecessor period</w:t>
            </w:r>
          </w:p>
        </w:tc>
        <w:tc>
          <w:tcPr>
            <w:tcW w:w="76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780" w:type="dxa"/>
            <w:vAlign w:val="bottom"/>
            <w:tcBorders>
              <w:right w:val="single" w:sz="8" w:color="E5E5E5"/>
            </w:tcBorders>
            <w:shd w:val="clear" w:color="auto" w:fill="E5E5E5"/>
          </w:tcPr>
          <w:p>
            <w:pPr>
              <w:spacing w:after="0"/>
              <w:rPr>
                <w:sz w:val="18"/>
                <w:szCs w:val="18"/>
                <w:color w:val="auto"/>
              </w:rPr>
            </w:pPr>
          </w:p>
        </w:tc>
        <w:tc>
          <w:tcPr>
            <w:tcW w:w="22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88"/>
              </w:rPr>
              <w:t>470</w:t>
            </w:r>
          </w:p>
        </w:tc>
      </w:tr>
      <w:tr>
        <w:trPr>
          <w:trHeight w:val="21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Comcast Content Business contributed cash balances</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7"/>
        </w:trPr>
        <w:tc>
          <w:tcPr>
            <w:tcW w:w="45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Successor period</w:t>
            </w:r>
          </w:p>
        </w:tc>
        <w:tc>
          <w:tcPr>
            <w:tcW w:w="760" w:type="dxa"/>
            <w:vAlign w:val="bottom"/>
            <w:tcBorders>
              <w:bottom w:val="single" w:sz="8" w:color="auto"/>
            </w:tcBorders>
            <w:shd w:val="clear" w:color="auto" w:fill="E5E5E5"/>
          </w:tcPr>
          <w:p>
            <w:pPr>
              <w:spacing w:after="0"/>
              <w:rPr>
                <w:sz w:val="18"/>
                <w:szCs w:val="18"/>
                <w:color w:val="auto"/>
              </w:rPr>
            </w:pPr>
          </w:p>
        </w:tc>
        <w:tc>
          <w:tcPr>
            <w:tcW w:w="170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E5E5E5"/>
            </w:tcBorders>
            <w:shd w:val="clear" w:color="auto" w:fill="E5E5E5"/>
          </w:tcPr>
          <w:p>
            <w:pPr>
              <w:spacing w:after="0"/>
              <w:rPr>
                <w:sz w:val="18"/>
                <w:szCs w:val="18"/>
                <w:color w:val="auto"/>
              </w:rPr>
            </w:pPr>
          </w:p>
        </w:tc>
        <w:tc>
          <w:tcPr>
            <w:tcW w:w="224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88"/>
              </w:rPr>
              <w:t>508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both the Joint Venture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5"/>
        </w:trPr>
        <w:tc>
          <w:tcPr>
            <w:tcW w:w="9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March 31</w:t>
            </w:r>
          </w:p>
        </w:tc>
        <w:tc>
          <w:tcPr>
            <w:tcW w:w="520" w:type="dxa"/>
            <w:vAlign w:val="bottom"/>
            <w:tcBorders>
              <w:bottom w:val="single" w:sz="8" w:color="auto"/>
            </w:tcBorders>
          </w:tcPr>
          <w:p>
            <w:pPr>
              <w:spacing w:after="0"/>
              <w:rPr>
                <w:sz w:val="15"/>
                <w:szCs w:val="15"/>
                <w:color w:val="auto"/>
              </w:rPr>
            </w:pPr>
          </w:p>
        </w:tc>
      </w:tr>
      <w:tr>
        <w:trPr>
          <w:trHeight w:val="237"/>
        </w:trPr>
        <w:tc>
          <w:tcPr>
            <w:tcW w:w="948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Actual</w:t>
            </w:r>
          </w:p>
        </w:tc>
        <w:tc>
          <w:tcPr>
            <w:tcW w:w="11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Pro Forma</w:t>
            </w:r>
          </w:p>
        </w:tc>
      </w:tr>
      <w:tr>
        <w:trPr>
          <w:trHeight w:val="237"/>
        </w:trPr>
        <w:tc>
          <w:tcPr>
            <w:tcW w:w="9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color w:val="auto"/>
                <w:w w:val="92"/>
              </w:rPr>
              <w:t>2012</w:t>
            </w: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color w:val="auto"/>
                <w:w w:val="99"/>
              </w:rPr>
              <w:t>2011</w:t>
            </w:r>
          </w:p>
        </w:tc>
      </w:tr>
      <w:tr>
        <w:trPr>
          <w:trHeight w:val="210"/>
        </w:trPr>
        <w:tc>
          <w:tcPr>
            <w:tcW w:w="94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3"/>
              </w:rPr>
              <w:t>5,472</w:t>
            </w:r>
          </w:p>
        </w:tc>
        <w:tc>
          <w:tcPr>
            <w:tcW w:w="66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94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NBCUniversal</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6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monetize certain of our accounts receivable under programs with a syndicate of banks. We transfer, at fair value, a significant portion of our accounts receivable that are to be monetized to NBCU Receivables Funding LLC (“Funding LLC”), a wholly owned subsidiary of ours. The operating activities of Funding LLC are restricted to the transfer and sale of the monetized receivables to a third 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March 31, 2012.</w:t>
      </w:r>
    </w:p>
    <w:p>
      <w:pPr>
        <w:spacing w:after="0" w:line="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in our condensed consolidated balance sheet as of March 31, 2012. The servicing fees are a component of net loss (gain) on sale, which is presented in the table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w w:val="95"/>
              </w:rPr>
              <w:t>Predecessor</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24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1"/>
                <w:szCs w:val="11"/>
                <w:color w:val="auto"/>
              </w:rPr>
            </w:pPr>
          </w:p>
        </w:tc>
        <w:tc>
          <w:tcPr>
            <w:tcW w:w="102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7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3"/>
          </w:tcPr>
          <w:p>
            <w:pPr>
              <w:ind w:left="120"/>
              <w:spacing w:after="0" w:line="135" w:lineRule="exact"/>
              <w:rPr>
                <w:sz w:val="20"/>
                <w:szCs w:val="20"/>
                <w:color w:val="auto"/>
              </w:rPr>
            </w:pPr>
            <w:r>
              <w:rPr>
                <w:rFonts w:ascii="Times New Roman" w:cs="Times New Roman" w:eastAsia="Times New Roman" w:hAnsi="Times New Roman"/>
                <w:sz w:val="14"/>
                <w:szCs w:val="14"/>
                <w:color w:val="auto"/>
              </w:rPr>
              <w:t>January 29, 2011</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center"/>
              <w:ind w:right="122"/>
              <w:spacing w:after="0" w:line="135" w:lineRule="exact"/>
              <w:rPr>
                <w:sz w:val="20"/>
                <w:szCs w:val="20"/>
                <w:color w:val="auto"/>
              </w:rPr>
            </w:pPr>
            <w:r>
              <w:rPr>
                <w:rFonts w:ascii="Times New Roman" w:cs="Times New Roman" w:eastAsia="Times New Roman" w:hAnsi="Times New Roman"/>
                <w:sz w:val="14"/>
                <w:szCs w:val="14"/>
                <w:color w:val="auto"/>
                <w:w w:val="94"/>
              </w:rPr>
              <w:t>January 1, 2011</w:t>
            </w:r>
          </w:p>
        </w:tc>
        <w:tc>
          <w:tcPr>
            <w:tcW w:w="0" w:type="dxa"/>
            <w:vAlign w:val="bottom"/>
          </w:tcPr>
          <w:p>
            <w:pPr>
              <w:spacing w:after="0"/>
              <w:rPr>
                <w:sz w:val="1"/>
                <w:szCs w:val="1"/>
                <w:color w:val="auto"/>
              </w:rPr>
            </w:pPr>
          </w:p>
        </w:tc>
      </w:tr>
      <w:tr>
        <w:trPr>
          <w:trHeight w:val="175"/>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color w:val="auto"/>
                <w:w w:val="96"/>
              </w:rPr>
              <w:t>March 31, 2012</w:t>
            </w:r>
          </w:p>
        </w:tc>
        <w:tc>
          <w:tcPr>
            <w:tcW w:w="1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to January 28, 2011</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E5E5E5"/>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E5E5E5"/>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right w:val="single" w:sz="8" w:color="auto"/>
            </w:tcBorders>
            <w:gridSpan w:val="2"/>
            <w:shd w:val="clear" w:color="auto" w:fill="E5E5E5"/>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5E5E5"/>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5E5E5"/>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 gain on sale</w:t>
            </w:r>
            <w:r>
              <w:rPr>
                <w:rFonts w:ascii="Times New Roman" w:cs="Times New Roman" w:eastAsia="Times New Roman" w:hAnsi="Times New Roman"/>
                <w:sz w:val="11"/>
                <w:szCs w:val="11"/>
                <w:color w:val="auto"/>
              </w:rPr>
              <w:t>(a)</w:t>
            </w:r>
          </w:p>
        </w:tc>
        <w:tc>
          <w:tcPr>
            <w:tcW w:w="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Borders>
              <w:right w:val="single" w:sz="8" w:color="auto"/>
            </w:tcBorders>
          </w:tcPr>
          <w:p>
            <w:pPr>
              <w:spacing w:after="0"/>
              <w:rPr>
                <w:sz w:val="18"/>
                <w:szCs w:val="18"/>
                <w:color w:val="auto"/>
              </w:rPr>
            </w:pPr>
          </w:p>
        </w:tc>
        <w:tc>
          <w:tcPr>
            <w:tcW w:w="15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proceeds (payments) on transfers</w:t>
            </w:r>
            <w:r>
              <w:rPr>
                <w:rFonts w:ascii="Times New Roman" w:cs="Times New Roman" w:eastAsia="Times New Roman" w:hAnsi="Times New Roman"/>
                <w:sz w:val="11"/>
                <w:szCs w:val="11"/>
                <w:color w:val="auto"/>
              </w:rPr>
              <w:t>(b)</w:t>
            </w:r>
          </w:p>
        </w:tc>
        <w:tc>
          <w:tcPr>
            <w:tcW w:w="760" w:type="dxa"/>
            <w:vAlign w:val="bottom"/>
            <w:tcBorders>
              <w:bottom w:val="single" w:sz="8" w:color="auto"/>
            </w:tcBorders>
            <w:shd w:val="clear" w:color="auto" w:fill="E5E5E5"/>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E5E5E5"/>
          </w:tcPr>
          <w:p>
            <w:pPr>
              <w:jc w:val="right"/>
              <w:ind w:right="54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760" w:type="dxa"/>
            <w:vAlign w:val="bottom"/>
            <w:tcBorders>
              <w:bottom w:val="single" w:sz="8" w:color="auto"/>
              <w:right w:val="single" w:sz="8" w:color="auto"/>
            </w:tcBorders>
            <w:shd w:val="clear" w:color="auto" w:fill="E5E5E5"/>
          </w:tcPr>
          <w:p>
            <w:pPr>
              <w:spacing w:after="0"/>
              <w:rPr>
                <w:sz w:val="18"/>
                <w:szCs w:val="18"/>
                <w:color w:val="auto"/>
              </w:rPr>
            </w:pPr>
          </w:p>
        </w:tc>
        <w:tc>
          <w:tcPr>
            <w:tcW w:w="1500" w:type="dxa"/>
            <w:vAlign w:val="bottom"/>
            <w:tcBorders>
              <w:bottom w:val="single" w:sz="8" w:color="auto"/>
            </w:tcBorders>
            <w:gridSpan w:val="2"/>
            <w:shd w:val="clear" w:color="auto" w:fill="E5E5E5"/>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gain on sale is included in other income (expense), net in our condensed consolidated statement of income.</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proceeds (payments) on transfers are included within net cash provided by operating activities in our condensed consolidated statement of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gridSpan w:val="2"/>
          </w:tcPr>
          <w:p>
            <w:pPr>
              <w:ind w:left="1000"/>
              <w:spacing w:after="0" w:line="142" w:lineRule="exact"/>
              <w:rPr>
                <w:sz w:val="20"/>
                <w:szCs w:val="20"/>
                <w:color w:val="auto"/>
              </w:rPr>
            </w:pPr>
            <w:r>
              <w:rPr>
                <w:rFonts w:ascii="Times New Roman" w:cs="Times New Roman" w:eastAsia="Times New Roman" w:hAnsi="Times New Roman"/>
                <w:sz w:val="14"/>
                <w:szCs w:val="14"/>
                <w:color w:val="auto"/>
              </w:rPr>
              <w:t>March 31, 2012</w:t>
            </w:r>
          </w:p>
        </w:tc>
        <w:tc>
          <w:tcPr>
            <w:tcW w:w="1980" w:type="dxa"/>
            <w:vAlign w:val="bottom"/>
            <w:tcBorders>
              <w:bottom w:val="single" w:sz="8" w:color="auto"/>
            </w:tcBorders>
            <w:gridSpan w:val="2"/>
          </w:tcPr>
          <w:p>
            <w:pPr>
              <w:ind w:left="86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74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Monetized receivables sold</w:t>
            </w:r>
          </w:p>
        </w:tc>
        <w:tc>
          <w:tcPr>
            <w:tcW w:w="1340" w:type="dxa"/>
            <w:vAlign w:val="bottom"/>
            <w:shd w:val="clear" w:color="auto" w:fill="E5E5E5"/>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ind w:right="92"/>
              <w:spacing w:after="0"/>
              <w:rPr>
                <w:sz w:val="20"/>
                <w:szCs w:val="20"/>
                <w:color w:val="auto"/>
              </w:rPr>
            </w:pPr>
            <w:r>
              <w:rPr>
                <w:rFonts w:ascii="Times New Roman" w:cs="Times New Roman" w:eastAsia="Times New Roman" w:hAnsi="Times New Roman"/>
                <w:sz w:val="18"/>
                <w:szCs w:val="18"/>
                <w:color w:val="auto"/>
              </w:rPr>
              <w:t>808</w:t>
            </w:r>
          </w:p>
        </w:tc>
        <w:tc>
          <w:tcPr>
            <w:tcW w:w="1300" w:type="dxa"/>
            <w:vAlign w:val="bottom"/>
            <w:shd w:val="clear" w:color="auto" w:fill="E5E5E5"/>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13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278</w:t>
            </w:r>
          </w:p>
        </w:tc>
        <w:tc>
          <w:tcPr>
            <w:tcW w:w="13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amounts presented above, we had $855 million and $781 million payable to our monetization programs as of March 31,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Financial Data by Business Segment</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present our operations in four reportable business segments:</w:t>
      </w:r>
    </w:p>
    <w:p>
      <w:pPr>
        <w:spacing w:after="0" w:line="75" w:lineRule="exact"/>
        <w:rPr>
          <w:sz w:val="20"/>
          <w:szCs w:val="20"/>
          <w:color w:val="auto"/>
        </w:rPr>
      </w:pPr>
    </w:p>
    <w:p>
      <w:pPr>
        <w:ind w:left="1020" w:right="1240" w:hanging="215"/>
        <w:spacing w:after="0" w:line="27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Networks</w:t>
      </w:r>
      <w:r>
        <w:rPr>
          <w:rFonts w:ascii="Times New Roman" w:cs="Times New Roman" w:eastAsia="Times New Roman" w:hAnsi="Times New Roman"/>
          <w:sz w:val="18"/>
          <w:szCs w:val="18"/>
          <w:color w:val="auto"/>
        </w:rPr>
        <w:t>: Consists primarily of our national cable television networks, our regional sports and news networks,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cable networks, our cable television production studio, and our related digital media properties.</w:t>
      </w:r>
    </w:p>
    <w:p>
      <w:pPr>
        <w:spacing w:after="0" w:line="21" w:lineRule="exact"/>
        <w:rPr>
          <w:rFonts w:ascii="Times New Roman" w:cs="Times New Roman" w:eastAsia="Times New Roman" w:hAnsi="Times New Roman"/>
          <w:sz w:val="18"/>
          <w:szCs w:val="18"/>
          <w:color w:val="auto"/>
        </w:rPr>
      </w:pPr>
    </w:p>
    <w:p>
      <w:pPr>
        <w:ind w:left="1020" w:right="1240" w:hanging="215"/>
        <w:spacing w:after="0" w:line="27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Broadcast Television</w:t>
      </w:r>
      <w:r>
        <w:rPr>
          <w:rFonts w:ascii="Times New Roman" w:cs="Times New Roman" w:eastAsia="Times New Roman" w:hAnsi="Times New Roman"/>
          <w:sz w:val="18"/>
          <w:szCs w:val="18"/>
          <w:color w:val="auto"/>
        </w:rPr>
        <w:t>: Consists primarily of our NBC and Telemundo broadcast networks, our NBC and Telemundo owned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stations, our broadcast television production operations, and our related digital media properties.</w:t>
      </w:r>
    </w:p>
    <w:p>
      <w:pPr>
        <w:spacing w:after="0" w:line="21" w:lineRule="exact"/>
        <w:rPr>
          <w:rFonts w:ascii="Times New Roman" w:cs="Times New Roman" w:eastAsia="Times New Roman" w:hAnsi="Times New Roman"/>
          <w:sz w:val="18"/>
          <w:szCs w:val="18"/>
          <w:color w:val="auto"/>
        </w:rPr>
      </w:pPr>
    </w:p>
    <w:p>
      <w:pPr>
        <w:ind w:left="1020" w:right="1240" w:hanging="215"/>
        <w:spacing w:after="0" w:line="27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Filmed Entertainment</w:t>
      </w:r>
      <w:r>
        <w:rPr>
          <w:rFonts w:ascii="Times New Roman" w:cs="Times New Roman" w:eastAsia="Times New Roman" w:hAnsi="Times New Roman"/>
          <w:sz w:val="18"/>
          <w:szCs w:val="18"/>
          <w:color w:val="auto"/>
        </w:rPr>
        <w:t>: Consists of the operations of Universal Pictures, which produces, acquires, markets and distributes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filmed entertainment and stage plays worldwide.</w:t>
      </w:r>
    </w:p>
    <w:p>
      <w:pPr>
        <w:spacing w:after="0" w:line="21"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w:t>
      </w:r>
      <w:r>
        <w:rPr>
          <w:rFonts w:ascii="Times New Roman" w:cs="Times New Roman" w:eastAsia="Times New Roman" w:hAnsi="Times New Roman"/>
          <w:sz w:val="18"/>
          <w:szCs w:val="18"/>
          <w:color w:val="auto"/>
        </w:rPr>
        <w:t>: Consists primarily of our Universal theme parks in Orlando and Hollywood.</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3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center"/>
              <w:ind w:right="118"/>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r>
      <w:tr>
        <w:trPr>
          <w:trHeight w:val="149"/>
        </w:trPr>
        <w:tc>
          <w:tcPr>
            <w:tcW w:w="4680" w:type="dxa"/>
            <w:vAlign w:val="bottom"/>
          </w:tcPr>
          <w:p>
            <w:pPr>
              <w:spacing w:after="0"/>
              <w:rPr>
                <w:sz w:val="12"/>
                <w:szCs w:val="12"/>
                <w:color w:val="auto"/>
              </w:rPr>
            </w:pPr>
          </w:p>
        </w:tc>
        <w:tc>
          <w:tcPr>
            <w:tcW w:w="23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900" w:type="dxa"/>
            <w:vAlign w:val="bottom"/>
            <w:tcBorders>
              <w:right w:val="single" w:sz="8" w:color="auto"/>
            </w:tcBorders>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r>
      <w:tr>
        <w:trPr>
          <w:trHeight w:val="161"/>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color w:val="auto"/>
                <w:w w:val="96"/>
              </w:rPr>
              <w:t>March 31, 2012</w:t>
            </w:r>
          </w:p>
        </w:tc>
        <w:tc>
          <w:tcPr>
            <w:tcW w:w="19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7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5"/>
              </w:rPr>
              <w:t>to January 28, 2011</w:t>
            </w:r>
          </w:p>
        </w:tc>
      </w:tr>
      <w:tr>
        <w:trPr>
          <w:trHeight w:val="210"/>
        </w:trPr>
        <w:tc>
          <w:tcPr>
            <w:tcW w:w="46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11"/>
                <w:szCs w:val="11"/>
                <w:color w:val="auto"/>
              </w:rPr>
              <w:t>(a)</w:t>
            </w:r>
          </w:p>
        </w:tc>
        <w:tc>
          <w:tcPr>
            <w:tcW w:w="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2,138</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1,400</w:t>
            </w:r>
          </w:p>
        </w:tc>
        <w:tc>
          <w:tcPr>
            <w:tcW w:w="700" w:type="dxa"/>
            <w:vAlign w:val="bottom"/>
            <w:tcBorders>
              <w:right w:val="single" w:sz="8" w:color="auto"/>
            </w:tcBorders>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46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jc w:val="right"/>
              <w:ind w:right="536"/>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888</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720" w:type="dxa"/>
            <w:vAlign w:val="bottom"/>
          </w:tcPr>
          <w:p>
            <w:pPr>
              <w:spacing w:after="0"/>
              <w:rPr>
                <w:sz w:val="18"/>
                <w:szCs w:val="18"/>
                <w:color w:val="auto"/>
              </w:rPr>
            </w:pPr>
          </w:p>
        </w:tc>
        <w:tc>
          <w:tcPr>
            <w:tcW w:w="16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622</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46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Theme Parks</w:t>
            </w:r>
            <w:r>
              <w:rPr>
                <w:rFonts w:ascii="Times New Roman" w:cs="Times New Roman" w:eastAsia="Times New Roman" w:hAnsi="Times New Roman"/>
                <w:sz w:val="11"/>
                <w:szCs w:val="11"/>
                <w:color w:val="auto"/>
              </w:rPr>
              <w:t>(b)</w:t>
            </w:r>
          </w:p>
        </w:tc>
        <w:tc>
          <w:tcPr>
            <w:tcW w:w="720" w:type="dxa"/>
            <w:vAlign w:val="bottom"/>
            <w:tcBorders>
              <w:bottom w:val="single" w:sz="8" w:color="auto"/>
            </w:tcBorders>
            <w:shd w:val="clear" w:color="auto" w:fill="E5E5E5"/>
          </w:tcPr>
          <w:p>
            <w:pPr>
              <w:spacing w:after="0"/>
              <w:rPr>
                <w:sz w:val="18"/>
                <w:szCs w:val="18"/>
                <w:color w:val="auto"/>
              </w:rPr>
            </w:pPr>
          </w:p>
        </w:tc>
        <w:tc>
          <w:tcPr>
            <w:tcW w:w="1640" w:type="dxa"/>
            <w:vAlign w:val="bottom"/>
            <w:tcBorders>
              <w:bottom w:val="single" w:sz="8" w:color="auto"/>
            </w:tcBorders>
            <w:shd w:val="clear" w:color="auto" w:fill="E5E5E5"/>
          </w:tcPr>
          <w:p>
            <w:pPr>
              <w:jc w:val="right"/>
              <w:ind w:right="536"/>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275</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720" w:type="dxa"/>
            <w:vAlign w:val="bottom"/>
          </w:tcPr>
          <w:p>
            <w:pPr>
              <w:spacing w:after="0"/>
              <w:rPr>
                <w:sz w:val="18"/>
                <w:szCs w:val="18"/>
                <w:color w:val="auto"/>
              </w:rPr>
            </w:pPr>
          </w:p>
        </w:tc>
        <w:tc>
          <w:tcPr>
            <w:tcW w:w="16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5,593</w:t>
            </w:r>
          </w:p>
        </w:tc>
        <w:tc>
          <w:tcPr>
            <w:tcW w:w="1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3,185</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46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jc w:val="right"/>
              <w:ind w:right="536"/>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(d)</w:t>
            </w:r>
          </w:p>
        </w:tc>
        <w:tc>
          <w:tcPr>
            <w:tcW w:w="7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7"/>
        </w:trPr>
        <w:tc>
          <w:tcPr>
            <w:tcW w:w="46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1"/>
                <w:szCs w:val="11"/>
                <w:b w:val="1"/>
                <w:bCs w:val="1"/>
                <w:color w:val="auto"/>
              </w:rPr>
              <w:t>(e)</w:t>
            </w:r>
          </w:p>
        </w:tc>
        <w:tc>
          <w:tcPr>
            <w:tcW w:w="720" w:type="dxa"/>
            <w:vAlign w:val="bottom"/>
            <w:tcBorders>
              <w:bottom w:val="single" w:sz="8" w:color="auto"/>
            </w:tcBorders>
            <w:shd w:val="clear" w:color="auto" w:fill="E5E5E5"/>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E5E5E5"/>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5,472</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2,911</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1,206</w:t>
            </w:r>
          </w:p>
        </w:tc>
      </w:tr>
      <w:tr>
        <w:trPr>
          <w:trHeight w:val="367"/>
        </w:trPr>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right"/>
              <w:ind w:right="1136"/>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4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34"/>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68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jc w:val="center"/>
              <w:ind w:right="13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jc w:val="right"/>
              <w:ind w:right="736"/>
              <w:spacing w:after="0" w:line="149" w:lineRule="exact"/>
              <w:rPr>
                <w:sz w:val="20"/>
                <w:szCs w:val="20"/>
                <w:color w:val="auto"/>
              </w:rPr>
            </w:pPr>
            <w:r>
              <w:rPr>
                <w:rFonts w:ascii="Times New Roman" w:cs="Times New Roman" w:eastAsia="Times New Roman" w:hAnsi="Times New Roman"/>
                <w:sz w:val="14"/>
                <w:szCs w:val="14"/>
                <w:color w:val="auto"/>
              </w:rPr>
              <w:t>Three Months</w:t>
            </w:r>
          </w:p>
        </w:tc>
        <w:tc>
          <w:tcPr>
            <w:tcW w:w="1860" w:type="dxa"/>
            <w:vAlign w:val="bottom"/>
            <w:tcBorders>
              <w:right w:val="single" w:sz="8" w:color="auto"/>
            </w:tcBorders>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640" w:type="dxa"/>
            <w:vAlign w:val="bottom"/>
          </w:tcPr>
          <w:p>
            <w:pPr>
              <w:spacing w:after="0"/>
              <w:rPr>
                <w:sz w:val="12"/>
                <w:szCs w:val="12"/>
                <w:color w:val="auto"/>
              </w:rPr>
            </w:pPr>
          </w:p>
        </w:tc>
        <w:tc>
          <w:tcPr>
            <w:tcW w:w="1660" w:type="dxa"/>
            <w:vAlign w:val="bottom"/>
            <w:gridSpan w:val="2"/>
          </w:tcPr>
          <w:p>
            <w:pPr>
              <w:jc w:val="center"/>
              <w:ind w:left="37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r>
      <w:tr>
        <w:trPr>
          <w:trHeight w:val="161"/>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Ended March 31, 2012</w:t>
            </w:r>
          </w:p>
        </w:tc>
        <w:tc>
          <w:tcPr>
            <w:tcW w:w="18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 March 31, 2011</w:t>
            </w: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39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48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w w:val="98"/>
              </w:rPr>
              <w:t>Operating Income (Loss) Before Depreciation and Amortization</w:t>
            </w:r>
          </w:p>
        </w:tc>
        <w:tc>
          <w:tcPr>
            <w:tcW w:w="7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8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11"/>
                <w:szCs w:val="11"/>
                <w:color w:val="auto"/>
              </w:rPr>
              <w:t>(a)</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599</w:t>
            </w:r>
          </w:p>
        </w:tc>
        <w:tc>
          <w:tcPr>
            <w:tcW w:w="680" w:type="dxa"/>
            <w:vAlign w:val="bottom"/>
            <w:tcBorders>
              <w:right w:val="single" w:sz="8" w:color="auto"/>
            </w:tcBorders>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143</w:t>
            </w:r>
          </w:p>
        </w:tc>
      </w:tr>
      <w:tr>
        <w:trPr>
          <w:trHeight w:val="231"/>
        </w:trPr>
        <w:tc>
          <w:tcPr>
            <w:tcW w:w="48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720" w:type="dxa"/>
            <w:vAlign w:val="bottom"/>
            <w:shd w:val="clear" w:color="auto" w:fill="E5E5E5"/>
          </w:tcPr>
          <w:p>
            <w:pPr>
              <w:spacing w:after="0"/>
              <w:rPr>
                <w:sz w:val="20"/>
                <w:szCs w:val="20"/>
                <w:color w:val="auto"/>
              </w:rPr>
            </w:pPr>
          </w:p>
        </w:tc>
        <w:tc>
          <w:tcPr>
            <w:tcW w:w="1660" w:type="dxa"/>
            <w:vAlign w:val="bottom"/>
            <w:shd w:val="clear" w:color="auto" w:fill="E5E5E5"/>
          </w:tcPr>
          <w:p>
            <w:pPr>
              <w:jc w:val="right"/>
              <w:ind w:right="436"/>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Borders>
              <w:right w:val="single" w:sz="8" w:color="auto"/>
            </w:tcBorders>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66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720" w:type="dxa"/>
            <w:vAlign w:val="bottom"/>
          </w:tcPr>
          <w:p>
            <w:pPr>
              <w:spacing w:after="0"/>
              <w:rPr>
                <w:sz w:val="19"/>
                <w:szCs w:val="19"/>
                <w:color w:val="auto"/>
              </w:rPr>
            </w:pPr>
          </w:p>
        </w:tc>
        <w:tc>
          <w:tcPr>
            <w:tcW w:w="166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8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r>
      <w:tr>
        <w:trPr>
          <w:trHeight w:val="231"/>
        </w:trPr>
        <w:tc>
          <w:tcPr>
            <w:tcW w:w="48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 xml:space="preserve">Theme Parks </w:t>
            </w:r>
            <w:r>
              <w:rPr>
                <w:rFonts w:ascii="Times New Roman" w:cs="Times New Roman" w:eastAsia="Times New Roman" w:hAnsi="Times New Roman"/>
                <w:sz w:val="11"/>
                <w:szCs w:val="11"/>
                <w:color w:val="auto"/>
              </w:rPr>
              <w:t>(b)</w:t>
            </w:r>
          </w:p>
        </w:tc>
        <w:tc>
          <w:tcPr>
            <w:tcW w:w="720" w:type="dxa"/>
            <w:vAlign w:val="bottom"/>
            <w:shd w:val="clear" w:color="auto" w:fill="E5E5E5"/>
          </w:tcPr>
          <w:p>
            <w:pPr>
              <w:spacing w:after="0"/>
              <w:rPr>
                <w:sz w:val="20"/>
                <w:szCs w:val="20"/>
                <w:color w:val="auto"/>
              </w:rPr>
            </w:pPr>
          </w:p>
        </w:tc>
        <w:tc>
          <w:tcPr>
            <w:tcW w:w="1660" w:type="dxa"/>
            <w:vAlign w:val="bottom"/>
            <w:shd w:val="clear" w:color="auto" w:fill="E5E5E5"/>
          </w:tcPr>
          <w:p>
            <w:pPr>
              <w:jc w:val="right"/>
              <w:ind w:right="496"/>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680" w:type="dxa"/>
            <w:vAlign w:val="bottom"/>
            <w:tcBorders>
              <w:right w:val="single" w:sz="8" w:color="auto"/>
            </w:tcBorders>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66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37</w:t>
            </w: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11"/>
                <w:szCs w:val="11"/>
                <w:color w:val="auto"/>
              </w:rPr>
              <w:t>(c)</w:t>
            </w:r>
          </w:p>
        </w:tc>
        <w:tc>
          <w:tcPr>
            <w:tcW w:w="720" w:type="dxa"/>
            <w:vAlign w:val="bottom"/>
          </w:tcPr>
          <w:p>
            <w:pPr>
              <w:spacing w:after="0"/>
              <w:rPr>
                <w:sz w:val="19"/>
                <w:szCs w:val="19"/>
                <w:color w:val="auto"/>
              </w:rPr>
            </w:pPr>
          </w:p>
        </w:tc>
        <w:tc>
          <w:tcPr>
            <w:tcW w:w="16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8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8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(d)</w:t>
            </w:r>
          </w:p>
        </w:tc>
        <w:tc>
          <w:tcPr>
            <w:tcW w:w="720" w:type="dxa"/>
            <w:vAlign w:val="bottom"/>
            <w:tcBorders>
              <w:bottom w:val="single" w:sz="8" w:color="auto"/>
            </w:tcBorders>
            <w:shd w:val="clear" w:color="auto" w:fill="E5E5E5"/>
          </w:tcPr>
          <w:p>
            <w:pPr>
              <w:spacing w:after="0"/>
              <w:rPr>
                <w:sz w:val="19"/>
                <w:szCs w:val="19"/>
                <w:color w:val="auto"/>
              </w:rPr>
            </w:pPr>
          </w:p>
        </w:tc>
        <w:tc>
          <w:tcPr>
            <w:tcW w:w="1660" w:type="dxa"/>
            <w:vAlign w:val="bottom"/>
            <w:tcBorders>
              <w:bottom w:val="single" w:sz="8" w:color="auto"/>
            </w:tcBorders>
            <w:shd w:val="clear" w:color="auto" w:fill="E5E5E5"/>
          </w:tcPr>
          <w:p>
            <w:pPr>
              <w:jc w:val="right"/>
              <w:ind w:right="496"/>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Borders>
              <w:bottom w:val="single" w:sz="8" w:color="auto"/>
              <w:right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1"/>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Total operating income (loss) before depreciation and amortization</w:t>
            </w:r>
            <w:r>
              <w:rPr>
                <w:rFonts w:ascii="Times New Roman" w:cs="Times New Roman" w:eastAsia="Times New Roman" w:hAnsi="Times New Roman"/>
                <w:sz w:val="11"/>
                <w:szCs w:val="11"/>
                <w:color w:val="auto"/>
                <w:w w:val="98"/>
              </w:rPr>
              <w:t>(f)</w:t>
            </w: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392</w:t>
            </w:r>
          </w:p>
        </w:tc>
        <w:tc>
          <w:tcPr>
            <w:tcW w:w="6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48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496"/>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6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48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720" w:type="dxa"/>
            <w:vAlign w:val="bottom"/>
            <w:tcBorders>
              <w:bottom w:val="single" w:sz="8" w:color="auto"/>
            </w:tcBorders>
            <w:shd w:val="clear" w:color="auto" w:fill="E5E5E5"/>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E5E5E5"/>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501</w:t>
            </w:r>
          </w:p>
        </w:tc>
        <w:tc>
          <w:tcPr>
            <w:tcW w:w="18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205</w:t>
            </w:r>
          </w:p>
        </w:tc>
        <w:tc>
          <w:tcPr>
            <w:tcW w:w="680" w:type="dxa"/>
            <w:vAlign w:val="bottom"/>
            <w:tcBorders>
              <w:bottom w:val="single" w:sz="8" w:color="auto"/>
              <w:right w:val="single" w:sz="8" w:color="auto"/>
            </w:tcBorders>
            <w:shd w:val="clear" w:color="auto" w:fill="E5E5E5"/>
          </w:tcPr>
          <w:p>
            <w:pPr>
              <w:spacing w:after="0"/>
              <w:rPr>
                <w:sz w:val="18"/>
                <w:szCs w:val="18"/>
                <w:color w:val="auto"/>
              </w:rPr>
            </w:pPr>
          </w:p>
        </w:tc>
        <w:tc>
          <w:tcPr>
            <w:tcW w:w="130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8</w:t>
            </w:r>
          </w:p>
        </w:tc>
      </w:tr>
    </w:tbl>
    <w:p>
      <w:pPr>
        <w:spacing w:after="0" w:line="5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2012 and the period January 29 through March 31, 2011, our Cable Networks segment included the results of operations of the Comcast Content Business.</w:t>
      </w:r>
    </w:p>
    <w:p>
      <w:pPr>
        <w:spacing w:after="0" w:line="55"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periods January 1, 2011 through January 28, 2011 and January 29, 2011 through March 31, 2011, our Theme Parks segment included the results of operations for Universal Orlando to reflect our measure of operating performance for our Theme Parks segment.</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Headquarters and Other included operating costs and expenses associated with corporate overhead, employee benefits and corporate initiatives.</w:t>
      </w:r>
    </w:p>
    <w:p>
      <w:pPr>
        <w:spacing w:after="0" w:line="55"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Eliminations for the periods January 1, 2011 through January 28, 2011 and January 29, 2011 through March 31, 2011 included the elimination of the results of operations for Universal Orlando for these periods. These results were not included in our consolidated results of operations because we recorded Universal Orlando as an equity method investment during those periods.</w:t>
      </w:r>
    </w:p>
    <w:p>
      <w:pPr>
        <w:spacing w:after="0" w:line="41" w:lineRule="exact"/>
        <w:rPr>
          <w:rFonts w:ascii="Times New Roman" w:cs="Times New Roman" w:eastAsia="Times New Roman" w:hAnsi="Times New Roman"/>
          <w:sz w:val="14"/>
          <w:szCs w:val="14"/>
          <w:color w:val="auto"/>
        </w:rPr>
      </w:pPr>
    </w:p>
    <w:p>
      <w:pPr>
        <w:ind w:left="340" w:right="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included in Eliminations are transactions that our segments enter into with one another, which consist primarily of the licensing of film and television content from our Filmed Entertainment and Broadcast Television segment to our Cable Networks segment.</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customer accounted for a significant amount of our revenue in any period.</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26"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Condensed Consolidating Financial Information</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October 2011, NBCUniversal Media, LLC fully and unconditionally guaranteed Universal Orlando’s senior and senior subordinated notes in exchange for amendments that conform the notes’ covenants and events of default to those contained in our $9.1 billion of outstanding public debt securities. The guarantee includes the payment of principal, premium, if any, and interest. NBCUniversal Media, LLC is referred to as “Parent” in the tables presented below.</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Universal Orlando’s senior and senior subordinated notes were co-issued by Universal City Development Partners, Ltd. and UCDP Finance (collectively, “Issuers”) and continue also to be fully and unconditionally guaranteed by Universal City Travel Partners and Universal Orlando Online Merchandise Store (collectively, “Guarantor Subsidiaries”).</w:t>
      </w:r>
    </w:p>
    <w:p>
      <w:pPr>
        <w:spacing w:after="0" w:line="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condensed consolidating financial information is presented in the tables below and includes the operating results of the Universal Orlando entities from July 1, 2011, the date we acquired the remaining 50% equity interest in Universal Orlando that we did not already own.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5"/>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Parent</w:t>
            </w:r>
          </w:p>
        </w:tc>
        <w:tc>
          <w:tcPr>
            <w:tcW w:w="11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Issuers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841</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3,756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1,226</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5,823</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5,059</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2,934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942</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Investments in and amounts due from subsidiaries eliminated</w:t>
            </w:r>
          </w:p>
        </w:tc>
        <w:tc>
          <w:tcPr>
            <w:tcW w:w="3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36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6"/>
              </w:rPr>
              <w:t>39,753</w:t>
            </w:r>
          </w:p>
        </w:tc>
        <w:tc>
          <w:tcPr>
            <w:tcW w:w="500" w:type="dxa"/>
            <w:vAlign w:val="bottom"/>
            <w:shd w:val="clear" w:color="auto" w:fill="E5E5E5"/>
          </w:tcPr>
          <w:p>
            <w:pPr>
              <w:spacing w:after="0"/>
              <w:rPr>
                <w:sz w:val="20"/>
                <w:szCs w:val="20"/>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shd w:val="clear" w:color="auto" w:fill="E5E5E5"/>
          </w:tcPr>
          <w:p>
            <w:pPr>
              <w:spacing w:after="0"/>
              <w:rPr>
                <w:sz w:val="20"/>
                <w:szCs w:val="20"/>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(39,765)</w:t>
            </w:r>
          </w:p>
        </w:tc>
        <w:tc>
          <w:tcPr>
            <w:tcW w:w="42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3"/>
              </w:rPr>
              <w:t>1,648</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3,307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14,587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391</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15,166</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40,741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3"/>
              </w:rPr>
              <w:t>2,272</w:t>
            </w: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47,865</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(39,827)</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51,116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payable and accrued expenses related</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trade creditors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140</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2,085</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1,394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2,357</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5,838</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813</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264</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2,202</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30,113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946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38,402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(39,355)</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314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30,113</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946</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38,716</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(39,355)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30,427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40,741</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3"/>
              </w:rPr>
              <w:t>2,272</w:t>
            </w:r>
          </w:p>
        </w:tc>
        <w:tc>
          <w:tcPr>
            <w:tcW w:w="5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47,865</w:t>
            </w:r>
          </w:p>
        </w:tc>
        <w:tc>
          <w:tcPr>
            <w:tcW w:w="4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(39,827)</w:t>
            </w:r>
          </w:p>
        </w:tc>
        <w:tc>
          <w:tcPr>
            <w:tcW w:w="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51,116</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5"/>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Parent</w:t>
            </w:r>
          </w:p>
        </w:tc>
        <w:tc>
          <w:tcPr>
            <w:tcW w:w="11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Issuers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513</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3,536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1,200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5,249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5,227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2,914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Investments in and amounts due from subsidiaries eliminated</w:t>
            </w:r>
          </w:p>
        </w:tc>
        <w:tc>
          <w:tcPr>
            <w:tcW w:w="3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36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6"/>
              </w:rPr>
              <w:t>39,744</w:t>
            </w:r>
          </w:p>
        </w:tc>
        <w:tc>
          <w:tcPr>
            <w:tcW w:w="500" w:type="dxa"/>
            <w:vAlign w:val="bottom"/>
            <w:shd w:val="clear" w:color="auto" w:fill="E5E5E5"/>
          </w:tcPr>
          <w:p>
            <w:pPr>
              <w:spacing w:after="0"/>
              <w:rPr>
                <w:sz w:val="20"/>
                <w:szCs w:val="20"/>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shd w:val="clear" w:color="auto" w:fill="E5E5E5"/>
          </w:tcPr>
          <w:p>
            <w:pPr>
              <w:spacing w:after="0"/>
              <w:rPr>
                <w:sz w:val="20"/>
                <w:szCs w:val="20"/>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(39,755)</w:t>
            </w:r>
          </w:p>
        </w:tc>
        <w:tc>
          <w:tcPr>
            <w:tcW w:w="42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3"/>
              </w:rPr>
              <w:t>1,644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3,320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14,657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392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15,303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40,667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3"/>
              </w:rPr>
              <w:t>2,225</w:t>
            </w: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47,630</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(39,764)</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payable and accrued expenses related</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trade creditors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124</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1,992</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1,255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2,371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5,622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888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873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262</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2,127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29,720</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869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38,394</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(39,270)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29,720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869</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38,755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(39,270)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40,667</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3"/>
              </w:rPr>
              <w:t>2,225</w:t>
            </w:r>
          </w:p>
        </w:tc>
        <w:tc>
          <w:tcPr>
            <w:tcW w:w="5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47,630</w:t>
            </w:r>
          </w:p>
        </w:tc>
        <w:tc>
          <w:tcPr>
            <w:tcW w:w="4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(39,764)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02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Parent</w:t>
            </w:r>
          </w:p>
        </w:tc>
        <w:tc>
          <w:tcPr>
            <w:tcW w:w="10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Issuers</w:t>
            </w:r>
          </w:p>
        </w:tc>
        <w:tc>
          <w:tcPr>
            <w:tcW w:w="11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w w:val="96"/>
              </w:rPr>
              <w:t>296</w:t>
            </w:r>
          </w:p>
        </w:tc>
        <w:tc>
          <w:tcPr>
            <w:tcW w:w="54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5,154</w:t>
            </w:r>
          </w:p>
        </w:tc>
        <w:tc>
          <w:tcPr>
            <w:tcW w:w="42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5,472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w w:val="96"/>
              </w:rPr>
              <w:t>175</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4,215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4,659</w:t>
            </w: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4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4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96"/>
              </w:rPr>
              <w:t>208</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4,494</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4,971</w:t>
            </w:r>
          </w:p>
        </w:tc>
      </w:tr>
      <w:tr>
        <w:trPr>
          <w:trHeight w:val="210"/>
        </w:trPr>
        <w:tc>
          <w:tcPr>
            <w:tcW w:w="44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w w:val="92"/>
              </w:rPr>
              <w:t>(247)</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660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733</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(733)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2"/>
              </w:rPr>
              <w:t>(103)</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4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634</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(733)</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387</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732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(733)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385</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694</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(733)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385</w:t>
            </w:r>
          </w:p>
        </w:tc>
        <w:tc>
          <w:tcPr>
            <w:tcW w:w="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71</w:t>
            </w: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662</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(733)</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385</w:t>
            </w:r>
          </w:p>
        </w:tc>
      </w:tr>
      <w:tr>
        <w:trPr>
          <w:trHeight w:val="223"/>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386</w:t>
            </w:r>
          </w:p>
        </w:tc>
        <w:tc>
          <w:tcPr>
            <w:tcW w:w="46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71</w:t>
            </w:r>
          </w:p>
        </w:tc>
        <w:tc>
          <w:tcPr>
            <w:tcW w:w="54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662</w:t>
            </w:r>
          </w:p>
        </w:tc>
        <w:tc>
          <w:tcPr>
            <w:tcW w:w="4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(733)</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386</w:t>
            </w:r>
          </w:p>
        </w:tc>
      </w:tr>
      <w:tr>
        <w:trPr>
          <w:trHeight w:val="367"/>
        </w:trPr>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March 31,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02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Parent</w:t>
            </w:r>
          </w:p>
        </w:tc>
        <w:tc>
          <w:tcPr>
            <w:tcW w:w="10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Issuers</w:t>
            </w: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2,910</w:t>
            </w:r>
          </w:p>
        </w:tc>
        <w:tc>
          <w:tcPr>
            <w:tcW w:w="42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2,911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2,368</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4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2,555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2,706</w:t>
            </w:r>
          </w:p>
        </w:tc>
      </w:tr>
      <w:tr>
        <w:trPr>
          <w:trHeight w:val="210"/>
        </w:trPr>
        <w:tc>
          <w:tcPr>
            <w:tcW w:w="44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w w:val="92"/>
              </w:rPr>
              <w:t>(150)</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322</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4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245</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402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380</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94</w:t>
            </w:r>
          </w:p>
        </w:tc>
        <w:tc>
          <w:tcPr>
            <w:tcW w:w="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336</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(336)</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94</w:t>
            </w:r>
          </w:p>
        </w:tc>
      </w:tr>
      <w:tr>
        <w:trPr>
          <w:trHeight w:val="223"/>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94</w:t>
            </w:r>
          </w:p>
        </w:tc>
        <w:tc>
          <w:tcPr>
            <w:tcW w:w="50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339</w:t>
            </w:r>
          </w:p>
        </w:tc>
        <w:tc>
          <w:tcPr>
            <w:tcW w:w="4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(336)</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367"/>
        </w:trPr>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Predecessor (in millions)</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Parent</w:t>
            </w:r>
          </w:p>
        </w:tc>
        <w:tc>
          <w:tcPr>
            <w:tcW w:w="10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Issuers</w:t>
            </w: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1,206</w:t>
            </w:r>
          </w:p>
        </w:tc>
        <w:tc>
          <w:tcPr>
            <w:tcW w:w="42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6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4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1,133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1,198</w:t>
            </w:r>
          </w:p>
        </w:tc>
      </w:tr>
      <w:tr>
        <w:trPr>
          <w:trHeight w:val="210"/>
        </w:trPr>
        <w:tc>
          <w:tcPr>
            <w:tcW w:w="44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(65)</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44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(23)</w:t>
            </w:r>
          </w:p>
        </w:tc>
        <w:tc>
          <w:tcPr>
            <w:tcW w:w="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54</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(54)</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23"/>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100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(27)</w:t>
            </w:r>
          </w:p>
        </w:tc>
        <w:tc>
          <w:tcPr>
            <w:tcW w:w="50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(54)</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67"/>
        </w:trPr>
        <w:tc>
          <w:tcPr>
            <w:tcW w:w="4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4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00" w:type="dxa"/>
            <w:vAlign w:val="bottom"/>
            <w:gridSpan w:val="2"/>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Parent</w:t>
            </w:r>
          </w:p>
        </w:tc>
        <w:tc>
          <w:tcPr>
            <w:tcW w:w="10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Issuers</w:t>
            </w:r>
          </w:p>
        </w:tc>
        <w:tc>
          <w:tcPr>
            <w:tcW w:w="11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Subsidiaries</w:t>
            </w:r>
          </w:p>
        </w:tc>
        <w:tc>
          <w:tcPr>
            <w:tcW w:w="12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6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w w:val="96"/>
              </w:rPr>
              <w:t>107</w:t>
            </w:r>
          </w:p>
        </w:tc>
        <w:tc>
          <w:tcPr>
            <w:tcW w:w="54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1,210</w:t>
            </w:r>
          </w:p>
        </w:tc>
        <w:tc>
          <w:tcPr>
            <w:tcW w:w="44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1,037</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6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8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657</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(657)</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6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8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642</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(783)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46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02"/>
        </w:trPr>
        <w:tc>
          <w:tcPr>
            <w:tcW w:w="46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Proceeds from (repayments of) short-term borrowings,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9"/>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(400)</w:t>
            </w:r>
          </w:p>
        </w:tc>
        <w:tc>
          <w:tcPr>
            <w:tcW w:w="460" w:type="dxa"/>
            <w:vAlign w:val="bottom"/>
          </w:tcPr>
          <w:p>
            <w:pPr>
              <w:spacing w:after="0"/>
              <w:rPr>
                <w:sz w:val="19"/>
                <w:szCs w:val="19"/>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7"/>
        </w:trPr>
        <w:tc>
          <w:tcPr>
            <w:tcW w:w="46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Repurchases and repayments of third-party borrowings</w:t>
            </w:r>
          </w:p>
        </w:tc>
        <w:tc>
          <w:tcPr>
            <w:tcW w:w="8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2"/>
        </w:trPr>
        <w:tc>
          <w:tcPr>
            <w:tcW w:w="46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Repayments of borrowings from subsidiaries eliminated</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9"/>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upon consolidation</w:t>
            </w: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(325)</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0"/>
        </w:trPr>
        <w:tc>
          <w:tcPr>
            <w:tcW w:w="46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6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238</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513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r>
      <w:tr>
        <w:trPr>
          <w:trHeight w:val="193"/>
        </w:trPr>
        <w:tc>
          <w:tcPr>
            <w:tcW w:w="462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end of</w:t>
            </w:r>
          </w:p>
        </w:tc>
        <w:tc>
          <w:tcPr>
            <w:tcW w:w="8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r>
      <w:tr>
        <w:trPr>
          <w:trHeight w:val="253"/>
        </w:trPr>
        <w:tc>
          <w:tcPr>
            <w:tcW w:w="46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$ 264</w:t>
            </w:r>
          </w:p>
        </w:tc>
        <w:tc>
          <w:tcPr>
            <w:tcW w:w="46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34</w:t>
            </w:r>
          </w:p>
        </w:tc>
        <w:tc>
          <w:tcPr>
            <w:tcW w:w="54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841</w:t>
            </w:r>
          </w:p>
        </w:tc>
        <w:tc>
          <w:tcPr>
            <w:tcW w:w="44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367"/>
        </w:trPr>
        <w:tc>
          <w:tcPr>
            <w:tcW w:w="4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March 31,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4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80" w:type="dxa"/>
            <w:vAlign w:val="bottom"/>
          </w:tcPr>
          <w:p>
            <w:pPr>
              <w:spacing w:after="0"/>
              <w:rPr>
                <w:sz w:val="12"/>
                <w:szCs w:val="12"/>
                <w:color w:val="auto"/>
              </w:rPr>
            </w:pPr>
          </w:p>
        </w:tc>
        <w:tc>
          <w:tcPr>
            <w:tcW w:w="880" w:type="dxa"/>
            <w:vAlign w:val="bottom"/>
          </w:tcPr>
          <w:p>
            <w:pPr>
              <w:jc w:val="center"/>
              <w:ind w:right="414"/>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80" w:type="dxa"/>
            <w:vAlign w:val="bottom"/>
            <w:gridSpan w:val="2"/>
          </w:tcPr>
          <w:p>
            <w:pPr>
              <w:jc w:val="right"/>
              <w:ind w:right="294"/>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60" w:type="dxa"/>
            <w:vAlign w:val="bottom"/>
            <w:gridSpan w:val="2"/>
          </w:tcPr>
          <w:p>
            <w:pPr>
              <w:jc w:val="right"/>
              <w:ind w:right="234"/>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22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Parent</w:t>
            </w: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Issuers</w:t>
            </w:r>
          </w:p>
        </w:tc>
        <w:tc>
          <w:tcPr>
            <w:tcW w:w="126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Subsidiaries</w:t>
            </w:r>
          </w:p>
        </w:tc>
        <w:tc>
          <w:tcPr>
            <w:tcW w:w="12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Subsidiaries</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2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1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 (44)</w:t>
            </w:r>
          </w:p>
        </w:tc>
        <w:tc>
          <w:tcPr>
            <w:tcW w:w="48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234"/>
              <w:spacing w:after="0"/>
              <w:rPr>
                <w:sz w:val="20"/>
                <w:szCs w:val="20"/>
                <w:color w:val="auto"/>
              </w:rPr>
            </w:pPr>
            <w:r>
              <w:rPr>
                <w:rFonts w:ascii="Times New Roman" w:cs="Times New Roman" w:eastAsia="Times New Roman" w:hAnsi="Times New Roman"/>
                <w:sz w:val="18"/>
                <w:szCs w:val="18"/>
                <w:color w:val="auto"/>
              </w:rPr>
              <w:t>567</w:t>
            </w:r>
          </w:p>
        </w:tc>
        <w:tc>
          <w:tcPr>
            <w:tcW w:w="48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523</w:t>
            </w: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1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1240" w:type="dxa"/>
            <w:vAlign w:val="bottom"/>
            <w:shd w:val="clear" w:color="auto" w:fill="E5E5E5"/>
          </w:tcPr>
          <w:p>
            <w:pPr>
              <w:jc w:val="right"/>
              <w:ind w:right="234"/>
              <w:spacing w:after="0"/>
              <w:rPr>
                <w:sz w:val="20"/>
                <w:szCs w:val="20"/>
                <w:color w:val="auto"/>
              </w:rPr>
            </w:pPr>
            <w:r>
              <w:rPr>
                <w:rFonts w:ascii="Times New Roman" w:cs="Times New Roman" w:eastAsia="Times New Roman" w:hAnsi="Times New Roman"/>
                <w:sz w:val="18"/>
                <w:szCs w:val="18"/>
                <w:color w:val="auto"/>
              </w:rPr>
              <w:t>135</w:t>
            </w:r>
          </w:p>
        </w:tc>
        <w:tc>
          <w:tcPr>
            <w:tcW w:w="4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(135)</w:t>
            </w:r>
          </w:p>
        </w:tc>
        <w:tc>
          <w:tcPr>
            <w:tcW w:w="4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10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240" w:type="dxa"/>
            <w:vAlign w:val="bottom"/>
            <w:tcBorders>
              <w:bottom w:val="single" w:sz="8" w:color="auto"/>
            </w:tcBorders>
            <w:shd w:val="clear" w:color="auto" w:fill="E5E5E5"/>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135</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41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r>
      <w:tr>
        <w:trPr>
          <w:trHeight w:val="216"/>
        </w:trPr>
        <w:tc>
          <w:tcPr>
            <w:tcW w:w="4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41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40" w:type="dxa"/>
            <w:vAlign w:val="bottom"/>
            <w:tcBorders>
              <w:bottom w:val="single" w:sz="8" w:color="auto"/>
            </w:tcBorders>
            <w:shd w:val="clear" w:color="auto" w:fill="E5E5E5"/>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346</w:t>
            </w:r>
          </w:p>
        </w:tc>
        <w:tc>
          <w:tcPr>
            <w:tcW w:w="48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41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40" w:type="dxa"/>
            <w:vAlign w:val="bottom"/>
            <w:tcBorders>
              <w:bottom w:val="single" w:sz="8" w:color="auto"/>
            </w:tcBorders>
            <w:shd w:val="clear" w:color="auto" w:fill="E5E5E5"/>
          </w:tcPr>
          <w:p>
            <w:pPr>
              <w:jc w:val="right"/>
              <w:ind w:right="234"/>
              <w:spacing w:after="0"/>
              <w:rPr>
                <w:sz w:val="20"/>
                <w:szCs w:val="20"/>
                <w:color w:val="auto"/>
              </w:rPr>
            </w:pPr>
            <w:r>
              <w:rPr>
                <w:rFonts w:ascii="Times New Roman" w:cs="Times New Roman" w:eastAsia="Times New Roman" w:hAnsi="Times New Roman"/>
                <w:sz w:val="18"/>
                <w:szCs w:val="18"/>
                <w:color w:val="auto"/>
              </w:rPr>
              <w:t>295</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4"/>
              <w:spacing w:after="0"/>
              <w:rPr>
                <w:sz w:val="20"/>
                <w:szCs w:val="20"/>
                <w:color w:val="auto"/>
              </w:rPr>
            </w:pPr>
            <w:r>
              <w:rPr>
                <w:rFonts w:ascii="Times New Roman" w:cs="Times New Roman" w:eastAsia="Times New Roman" w:hAnsi="Times New Roman"/>
                <w:sz w:val="18"/>
                <w:szCs w:val="18"/>
                <w:color w:val="auto"/>
              </w:rPr>
              <w:t>213</w:t>
            </w:r>
          </w:p>
        </w:tc>
        <w:tc>
          <w:tcPr>
            <w:tcW w:w="4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r>
      <w:tr>
        <w:trPr>
          <w:trHeight w:val="217"/>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$386</w:t>
            </w:r>
          </w:p>
        </w:tc>
        <w:tc>
          <w:tcPr>
            <w:tcW w:w="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559</w:t>
            </w: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945</w:t>
            </w:r>
          </w:p>
        </w:tc>
      </w:tr>
      <w:tr>
        <w:trPr>
          <w:trHeight w:val="367"/>
        </w:trPr>
        <w:tc>
          <w:tcPr>
            <w:tcW w:w="4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w w:val="89"/>
              </w:rPr>
              <w:t>23</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4"/>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840" w:type="dxa"/>
            <w:vAlign w:val="bottom"/>
          </w:tcPr>
          <w:p>
            <w:pPr>
              <w:jc w:val="center"/>
              <w:ind w:right="374"/>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20" w:type="dxa"/>
            <w:vAlign w:val="bottom"/>
            <w:gridSpan w:val="2"/>
          </w:tcPr>
          <w:p>
            <w:pPr>
              <w:jc w:val="right"/>
              <w:ind w:right="274"/>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194"/>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Predecessor (in millions)</w:t>
            </w:r>
          </w:p>
        </w:tc>
        <w:tc>
          <w:tcPr>
            <w:tcW w:w="5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94"/>
              </w:rPr>
              <w:t>Parent</w:t>
            </w:r>
          </w:p>
        </w:tc>
        <w:tc>
          <w:tcPr>
            <w:tcW w:w="102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Issuers</w:t>
            </w:r>
          </w:p>
        </w:tc>
        <w:tc>
          <w:tcPr>
            <w:tcW w:w="120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Subsidiaries</w:t>
            </w: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3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(365)</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38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sale of businesses and investments</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r>
      <w:tr>
        <w:trPr>
          <w:trHeight w:val="210"/>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Dividends paid</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(8,041)</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16"/>
        </w:trPr>
        <w:tc>
          <w:tcPr>
            <w:tcW w:w="43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(Increase) decrease in short-term loans to GE, net</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8,072</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8,072</w:t>
            </w:r>
          </w:p>
        </w:tc>
      </w:tr>
      <w:tr>
        <w:trPr>
          <w:trHeight w:val="216"/>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 of preferred stock interest</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38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59</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(673)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236</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848</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295</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175</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470</w:t>
            </w:r>
          </w:p>
        </w:tc>
      </w:tr>
      <w:tr>
        <w:trPr>
          <w:trHeight w:val="367"/>
        </w:trPr>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ind w:right="157"/>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80"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a leading media and entertainment company that develops, produces and distributes entertainment, news and information, sports and other content for global audiences.</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2011, Comcast closed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For a more complete discussion of these transactions, refer to our consolidated financial statements included in our 2011 Annual Report on Form 10-K.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operations as the following four reportable business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other business interests primarily include equity method investments, such as A&amp;E Television Networks LLC, which owns and operates, among other channels, A&amp;E, The History Channel, The Biography Channel and Lifetime (“A&amp;E Television Networks”), The Weather Channel Holding Corp. (“The Weather Channel”) and MSNBC Interactive News, LLC (“MSNBC.com”). The performance of our equity method investments is discussed below under the heading “Consolidated Other Income (Expense) Items—Equity in Net Income of Investees, 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includes operating costs and expenses associated with corporate overhead, employee benefits and corporate initiatives.</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set forth our results of operations as reported in our condensed consolidated financial statements in accordance with generally accepted accounting principles in the United States (“GAAP”). GAAP requires that we separately present our results for the periods from January 1, 2011 to January 28, 2011 (the “Predecessor period”) and from January 29, 2011 to March 31, 2011 (the “Successor period”). Management believes reviewing our operating results for the three months ended March 31,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condensed consolidated financial statements in accordance with GAAP, the table below presents the non-GAAP combined results for the three months ended March 31, 2011, which we also use to compute the percentage change to the current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color w:val="auto"/>
                <w:w w:val="95"/>
              </w:rPr>
              <w:t>Predecessor</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w w:val="95"/>
              </w:rPr>
              <w:t>Combined</w:t>
            </w:r>
          </w:p>
        </w:tc>
        <w:tc>
          <w:tcPr>
            <w:tcW w:w="118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1700" w:type="dxa"/>
            <w:vAlign w:val="bottom"/>
            <w:gridSpan w:val="2"/>
          </w:tcPr>
          <w:p>
            <w:pPr>
              <w:jc w:val="right"/>
              <w:ind w:right="255"/>
              <w:spacing w:after="0" w:line="129" w:lineRule="exact"/>
              <w:rPr>
                <w:sz w:val="20"/>
                <w:szCs w:val="20"/>
                <w:color w:val="auto"/>
              </w:rPr>
            </w:pPr>
            <w:r>
              <w:rPr>
                <w:rFonts w:ascii="Times New Roman" w:cs="Times New Roman" w:eastAsia="Times New Roman" w:hAnsi="Times New Roman"/>
                <w:sz w:val="14"/>
                <w:szCs w:val="14"/>
                <w:color w:val="auto"/>
              </w:rPr>
              <w:t>Three Months</w:t>
            </w:r>
          </w:p>
        </w:tc>
        <w:tc>
          <w:tcPr>
            <w:tcW w:w="320" w:type="dxa"/>
            <w:vAlign w:val="bottom"/>
          </w:tcPr>
          <w:p>
            <w:pPr>
              <w:spacing w:after="0"/>
              <w:rPr>
                <w:sz w:val="11"/>
                <w:szCs w:val="11"/>
                <w:color w:val="auto"/>
              </w:rPr>
            </w:pPr>
          </w:p>
        </w:tc>
        <w:tc>
          <w:tcPr>
            <w:tcW w:w="1520" w:type="dxa"/>
            <w:vAlign w:val="bottom"/>
            <w:tcBorders>
              <w:right w:val="single" w:sz="8" w:color="auto"/>
            </w:tcBorders>
            <w:gridSpan w:val="2"/>
          </w:tcPr>
          <w:p>
            <w:pPr>
              <w:jc w:val="center"/>
              <w:ind w:right="720"/>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center"/>
              <w:ind w:right="277"/>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200" w:type="dxa"/>
            <w:vAlign w:val="bottom"/>
            <w:gridSpan w:val="2"/>
          </w:tcPr>
          <w:p>
            <w:pPr>
              <w:jc w:val="center"/>
              <w:ind w:left="42"/>
              <w:spacing w:after="0" w:line="129" w:lineRule="exact"/>
              <w:rPr>
                <w:sz w:val="20"/>
                <w:szCs w:val="20"/>
                <w:color w:val="auto"/>
              </w:rPr>
            </w:pPr>
            <w:r>
              <w:rPr>
                <w:rFonts w:ascii="Times New Roman" w:cs="Times New Roman" w:eastAsia="Times New Roman" w:hAnsi="Times New Roman"/>
                <w:sz w:val="14"/>
                <w:szCs w:val="14"/>
                <w:color w:val="auto"/>
                <w:w w:val="96"/>
              </w:rPr>
              <w:t>Three Months</w:t>
            </w:r>
          </w:p>
        </w:tc>
        <w:tc>
          <w:tcPr>
            <w:tcW w:w="1180" w:type="dxa"/>
            <w:vAlign w:val="bottom"/>
          </w:tcPr>
          <w:p>
            <w:pPr>
              <w:jc w:val="center"/>
              <w:ind w:left="57"/>
              <w:spacing w:after="0" w:line="129" w:lineRule="exact"/>
              <w:rPr>
                <w:sz w:val="20"/>
                <w:szCs w:val="20"/>
                <w:color w:val="auto"/>
              </w:rPr>
            </w:pPr>
            <w:r>
              <w:rPr>
                <w:rFonts w:ascii="Times New Roman" w:cs="Times New Roman" w:eastAsia="Times New Roman" w:hAnsi="Times New Roman"/>
                <w:sz w:val="14"/>
                <w:szCs w:val="14"/>
                <w:color w:val="auto"/>
                <w:w w:val="96"/>
              </w:rPr>
              <w:t>% Change</w:t>
            </w:r>
          </w:p>
        </w:tc>
      </w:tr>
      <w:tr>
        <w:trPr>
          <w:trHeight w:val="149"/>
        </w:trPr>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ind w:right="455"/>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840" w:type="dxa"/>
            <w:vAlign w:val="bottom"/>
            <w:tcBorders>
              <w:right w:val="single" w:sz="8" w:color="auto"/>
            </w:tcBorders>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c>
          <w:tcPr>
            <w:tcW w:w="3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18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r>
      <w:tr>
        <w:trPr>
          <w:trHeight w:val="175"/>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March 31, 2012</w:t>
            </w:r>
          </w:p>
        </w:tc>
        <w:tc>
          <w:tcPr>
            <w:tcW w:w="1840" w:type="dxa"/>
            <w:vAlign w:val="bottom"/>
            <w:tcBorders>
              <w:bottom w:val="single" w:sz="8" w:color="auto"/>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4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left="72"/>
              <w:spacing w:after="0"/>
              <w:rPr>
                <w:sz w:val="20"/>
                <w:szCs w:val="20"/>
                <w:color w:val="auto"/>
              </w:rPr>
            </w:pPr>
            <w:r>
              <w:rPr>
                <w:rFonts w:ascii="Times New Roman" w:cs="Times New Roman" w:eastAsia="Times New Roman" w:hAnsi="Times New Roman"/>
                <w:sz w:val="14"/>
                <w:szCs w:val="14"/>
                <w:color w:val="auto"/>
                <w:w w:val="95"/>
              </w:rPr>
              <w:t>to January 28, 2011</w:t>
            </w:r>
          </w:p>
        </w:tc>
        <w:tc>
          <w:tcPr>
            <w:tcW w:w="1200" w:type="dxa"/>
            <w:vAlign w:val="bottom"/>
            <w:tcBorders>
              <w:bottom w:val="single" w:sz="8" w:color="auto"/>
            </w:tcBorders>
            <w:gridSpan w:val="2"/>
          </w:tcPr>
          <w:p>
            <w:pPr>
              <w:jc w:val="center"/>
              <w:ind w:left="22"/>
              <w:spacing w:after="0"/>
              <w:rPr>
                <w:sz w:val="20"/>
                <w:szCs w:val="20"/>
                <w:color w:val="auto"/>
              </w:rPr>
            </w:pPr>
            <w:r>
              <w:rPr>
                <w:rFonts w:ascii="Times New Roman" w:cs="Times New Roman" w:eastAsia="Times New Roman" w:hAnsi="Times New Roman"/>
                <w:sz w:val="14"/>
                <w:szCs w:val="14"/>
                <w:color w:val="auto"/>
                <w:w w:val="96"/>
              </w:rPr>
              <w:t>March 31, 2011</w:t>
            </w:r>
          </w:p>
        </w:tc>
        <w:tc>
          <w:tcPr>
            <w:tcW w:w="118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4"/>
                <w:szCs w:val="14"/>
                <w:color w:val="auto"/>
                <w:w w:val="92"/>
              </w:rPr>
              <w:t>2012</w:t>
            </w:r>
          </w:p>
        </w:tc>
      </w:tr>
      <w:tr>
        <w:trPr>
          <w:trHeight w:val="210"/>
        </w:trPr>
        <w:tc>
          <w:tcPr>
            <w:tcW w:w="32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5,472</w:t>
            </w:r>
          </w:p>
        </w:tc>
        <w:tc>
          <w:tcPr>
            <w:tcW w:w="3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2,911</w:t>
            </w:r>
          </w:p>
        </w:tc>
        <w:tc>
          <w:tcPr>
            <w:tcW w:w="520" w:type="dxa"/>
            <w:vAlign w:val="bottom"/>
            <w:tcBorders>
              <w:right w:val="single" w:sz="8" w:color="auto"/>
            </w:tcBorders>
            <w:shd w:val="clear" w:color="auto" w:fill="E5E5E5"/>
          </w:tcPr>
          <w:p>
            <w:pPr>
              <w:spacing w:after="0"/>
              <w:rPr>
                <w:sz w:val="18"/>
                <w:szCs w:val="18"/>
                <w:color w:val="auto"/>
              </w:rPr>
            </w:pPr>
          </w:p>
        </w:tc>
        <w:tc>
          <w:tcPr>
            <w:tcW w:w="9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1,206</w:t>
            </w: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4,117</w:t>
            </w:r>
          </w:p>
        </w:tc>
        <w:tc>
          <w:tcPr>
            <w:tcW w:w="11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2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4,659</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2,519</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1,171</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3,690</w:t>
            </w:r>
          </w:p>
        </w:tc>
        <w:tc>
          <w:tcPr>
            <w:tcW w:w="118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3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66</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326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213</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32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income (expense) items, net</w:t>
            </w:r>
          </w:p>
        </w:tc>
        <w:tc>
          <w:tcPr>
            <w:tcW w:w="7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80" w:type="dxa"/>
            <w:vAlign w:val="bottom"/>
            <w:tcBorders>
              <w:bottom w:val="single" w:sz="8" w:color="auto"/>
            </w:tcBorders>
            <w:shd w:val="clear" w:color="auto" w:fill="E5E5E5"/>
          </w:tcPr>
          <w:p>
            <w:pPr>
              <w:jc w:val="right"/>
              <w:ind w:right="97"/>
              <w:spacing w:after="0"/>
              <w:rPr>
                <w:sz w:val="20"/>
                <w:szCs w:val="20"/>
                <w:color w:val="auto"/>
              </w:rPr>
            </w:pPr>
            <w:r>
              <w:rPr>
                <w:rFonts w:ascii="Times New Roman" w:cs="Times New Roman" w:eastAsia="Times New Roman" w:hAnsi="Times New Roman"/>
                <w:sz w:val="18"/>
                <w:szCs w:val="18"/>
                <w:color w:val="auto"/>
              </w:rPr>
              <w:t>(45.3)</w:t>
            </w: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132</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247.7</w:t>
            </w:r>
          </w:p>
        </w:tc>
      </w:tr>
      <w:tr>
        <w:trPr>
          <w:trHeight w:val="216"/>
        </w:trPr>
        <w:tc>
          <w:tcPr>
            <w:tcW w:w="32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108.0</w:t>
            </w: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113</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271.5</w:t>
            </w:r>
          </w:p>
        </w:tc>
      </w:tr>
      <w:tr>
        <w:trPr>
          <w:trHeight w:val="202"/>
        </w:trPr>
        <w:tc>
          <w:tcPr>
            <w:tcW w:w="326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74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20" w:type="dxa"/>
            <w:vAlign w:val="bottom"/>
            <w:tcBorders>
              <w:right w:val="single" w:sz="8" w:color="auto"/>
            </w:tcBorders>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228"/>
        </w:trPr>
        <w:tc>
          <w:tcPr>
            <w:tcW w:w="326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4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tcBorders>
              <w:bottom w:val="single" w:sz="8" w:color="auto"/>
              <w:right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spacing w:after="0"/>
              <w:rPr>
                <w:sz w:val="19"/>
                <w:szCs w:val="19"/>
                <w:color w:val="auto"/>
              </w:rPr>
            </w:pP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tcBorders>
              <w:bottom w:val="single" w:sz="8" w:color="auto"/>
            </w:tcBorders>
            <w:shd w:val="clear" w:color="auto" w:fill="E5E5E5"/>
          </w:tcPr>
          <w:p>
            <w:pPr>
              <w:jc w:val="right"/>
              <w:ind w:right="97"/>
              <w:spacing w:after="0"/>
              <w:rPr>
                <w:sz w:val="20"/>
                <w:szCs w:val="20"/>
                <w:color w:val="auto"/>
              </w:rPr>
            </w:pPr>
            <w:r>
              <w:rPr>
                <w:rFonts w:ascii="Times New Roman" w:cs="Times New Roman" w:eastAsia="Times New Roman" w:hAnsi="Times New Roman"/>
                <w:sz w:val="18"/>
                <w:szCs w:val="18"/>
                <w:color w:val="auto"/>
              </w:rPr>
              <w:t>(23.5)</w:t>
            </w:r>
          </w:p>
        </w:tc>
      </w:tr>
      <w:tr>
        <w:trPr>
          <w:trHeight w:val="195"/>
        </w:trPr>
        <w:tc>
          <w:tcPr>
            <w:tcW w:w="32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9"/>
        </w:trPr>
        <w:tc>
          <w:tcPr>
            <w:tcW w:w="3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NBCUniversal</w:t>
            </w: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385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94</w:t>
            </w:r>
          </w:p>
        </w:tc>
        <w:tc>
          <w:tcPr>
            <w:tcW w:w="5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percentages are calculated based on actual amounts. Minor differences may exist due to rounding.</w:t>
      </w:r>
    </w:p>
    <w:p>
      <w:pPr>
        <w:spacing w:after="0" w:line="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comparability of our consolidated operating results was impacted by the Joint Venture transaction, which closed on January 28, 2011, and the Universal Orlando transaction, which closed on July 1, 2011. The results of operations of the Comcast Content Business and Universal Orlando are included in our consolidated financial statements following their respective transaction dates.</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businesses is subject to seasonal and cyclical variations. Revenue and operating costs and expenses in our Broadcast Television segment are cyclical as a result of our periodic broadcasts of the Olympic Games and Super Bowl games. During the three months ended March 31, 2012, we broadcast the 2012 Super Bowl. Our advertising revenue increased as a result of increased demand for advertising time and our operating costs and expenses also increased as a result of our production costs and amortization of the related rights fees.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revenue increased for the three months ended March 31, 2012 compared to the same period in 2011 primarily due to increases in revenue in our Theme Parks and Cable Networks segments resulting from the impact of the Universal Orlando and Joint Venture transactions, respectively, as well as increases in our Broadcast Television and Filmed Entertainment segments. Revenue for our segments is discussed separately under the heading “Segment Operating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operating costs and expenses increased for the three months ended March 31, 2012 compared to the same period in 2011 primarily due to increases in operating costs and expenses in our Theme Parks and Cable Networks segments resulting from the impact of the Universal Orlando and Joint Venture transactions, respectively, as well as increases in our Broadcast Television and Filmed Entertainment segments. Operating costs and expenses for our segments are discussed separately under the heading “Segment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2012 increased compared with the same period in 2011 primarily due to the impact of consolidating Universal Orlando in the current period. Amortization expense for the three months ended March 31, 2012 increased compared with the same period in 2011 primarily due to the amortization of the intangible assets recorded as a result of the Joint Venture and Universal Orlando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14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4"/>
                <w:szCs w:val="14"/>
                <w:color w:val="auto"/>
                <w:w w:val="95"/>
              </w:rPr>
              <w:t>Predecessor</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w w:val="95"/>
              </w:rPr>
              <w:t>Combined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20" w:type="dxa"/>
            <w:vAlign w:val="bottom"/>
            <w:gridSpan w:val="2"/>
          </w:tcPr>
          <w:p>
            <w:pPr>
              <w:jc w:val="right"/>
              <w:ind w:right="255"/>
              <w:spacing w:after="0" w:line="129" w:lineRule="exact"/>
              <w:rPr>
                <w:sz w:val="20"/>
                <w:szCs w:val="20"/>
                <w:color w:val="auto"/>
              </w:rPr>
            </w:pPr>
            <w:r>
              <w:rPr>
                <w:rFonts w:ascii="Times New Roman" w:cs="Times New Roman" w:eastAsia="Times New Roman" w:hAnsi="Times New Roman"/>
                <w:sz w:val="14"/>
                <w:szCs w:val="14"/>
                <w:color w:val="auto"/>
              </w:rPr>
              <w:t>Three Months</w:t>
            </w:r>
          </w:p>
        </w:tc>
        <w:tc>
          <w:tcPr>
            <w:tcW w:w="320" w:type="dxa"/>
            <w:vAlign w:val="bottom"/>
          </w:tcPr>
          <w:p>
            <w:pPr>
              <w:spacing w:after="0"/>
              <w:rPr>
                <w:sz w:val="11"/>
                <w:szCs w:val="11"/>
                <w:color w:val="auto"/>
              </w:rPr>
            </w:pPr>
          </w:p>
        </w:tc>
        <w:tc>
          <w:tcPr>
            <w:tcW w:w="1520" w:type="dxa"/>
            <w:vAlign w:val="bottom"/>
            <w:tcBorders>
              <w:right w:val="single" w:sz="8" w:color="auto"/>
            </w:tcBorders>
            <w:gridSpan w:val="2"/>
          </w:tcPr>
          <w:p>
            <w:pPr>
              <w:jc w:val="center"/>
              <w:ind w:right="720"/>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center"/>
              <w:ind w:right="27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200" w:type="dxa"/>
            <w:vAlign w:val="bottom"/>
            <w:gridSpan w:val="2"/>
          </w:tcPr>
          <w:p>
            <w:pPr>
              <w:jc w:val="center"/>
              <w:ind w:left="39"/>
              <w:spacing w:after="0" w:line="129" w:lineRule="exact"/>
              <w:rPr>
                <w:sz w:val="20"/>
                <w:szCs w:val="20"/>
                <w:color w:val="auto"/>
              </w:rPr>
            </w:pPr>
            <w:r>
              <w:rPr>
                <w:rFonts w:ascii="Times New Roman" w:cs="Times New Roman" w:eastAsia="Times New Roman" w:hAnsi="Times New Roman"/>
                <w:sz w:val="14"/>
                <w:szCs w:val="14"/>
                <w:color w:val="auto"/>
                <w:w w:val="96"/>
              </w:rPr>
              <w:t>Three Months</w:t>
            </w:r>
          </w:p>
        </w:tc>
        <w:tc>
          <w:tcPr>
            <w:tcW w:w="1180" w:type="dxa"/>
            <w:vAlign w:val="bottom"/>
          </w:tcPr>
          <w:p>
            <w:pPr>
              <w:jc w:val="center"/>
              <w:ind w:left="56"/>
              <w:spacing w:after="0" w:line="129" w:lineRule="exact"/>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455"/>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840" w:type="dxa"/>
            <w:vAlign w:val="bottom"/>
            <w:tcBorders>
              <w:right w:val="single" w:sz="8" w:color="auto"/>
            </w:tcBorders>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right="276"/>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c>
          <w:tcPr>
            <w:tcW w:w="3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180" w:type="dxa"/>
            <w:vAlign w:val="bottom"/>
          </w:tcPr>
          <w:p>
            <w:pPr>
              <w:jc w:val="center"/>
              <w:ind w:left="56"/>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March 31, 2012</w:t>
            </w:r>
          </w:p>
        </w:tc>
        <w:tc>
          <w:tcPr>
            <w:tcW w:w="1840" w:type="dxa"/>
            <w:vAlign w:val="bottom"/>
            <w:tcBorders>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480" w:type="dxa"/>
            <w:vAlign w:val="bottom"/>
          </w:tcPr>
          <w:p>
            <w:pPr>
              <w:spacing w:after="0"/>
              <w:rPr>
                <w:sz w:val="15"/>
                <w:szCs w:val="15"/>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 January 28, 2011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March 31, 2011</w:t>
            </w:r>
          </w:p>
        </w:tc>
        <w:tc>
          <w:tcPr>
            <w:tcW w:w="1180" w:type="dxa"/>
            <w:vAlign w:val="bottom"/>
          </w:tcPr>
          <w:p>
            <w:pPr>
              <w:jc w:val="center"/>
              <w:ind w:left="76"/>
              <w:spacing w:after="0"/>
              <w:rPr>
                <w:sz w:val="20"/>
                <w:szCs w:val="20"/>
                <w:color w:val="auto"/>
              </w:rPr>
            </w:pPr>
            <w:r>
              <w:rPr>
                <w:rFonts w:ascii="Times New Roman" w:cs="Times New Roman" w:eastAsia="Times New Roman" w:hAnsi="Times New Roman"/>
                <w:sz w:val="14"/>
                <w:szCs w:val="14"/>
                <w:color w:val="auto"/>
                <w:w w:val="92"/>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6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right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 Networks</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2,138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1,400</w:t>
            </w:r>
          </w:p>
        </w:tc>
        <w:tc>
          <w:tcPr>
            <w:tcW w:w="520" w:type="dxa"/>
            <w:vAlign w:val="bottom"/>
            <w:tcBorders>
              <w:right w:val="single" w:sz="8" w:color="auto"/>
            </w:tcBorders>
          </w:tcPr>
          <w:p>
            <w:pPr>
              <w:spacing w:after="0"/>
              <w:rPr>
                <w:sz w:val="18"/>
                <w:szCs w:val="18"/>
                <w:color w:val="auto"/>
              </w:rPr>
            </w:pPr>
          </w:p>
        </w:tc>
        <w:tc>
          <w:tcPr>
            <w:tcW w:w="9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389</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Broadcast Television</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888</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464</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1,352</w:t>
            </w:r>
          </w:p>
        </w:tc>
        <w:tc>
          <w:tcPr>
            <w:tcW w:w="118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Filmed Entertainment</w:t>
            </w:r>
          </w:p>
        </w:tc>
        <w:tc>
          <w:tcPr>
            <w:tcW w:w="56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1,192</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622</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975</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Theme Parks</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390</w:t>
            </w:r>
          </w:p>
        </w:tc>
        <w:tc>
          <w:tcPr>
            <w:tcW w:w="118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Headquarters and Other</w:t>
            </w:r>
          </w:p>
        </w:tc>
        <w:tc>
          <w:tcPr>
            <w:tcW w:w="56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Eliminations</w:t>
            </w:r>
          </w:p>
        </w:tc>
        <w:tc>
          <w:tcPr>
            <w:tcW w:w="5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180" w:type="dxa"/>
            <w:vAlign w:val="bottom"/>
            <w:tcBorders>
              <w:bottom w:val="single" w:sz="8" w:color="auto"/>
            </w:tcBorders>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5,472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2,911</w:t>
            </w:r>
          </w:p>
        </w:tc>
        <w:tc>
          <w:tcPr>
            <w:tcW w:w="5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1,206</w:t>
            </w:r>
          </w:p>
        </w:tc>
        <w:tc>
          <w:tcPr>
            <w:tcW w:w="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4,117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420" w:type="dxa"/>
            <w:vAlign w:val="bottom"/>
            <w:shd w:val="clear" w:color="auto" w:fill="E5E5E5"/>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6"/>
              </w:rPr>
              <w:t>Operating Income (Loss) Before Depreciation</w:t>
            </w:r>
          </w:p>
        </w:tc>
        <w:tc>
          <w:tcPr>
            <w:tcW w:w="5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20" w:type="dxa"/>
            <w:vAlign w:val="bottom"/>
            <w:tcBorders>
              <w:right w:val="single" w:sz="8" w:color="auto"/>
            </w:tcBorders>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5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520" w:type="dxa"/>
            <w:vAlign w:val="bottom"/>
            <w:tcBorders>
              <w:right w:val="single" w:sz="8" w:color="auto"/>
            </w:tcBorders>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1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 Networks</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805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599</w:t>
            </w:r>
          </w:p>
        </w:tc>
        <w:tc>
          <w:tcPr>
            <w:tcW w:w="520" w:type="dxa"/>
            <w:vAlign w:val="bottom"/>
            <w:tcBorders>
              <w:right w:val="single" w:sz="8" w:color="auto"/>
            </w:tcBorders>
          </w:tcPr>
          <w:p>
            <w:pPr>
              <w:spacing w:after="0"/>
              <w:rPr>
                <w:sz w:val="18"/>
                <w:szCs w:val="18"/>
                <w:color w:val="auto"/>
              </w:rPr>
            </w:pPr>
          </w:p>
        </w:tc>
        <w:tc>
          <w:tcPr>
            <w:tcW w:w="9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Broadcast Television</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Filmed Entertainment</w:t>
            </w:r>
          </w:p>
        </w:tc>
        <w:tc>
          <w:tcPr>
            <w:tcW w:w="56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Theme Parks</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134</w:t>
            </w:r>
          </w:p>
        </w:tc>
        <w:tc>
          <w:tcPr>
            <w:tcW w:w="118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bottom w:val="single" w:sz="8" w:color="auto"/>
            </w:tcBorders>
            <w:shd w:val="clear" w:color="auto" w:fill="E5E5E5"/>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813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392</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980" w:type="dxa"/>
            <w:vAlign w:val="bottom"/>
            <w:tcBorders>
              <w:bottom w:val="single" w:sz="8" w:color="auto"/>
            </w:tcBorders>
            <w:gridSpan w:val="2"/>
            <w:shd w:val="clear" w:color="auto" w:fill="E5E5E5"/>
          </w:tcPr>
          <w:p>
            <w:pPr>
              <w:ind w:left="9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35</w:t>
            </w:r>
          </w:p>
        </w:tc>
        <w:tc>
          <w:tcPr>
            <w:tcW w:w="34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427</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74"/>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4"/>
                <w:szCs w:val="14"/>
                <w:color w:val="auto"/>
                <w:w w:val="95"/>
              </w:rPr>
              <w:t>Predecessor</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color w:val="auto"/>
                <w:w w:val="95"/>
              </w:rPr>
              <w:t>Combined</w:t>
            </w:r>
          </w:p>
        </w:tc>
        <w:tc>
          <w:tcPr>
            <w:tcW w:w="11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99"/>
              <w:spacing w:after="0" w:line="136" w:lineRule="exact"/>
              <w:rPr>
                <w:sz w:val="20"/>
                <w:szCs w:val="20"/>
                <w:color w:val="auto"/>
              </w:rPr>
            </w:pPr>
            <w:r>
              <w:rPr>
                <w:rFonts w:ascii="Times New Roman" w:cs="Times New Roman" w:eastAsia="Times New Roman" w:hAnsi="Times New Roman"/>
                <w:sz w:val="14"/>
                <w:szCs w:val="14"/>
                <w:color w:val="auto"/>
                <w:w w:val="97"/>
              </w:rPr>
              <w:t>For the Period</w:t>
            </w:r>
          </w:p>
        </w:tc>
        <w:tc>
          <w:tcPr>
            <w:tcW w:w="5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jc w:val="center"/>
              <w:ind w:right="260"/>
              <w:spacing w:after="0" w:line="136" w:lineRule="exact"/>
              <w:rPr>
                <w:sz w:val="20"/>
                <w:szCs w:val="20"/>
                <w:color w:val="auto"/>
              </w:rPr>
            </w:pPr>
            <w:r>
              <w:rPr>
                <w:rFonts w:ascii="Times New Roman" w:cs="Times New Roman" w:eastAsia="Times New Roman" w:hAnsi="Times New Roman"/>
                <w:sz w:val="14"/>
                <w:szCs w:val="14"/>
                <w:color w:val="auto"/>
                <w:w w:val="97"/>
              </w:rPr>
              <w:t>For the Period</w:t>
            </w: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60" w:type="dxa"/>
            <w:vAlign w:val="bottom"/>
            <w:tcBorders>
              <w:right w:val="single" w:sz="8" w:color="auto"/>
            </w:tcBorders>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w w:val="95"/>
              </w:rPr>
              <w:t>January 29, 2011 to</w:t>
            </w:r>
          </w:p>
        </w:tc>
        <w:tc>
          <w:tcPr>
            <w:tcW w:w="420" w:type="dxa"/>
            <w:vAlign w:val="bottom"/>
          </w:tcPr>
          <w:p>
            <w:pPr>
              <w:spacing w:after="0"/>
              <w:rPr>
                <w:sz w:val="12"/>
                <w:szCs w:val="12"/>
                <w:color w:val="auto"/>
              </w:rPr>
            </w:pPr>
          </w:p>
        </w:tc>
        <w:tc>
          <w:tcPr>
            <w:tcW w:w="1780" w:type="dxa"/>
            <w:vAlign w:val="bottom"/>
            <w:gridSpan w:val="2"/>
          </w:tcPr>
          <w:p>
            <w:pPr>
              <w:jc w:val="center"/>
              <w:ind w:left="179"/>
              <w:spacing w:after="0" w:line="149" w:lineRule="exact"/>
              <w:rPr>
                <w:sz w:val="20"/>
                <w:szCs w:val="20"/>
                <w:color w:val="auto"/>
              </w:rPr>
            </w:pPr>
            <w:r>
              <w:rPr>
                <w:rFonts w:ascii="Times New Roman" w:cs="Times New Roman" w:eastAsia="Times New Roman" w:hAnsi="Times New Roman"/>
                <w:sz w:val="14"/>
                <w:szCs w:val="14"/>
                <w:color w:val="auto"/>
                <w:w w:val="96"/>
              </w:rPr>
              <w:t>January 1, 2011 to</w:t>
            </w:r>
          </w:p>
        </w:tc>
        <w:tc>
          <w:tcPr>
            <w:tcW w:w="1440" w:type="dxa"/>
            <w:vAlign w:val="bottom"/>
            <w:gridSpan w:val="2"/>
          </w:tcPr>
          <w:p>
            <w:pPr>
              <w:jc w:val="center"/>
              <w:ind w:left="99"/>
              <w:spacing w:after="0" w:line="14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10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0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2"/>
                <w:szCs w:val="12"/>
                <w:color w:val="auto"/>
              </w:rPr>
            </w:pPr>
          </w:p>
        </w:tc>
        <w:tc>
          <w:tcPr>
            <w:tcW w:w="1540" w:type="dxa"/>
            <w:vAlign w:val="bottom"/>
            <w:tcBorders>
              <w:right w:val="single" w:sz="8" w:color="auto"/>
            </w:tcBorders>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440" w:type="dxa"/>
            <w:vAlign w:val="bottom"/>
          </w:tcPr>
          <w:p>
            <w:pPr>
              <w:spacing w:after="0"/>
              <w:rPr>
                <w:sz w:val="12"/>
                <w:szCs w:val="12"/>
                <w:color w:val="auto"/>
              </w:rPr>
            </w:pPr>
          </w:p>
        </w:tc>
        <w:tc>
          <w:tcPr>
            <w:tcW w:w="10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10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2011 to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w w:val="96"/>
              </w:rPr>
              <w:t>March 31, 2012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color w:val="auto"/>
                <w:w w:val="92"/>
              </w:rPr>
              <w:t>2011</w:t>
            </w:r>
          </w:p>
        </w:tc>
        <w:tc>
          <w:tcPr>
            <w:tcW w:w="54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2"/>
              </w:rPr>
              <w:t>2011</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color w:val="auto"/>
                <w:w w:val="99"/>
              </w:rPr>
              <w:t>2011</w:t>
            </w: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10"/>
        </w:trPr>
        <w:tc>
          <w:tcPr>
            <w:tcW w:w="29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1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540" w:type="dxa"/>
            <w:vAlign w:val="bottom"/>
            <w:tcBorders>
              <w:righ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5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16"/>
        </w:trPr>
        <w:tc>
          <w:tcPr>
            <w:tcW w:w="29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54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397"/>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40" w:type="dxa"/>
            <w:vAlign w:val="bottom"/>
            <w:tcBorders>
              <w:righ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100" w:type="dxa"/>
            <w:vAlign w:val="bottom"/>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29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397"/>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540" w:type="dxa"/>
            <w:vAlign w:val="bottom"/>
            <w:tcBorders>
              <w:righ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389</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100" w:type="dxa"/>
            <w:vAlign w:val="bottom"/>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5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1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93"/>
        </w:trPr>
        <w:tc>
          <w:tcPr>
            <w:tcW w:w="296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before depreciation</w:t>
            </w:r>
          </w:p>
        </w:tc>
        <w:tc>
          <w:tcPr>
            <w:tcW w:w="540" w:type="dxa"/>
            <w:vAlign w:val="bottom"/>
            <w:shd w:val="clear" w:color="auto" w:fill="E5E5E5"/>
          </w:tcPr>
          <w:p>
            <w:pPr>
              <w:spacing w:after="0"/>
              <w:rPr>
                <w:sz w:val="16"/>
                <w:szCs w:val="16"/>
                <w:color w:val="auto"/>
              </w:rPr>
            </w:pPr>
          </w:p>
        </w:tc>
        <w:tc>
          <w:tcPr>
            <w:tcW w:w="1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40" w:type="dxa"/>
            <w:vAlign w:val="bottom"/>
            <w:tcBorders>
              <w:right w:val="single" w:sz="8" w:color="auto"/>
            </w:tcBorders>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96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54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E5E5E5"/>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805</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540" w:type="dxa"/>
            <w:vAlign w:val="bottom"/>
            <w:tcBorders>
              <w:bottom w:val="single" w:sz="8" w:color="auto"/>
              <w:right w:val="single" w:sz="8" w:color="auto"/>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143</w:t>
            </w:r>
          </w:p>
        </w:tc>
        <w:tc>
          <w:tcPr>
            <w:tcW w:w="440" w:type="dxa"/>
            <w:vAlign w:val="bottom"/>
            <w:tcBorders>
              <w:bottom w:val="single" w:sz="8" w:color="auto"/>
            </w:tcBorders>
            <w:shd w:val="clear" w:color="auto" w:fill="E5E5E5"/>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100" w:type="dxa"/>
            <w:vAlign w:val="bottom"/>
            <w:tcBorders>
              <w:bottom w:val="single" w:sz="8" w:color="auto"/>
            </w:tcBorders>
            <w:shd w:val="clear" w:color="auto" w:fill="E5E5E5"/>
          </w:tcPr>
          <w:p>
            <w:pPr>
              <w:ind w:left="600"/>
              <w:spacing w:after="0"/>
              <w:rPr>
                <w:sz w:val="20"/>
                <w:szCs w:val="20"/>
                <w:color w:val="auto"/>
              </w:rPr>
            </w:pPr>
            <w:r>
              <w:rPr>
                <w:rFonts w:ascii="Times New Roman" w:cs="Times New Roman" w:eastAsia="Times New Roman" w:hAnsi="Times New Roman"/>
                <w:sz w:val="18"/>
                <w:szCs w:val="18"/>
                <w:b w:val="1"/>
                <w:bCs w:val="1"/>
                <w:color w:val="auto"/>
              </w:rPr>
              <w:t>8.5 %</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Networks revenue for the three months ended March 31, 2012 included three months of operating results of the Comcast Content Business, compared to two months of operating results for the same period in 2011, which accounted for $231 million of the increase in revenue in the current period. The remaining increase is due to increases in distribution, advertising and other revenue. The increase in distribution revenue was primarily due to rate increases, and the increase in advertising revenue was primarily due to an increase in the price of advertising units sold. Other revenue increased primarily due to an increase in the licensing of our owned content from our cable production studio.</w:t>
      </w:r>
    </w:p>
    <w:p>
      <w:pPr>
        <w:spacing w:after="0" w:line="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three months ended March 31, 2012 and 2011, 13% and 14%, respectively, of our total Cable Networks segment revenue was generated from transactions with Comcast.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operating costs and expenses for the three months ended March 31, 2012 included three months of operating expenses of the Comcast Content Business, compared to two months of operating expenses for the same period in 2011, which accounted for $168 million of the increase in operating expenses in the current period. The remaining increase is primarily due to higher programming and production expenses, including an increase in rights costs associated with additional NBA games in the current period compared to the prior year period, resulting from the condensed NBA schedule following the lockout at the beginning of the 2011-12 season.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Broadcast Television Segment </w:t>
      </w:r>
      <w:r>
        <w:rPr>
          <w:rFonts w:ascii="Times New Roman" w:cs="Times New Roman" w:eastAsia="Times New Roman" w:hAnsi="Times New Roman"/>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4"/>
                <w:szCs w:val="14"/>
                <w:color w:val="auto"/>
                <w:w w:val="98"/>
              </w:rPr>
              <w:t>Predecessor</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color w:val="auto"/>
                <w:w w:val="95"/>
              </w:rPr>
              <w:t>Combined</w:t>
            </w:r>
          </w:p>
        </w:tc>
        <w:tc>
          <w:tcPr>
            <w:tcW w:w="122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9"/>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5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660" w:type="dxa"/>
            <w:vAlign w:val="bottom"/>
            <w:tcBorders>
              <w:right w:val="single" w:sz="8" w:color="auto"/>
            </w:tcBorders>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5"/>
              </w:rPr>
              <w:t>January 29, 2011 to</w:t>
            </w:r>
          </w:p>
        </w:tc>
        <w:tc>
          <w:tcPr>
            <w:tcW w:w="500" w:type="dxa"/>
            <w:vAlign w:val="bottom"/>
          </w:tcPr>
          <w:p>
            <w:pPr>
              <w:spacing w:after="0"/>
              <w:rPr>
                <w:sz w:val="12"/>
                <w:szCs w:val="12"/>
                <w:color w:val="auto"/>
              </w:rPr>
            </w:pPr>
          </w:p>
        </w:tc>
        <w:tc>
          <w:tcPr>
            <w:tcW w:w="170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c>
          <w:tcPr>
            <w:tcW w:w="1420" w:type="dxa"/>
            <w:vAlign w:val="bottom"/>
            <w:gridSpan w:val="2"/>
          </w:tcPr>
          <w:p>
            <w:pPr>
              <w:jc w:val="center"/>
              <w:ind w:left="79"/>
              <w:spacing w:after="0" w:line="14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220" w:type="dxa"/>
            <w:vAlign w:val="bottom"/>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jc w:val="right"/>
              <w:ind w:right="719"/>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4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420" w:type="dxa"/>
            <w:vAlign w:val="bottom"/>
          </w:tcPr>
          <w:p>
            <w:pPr>
              <w:spacing w:after="0"/>
              <w:rPr>
                <w:sz w:val="12"/>
                <w:szCs w:val="12"/>
                <w:color w:val="auto"/>
              </w:rPr>
            </w:pPr>
          </w:p>
        </w:tc>
        <w:tc>
          <w:tcPr>
            <w:tcW w:w="10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220" w:type="dxa"/>
            <w:vAlign w:val="bottom"/>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2011 to</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color w:val="auto"/>
              </w:rPr>
              <w:t>2012</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color w:val="auto"/>
                <w:w w:val="92"/>
              </w:rPr>
              <w:t>2011</w:t>
            </w:r>
          </w:p>
        </w:tc>
        <w:tc>
          <w:tcPr>
            <w:tcW w:w="52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4"/>
                <w:szCs w:val="14"/>
                <w:color w:val="auto"/>
                <w:w w:val="92"/>
              </w:rPr>
              <w:t>2011</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color w:val="auto"/>
                <w:w w:val="92"/>
              </w:rPr>
              <w:t>2011</w:t>
            </w:r>
          </w:p>
        </w:tc>
        <w:tc>
          <w:tcPr>
            <w:tcW w:w="12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10"/>
        </w:trPr>
        <w:tc>
          <w:tcPr>
            <w:tcW w:w="28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520" w:type="dxa"/>
            <w:vAlign w:val="bottom"/>
            <w:tcBorders>
              <w:right w:val="single" w:sz="8" w:color="auto"/>
            </w:tcBorders>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16"/>
        </w:trPr>
        <w:tc>
          <w:tcPr>
            <w:tcW w:w="28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58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419"/>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20" w:type="dxa"/>
            <w:vAlign w:val="bottom"/>
            <w:shd w:val="clear" w:color="auto" w:fill="E5E5E5"/>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28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419"/>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4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20" w:type="dxa"/>
            <w:vAlign w:val="bottom"/>
            <w:shd w:val="clear" w:color="auto" w:fill="E5E5E5"/>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93"/>
        </w:trPr>
        <w:tc>
          <w:tcPr>
            <w:tcW w:w="288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(loss) before</w:t>
            </w:r>
          </w:p>
        </w:tc>
        <w:tc>
          <w:tcPr>
            <w:tcW w:w="580" w:type="dxa"/>
            <w:vAlign w:val="bottom"/>
            <w:shd w:val="clear" w:color="auto" w:fill="E5E5E5"/>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8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80" w:type="dxa"/>
            <w:vAlign w:val="bottom"/>
            <w:tcBorders>
              <w:bottom w:val="single" w:sz="8" w:color="auto"/>
            </w:tcBorders>
            <w:shd w:val="clear" w:color="auto" w:fill="E5E5E5"/>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E5E5E5"/>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102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tcBorders>
              <w:bottom w:val="single" w:sz="8" w:color="auto"/>
            </w:tcBorders>
            <w:shd w:val="clear" w:color="auto" w:fill="E5E5E5"/>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(151.7)%</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Our Broadcast Television revenue increased for the three months ended March 31, 2012 compared to the same period in 2011 primarily due to increases in both advertising and content licensing revenue. The increase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advertising revenue was primarily due to $259 million associated with the broadcast of the 2012 Super Bowl, as well as increases in the price of advertising units sold and increases in primetime ratings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increase in content licensing revenue was primarily due to content made available under licensing agreements that were not in effect in the prior year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operating costs and expenses increased for the three months ended March 31, 2012 compared to the same period in 2011 primarily due to higher programming and production expenses associated with our broadcast of the 2012 Super Bowl. We also incurred higher programming, production and advertising costs associated with our mid-season primetime schedule.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Filmed Entertainment Segment </w:t>
      </w:r>
      <w:r>
        <w:rPr>
          <w:rFonts w:ascii="Times New Roman" w:cs="Times New Roman" w:eastAsia="Times New Roman" w:hAnsi="Times New Roman"/>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5"/>
              </w:rPr>
              <w:t>Predecessor</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color w:val="auto"/>
                <w:w w:val="95"/>
              </w:rPr>
              <w:t>Combined</w:t>
            </w:r>
          </w:p>
        </w:tc>
        <w:tc>
          <w:tcPr>
            <w:tcW w:w="112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0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680" w:type="dxa"/>
            <w:vAlign w:val="bottom"/>
            <w:tcBorders>
              <w:right w:val="single" w:sz="8" w:color="auto"/>
            </w:tcBorders>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5"/>
              </w:rPr>
              <w:t>January 29, 2011 to</w:t>
            </w:r>
          </w:p>
        </w:tc>
        <w:tc>
          <w:tcPr>
            <w:tcW w:w="500" w:type="dxa"/>
            <w:vAlign w:val="bottom"/>
          </w:tcPr>
          <w:p>
            <w:pPr>
              <w:spacing w:after="0"/>
              <w:rPr>
                <w:sz w:val="12"/>
                <w:szCs w:val="12"/>
                <w:color w:val="auto"/>
              </w:rPr>
            </w:pPr>
          </w:p>
        </w:tc>
        <w:tc>
          <w:tcPr>
            <w:tcW w:w="162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w w:val="96"/>
              </w:rPr>
              <w:t>January 1, 2011 to</w:t>
            </w:r>
          </w:p>
        </w:tc>
        <w:tc>
          <w:tcPr>
            <w:tcW w:w="1480" w:type="dxa"/>
            <w:vAlign w:val="bottom"/>
            <w:gridSpan w:val="2"/>
          </w:tcPr>
          <w:p>
            <w:pPr>
              <w:jc w:val="center"/>
              <w:ind w:left="19"/>
              <w:spacing w:after="0" w:line="14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12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jc w:val="right"/>
              <w:ind w:right="678"/>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420" w:type="dxa"/>
            <w:vAlign w:val="bottom"/>
          </w:tcPr>
          <w:p>
            <w:pPr>
              <w:spacing w:after="0"/>
              <w:rPr>
                <w:sz w:val="12"/>
                <w:szCs w:val="12"/>
                <w:color w:val="auto"/>
              </w:rPr>
            </w:pPr>
          </w:p>
        </w:tc>
        <w:tc>
          <w:tcPr>
            <w:tcW w:w="10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12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2011 to</w:t>
            </w:r>
          </w:p>
        </w:tc>
        <w:tc>
          <w:tcPr>
            <w:tcW w:w="0" w:type="dxa"/>
            <w:vAlign w:val="bottom"/>
          </w:tcPr>
          <w:p>
            <w:pPr>
              <w:spacing w:after="0"/>
              <w:rPr>
                <w:sz w:val="1"/>
                <w:szCs w:val="1"/>
                <w:color w:val="auto"/>
              </w:rPr>
            </w:pPr>
          </w:p>
        </w:tc>
      </w:tr>
      <w:tr>
        <w:trPr>
          <w:trHeight w:val="161"/>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color w:val="auto"/>
                <w:w w:val="92"/>
              </w:rPr>
              <w:t>2011</w:t>
            </w:r>
          </w:p>
        </w:tc>
        <w:tc>
          <w:tcPr>
            <w:tcW w:w="50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color w:val="auto"/>
                <w:w w:val="92"/>
              </w:rPr>
              <w:t>2011</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color w:val="auto"/>
                <w:w w:val="92"/>
              </w:rPr>
              <w:t>2011</w:t>
            </w: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10"/>
        </w:trPr>
        <w:tc>
          <w:tcPr>
            <w:tcW w:w="30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Theatrical</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119</w:t>
            </w:r>
          </w:p>
        </w:tc>
        <w:tc>
          <w:tcPr>
            <w:tcW w:w="500" w:type="dxa"/>
            <w:vAlign w:val="bottom"/>
            <w:tcBorders>
              <w:right w:val="single" w:sz="8" w:color="auto"/>
            </w:tcBorders>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177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0" w:type="dxa"/>
            <w:vAlign w:val="bottom"/>
          </w:tcPr>
          <w:p>
            <w:pPr>
              <w:spacing w:after="0"/>
              <w:rPr>
                <w:sz w:val="1"/>
                <w:szCs w:val="1"/>
                <w:color w:val="auto"/>
              </w:rPr>
            </w:pPr>
          </w:p>
        </w:tc>
      </w:tr>
      <w:tr>
        <w:trPr>
          <w:trHeight w:val="216"/>
        </w:trPr>
        <w:tc>
          <w:tcPr>
            <w:tcW w:w="3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5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378"/>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8"/>
              <w:spacing w:after="0"/>
              <w:rPr>
                <w:sz w:val="20"/>
                <w:szCs w:val="20"/>
                <w:color w:val="auto"/>
              </w:rPr>
            </w:pPr>
            <w:r>
              <w:rPr>
                <w:rFonts w:ascii="Times New Roman" w:cs="Times New Roman" w:eastAsia="Times New Roman" w:hAnsi="Times New Roman"/>
                <w:sz w:val="18"/>
                <w:szCs w:val="18"/>
                <w:color w:val="auto"/>
              </w:rPr>
              <w:t>218</w:t>
            </w:r>
          </w:p>
        </w:tc>
        <w:tc>
          <w:tcPr>
            <w:tcW w:w="5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389</w:t>
            </w:r>
          </w:p>
        </w:tc>
        <w:tc>
          <w:tcPr>
            <w:tcW w:w="1120" w:type="dxa"/>
            <w:vAlign w:val="bottom"/>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entertainment</w:t>
            </w:r>
          </w:p>
        </w:tc>
        <w:tc>
          <w:tcPr>
            <w:tcW w:w="580" w:type="dxa"/>
            <w:vAlign w:val="bottom"/>
          </w:tcPr>
          <w:p>
            <w:pPr>
              <w:spacing w:after="0"/>
              <w:rPr>
                <w:sz w:val="18"/>
                <w:szCs w:val="18"/>
                <w:color w:val="auto"/>
              </w:rPr>
            </w:pPr>
          </w:p>
        </w:tc>
        <w:tc>
          <w:tcPr>
            <w:tcW w:w="142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207</w:t>
            </w:r>
          </w:p>
        </w:tc>
        <w:tc>
          <w:tcPr>
            <w:tcW w:w="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378"/>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38"/>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tcBorders>
              <w:bottom w:val="single" w:sz="8" w:color="auto"/>
            </w:tcBorders>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80" w:type="dxa"/>
            <w:vAlign w:val="bottom"/>
          </w:tcPr>
          <w:p>
            <w:pPr>
              <w:spacing w:after="0"/>
              <w:rPr>
                <w:sz w:val="18"/>
                <w:szCs w:val="18"/>
                <w:color w:val="auto"/>
              </w:rPr>
            </w:pPr>
          </w:p>
        </w:tc>
        <w:tc>
          <w:tcPr>
            <w:tcW w:w="142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622</w:t>
            </w:r>
          </w:p>
        </w:tc>
        <w:tc>
          <w:tcPr>
            <w:tcW w:w="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42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975</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378"/>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38"/>
              <w:spacing w:after="0"/>
              <w:rPr>
                <w:sz w:val="20"/>
                <w:szCs w:val="20"/>
                <w:color w:val="auto"/>
              </w:rPr>
            </w:pPr>
            <w:r>
              <w:rPr>
                <w:rFonts w:ascii="Times New Roman" w:cs="Times New Roman" w:eastAsia="Times New Roman" w:hAnsi="Times New Roman"/>
                <w:sz w:val="18"/>
                <w:szCs w:val="18"/>
                <w:color w:val="auto"/>
              </w:rPr>
              <w:t>765</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1,117</w:t>
            </w:r>
          </w:p>
        </w:tc>
        <w:tc>
          <w:tcPr>
            <w:tcW w:w="1120" w:type="dxa"/>
            <w:vAlign w:val="bottom"/>
            <w:tcBorders>
              <w:bottom w:val="single" w:sz="8" w:color="auto"/>
            </w:tcBorders>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3"/>
        </w:trPr>
        <w:tc>
          <w:tcPr>
            <w:tcW w:w="30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(loss) before</w:t>
            </w: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5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104.4 %</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Our Filmed Entertainment revenue increased for the three months ended March 31, 2012 compared to the same period in 2011 primarily due to increases in theatrical and home entertainment revenue. The increase in theatrical revenue was primarily due to the release of </w:t>
      </w:r>
      <w:r>
        <w:rPr>
          <w:rFonts w:ascii="Times New Roman" w:cs="Times New Roman" w:eastAsia="Times New Roman" w:hAnsi="Times New Roman"/>
          <w:sz w:val="18"/>
          <w:szCs w:val="18"/>
          <w:i w:val="1"/>
          <w:iCs w:val="1"/>
          <w:color w:val="auto"/>
        </w:rPr>
        <w:t>Dr. Seuss’ The Lorax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Safe House</w:t>
      </w:r>
      <w:r>
        <w:rPr>
          <w:rFonts w:ascii="Times New Roman" w:cs="Times New Roman" w:eastAsia="Times New Roman" w:hAnsi="Times New Roman"/>
          <w:sz w:val="18"/>
          <w:szCs w:val="18"/>
          <w:color w:val="auto"/>
        </w:rPr>
        <w:t xml:space="preserve">. The increase in home entertainment revenue was primarily due to an increase in the number of titles released, which included </w:t>
      </w:r>
      <w:r>
        <w:rPr>
          <w:rFonts w:ascii="Times New Roman" w:cs="Times New Roman" w:eastAsia="Times New Roman" w:hAnsi="Times New Roman"/>
          <w:sz w:val="18"/>
          <w:szCs w:val="18"/>
          <w:i w:val="1"/>
          <w:iCs w:val="1"/>
          <w:color w:val="auto"/>
        </w:rPr>
        <w:t>Hop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Tower Heist</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operating costs and expenses increased for the three months ended March 31, 2012 compared to the same period in 2011 primarily due to higher amortization of film costs resulting from the corresponding increase in theatrical revenue.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 Results of Operations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includes 100% of the results of operations for Universal Orlando for all amounts presented in order to reflect our measure of operating income (loss) before depreciation and amortization for our Theme Parks segment.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Successor</w:t>
            </w:r>
          </w:p>
        </w:tc>
        <w:tc>
          <w:tcPr>
            <w:tcW w:w="8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8"/>
              </w:rPr>
              <w:t>Predecessor</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w w:val="95"/>
              </w:rPr>
              <w:t>Combined</w:t>
            </w:r>
          </w:p>
        </w:tc>
        <w:tc>
          <w:tcPr>
            <w:tcW w:w="10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2"/>
          </w:tcPr>
          <w:p>
            <w:pPr>
              <w:jc w:val="center"/>
              <w:ind w:left="102"/>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5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left="9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262"/>
              <w:spacing w:after="0" w:line="149" w:lineRule="exact"/>
              <w:rPr>
                <w:sz w:val="20"/>
                <w:szCs w:val="20"/>
                <w:color w:val="auto"/>
              </w:rPr>
            </w:pPr>
            <w:r>
              <w:rPr>
                <w:rFonts w:ascii="Times New Roman" w:cs="Times New Roman" w:eastAsia="Times New Roman" w:hAnsi="Times New Roman"/>
                <w:sz w:val="14"/>
                <w:szCs w:val="14"/>
                <w:color w:val="auto"/>
                <w:w w:val="93"/>
              </w:rPr>
              <w:t>Three Months</w:t>
            </w:r>
          </w:p>
        </w:tc>
        <w:tc>
          <w:tcPr>
            <w:tcW w:w="1740" w:type="dxa"/>
            <w:vAlign w:val="bottom"/>
            <w:tcBorders>
              <w:right w:val="single" w:sz="8" w:color="auto"/>
            </w:tcBorders>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500" w:type="dxa"/>
            <w:vAlign w:val="bottom"/>
          </w:tcPr>
          <w:p>
            <w:pPr>
              <w:spacing w:after="0"/>
              <w:rPr>
                <w:sz w:val="12"/>
                <w:szCs w:val="12"/>
                <w:color w:val="auto"/>
              </w:rPr>
            </w:pPr>
          </w:p>
        </w:tc>
        <w:tc>
          <w:tcPr>
            <w:tcW w:w="150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c>
          <w:tcPr>
            <w:tcW w:w="32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6"/>
              </w:rPr>
              <w:t>Three Months</w:t>
            </w:r>
          </w:p>
        </w:tc>
        <w:tc>
          <w:tcPr>
            <w:tcW w:w="10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gridSpan w:val="2"/>
          </w:tcPr>
          <w:p>
            <w:pPr>
              <w:jc w:val="right"/>
              <w:ind w:right="162"/>
              <w:spacing w:after="0" w:line="149" w:lineRule="exact"/>
              <w:rPr>
                <w:sz w:val="20"/>
                <w:szCs w:val="20"/>
                <w:color w:val="auto"/>
              </w:rPr>
            </w:pPr>
            <w:r>
              <w:rPr>
                <w:rFonts w:ascii="Times New Roman" w:cs="Times New Roman" w:eastAsia="Times New Roman" w:hAnsi="Times New Roman"/>
                <w:sz w:val="14"/>
                <w:szCs w:val="14"/>
                <w:color w:val="auto"/>
              </w:rPr>
              <w:t>Ended March 31,</w:t>
            </w:r>
          </w:p>
        </w:tc>
        <w:tc>
          <w:tcPr>
            <w:tcW w:w="34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w w:val="94"/>
              </w:rPr>
              <w:t>to March 31,</w:t>
            </w:r>
          </w:p>
        </w:tc>
        <w:tc>
          <w:tcPr>
            <w:tcW w:w="500" w:type="dxa"/>
            <w:vAlign w:val="bottom"/>
          </w:tcPr>
          <w:p>
            <w:pPr>
              <w:spacing w:after="0"/>
              <w:rPr>
                <w:sz w:val="12"/>
                <w:szCs w:val="12"/>
                <w:color w:val="auto"/>
              </w:rPr>
            </w:pPr>
          </w:p>
        </w:tc>
        <w:tc>
          <w:tcPr>
            <w:tcW w:w="150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Ended March 31,</w:t>
            </w:r>
          </w:p>
        </w:tc>
        <w:tc>
          <w:tcPr>
            <w:tcW w:w="10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2011 to</w:t>
            </w:r>
          </w:p>
        </w:tc>
        <w:tc>
          <w:tcPr>
            <w:tcW w:w="0" w:type="dxa"/>
            <w:vAlign w:val="bottom"/>
          </w:tcPr>
          <w:p>
            <w:pPr>
              <w:spacing w:after="0"/>
              <w:rPr>
                <w:sz w:val="1"/>
                <w:szCs w:val="1"/>
                <w:color w:val="auto"/>
              </w:rPr>
            </w:pPr>
          </w:p>
        </w:tc>
      </w:tr>
      <w:tr>
        <w:trPr>
          <w:trHeight w:val="161"/>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color w:val="auto"/>
              </w:rPr>
              <w:t>2012</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color w:val="auto"/>
                <w:w w:val="99"/>
              </w:rPr>
              <w:t>2011</w:t>
            </w:r>
          </w:p>
        </w:tc>
        <w:tc>
          <w:tcPr>
            <w:tcW w:w="52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2"/>
              </w:rPr>
              <w:t>2011</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w w:val="92"/>
              </w:rPr>
              <w:t>2011</w:t>
            </w:r>
          </w:p>
        </w:tc>
        <w:tc>
          <w:tcPr>
            <w:tcW w:w="10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10"/>
        </w:trPr>
        <w:tc>
          <w:tcPr>
            <w:tcW w:w="37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E5E5"/>
          </w:tcPr>
          <w:p>
            <w:pPr>
              <w:jc w:val="right"/>
              <w:ind w:right="162"/>
              <w:spacing w:after="0"/>
              <w:rPr>
                <w:sz w:val="20"/>
                <w:szCs w:val="20"/>
                <w:color w:val="auto"/>
              </w:rPr>
            </w:pPr>
            <w:r>
              <w:rPr>
                <w:rFonts w:ascii="Times New Roman" w:cs="Times New Roman" w:eastAsia="Times New Roman" w:hAnsi="Times New Roman"/>
                <w:sz w:val="18"/>
                <w:szCs w:val="18"/>
                <w:color w:val="auto"/>
              </w:rPr>
              <w:t>412</w:t>
            </w: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20" w:type="dxa"/>
            <w:vAlign w:val="bottom"/>
            <w:tcBorders>
              <w:right w:val="single" w:sz="8" w:color="auto"/>
            </w:tcBorders>
            <w:shd w:val="clear" w:color="auto" w:fill="E5E5E5"/>
          </w:tcPr>
          <w:p>
            <w:pPr>
              <w:spacing w:after="0"/>
              <w:rPr>
                <w:sz w:val="18"/>
                <w:szCs w:val="18"/>
                <w:color w:val="auto"/>
              </w:rPr>
            </w:pPr>
          </w:p>
        </w:tc>
        <w:tc>
          <w:tcPr>
            <w:tcW w:w="10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6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3"/>
        </w:trPr>
        <w:tc>
          <w:tcPr>
            <w:tcW w:w="378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before depreciation and</w:t>
            </w:r>
          </w:p>
        </w:tc>
        <w:tc>
          <w:tcPr>
            <w:tcW w:w="5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E5E5E5"/>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rPr>
              <w:t>157</w:t>
            </w:r>
          </w:p>
        </w:tc>
        <w:tc>
          <w:tcPr>
            <w:tcW w:w="3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100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60" w:type="dxa"/>
            <w:vAlign w:val="bottom"/>
            <w:tcBorders>
              <w:bottom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b w:val="1"/>
                <w:bCs w:val="1"/>
                <w:color w:val="auto"/>
              </w:rPr>
              <w:t>17.1 %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Our Theme Parks segment revenue increased for the three months ended March 31, 2012 compared to the same period in 2011 primarily due to increases in per capita spending and international guest attendance at our Universal theme parks.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Theme Parks segment operating costs and expenses remained relatively flat for the three months ended March 31, 2012 compared to the same period in 2011.</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Headquarters and other operating costs and expenses decreased for the three months ended March 31, 2012 compared to the same period in 2011 primarily due to $104 million of transaction-related costs associated with the Joint Venture transaction, including severance and other compensation-related costs, included in the prior year period.</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Eliminations include the results of operations for Universal Orlando for the three months ended March 31, 2011. Our Theme Parks segment includes the results of operations of Universal Orlando for this period because these amounts reflect our segment performance measure. These amounts are not included when we measure our consolidated results of operations because we recorded Universal Orlando as an equity method investment for the three months ended March 31, 2011.</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Successor</w:t>
            </w:r>
          </w:p>
        </w:tc>
        <w:tc>
          <w:tcPr>
            <w:tcW w:w="10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color w:val="auto"/>
                <w:w w:val="95"/>
              </w:rPr>
              <w:t>Predecessor</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color w:val="auto"/>
                <w:w w:val="95"/>
              </w:rPr>
              <w:t>Combined</w:t>
            </w:r>
          </w:p>
        </w:tc>
      </w:tr>
      <w:tr>
        <w:trPr>
          <w:trHeight w:val="129"/>
        </w:trPr>
        <w:tc>
          <w:tcPr>
            <w:tcW w:w="4280" w:type="dxa"/>
            <w:vAlign w:val="bottom"/>
          </w:tcPr>
          <w:p>
            <w:pPr>
              <w:spacing w:after="0"/>
              <w:rPr>
                <w:sz w:val="11"/>
                <w:szCs w:val="11"/>
                <w:color w:val="auto"/>
              </w:rPr>
            </w:pPr>
          </w:p>
        </w:tc>
        <w:tc>
          <w:tcPr>
            <w:tcW w:w="1360" w:type="dxa"/>
            <w:vAlign w:val="bottom"/>
            <w:gridSpan w:val="2"/>
          </w:tcPr>
          <w:p>
            <w:pPr>
              <w:jc w:val="center"/>
              <w:ind w:left="319"/>
              <w:spacing w:after="0" w:line="129" w:lineRule="exact"/>
              <w:rPr>
                <w:sz w:val="20"/>
                <w:szCs w:val="20"/>
                <w:color w:val="auto"/>
              </w:rPr>
            </w:pPr>
            <w:r>
              <w:rPr>
                <w:rFonts w:ascii="Times New Roman" w:cs="Times New Roman" w:eastAsia="Times New Roman" w:hAnsi="Times New Roman"/>
                <w:sz w:val="14"/>
                <w:szCs w:val="14"/>
                <w:color w:val="auto"/>
                <w:w w:val="96"/>
              </w:rPr>
              <w:t>Three Months</w:t>
            </w: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2"/>
          </w:tcPr>
          <w:p>
            <w:pPr>
              <w:jc w:val="center"/>
              <w:ind w:left="79"/>
              <w:spacing w:after="0" w:line="129" w:lineRule="exact"/>
              <w:rPr>
                <w:sz w:val="20"/>
                <w:szCs w:val="20"/>
                <w:color w:val="auto"/>
              </w:rPr>
            </w:pPr>
            <w:r>
              <w:rPr>
                <w:rFonts w:ascii="Times New Roman" w:cs="Times New Roman" w:eastAsia="Times New Roman" w:hAnsi="Times New Roman"/>
                <w:sz w:val="14"/>
                <w:szCs w:val="14"/>
                <w:color w:val="auto"/>
                <w:w w:val="96"/>
              </w:rPr>
              <w:t>Three Months</w:t>
            </w:r>
          </w:p>
        </w:tc>
      </w:tr>
      <w:tr>
        <w:trPr>
          <w:trHeight w:val="149"/>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60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color w:val="auto"/>
                <w:w w:val="94"/>
              </w:rPr>
              <w:t>For the Period</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center"/>
              <w:ind w:right="358"/>
              <w:spacing w:after="0" w:line="149" w:lineRule="exact"/>
              <w:rPr>
                <w:sz w:val="20"/>
                <w:szCs w:val="20"/>
                <w:color w:val="auto"/>
              </w:rPr>
            </w:pPr>
            <w:r>
              <w:rPr>
                <w:rFonts w:ascii="Times New Roman" w:cs="Times New Roman" w:eastAsia="Times New Roman" w:hAnsi="Times New Roman"/>
                <w:sz w:val="14"/>
                <w:szCs w:val="14"/>
                <w:color w:val="auto"/>
                <w:w w:val="97"/>
              </w:rPr>
              <w:t>For the Period</w:t>
            </w:r>
          </w:p>
        </w:tc>
        <w:tc>
          <w:tcPr>
            <w:tcW w:w="380" w:type="dxa"/>
            <w:vAlign w:val="bottom"/>
          </w:tcPr>
          <w:p>
            <w:pPr>
              <w:spacing w:after="0"/>
              <w:rPr>
                <w:sz w:val="12"/>
                <w:szCs w:val="12"/>
                <w:color w:val="auto"/>
              </w:rPr>
            </w:pPr>
          </w:p>
        </w:tc>
        <w:tc>
          <w:tcPr>
            <w:tcW w:w="78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w w:val="94"/>
              </w:rPr>
              <w:t>Ended</w:t>
            </w:r>
          </w:p>
        </w:tc>
      </w:tr>
      <w:tr>
        <w:trPr>
          <w:trHeight w:val="149"/>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2220" w:type="dxa"/>
            <w:vAlign w:val="bottom"/>
            <w:tcBorders>
              <w:right w:val="single" w:sz="8" w:color="auto"/>
            </w:tcBorders>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580" w:type="dxa"/>
            <w:vAlign w:val="bottom"/>
          </w:tcPr>
          <w:p>
            <w:pPr>
              <w:spacing w:after="0"/>
              <w:rPr>
                <w:sz w:val="12"/>
                <w:szCs w:val="12"/>
                <w:color w:val="auto"/>
              </w:rPr>
            </w:pPr>
          </w:p>
        </w:tc>
        <w:tc>
          <w:tcPr>
            <w:tcW w:w="182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6"/>
              </w:rPr>
              <w:t>January 1, 2011 to</w:t>
            </w:r>
          </w:p>
        </w:tc>
        <w:tc>
          <w:tcPr>
            <w:tcW w:w="38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r>
      <w:tr>
        <w:trPr>
          <w:trHeight w:val="16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color w:val="auto"/>
                <w:w w:val="99"/>
              </w:rPr>
              <w:t>2012</w:t>
            </w:r>
          </w:p>
        </w:tc>
        <w:tc>
          <w:tcPr>
            <w:tcW w:w="2220" w:type="dxa"/>
            <w:vAlign w:val="bottom"/>
            <w:tcBorders>
              <w:bottom w:val="single" w:sz="8" w:color="auto"/>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112"/>
              <w:spacing w:after="0"/>
              <w:rPr>
                <w:sz w:val="20"/>
                <w:szCs w:val="20"/>
                <w:color w:val="auto"/>
              </w:rPr>
            </w:pPr>
            <w:r>
              <w:rPr>
                <w:rFonts w:ascii="Times New Roman" w:cs="Times New Roman" w:eastAsia="Times New Roman" w:hAnsi="Times New Roman"/>
                <w:sz w:val="14"/>
                <w:szCs w:val="14"/>
                <w:color w:val="auto"/>
                <w:w w:val="95"/>
              </w:rPr>
              <w:t>January 28, 2011</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color w:val="auto"/>
                <w:w w:val="92"/>
              </w:rPr>
              <w:t>2011</w:t>
            </w:r>
          </w:p>
        </w:tc>
      </w:tr>
      <w:tr>
        <w:trPr>
          <w:trHeight w:val="210"/>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6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Borders>
              <w:right w:val="single" w:sz="8" w:color="auto"/>
            </w:tcBorders>
            <w:shd w:val="clear" w:color="auto" w:fill="E5E5E5"/>
          </w:tcPr>
          <w:p>
            <w:pPr>
              <w:spacing w:after="0"/>
              <w:rPr>
                <w:sz w:val="18"/>
                <w:szCs w:val="18"/>
                <w:color w:val="auto"/>
              </w:rPr>
            </w:pPr>
          </w:p>
        </w:tc>
        <w:tc>
          <w:tcPr>
            <w:tcW w:w="11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5E5E5"/>
          </w:tcPr>
          <w:p>
            <w:pPr>
              <w:jc w:val="right"/>
              <w:ind w:right="238"/>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2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8"/>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7"/>
        </w:trPr>
        <w:tc>
          <w:tcPr>
            <w:tcW w:w="42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E5E5E5"/>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(37)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equity in net income of investees, net for the three months ended March 31, 2012 compared to the same period in 2011 primarily relates to improvements in the operating results of A&amp;E Television Networks and The Weather Channel, partially offset by the impact from the consolidation of Universal Orlando, which was accounted for as an equity method investment in the same period in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expense increased for the three months ended March 31, 2012 compared to the same period in 2011 primarily due to the impact of consolidating Universal Orlando’s debt following the close of the Universal Orlando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(Income) Loss Attributable to Noncontrolling Interests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Net (income) loss attributable to noncontrolling interests decreased for the three months ended March 31, 2012 primarily due to lower income generated by our regional sports networks.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activities, existing cash, cash equivalents and investments, available borrowings under our existing credit facilities, and our ability to obtain future external financing.</w:t>
      </w:r>
    </w:p>
    <w:p>
      <w:pPr>
        <w:spacing w:after="0" w:line="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maintain significant availability under our lines of credit and our commercial paper program to meet our short-term liquidity requirements. As of March 31, 2012 amounts available under our credit facility totaled approximately $1.3 billion.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color w:val="auto"/>
                <w:w w:val="98"/>
              </w:rPr>
              <w:t>Predecessor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Combined</w:t>
            </w:r>
          </w:p>
        </w:tc>
      </w:tr>
      <w:tr>
        <w:trPr>
          <w:trHeight w:val="129"/>
        </w:trPr>
        <w:tc>
          <w:tcPr>
            <w:tcW w:w="3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13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5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jc w:val="center"/>
              <w:ind w:right="33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9"/>
        </w:trPr>
        <w:tc>
          <w:tcPr>
            <w:tcW w:w="3240" w:type="dxa"/>
            <w:vAlign w:val="bottom"/>
          </w:tcPr>
          <w:p>
            <w:pPr>
              <w:spacing w:after="0"/>
              <w:rPr>
                <w:sz w:val="12"/>
                <w:szCs w:val="12"/>
                <w:color w:val="auto"/>
              </w:rPr>
            </w:pPr>
          </w:p>
        </w:tc>
        <w:tc>
          <w:tcPr>
            <w:tcW w:w="264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174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540" w:type="dxa"/>
            <w:vAlign w:val="bottom"/>
          </w:tcPr>
          <w:p>
            <w:pPr>
              <w:spacing w:after="0"/>
              <w:rPr>
                <w:sz w:val="12"/>
                <w:szCs w:val="12"/>
                <w:color w:val="auto"/>
              </w:rPr>
            </w:pPr>
          </w:p>
        </w:tc>
        <w:tc>
          <w:tcPr>
            <w:tcW w:w="176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c>
          <w:tcPr>
            <w:tcW w:w="15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61"/>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w w:val="98"/>
              </w:rPr>
              <w:t>March 31, 2012</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6"/>
              </w:rPr>
              <w:t>March 31, 2011</w:t>
            </w: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left="92"/>
              <w:spacing w:after="0"/>
              <w:rPr>
                <w:sz w:val="20"/>
                <w:szCs w:val="20"/>
                <w:color w:val="auto"/>
              </w:rPr>
            </w:pPr>
            <w:r>
              <w:rPr>
                <w:rFonts w:ascii="Times New Roman" w:cs="Times New Roman" w:eastAsia="Times New Roman" w:hAnsi="Times New Roman"/>
                <w:sz w:val="14"/>
                <w:szCs w:val="14"/>
                <w:color w:val="auto"/>
                <w:w w:val="95"/>
              </w:rPr>
              <w:t>January 28, 2011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w w:val="96"/>
              </w:rPr>
              <w:t>March 31, 2011</w:t>
            </w:r>
          </w:p>
        </w:tc>
      </w:tr>
      <w:tr>
        <w:trPr>
          <w:trHeight w:val="210"/>
        </w:trPr>
        <w:tc>
          <w:tcPr>
            <w:tcW w:w="3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E5E5E5"/>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E5E5E5"/>
          </w:tcPr>
          <w:p>
            <w:pPr>
              <w:jc w:val="right"/>
              <w:ind w:right="436"/>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205</w:t>
            </w:r>
          </w:p>
        </w:tc>
        <w:tc>
          <w:tcPr>
            <w:tcW w:w="540" w:type="dxa"/>
            <w:vAlign w:val="bottom"/>
            <w:tcBorders>
              <w:right w:val="single" w:sz="8" w:color="auto"/>
            </w:tcBorders>
            <w:shd w:val="clear" w:color="auto" w:fill="E5E5E5"/>
          </w:tcPr>
          <w:p>
            <w:pPr>
              <w:spacing w:after="0"/>
              <w:rPr>
                <w:sz w:val="18"/>
                <w:szCs w:val="18"/>
                <w:color w:val="auto"/>
              </w:rPr>
            </w:pPr>
          </w:p>
        </w:tc>
        <w:tc>
          <w:tcPr>
            <w:tcW w:w="110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187</w:t>
            </w:r>
          </w:p>
        </w:tc>
        <w:tc>
          <w:tcPr>
            <w:tcW w:w="5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214</w:t>
            </w:r>
          </w:p>
        </w:tc>
      </w:tr>
      <w:tr>
        <w:trPr>
          <w:trHeight w:val="195"/>
        </w:trPr>
        <w:tc>
          <w:tcPr>
            <w:tcW w:w="3240" w:type="dxa"/>
            <w:vAlign w:val="bottom"/>
            <w:shd w:val="clear" w:color="auto" w:fill="E5E5E5"/>
          </w:tcPr>
          <w:p>
            <w:pPr>
              <w:ind w:left="220"/>
              <w:spacing w:after="0" w:line="195" w:lineRule="exact"/>
              <w:rPr>
                <w:sz w:val="20"/>
                <w:szCs w:val="20"/>
                <w:color w:val="auto"/>
              </w:rPr>
            </w:pPr>
            <w:r>
              <w:rPr>
                <w:rFonts w:ascii="Times New Roman" w:cs="Times New Roman" w:eastAsia="Times New Roman" w:hAnsi="Times New Roman"/>
                <w:sz w:val="18"/>
                <w:szCs w:val="18"/>
                <w:color w:val="auto"/>
                <w:w w:val="98"/>
              </w:rPr>
              <w:t>Operating income before depreciation and</w:t>
            </w:r>
          </w:p>
        </w:tc>
        <w:tc>
          <w:tcPr>
            <w:tcW w:w="1080" w:type="dxa"/>
            <w:vAlign w:val="bottom"/>
            <w:shd w:val="clear" w:color="auto" w:fill="E5E5E5"/>
          </w:tcPr>
          <w:p>
            <w:pPr>
              <w:spacing w:after="0"/>
              <w:rPr>
                <w:sz w:val="16"/>
                <w:szCs w:val="16"/>
                <w:color w:val="auto"/>
              </w:rPr>
            </w:pPr>
          </w:p>
        </w:tc>
        <w:tc>
          <w:tcPr>
            <w:tcW w:w="1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540" w:type="dxa"/>
            <w:vAlign w:val="bottom"/>
            <w:tcBorders>
              <w:right w:val="single" w:sz="8" w:color="auto"/>
            </w:tcBorders>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r>
      <w:tr>
        <w:trPr>
          <w:trHeight w:val="230"/>
        </w:trPr>
        <w:tc>
          <w:tcPr>
            <w:tcW w:w="32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E5E5E5"/>
          </w:tcPr>
          <w:p>
            <w:pPr>
              <w:spacing w:after="0"/>
              <w:rPr>
                <w:sz w:val="20"/>
                <w:szCs w:val="20"/>
                <w:color w:val="auto"/>
              </w:rPr>
            </w:pPr>
          </w:p>
        </w:tc>
        <w:tc>
          <w:tcPr>
            <w:tcW w:w="1560" w:type="dxa"/>
            <w:vAlign w:val="bottom"/>
            <w:shd w:val="clear" w:color="auto" w:fill="E5E5E5"/>
          </w:tcPr>
          <w:p>
            <w:pPr>
              <w:jc w:val="right"/>
              <w:ind w:right="436"/>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E5E5E5"/>
          </w:tcPr>
          <w:p>
            <w:pPr>
              <w:spacing w:after="0"/>
              <w:rPr>
                <w:sz w:val="20"/>
                <w:szCs w:val="20"/>
                <w:color w:val="auto"/>
              </w:rPr>
            </w:pPr>
          </w:p>
        </w:tc>
        <w:tc>
          <w:tcPr>
            <w:tcW w:w="108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392</w:t>
            </w:r>
          </w:p>
        </w:tc>
        <w:tc>
          <w:tcPr>
            <w:tcW w:w="540" w:type="dxa"/>
            <w:vAlign w:val="bottom"/>
            <w:tcBorders>
              <w:right w:val="single" w:sz="8" w:color="auto"/>
            </w:tcBorders>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560" w:type="dxa"/>
            <w:vAlign w:val="bottom"/>
            <w:shd w:val="clear" w:color="auto" w:fill="E5E5E5"/>
          </w:tcPr>
          <w:p>
            <w:pPr>
              <w:spacing w:after="0"/>
              <w:rPr>
                <w:sz w:val="20"/>
                <w:szCs w:val="20"/>
                <w:color w:val="auto"/>
              </w:rPr>
            </w:pPr>
          </w:p>
        </w:tc>
        <w:tc>
          <w:tcPr>
            <w:tcW w:w="120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080" w:type="dxa"/>
            <w:vAlign w:val="bottom"/>
          </w:tcPr>
          <w:p>
            <w:pPr>
              <w:spacing w:after="0"/>
              <w:rPr>
                <w:sz w:val="18"/>
                <w:szCs w:val="18"/>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2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436"/>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tcBorders>
              <w:bottom w:val="single" w:sz="8" w:color="auto"/>
              <w:right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176"/>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basis operating income</w:t>
            </w:r>
          </w:p>
        </w:tc>
        <w:tc>
          <w:tcPr>
            <w:tcW w:w="1080" w:type="dxa"/>
            <w:vAlign w:val="bottom"/>
          </w:tcPr>
          <w:p>
            <w:pPr>
              <w:spacing w:after="0"/>
              <w:rPr>
                <w:sz w:val="18"/>
                <w:szCs w:val="18"/>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470</w:t>
            </w:r>
          </w:p>
        </w:tc>
        <w:tc>
          <w:tcPr>
            <w:tcW w:w="5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3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Payments of interest</w:t>
            </w:r>
          </w:p>
        </w:tc>
        <w:tc>
          <w:tcPr>
            <w:tcW w:w="10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7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E5E5E5"/>
          </w:tcPr>
          <w:p>
            <w:pPr>
              <w:spacing w:after="0"/>
              <w:rPr>
                <w:sz w:val="18"/>
                <w:szCs w:val="18"/>
                <w:color w:val="auto"/>
              </w:rPr>
            </w:pPr>
          </w:p>
        </w:tc>
        <w:tc>
          <w:tcPr>
            <w:tcW w:w="11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income taxes</w:t>
            </w:r>
          </w:p>
        </w:tc>
        <w:tc>
          <w:tcPr>
            <w:tcW w:w="1080" w:type="dxa"/>
            <w:vAlign w:val="bottom"/>
          </w:tcPr>
          <w:p>
            <w:pPr>
              <w:spacing w:after="0"/>
              <w:rPr>
                <w:sz w:val="18"/>
                <w:szCs w:val="18"/>
                <w:color w:val="auto"/>
              </w:rPr>
            </w:pPr>
          </w:p>
        </w:tc>
        <w:tc>
          <w:tcPr>
            <w:tcW w:w="1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2"/>
        </w:trPr>
        <w:tc>
          <w:tcPr>
            <w:tcW w:w="324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Proceeds from interest, dividends and other</w:t>
            </w:r>
          </w:p>
        </w:tc>
        <w:tc>
          <w:tcPr>
            <w:tcW w:w="10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540" w:type="dxa"/>
            <w:vAlign w:val="bottom"/>
            <w:tcBorders>
              <w:right w:val="single" w:sz="8" w:color="auto"/>
            </w:tcBorders>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r>
      <w:tr>
        <w:trPr>
          <w:trHeight w:val="228"/>
        </w:trPr>
        <w:tc>
          <w:tcPr>
            <w:tcW w:w="324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nonoperating items</w:t>
            </w:r>
          </w:p>
        </w:tc>
        <w:tc>
          <w:tcPr>
            <w:tcW w:w="1080" w:type="dxa"/>
            <w:vAlign w:val="bottom"/>
            <w:tcBorders>
              <w:bottom w:val="single" w:sz="8" w:color="auto"/>
            </w:tcBorders>
            <w:shd w:val="clear" w:color="auto" w:fill="E5E5E5"/>
          </w:tcPr>
          <w:p>
            <w:pPr>
              <w:spacing w:after="0"/>
              <w:rPr>
                <w:sz w:val="19"/>
                <w:szCs w:val="19"/>
                <w:color w:val="auto"/>
              </w:rPr>
            </w:pPr>
          </w:p>
        </w:tc>
        <w:tc>
          <w:tcPr>
            <w:tcW w:w="1560" w:type="dxa"/>
            <w:vAlign w:val="bottom"/>
            <w:tcBorders>
              <w:bottom w:val="single" w:sz="8" w:color="auto"/>
            </w:tcBorders>
            <w:shd w:val="clear" w:color="auto" w:fill="E5E5E5"/>
          </w:tcPr>
          <w:p>
            <w:pPr>
              <w:jc w:val="right"/>
              <w:ind w:right="436"/>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82</w:t>
            </w:r>
          </w:p>
        </w:tc>
        <w:tc>
          <w:tcPr>
            <w:tcW w:w="540" w:type="dxa"/>
            <w:vAlign w:val="bottom"/>
            <w:tcBorders>
              <w:bottom w:val="single" w:sz="8" w:color="auto"/>
              <w:right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ind w:right="216"/>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84</w:t>
            </w:r>
          </w:p>
        </w:tc>
      </w:tr>
      <w:tr>
        <w:trPr>
          <w:trHeight w:val="195"/>
        </w:trPr>
        <w:tc>
          <w:tcPr>
            <w:tcW w:w="324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9"/>
        </w:trPr>
        <w:tc>
          <w:tcPr>
            <w:tcW w:w="3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1,037</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523</w:t>
            </w:r>
          </w:p>
        </w:tc>
        <w:tc>
          <w:tcPr>
            <w:tcW w:w="5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(629)</w:t>
            </w:r>
          </w:p>
        </w:tc>
        <w:tc>
          <w:tcPr>
            <w:tcW w:w="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r>
    </w:tbl>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changes in operating assets and liabilities for the three months ended March 31, 2012 compared to the same period in 2011 primarily relate to a decrease in film and television costs and the timing of payments of operating items, including participations and residuals.</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income tax payments for the three months ended March 31, 2012 is primarily due to amounts paid in the prior year in preparation for the closing of the Joint Venture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2012 consisted primarily of capital expenditures and purchases of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2012 consisted primarily of $400 million of net repayments of our outstanding commercial paper and our purchase of certain noncontrolling interests of $41 million.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liabilities.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from the risk factors previously disclosed in Item 1A of our 2011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hanging="83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Principal Executive Officer and Principal Financial Officer pursuant to Section 302 of the Sarbanes-Oxley Act of 2002.</w:t>
      </w:r>
    </w:p>
    <w:p>
      <w:pPr>
        <w:spacing w:after="0" w:line="7"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40" w:hanging="832"/>
        <w:spacing w:after="0" w:line="253"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NBCUniversal Media, LLC’s Quarterly Report on Form 10-Q for the three months ended March 31, 2012, filed with the Securities and Exchange Commission on May 2, 2012,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LAWRENCE J. SALVA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2012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NBCUniversal Media, LLC;</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 Executive Officer</w:t>
      </w:r>
    </w:p>
    <w:p>
      <w:pPr>
        <w:sectPr>
          <w:pgSz w:w="11900" w:h="16838" w:orient="portrait"/>
          <w:cols w:equalWidth="0" w:num="1">
            <w:col w:w="11420"/>
          </w:cols>
          <w:pgMar w:left="240" w:top="123" w:right="2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NBCUniversal Media, LLC;</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ANGELAKIS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 Financial Officer</w:t>
      </w:r>
    </w:p>
    <w:p>
      <w:pPr>
        <w:sectPr>
          <w:pgSz w:w="11900" w:h="16838" w:orient="portrait"/>
          <w:cols w:equalWidth="0" w:num="1">
            <w:col w:w="11420"/>
          </w:cols>
          <w:pgMar w:left="240" w:top="274"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4"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6"/>
          <w:szCs w:val="16"/>
          <w:color w:val="auto"/>
        </w:rPr>
        <w:t>May 2, 2012</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Brian L. Roberts, the Principal Executive Officer, and Michael J. Angelakis, the Principal Financial Officer, of NBCUniversal Media, LLC, each certifies that, to the best of his knowledge:</w:t>
      </w:r>
    </w:p>
    <w:p>
      <w:pPr>
        <w:spacing w:after="0" w:line="2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76"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NBCUniversal Media, LLC.</w:t>
      </w: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Principal Executive Officer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ANGELAKIS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Principal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2019-12-09T11:07:49Z</dcterms:created>
  <dcterms:modified xsi:type="dcterms:W3CDTF">2019-12-09T11:07:49Z</dcterms:modified>
</cp:coreProperties>
</file>