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SECURITIES AND EXCHANGE COMMISSION</w:t>
      </w:r>
    </w:p>
    <w:p>
      <w:pPr>
        <w:ind w:left="2740"/>
        <w:spacing w:after="0" w:line="238" w:lineRule="auto"/>
        <w:rPr>
          <w:sz w:val="20"/>
          <w:szCs w:val="20"/>
          <w:color w:val="auto"/>
        </w:rPr>
      </w:pPr>
      <w:r>
        <w:rPr>
          <w:rFonts w:ascii="Courier New" w:cs="Courier New" w:eastAsia="Courier New" w:hAnsi="Courier New"/>
          <w:sz w:val="18"/>
          <w:szCs w:val="18"/>
          <w:color w:val="auto"/>
        </w:rPr>
        <w:t>Washington, D. C. 20549</w:t>
      </w:r>
    </w:p>
    <w:p>
      <w:pPr>
        <w:ind w:left="26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AMENDMENT NO. 3</w:t>
      </w:r>
    </w:p>
    <w:p>
      <w:pPr>
        <w:ind w:left="3800"/>
        <w:spacing w:after="0" w:line="238" w:lineRule="auto"/>
        <w:rPr>
          <w:sz w:val="20"/>
          <w:szCs w:val="20"/>
          <w:color w:val="auto"/>
        </w:rPr>
      </w:pPr>
      <w:r>
        <w:rPr>
          <w:rFonts w:ascii="Courier New" w:cs="Courier New" w:eastAsia="Courier New" w:hAnsi="Courier New"/>
          <w:sz w:val="18"/>
          <w:szCs w:val="18"/>
          <w:color w:val="auto"/>
        </w:rPr>
        <w:t>to</w:t>
      </w:r>
    </w:p>
    <w:p>
      <w:pPr>
        <w:jc w:val="center"/>
        <w:ind w:right="2299"/>
        <w:spacing w:after="0"/>
        <w:rPr>
          <w:sz w:val="20"/>
          <w:szCs w:val="20"/>
          <w:color w:val="auto"/>
        </w:rPr>
      </w:pPr>
      <w:r>
        <w:rPr>
          <w:rFonts w:ascii="Courier New" w:cs="Courier New" w:eastAsia="Courier New" w:hAnsi="Courier New"/>
          <w:sz w:val="18"/>
          <w:szCs w:val="18"/>
          <w:color w:val="auto"/>
        </w:rPr>
        <w:t>SCHEDULE 14D-1(*)</w:t>
      </w:r>
    </w:p>
    <w:p>
      <w:pPr>
        <w:spacing w:after="0" w:line="200"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Tender Offer Statement Pursuant to Section 14(d)(1)</w:t>
      </w:r>
    </w:p>
    <w:p>
      <w:pPr>
        <w:ind w:left="190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QVC,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(Name of Subject Company)</w:t>
      </w:r>
    </w:p>
    <w:p>
      <w:pPr>
        <w:spacing w:after="0" w:line="202"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QVC PROGRAMMING HOLDINGS, INC.</w:t>
      </w:r>
    </w:p>
    <w:p>
      <w:pPr>
        <w:jc w:val="center"/>
        <w:ind w:right="2299"/>
        <w:spacing w:after="0" w:line="238" w:lineRule="auto"/>
        <w:rPr>
          <w:sz w:val="20"/>
          <w:szCs w:val="20"/>
          <w:color w:val="auto"/>
        </w:rPr>
      </w:pPr>
      <w:r>
        <w:rPr>
          <w:rFonts w:ascii="Courier New" w:cs="Courier New" w:eastAsia="Courier New" w:hAnsi="Courier New"/>
          <w:sz w:val="18"/>
          <w:szCs w:val="18"/>
          <w:color w:val="auto"/>
        </w:rPr>
        <w:t>COMCAST CORPORATION</w:t>
      </w:r>
    </w:p>
    <w:p>
      <w:pPr>
        <w:jc w:val="center"/>
        <w:ind w:right="2299"/>
        <w:spacing w:after="0"/>
        <w:rPr>
          <w:sz w:val="20"/>
          <w:szCs w:val="20"/>
          <w:color w:val="auto"/>
        </w:rPr>
      </w:pPr>
      <w:r>
        <w:rPr>
          <w:rFonts w:ascii="Courier New" w:cs="Courier New" w:eastAsia="Courier New" w:hAnsi="Courier New"/>
          <w:sz w:val="18"/>
          <w:szCs w:val="18"/>
          <w:color w:val="auto"/>
        </w:rPr>
        <w:t>TELE-COMMUNICATIONS, INC.</w:t>
      </w:r>
    </w:p>
    <w:p>
      <w:pPr>
        <w:jc w:val="center"/>
        <w:ind w:right="2299"/>
        <w:spacing w:after="0" w:line="237" w:lineRule="auto"/>
        <w:rPr>
          <w:sz w:val="20"/>
          <w:szCs w:val="20"/>
          <w:color w:val="auto"/>
        </w:rPr>
      </w:pPr>
      <w:r>
        <w:rPr>
          <w:rFonts w:ascii="Courier New" w:cs="Courier New" w:eastAsia="Courier New" w:hAnsi="Courier New"/>
          <w:sz w:val="18"/>
          <w:szCs w:val="18"/>
          <w:color w:val="auto"/>
        </w:rPr>
        <w:t>(Bidders)</w:t>
      </w:r>
    </w:p>
    <w:p>
      <w:pPr>
        <w:spacing w:after="0" w:line="202"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Common Stock, $.01 Par Value Per Share</w:t>
      </w:r>
    </w:p>
    <w:p>
      <w:pPr>
        <w:jc w:val="center"/>
        <w:ind w:right="239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tbl>
      <w:tblPr>
        <w:tblLayout w:type="fixed"/>
        <w:tblInd w:w="740" w:type="dxa"/>
        <w:tblCellMar>
          <w:top w:w="0" w:type="dxa"/>
          <w:left w:w="0" w:type="dxa"/>
          <w:bottom w:w="0" w:type="dxa"/>
          <w:right w:w="0" w:type="dxa"/>
        </w:tblCellMar>
      </w:tblPr>
      <w:tr>
        <w:trPr>
          <w:trHeight w:val="204"/>
        </w:trPr>
        <w:tc>
          <w:tcPr>
            <w:tcW w:w="3580" w:type="dxa"/>
            <w:vAlign w:val="bottom"/>
          </w:tcPr>
          <w:p>
            <w:pPr>
              <w:jc w:val="right"/>
              <w:spacing w:after="0"/>
              <w:rPr>
                <w:sz w:val="20"/>
                <w:szCs w:val="20"/>
                <w:color w:val="auto"/>
              </w:rPr>
            </w:pPr>
            <w:r>
              <w:rPr>
                <w:rFonts w:ascii="Courier New" w:cs="Courier New" w:eastAsia="Courier New" w:hAnsi="Courier New"/>
                <w:sz w:val="18"/>
                <w:szCs w:val="18"/>
                <w:color w:val="auto"/>
              </w:rPr>
              <w:t>747262 10</w:t>
            </w:r>
          </w:p>
        </w:tc>
        <w:tc>
          <w:tcPr>
            <w:tcW w:w="2640" w:type="dxa"/>
            <w:vAlign w:val="bottom"/>
          </w:tcPr>
          <w:p>
            <w:pPr>
              <w:jc w:val="right"/>
              <w:ind w:right="2332"/>
              <w:spacing w:after="0"/>
              <w:rPr>
                <w:sz w:val="20"/>
                <w:szCs w:val="20"/>
                <w:color w:val="auto"/>
              </w:rPr>
            </w:pPr>
            <w:r>
              <w:rPr>
                <w:rFonts w:ascii="Courier New" w:cs="Courier New" w:eastAsia="Courier New" w:hAnsi="Courier New"/>
                <w:sz w:val="18"/>
                <w:szCs w:val="18"/>
                <w:color w:val="auto"/>
              </w:rPr>
              <w:t>3</w:t>
            </w:r>
          </w:p>
        </w:tc>
      </w:tr>
      <w:tr>
        <w:trPr>
          <w:trHeight w:val="203"/>
        </w:trPr>
        <w:tc>
          <w:tcPr>
            <w:tcW w:w="6220" w:type="dxa"/>
            <w:vAlign w:val="bottom"/>
            <w:gridSpan w:val="2"/>
          </w:tcPr>
          <w:p>
            <w:pPr>
              <w:jc w:val="right"/>
              <w:ind w:right="972"/>
              <w:spacing w:after="0" w:line="203" w:lineRule="exact"/>
              <w:rPr>
                <w:sz w:val="20"/>
                <w:szCs w:val="20"/>
                <w:color w:val="auto"/>
              </w:rPr>
            </w:pPr>
            <w:r>
              <w:rPr>
                <w:rFonts w:ascii="Courier New" w:cs="Courier New" w:eastAsia="Courier New" w:hAnsi="Courier New"/>
                <w:sz w:val="18"/>
                <w:szCs w:val="18"/>
                <w:color w:val="auto"/>
              </w:rPr>
              <w:t>(CUSIP Number of Class of Securities)</w:t>
            </w:r>
          </w:p>
        </w:tc>
      </w:tr>
      <w:tr>
        <w:trPr>
          <w:trHeight w:val="405"/>
        </w:trPr>
        <w:tc>
          <w:tcPr>
            <w:tcW w:w="3580" w:type="dxa"/>
            <w:vAlign w:val="bottom"/>
          </w:tcPr>
          <w:p>
            <w:pPr>
              <w:jc w:val="center"/>
              <w:ind w:right="1272"/>
              <w:spacing w:after="0"/>
              <w:rPr>
                <w:sz w:val="20"/>
                <w:szCs w:val="20"/>
                <w:color w:val="auto"/>
              </w:rPr>
            </w:pPr>
            <w:r>
              <w:rPr>
                <w:rFonts w:ascii="Courier New" w:cs="Courier New" w:eastAsia="Courier New" w:hAnsi="Courier New"/>
                <w:sz w:val="18"/>
                <w:szCs w:val="18"/>
                <w:color w:val="auto"/>
                <w:w w:val="97"/>
              </w:rPr>
              <w:t>Stanley L. Wang</w:t>
            </w:r>
          </w:p>
        </w:tc>
        <w:tc>
          <w:tcPr>
            <w:tcW w:w="264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8"/>
              </w:rPr>
              <w:t>Stephen M. Brett</w:t>
            </w:r>
          </w:p>
        </w:tc>
      </w:tr>
      <w:tr>
        <w:trPr>
          <w:trHeight w:val="203"/>
        </w:trPr>
        <w:tc>
          <w:tcPr>
            <w:tcW w:w="3580" w:type="dxa"/>
            <w:vAlign w:val="bottom"/>
          </w:tcPr>
          <w:p>
            <w:pPr>
              <w:jc w:val="center"/>
              <w:ind w:right="1252"/>
              <w:spacing w:after="0" w:line="203" w:lineRule="exact"/>
              <w:rPr>
                <w:sz w:val="20"/>
                <w:szCs w:val="20"/>
                <w:color w:val="auto"/>
              </w:rPr>
            </w:pPr>
            <w:r>
              <w:rPr>
                <w:rFonts w:ascii="Courier New" w:cs="Courier New" w:eastAsia="Courier New" w:hAnsi="Courier New"/>
                <w:sz w:val="18"/>
                <w:szCs w:val="18"/>
                <w:color w:val="auto"/>
                <w:w w:val="97"/>
              </w:rPr>
              <w:t>Comcast Corporation</w:t>
            </w:r>
          </w:p>
        </w:tc>
        <w:tc>
          <w:tcPr>
            <w:tcW w:w="2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Tele-Communications, Inc.</w:t>
            </w:r>
          </w:p>
        </w:tc>
      </w:tr>
      <w:tr>
        <w:trPr>
          <w:trHeight w:val="203"/>
        </w:trPr>
        <w:tc>
          <w:tcPr>
            <w:tcW w:w="3580" w:type="dxa"/>
            <w:vAlign w:val="bottom"/>
          </w:tcPr>
          <w:p>
            <w:pPr>
              <w:jc w:val="center"/>
              <w:ind w:right="1152"/>
              <w:spacing w:after="0" w:line="203" w:lineRule="exact"/>
              <w:rPr>
                <w:sz w:val="20"/>
                <w:szCs w:val="20"/>
                <w:color w:val="auto"/>
              </w:rPr>
            </w:pPr>
            <w:r>
              <w:rPr>
                <w:rFonts w:ascii="Courier New" w:cs="Courier New" w:eastAsia="Courier New" w:hAnsi="Courier New"/>
                <w:sz w:val="18"/>
                <w:szCs w:val="18"/>
                <w:color w:val="auto"/>
                <w:w w:val="97"/>
              </w:rPr>
              <w:t>1500 Market Street</w:t>
            </w:r>
          </w:p>
        </w:tc>
        <w:tc>
          <w:tcPr>
            <w:tcW w:w="26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5619 DTC Parkway</w:t>
            </w:r>
          </w:p>
        </w:tc>
      </w:tr>
      <w:tr>
        <w:trPr>
          <w:trHeight w:val="203"/>
        </w:trPr>
        <w:tc>
          <w:tcPr>
            <w:tcW w:w="3580" w:type="dxa"/>
            <w:vAlign w:val="bottom"/>
          </w:tcPr>
          <w:p>
            <w:pPr>
              <w:jc w:val="center"/>
              <w:ind w:right="1172"/>
              <w:spacing w:after="0" w:line="203" w:lineRule="exact"/>
              <w:rPr>
                <w:sz w:val="20"/>
                <w:szCs w:val="20"/>
                <w:color w:val="auto"/>
              </w:rPr>
            </w:pPr>
            <w:r>
              <w:rPr>
                <w:rFonts w:ascii="Courier New" w:cs="Courier New" w:eastAsia="Courier New" w:hAnsi="Courier New"/>
                <w:sz w:val="18"/>
                <w:szCs w:val="18"/>
                <w:color w:val="auto"/>
                <w:w w:val="97"/>
              </w:rPr>
              <w:t>Philadelphia, Pa 19102</w:t>
            </w:r>
          </w:p>
        </w:tc>
        <w:tc>
          <w:tcPr>
            <w:tcW w:w="2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Englewood, CO 80111</w:t>
            </w:r>
          </w:p>
        </w:tc>
      </w:tr>
      <w:tr>
        <w:trPr>
          <w:trHeight w:val="203"/>
        </w:trPr>
        <w:tc>
          <w:tcPr>
            <w:tcW w:w="3580" w:type="dxa"/>
            <w:vAlign w:val="bottom"/>
          </w:tcPr>
          <w:p>
            <w:pPr>
              <w:jc w:val="center"/>
              <w:ind w:right="1172"/>
              <w:spacing w:after="0" w:line="203" w:lineRule="exact"/>
              <w:rPr>
                <w:sz w:val="20"/>
                <w:szCs w:val="20"/>
                <w:color w:val="auto"/>
              </w:rPr>
            </w:pPr>
            <w:r>
              <w:rPr>
                <w:rFonts w:ascii="Courier New" w:cs="Courier New" w:eastAsia="Courier New" w:hAnsi="Courier New"/>
                <w:sz w:val="18"/>
                <w:szCs w:val="18"/>
                <w:color w:val="auto"/>
                <w:w w:val="97"/>
              </w:rPr>
              <w:t>(215) 655-1700</w:t>
            </w:r>
          </w:p>
        </w:tc>
        <w:tc>
          <w:tcPr>
            <w:tcW w:w="26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(303) 267-5500</w:t>
            </w:r>
          </w:p>
        </w:tc>
      </w:tr>
    </w:tbl>
    <w:p>
      <w:pPr>
        <w:spacing w:after="0" w:line="207"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(Name, Address and Telephone Number of Person Authorized to Receive Notices</w:t>
      </w:r>
    </w:p>
    <w:p>
      <w:pPr>
        <w:spacing w:after="0" w:line="1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and Communications on Behalf of Bidder)</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600"/>
        <w:spacing w:after="0"/>
        <w:rPr>
          <w:sz w:val="20"/>
          <w:szCs w:val="20"/>
          <w:color w:val="auto"/>
        </w:rPr>
      </w:pPr>
      <w:r>
        <w:rPr>
          <w:rFonts w:ascii="Courier New" w:cs="Courier New" w:eastAsia="Courier New" w:hAnsi="Courier New"/>
          <w:sz w:val="18"/>
          <w:szCs w:val="18"/>
          <w:color w:val="auto"/>
        </w:rPr>
        <w:t>Copies to:</w:t>
      </w:r>
    </w:p>
    <w:p>
      <w:pPr>
        <w:sectPr>
          <w:pgSz w:w="11900" w:h="16851" w:orient="portrait"/>
          <w:cols w:equalWidth="0" w:num="1">
            <w:col w:w="10219"/>
          </w:cols>
          <w:pgMar w:left="240" w:top="447" w:right="1440" w:bottom="0" w:gutter="0" w:footer="0" w:header="0"/>
        </w:sectPr>
      </w:pPr>
    </w:p>
    <w:p>
      <w:pPr>
        <w:spacing w:after="0" w:line="20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Dennis S. Hersch</w:t>
      </w:r>
    </w:p>
    <w:p>
      <w:pPr>
        <w:spacing w:after="0" w:line="4"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Davis Polk &amp; Wardwell</w:t>
      </w:r>
    </w:p>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450 Lexington Avenue</w:t>
      </w:r>
    </w:p>
    <w:p>
      <w:pPr>
        <w:ind w:left="960"/>
        <w:spacing w:after="0" w:line="238" w:lineRule="auto"/>
        <w:rPr>
          <w:sz w:val="20"/>
          <w:szCs w:val="20"/>
          <w:color w:val="auto"/>
        </w:rPr>
      </w:pPr>
      <w:r>
        <w:rPr>
          <w:rFonts w:ascii="Courier New" w:cs="Courier New" w:eastAsia="Courier New" w:hAnsi="Courier New"/>
          <w:sz w:val="18"/>
          <w:szCs w:val="18"/>
          <w:color w:val="auto"/>
        </w:rPr>
        <w:t>New York, NY 10017</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Frederick H. McGrath</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Baker &amp; Botts, L.L.P.</w:t>
      </w:r>
    </w:p>
    <w:p>
      <w:pPr>
        <w:spacing w:after="0" w:line="16"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885 Third Avenue</w:t>
      </w:r>
    </w:p>
    <w:p>
      <w:pPr>
        <w:ind w:left="100"/>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4"/>
          <w:szCs w:val="24"/>
          <w:color w:val="auto"/>
        </w:rPr>
      </w:pPr>
    </w:p>
    <w:p>
      <w:pPr>
        <w:sectPr>
          <w:pgSz w:w="11900" w:h="16851" w:orient="portrait"/>
          <w:cols w:equalWidth="0" w:num="2">
            <w:col w:w="3720" w:space="720"/>
            <w:col w:w="5779"/>
          </w:cols>
          <w:pgMar w:left="240" w:top="447" w:right="1440" w:bottom="0" w:gutter="0" w:footer="0" w:header="0"/>
          <w:type w:val="continuous"/>
        </w:sectPr>
      </w:pPr>
    </w:p>
    <w:p>
      <w:pPr>
        <w:spacing w:after="0" w:line="210" w:lineRule="exact"/>
        <w:rPr>
          <w:sz w:val="24"/>
          <w:szCs w:val="24"/>
          <w:color w:val="auto"/>
        </w:rPr>
      </w:pPr>
    </w:p>
    <w:p>
      <w:pPr>
        <w:ind w:left="320" w:right="2199" w:hanging="312"/>
        <w:spacing w:after="0" w:line="237" w:lineRule="auto"/>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Statement also constitutes Amendment No. 4 to the Schedule 13D filed by Tele-Communications, Inc. and Amendment No. 25 to the Schedule 13D by Comcast Corporation in each case with respect to the securities of the Subject Company.</w:t>
      </w:r>
    </w:p>
    <w:p>
      <w:pPr>
        <w:spacing w:after="0" w:line="383" w:lineRule="exact"/>
        <w:rPr>
          <w:sz w:val="24"/>
          <w:szCs w:val="24"/>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QVC Programming Holdings, Inc., Comcast Corporation and TeleCommunications, Inc. hereby amend and supplement their Tender Offer Statement on Schedule 14D-1 filed with the Securities and Exchange Commission on August 11, 1994, as previously amended and supplemented (the "Schedule</w:t>
      </w:r>
    </w:p>
    <w:p>
      <w:pPr>
        <w:spacing w:after="0" w:line="1" w:lineRule="exact"/>
        <w:rPr>
          <w:sz w:val="24"/>
          <w:szCs w:val="24"/>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14D-1") with respect to Bidders' Offer to Purchase for cash all outstanding shares of Common Stock and Preferred Stock of the Company.</w:t>
      </w:r>
    </w:p>
    <w:p>
      <w:pPr>
        <w:spacing w:after="0" w:line="208" w:lineRule="exact"/>
        <w:rPr>
          <w:sz w:val="24"/>
          <w:szCs w:val="24"/>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Information contained in the Schedule 14D-1 as hereby amended with respect to Comcast, Liberty, TCI and the Purchaser and their respective executive officers, directors and controlling persons is given solely by such person, and no other person has responsibility for the accuracy or completeness of information supplied by such other persons.</w:t>
      </w:r>
    </w:p>
    <w:p>
      <w:pPr>
        <w:spacing w:after="0" w:line="209" w:lineRule="exact"/>
        <w:rPr>
          <w:sz w:val="24"/>
          <w:szCs w:val="24"/>
          <w:color w:val="auto"/>
        </w:rPr>
      </w:pPr>
    </w:p>
    <w:p>
      <w:pPr>
        <w:jc w:val="both"/>
        <w:ind w:right="2199" w:firstLine="527"/>
        <w:spacing w:after="0" w:line="290" w:lineRule="auto"/>
        <w:rPr>
          <w:sz w:val="20"/>
          <w:szCs w:val="20"/>
          <w:color w:val="auto"/>
        </w:rPr>
      </w:pPr>
      <w:r>
        <w:rPr>
          <w:rFonts w:ascii="Courier New" w:cs="Courier New" w:eastAsia="Courier New" w:hAnsi="Courier New"/>
          <w:sz w:val="16"/>
          <w:szCs w:val="16"/>
          <w:color w:val="auto"/>
        </w:rPr>
        <w:t>Capitalized terms used but not defined herein have the meaning assigned to them in the Offer to Purchase and the Schedule 14D-1 (as hereby amended).</w:t>
      </w:r>
    </w:p>
    <w:p>
      <w:pPr>
        <w:spacing w:after="0" w:line="164"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Past Contacts, Transactions or Negotiations with the Subject Company.</w:t>
      </w:r>
    </w:p>
    <w:p>
      <w:pPr>
        <w:spacing w:after="0" w:line="207" w:lineRule="exact"/>
        <w:rPr>
          <w:sz w:val="24"/>
          <w:szCs w:val="24"/>
          <w:color w:val="auto"/>
        </w:rPr>
      </w:pPr>
    </w:p>
    <w:p>
      <w:pPr>
        <w:ind w:right="2739" w:firstLine="527"/>
        <w:spacing w:after="0" w:line="235" w:lineRule="auto"/>
        <w:rPr>
          <w:sz w:val="20"/>
          <w:szCs w:val="20"/>
          <w:color w:val="auto"/>
        </w:rPr>
      </w:pPr>
      <w:r>
        <w:rPr>
          <w:rFonts w:ascii="Courier New" w:cs="Courier New" w:eastAsia="Courier New" w:hAnsi="Courier New"/>
          <w:sz w:val="18"/>
          <w:szCs w:val="18"/>
          <w:color w:val="auto"/>
        </w:rPr>
        <w:t>Item 3 of the Schedule 14D-1 is hereby supplemented and amended to include the following information:</w:t>
      </w:r>
    </w:p>
    <w:p>
      <w:pPr>
        <w:spacing w:after="0" w:line="208" w:lineRule="exact"/>
        <w:rPr>
          <w:sz w:val="24"/>
          <w:szCs w:val="24"/>
          <w:color w:val="auto"/>
        </w:rPr>
      </w:pPr>
    </w:p>
    <w:p>
      <w:pPr>
        <w:ind w:right="2319" w:firstLine="527"/>
        <w:spacing w:after="0" w:line="271" w:lineRule="auto"/>
        <w:rPr>
          <w:sz w:val="20"/>
          <w:szCs w:val="20"/>
          <w:color w:val="auto"/>
        </w:rPr>
      </w:pPr>
      <w:r>
        <w:rPr>
          <w:rFonts w:ascii="Courier New" w:cs="Courier New" w:eastAsia="Courier New" w:hAnsi="Courier New"/>
          <w:sz w:val="16"/>
          <w:szCs w:val="16"/>
          <w:color w:val="auto"/>
        </w:rPr>
        <w:t>On August 15, 1994 the options (the "Paramount Options") to purchase an aggregate of 14,294,600 shares of Common Stock, which the Company granted to BellSouth, Cox and Advance pursuant to the Stock Option Agreement, expired without the exercise thereof, in whole or in part, by any of BellSouth, Cox or Advance. In connection with the expiration of the Paramount Options, except as otherwise expressly provided therein, the Stock Option Agreement (including the Acknowledgement and Agreement executed by Comcast and Liberty and the other agreements ancillary thereto and referred to therein) by its terms, including, without limitation,</w:t>
      </w:r>
    </w:p>
    <w:p>
      <w:pPr>
        <w:sectPr>
          <w:pgSz w:w="11900" w:h="16851" w:orient="portrait"/>
          <w:cols w:equalWidth="0" w:num="1">
            <w:col w:w="10219"/>
          </w:cols>
          <w:pgMar w:left="240" w:top="447" w:right="1440" w:bottom="0" w:gutter="0" w:footer="0" w:header="0"/>
          <w:type w:val="continuous"/>
        </w:sectPr>
      </w:pPr>
    </w:p>
    <w:bookmarkStart w:id="1" w:name="page2"/>
    <w:bookmarkEnd w:id="1"/>
    <w:p>
      <w:pPr>
        <w:ind w:right="2319"/>
        <w:spacing w:after="0" w:line="237" w:lineRule="auto"/>
        <w:rPr>
          <w:sz w:val="20"/>
          <w:szCs w:val="20"/>
          <w:color w:val="auto"/>
        </w:rPr>
      </w:pPr>
      <w:r>
        <w:rPr>
          <w:rFonts w:ascii="Courier New" w:cs="Courier New" w:eastAsia="Courier New" w:hAnsi="Courier New"/>
          <w:sz w:val="18"/>
          <w:szCs w:val="18"/>
          <w:color w:val="auto"/>
        </w:rPr>
        <w:t>BellSouth's agreement to become a party to the Stockholders Agreement in the event that it purchased shares of common stock pursuant to the Stock Option Agreement, became void and of no effect as to the Company and each of BellSouth, Cox and Advance. As a result of the expiration of the Paramount Options, the number of outstanding Fully Diluted Shares set forth in the Offer to Purchase (which number had excluded the shares of Common Stock underlying the Paramount Options) will not change.</w:t>
      </w:r>
    </w:p>
    <w:p>
      <w:pPr>
        <w:spacing w:after="0" w:line="211"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Item 7. Contracts, Arrangements, Understandings or Relationships with Respect to the Subject Company's Securities.</w:t>
      </w:r>
    </w:p>
    <w:p>
      <w:pPr>
        <w:spacing w:after="0" w:line="208" w:lineRule="exact"/>
        <w:rPr>
          <w:sz w:val="20"/>
          <w:szCs w:val="20"/>
          <w:color w:val="auto"/>
        </w:rPr>
      </w:pPr>
    </w:p>
    <w:p>
      <w:pPr>
        <w:ind w:right="2739" w:firstLine="527"/>
        <w:spacing w:after="0" w:line="235" w:lineRule="auto"/>
        <w:rPr>
          <w:sz w:val="20"/>
          <w:szCs w:val="20"/>
          <w:color w:val="auto"/>
        </w:rPr>
      </w:pPr>
      <w:r>
        <w:rPr>
          <w:rFonts w:ascii="Courier New" w:cs="Courier New" w:eastAsia="Courier New" w:hAnsi="Courier New"/>
          <w:sz w:val="18"/>
          <w:szCs w:val="18"/>
          <w:color w:val="auto"/>
        </w:rPr>
        <w:t>Item 7 of the Schedule 14D-1 is hereby supplemented and amended to include the following information:</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information set forth in Item 3 is incorporated herein by reference.</w:t>
      </w:r>
    </w:p>
    <w:p>
      <w:pPr>
        <w:sectPr>
          <w:pgSz w:w="11900" w:h="16838" w:orient="portrait"/>
          <w:cols w:equalWidth="0" w:num="1">
            <w:col w:w="10219"/>
          </w:cols>
          <w:pgMar w:left="240" w:top="142" w:right="1440" w:bottom="1440" w:gutter="0" w:footer="0" w:header="0"/>
        </w:sectPr>
      </w:pPr>
    </w:p>
    <w:bookmarkStart w:id="2" w:name="page3"/>
    <w:bookmarkEnd w:id="2"/>
    <w:p>
      <w:pPr>
        <w:jc w:val="center"/>
        <w:ind w:right="229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419" w:firstLine="316"/>
        <w:spacing w:after="0" w:line="236" w:lineRule="auto"/>
        <w:rPr>
          <w:sz w:val="20"/>
          <w:szCs w:val="20"/>
          <w:color w:val="auto"/>
        </w:rPr>
      </w:pPr>
      <w:r>
        <w:rPr>
          <w:rFonts w:ascii="Courier New" w:cs="Courier New" w:eastAsia="Courier New" w:hAnsi="Courier New"/>
          <w:sz w:val="18"/>
          <w:szCs w:val="18"/>
          <w:color w:val="auto"/>
        </w:rPr>
        <w:t>After due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August 17, 1994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QVC PROGRAMMING HOLDINGS, INC.</w:t>
      </w:r>
    </w:p>
    <w:p>
      <w:pPr>
        <w:spacing w:after="0" w:line="200" w:lineRule="exact"/>
        <w:rPr>
          <w:sz w:val="20"/>
          <w:szCs w:val="20"/>
          <w:color w:val="auto"/>
        </w:rPr>
      </w:pPr>
    </w:p>
    <w:p>
      <w:pPr>
        <w:spacing w:after="0" w:line="204" w:lineRule="exact"/>
        <w:rPr>
          <w:sz w:val="20"/>
          <w:szCs w:val="20"/>
          <w:color w:val="auto"/>
        </w:rPr>
      </w:pPr>
    </w:p>
    <w:p>
      <w:pPr>
        <w:ind w:left="4120"/>
        <w:spacing w:after="0"/>
        <w:tabs>
          <w:tab w:leader="none" w:pos="50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JULIAN A. BRODSKY</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tabs>
          <w:tab w:leader="none" w:pos="5260" w:val="left"/>
        </w:tabs>
        <w:rPr>
          <w:sz w:val="20"/>
          <w:szCs w:val="20"/>
          <w:color w:val="auto"/>
        </w:rPr>
      </w:pPr>
      <w:r>
        <w:rPr>
          <w:rFonts w:ascii="Courier New" w:cs="Courier New" w:eastAsia="Courier New" w:hAnsi="Courier New"/>
          <w:sz w:val="18"/>
          <w:szCs w:val="18"/>
          <w:color w:val="auto"/>
        </w:rPr>
        <w:t>Name:</w:t>
        <w:tab/>
        <w:t>Julian A. Brodsky</w:t>
      </w:r>
    </w:p>
    <w:p>
      <w:pPr>
        <w:ind w:left="4540"/>
        <w:spacing w:after="0" w:line="237" w:lineRule="auto"/>
        <w:rPr>
          <w:sz w:val="20"/>
          <w:szCs w:val="20"/>
          <w:color w:val="auto"/>
        </w:rPr>
      </w:pPr>
      <w:r>
        <w:rPr>
          <w:rFonts w:ascii="Courier New" w:cs="Courier New" w:eastAsia="Courier New" w:hAnsi="Courier New"/>
          <w:sz w:val="18"/>
          <w:szCs w:val="18"/>
          <w:color w:val="auto"/>
        </w:rPr>
        <w:t>Title: Vice Chairman</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4" w:lineRule="exact"/>
        <w:rPr>
          <w:sz w:val="20"/>
          <w:szCs w:val="20"/>
          <w:color w:val="auto"/>
        </w:rPr>
      </w:pPr>
    </w:p>
    <w:p>
      <w:pPr>
        <w:ind w:left="4120"/>
        <w:spacing w:after="0"/>
        <w:tabs>
          <w:tab w:leader="none" w:pos="4620" w:val="left"/>
          <w:tab w:leader="none" w:pos="516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JULIAN A. BRODSKY</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Name: Julian A. Brodsky</w:t>
      </w:r>
    </w:p>
    <w:p>
      <w:pPr>
        <w:ind w:left="4640"/>
        <w:spacing w:after="0" w:line="237" w:lineRule="auto"/>
        <w:rPr>
          <w:sz w:val="20"/>
          <w:szCs w:val="20"/>
          <w:color w:val="auto"/>
        </w:rPr>
      </w:pPr>
      <w:r>
        <w:rPr>
          <w:rFonts w:ascii="Courier New" w:cs="Courier New" w:eastAsia="Courier New" w:hAnsi="Courier New"/>
          <w:sz w:val="18"/>
          <w:szCs w:val="18"/>
          <w:color w:val="auto"/>
        </w:rPr>
        <w:t>Title: Vice Chairman</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TELE-COMMUNICATIONS, INC.</w:t>
      </w:r>
    </w:p>
    <w:p>
      <w:pPr>
        <w:spacing w:after="0" w:line="200" w:lineRule="exact"/>
        <w:rPr>
          <w:sz w:val="20"/>
          <w:szCs w:val="20"/>
          <w:color w:val="auto"/>
        </w:rPr>
      </w:pPr>
    </w:p>
    <w:p>
      <w:pPr>
        <w:spacing w:after="0" w:line="204" w:lineRule="exact"/>
        <w:rPr>
          <w:sz w:val="20"/>
          <w:szCs w:val="20"/>
          <w:color w:val="auto"/>
        </w:rPr>
      </w:pPr>
    </w:p>
    <w:p>
      <w:pPr>
        <w:ind w:left="4120"/>
        <w:spacing w:after="0"/>
        <w:tabs>
          <w:tab w:leader="none" w:pos="50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STEPHEN M. BRETT</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Name: Stephen M. Brett</w:t>
      </w:r>
    </w:p>
    <w:p>
      <w:pPr>
        <w:spacing w:after="0" w:line="3"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Title: Executive Vice President</w:t>
      </w:r>
    </w:p>
    <w:sectPr>
      <w:pgSz w:w="11900" w:h="16838" w:orient="portrait"/>
      <w:cols w:equalWidth="0" w:num="1">
        <w:col w:w="10219"/>
      </w:cols>
      <w:pgMar w:left="240" w:top="1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2019-12-16T13:13:10Z</dcterms:created>
  <dcterms:modified xsi:type="dcterms:W3CDTF">2019-12-16T13:13:10Z</dcterms:modified>
</cp:coreProperties>
</file>