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0001304481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3"/>
        <w:gridCol w:w="4012"/>
      </w:tblGrid>
      <w:tr>
        <w:trPr/>
        <w:tc>
          <w:tcPr>
            <w:tcW w:w="6193" w:type="dxa"/>
            <w:tcBorders/>
            <w:vAlign w:val="center"/>
          </w:tcPr>
          <w:p>
            <w:pPr>
              <w:pStyle w:val="TableContents"/>
              <w:bidi w:val="0"/>
              <w:spacing w:before="0" w:after="283"/>
              <w:jc w:val="left"/>
              <w:rPr/>
            </w:pPr>
            <w:r>
              <w:rPr/>
              <w:t>Name of Issuer</w:t>
            </w:r>
          </w:p>
        </w:tc>
        <w:tc>
          <w:tcPr>
            <w:tcW w:w="4012" w:type="dxa"/>
            <w:tcBorders/>
            <w:vAlign w:val="center"/>
          </w:tcPr>
          <w:p>
            <w:pPr>
              <w:pStyle w:val="TableContents"/>
              <w:bidi w:val="0"/>
              <w:spacing w:before="0" w:after="0"/>
              <w:jc w:val="left"/>
              <w:rPr/>
            </w:pPr>
            <w:r>
              <w:rPr/>
              <w:t>COMCAST CORP</w:t>
            </w:r>
          </w:p>
        </w:tc>
      </w:tr>
      <w:tr>
        <w:trPr/>
        <w:tc>
          <w:tcPr>
            <w:tcW w:w="6193" w:type="dxa"/>
            <w:tcBorders/>
            <w:vAlign w:val="center"/>
          </w:tcPr>
          <w:p>
            <w:pPr>
              <w:pStyle w:val="TableContents"/>
              <w:bidi w:val="0"/>
              <w:spacing w:before="0" w:after="283"/>
              <w:jc w:val="left"/>
              <w:rPr/>
            </w:pPr>
            <w:r>
              <w:rPr/>
              <w:t>SEC File Number</w:t>
            </w:r>
          </w:p>
        </w:tc>
        <w:tc>
          <w:tcPr>
            <w:tcW w:w="4012" w:type="dxa"/>
            <w:tcBorders/>
            <w:vAlign w:val="center"/>
          </w:tcPr>
          <w:p>
            <w:pPr>
              <w:pStyle w:val="TableContents"/>
              <w:bidi w:val="0"/>
              <w:spacing w:before="0" w:after="0"/>
              <w:jc w:val="left"/>
              <w:rPr/>
            </w:pPr>
            <w:r>
              <w:rPr/>
              <w:t>001-32871</w:t>
            </w:r>
          </w:p>
        </w:tc>
      </w:tr>
      <w:tr>
        <w:trPr/>
        <w:tc>
          <w:tcPr>
            <w:tcW w:w="6193" w:type="dxa"/>
            <w:tcBorders/>
            <w:vAlign w:val="center"/>
          </w:tcPr>
          <w:p>
            <w:pPr>
              <w:pStyle w:val="TableContents"/>
              <w:bidi w:val="0"/>
              <w:spacing w:before="0" w:after="283"/>
              <w:jc w:val="left"/>
              <w:rPr/>
            </w:pPr>
            <w:r>
              <w:rPr/>
              <w:t>Address of Issuer</w:t>
            </w:r>
          </w:p>
        </w:tc>
        <w:tc>
          <w:tcPr>
            <w:tcW w:w="4012" w:type="dxa"/>
            <w:tcBorders/>
            <w:vAlign w:val="center"/>
          </w:tcPr>
          <w:p>
            <w:pPr>
              <w:pStyle w:val="TableContents"/>
              <w:bidi w:val="0"/>
              <w:spacing w:before="0" w:after="0"/>
              <w:jc w:val="left"/>
              <w:rPr/>
            </w:pPr>
            <w:r>
              <w:rPr/>
              <w:t>ONE COMCAST CENTER</w:t>
              <w:br/>
              <w:t>PHILADELPHIA</w:t>
              <w:br/>
              <w:t xml:space="preserve">PENNSYLVANIA </w:t>
              <w:br/>
              <w:t>19103-2838</w:t>
            </w:r>
          </w:p>
        </w:tc>
      </w:tr>
      <w:tr>
        <w:trPr/>
        <w:tc>
          <w:tcPr>
            <w:tcW w:w="6193" w:type="dxa"/>
            <w:tcBorders/>
            <w:vAlign w:val="center"/>
          </w:tcPr>
          <w:p>
            <w:pPr>
              <w:pStyle w:val="TableContents"/>
              <w:bidi w:val="0"/>
              <w:spacing w:before="0" w:after="283"/>
              <w:jc w:val="left"/>
              <w:rPr/>
            </w:pPr>
            <w:r>
              <w:rPr/>
              <w:t>Phone</w:t>
            </w:r>
          </w:p>
        </w:tc>
        <w:tc>
          <w:tcPr>
            <w:tcW w:w="4012" w:type="dxa"/>
            <w:tcBorders/>
            <w:vAlign w:val="center"/>
          </w:tcPr>
          <w:p>
            <w:pPr>
              <w:pStyle w:val="TableContents"/>
              <w:bidi w:val="0"/>
              <w:spacing w:before="0" w:after="0"/>
              <w:jc w:val="left"/>
              <w:rPr/>
            </w:pPr>
            <w:r>
              <w:rPr/>
              <w:t>215-286-1700</w:t>
            </w:r>
          </w:p>
        </w:tc>
      </w:tr>
      <w:tr>
        <w:trPr/>
        <w:tc>
          <w:tcPr>
            <w:tcW w:w="6193" w:type="dxa"/>
            <w:tcBorders/>
            <w:vAlign w:val="center"/>
          </w:tcPr>
          <w:p>
            <w:pPr>
              <w:pStyle w:val="TableContents"/>
              <w:bidi w:val="0"/>
              <w:spacing w:before="0" w:after="283"/>
              <w:jc w:val="left"/>
              <w:rPr/>
            </w:pPr>
            <w:r>
              <w:rPr/>
              <w:t>Name of Person for Whose Account the Securities are To Be Sold</w:t>
            </w:r>
          </w:p>
        </w:tc>
        <w:tc>
          <w:tcPr>
            <w:tcW w:w="4012" w:type="dxa"/>
            <w:tcBorders/>
            <w:vAlign w:val="center"/>
          </w:tcPr>
          <w:p>
            <w:pPr>
              <w:pStyle w:val="TableContents"/>
              <w:bidi w:val="0"/>
              <w:spacing w:before="0" w:after="0"/>
              <w:jc w:val="left"/>
              <w:rPr/>
            </w:pPr>
            <w:r>
              <w:rPr/>
              <w:t>Cavanagh Michael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3" w:type="dxa"/>
            <w:tcBorders/>
            <w:vAlign w:val="center"/>
          </w:tcPr>
          <w:p>
            <w:pPr>
              <w:pStyle w:val="TableContents"/>
              <w:bidi w:val="0"/>
              <w:spacing w:before="0" w:after="283"/>
              <w:jc w:val="left"/>
              <w:rPr/>
            </w:pPr>
            <w:r>
              <w:rPr/>
              <w:t>Relationship to Issuer</w:t>
            </w:r>
          </w:p>
        </w:tc>
        <w:tc>
          <w:tcPr>
            <w:tcW w:w="40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25537</w:t>
            </w:r>
          </w:p>
        </w:tc>
        <w:tc>
          <w:tcPr>
            <w:tcW w:w="1452" w:type="dxa"/>
            <w:tcBorders/>
            <w:vAlign w:val="center"/>
          </w:tcPr>
          <w:p>
            <w:pPr>
              <w:pStyle w:val="TableContents"/>
              <w:bidi w:val="0"/>
              <w:spacing w:before="0" w:after="283"/>
              <w:jc w:val="left"/>
              <w:rPr/>
            </w:pPr>
            <w:r>
              <w:rPr/>
              <w:t>1087666.34</w:t>
            </w:r>
          </w:p>
        </w:tc>
        <w:tc>
          <w:tcPr>
            <w:tcW w:w="1544" w:type="dxa"/>
            <w:tcBorders/>
            <w:vAlign w:val="center"/>
          </w:tcPr>
          <w:p>
            <w:pPr>
              <w:pStyle w:val="TableContents"/>
              <w:bidi w:val="0"/>
              <w:spacing w:before="0" w:after="283"/>
              <w:jc w:val="left"/>
              <w:rPr/>
            </w:pPr>
            <w:r>
              <w:rPr/>
              <w:t>3817095628</w:t>
            </w:r>
          </w:p>
        </w:tc>
        <w:tc>
          <w:tcPr>
            <w:tcW w:w="1562" w:type="dxa"/>
            <w:tcBorders/>
            <w:vAlign w:val="center"/>
          </w:tcPr>
          <w:p>
            <w:pPr>
              <w:pStyle w:val="TableContents"/>
              <w:bidi w:val="0"/>
              <w:spacing w:before="0" w:after="283"/>
              <w:jc w:val="left"/>
              <w:rPr/>
            </w:pPr>
            <w:r>
              <w:rPr/>
              <w:t>11/26/2024</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11/26/2024</w:t>
            </w:r>
          </w:p>
        </w:tc>
        <w:tc>
          <w:tcPr>
            <w:tcW w:w="1559" w:type="dxa"/>
            <w:tcBorders/>
            <w:vAlign w:val="center"/>
          </w:tcPr>
          <w:p>
            <w:pPr>
              <w:pStyle w:val="TableContents"/>
              <w:bidi w:val="0"/>
              <w:spacing w:before="0" w:after="283"/>
              <w:jc w:val="left"/>
              <w:rPr/>
            </w:pPr>
            <w:r>
              <w:rPr/>
              <w:t>Option Granted 05/15/2015</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25537</w:t>
            </w:r>
          </w:p>
        </w:tc>
        <w:tc>
          <w:tcPr>
            <w:tcW w:w="1101" w:type="dxa"/>
            <w:tcBorders/>
            <w:vAlign w:val="center"/>
          </w:tcPr>
          <w:p>
            <w:pPr>
              <w:pStyle w:val="TableContents"/>
              <w:bidi w:val="0"/>
              <w:spacing w:before="0" w:after="283"/>
              <w:jc w:val="left"/>
              <w:rPr/>
            </w:pPr>
            <w:r>
              <w:rPr/>
              <w:t>11/26/2024</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283"/>
              <w:jc w:val="left"/>
              <w:rPr>
                <w:sz w:val="4"/>
                <w:szCs w:val="4"/>
              </w:rPr>
            </w:pPr>
            <w:r>
              <w:rPr>
                <w:sz w:val="4"/>
                <w:szCs w:val="4"/>
              </w:rPr>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11/26/2024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Eric Janiak, as a duly authorized representative of Fidelity Brokerage Services LLC, as attorney-in-fact for Michael J. Cavanagh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2986</Characters>
  <CharactersWithSpaces>3518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