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RULE 13D-1(B), (C) AND (D) AND AMENDMENTS THERETO FILED PURSUANT TO</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RULE 13d-2(b)</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1) *</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Cablevision Systems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Cablevision NY Group Class A Common Stock, par value $.01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 of Securities)</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12686C109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(CUSIP Number)</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3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260" w:hanging="67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w:t>
      </w:r>
    </w:p>
    <w:p>
      <w:pPr>
        <w:spacing w:after="0" w:line="279" w:lineRule="exact"/>
        <w:rPr>
          <w:sz w:val="24"/>
          <w:szCs w:val="24"/>
          <w:color w:val="auto"/>
        </w:rPr>
      </w:pPr>
    </w:p>
    <w:p>
      <w:pPr>
        <w:ind w:left="1260" w:hanging="678"/>
        <w:spacing w:after="0"/>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 – 1(c)</w:t>
      </w:r>
    </w:p>
    <w:p>
      <w:pPr>
        <w:spacing w:after="0" w:line="279" w:lineRule="exact"/>
        <w:rPr>
          <w:sz w:val="24"/>
          <w:szCs w:val="24"/>
          <w:color w:val="auto"/>
        </w:rPr>
      </w:pPr>
    </w:p>
    <w:p>
      <w:pPr>
        <w:ind w:left="1260" w:hanging="678"/>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Rule 13d – 1(d)</w:t>
      </w:r>
    </w:p>
    <w:p>
      <w:pPr>
        <w:spacing w:after="0" w:line="236" w:lineRule="exact"/>
        <w:rPr>
          <w:rFonts w:ascii="Arial" w:cs="Arial" w:eastAsia="Arial" w:hAnsi="Arial"/>
          <w:sz w:val="18"/>
          <w:szCs w:val="18"/>
          <w:color w:val="auto"/>
        </w:rPr>
      </w:pPr>
    </w:p>
    <w:p>
      <w:pPr>
        <w:ind w:right="660" w:firstLine="203"/>
        <w:spacing w:after="0" w:line="239" w:lineRule="auto"/>
        <w:rPr>
          <w:rFonts w:ascii="Arial" w:cs="Arial" w:eastAsia="Arial" w:hAnsi="Arial"/>
          <w:sz w:val="18"/>
          <w:szCs w:val="18"/>
          <w:color w:val="auto"/>
        </w:rPr>
      </w:pPr>
      <w:r>
        <w:rPr>
          <w:rFonts w:ascii="Arial" w:cs="Arial" w:eastAsia="Arial" w:hAnsi="Arial"/>
          <w:sz w:val="14"/>
          <w:szCs w:val="14"/>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3" w:lineRule="exact"/>
        <w:rPr>
          <w:sz w:val="24"/>
          <w:szCs w:val="24"/>
          <w:color w:val="auto"/>
        </w:rPr>
      </w:pPr>
    </w:p>
    <w:p>
      <w:pPr>
        <w:ind w:firstLine="169"/>
        <w:spacing w:after="0" w:line="239" w:lineRule="auto"/>
        <w:rPr>
          <w:sz w:val="20"/>
          <w:szCs w:val="20"/>
          <w:color w:val="auto"/>
        </w:rPr>
      </w:pPr>
      <w:r>
        <w:rPr>
          <w:rFonts w:ascii="Arial" w:cs="Arial" w:eastAsia="Arial" w:hAnsi="Arial"/>
          <w:sz w:val="14"/>
          <w:szCs w:val="14"/>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4"/>
          <w:szCs w:val="14"/>
          <w:i w:val="1"/>
          <w:iCs w:val="1"/>
          <w:color w:val="auto"/>
        </w:rPr>
        <w:t>see</w:t>
      </w:r>
      <w:r>
        <w:rPr>
          <w:rFonts w:ascii="Arial" w:cs="Arial" w:eastAsia="Arial" w:hAnsi="Arial"/>
          <w:sz w:val="14"/>
          <w:szCs w:val="14"/>
          <w:color w:val="auto"/>
        </w:rPr>
        <w:t xml:space="preserve"> the </w:t>
      </w:r>
      <w:r>
        <w:rPr>
          <w:rFonts w:ascii="Arial" w:cs="Arial" w:eastAsia="Arial" w:hAnsi="Arial"/>
          <w:sz w:val="14"/>
          <w:szCs w:val="14"/>
          <w:i w:val="1"/>
          <w:iCs w:val="1"/>
          <w:color w:val="auto"/>
        </w:rPr>
        <w:t>Notes</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w:t>
      </w:r>
    </w:p>
    <w:p>
      <w:pPr>
        <w:spacing w:after="0" w:line="237"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3340" w:type="dxa"/>
            <w:vAlign w:val="bottom"/>
          </w:tcPr>
          <w:p>
            <w:pPr>
              <w:ind w:left="296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2880" w:type="dxa"/>
            <w:vAlign w:val="bottom"/>
            <w:tcBorders>
              <w:left w:val="single" w:sz="8" w:color="auto"/>
              <w:bottom w:val="single" w:sz="8" w:color="auto"/>
              <w:right w:val="single" w:sz="8" w:color="auto"/>
            </w:tcBorders>
          </w:tcPr>
          <w:p>
            <w:pPr>
              <w:spacing w:after="0"/>
              <w:rPr>
                <w:sz w:val="10"/>
                <w:szCs w:val="10"/>
                <w:color w:val="auto"/>
              </w:rPr>
            </w:pPr>
          </w:p>
        </w:tc>
        <w:tc>
          <w:tcPr>
            <w:tcW w:w="33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4025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4025900"/>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Corporation</w:t>
      </w:r>
    </w:p>
    <w:p>
      <w:pPr>
        <w:spacing w:after="0" w:line="1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27-0000798</w:t>
      </w:r>
    </w:p>
    <w:p>
      <w:pPr>
        <w:spacing w:after="0" w:line="165"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14" w:lineRule="exact"/>
        <w:rPr>
          <w:sz w:val="24"/>
          <w:szCs w:val="24"/>
          <w:color w:val="auto"/>
        </w:rPr>
      </w:pPr>
    </w:p>
    <w:p>
      <w:pPr>
        <w:ind w:left="2020" w:hanging="793"/>
        <w:spacing w:after="0"/>
        <w:tabs>
          <w:tab w:leader="none" w:pos="2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Pennsylvania</w:t>
      </w:r>
    </w:p>
    <w:p>
      <w:pPr>
        <w:spacing w:after="0" w:line="62" w:lineRule="exact"/>
        <w:rPr>
          <w:sz w:val="24"/>
          <w:szCs w:val="24"/>
          <w:color w:val="auto"/>
        </w:rPr>
      </w:pPr>
    </w:p>
    <w:tbl>
      <w:tblPr>
        <w:tblLayout w:type="fixed"/>
        <w:tblInd w:w="580" w:type="dxa"/>
        <w:tblCellMar>
          <w:top w:w="0" w:type="dxa"/>
          <w:left w:w="0" w:type="dxa"/>
          <w:bottom w:w="0" w:type="dxa"/>
          <w:right w:w="0" w:type="dxa"/>
        </w:tblCellMar>
      </w:tblPr>
      <w:tr>
        <w:trPr>
          <w:trHeight w:val="305"/>
        </w:trPr>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NUMBER OF SHARES</w:t>
            </w:r>
          </w:p>
        </w:tc>
        <w:tc>
          <w:tcPr>
            <w:tcW w:w="4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59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 OWNED BY</w:t>
            </w:r>
          </w:p>
        </w:tc>
        <w:tc>
          <w:tcPr>
            <w:tcW w:w="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59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-41,451,682*-</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59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592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59"/>
        </w:trPr>
        <w:tc>
          <w:tcPr>
            <w:tcW w:w="3920" w:type="dxa"/>
            <w:vAlign w:val="bottom"/>
            <w:tcBorders>
              <w:right w:val="single" w:sz="8" w:color="auto"/>
            </w:tcBorders>
          </w:tcPr>
          <w:p>
            <w:pPr>
              <w:spacing w:after="0"/>
              <w:rPr>
                <w:sz w:val="5"/>
                <w:szCs w:val="5"/>
                <w:color w:val="auto"/>
              </w:rPr>
            </w:pPr>
          </w:p>
        </w:tc>
        <w:tc>
          <w:tcPr>
            <w:tcW w:w="440" w:type="dxa"/>
            <w:vAlign w:val="bottom"/>
          </w:tcPr>
          <w:p>
            <w:pPr>
              <w:spacing w:after="0"/>
              <w:rPr>
                <w:sz w:val="5"/>
                <w:szCs w:val="5"/>
                <w:color w:val="auto"/>
              </w:rPr>
            </w:pPr>
          </w:p>
        </w:tc>
        <w:tc>
          <w:tcPr>
            <w:tcW w:w="5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0" w:right="239" w:bottom="0" w:gutter="0" w:footer="0" w:header="0"/>
        </w:sectPr>
      </w:pPr>
    </w:p>
    <w:bookmarkStart w:id="1" w:name="page2"/>
    <w:bookmarkEnd w:id="1"/>
    <w:p>
      <w:pPr>
        <w:jc w:val="center"/>
        <w:ind w:left="4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2394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394585"/>
                    </a:xfrm>
                    <a:prstGeom prst="rect">
                      <a:avLst/>
                    </a:prstGeom>
                    <a:noFill/>
                  </pic:spPr>
                </pic:pic>
              </a:graphicData>
            </a:graphic>
          </wp:anchor>
        </w:drawing>
        <w:t>-41,451,682*-</w:t>
      </w:r>
    </w:p>
    <w:p>
      <w:pPr>
        <w:spacing w:after="0" w:line="171" w:lineRule="exact"/>
        <w:rPr>
          <w:sz w:val="20"/>
          <w:szCs w:val="20"/>
          <w:color w:val="auto"/>
        </w:rPr>
      </w:pPr>
    </w:p>
    <w:p>
      <w:pPr>
        <w:ind w:left="1440" w:hanging="793"/>
        <w:spacing w:after="0"/>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-41,451,682*-</w:t>
      </w:r>
    </w:p>
    <w:p>
      <w:pPr>
        <w:spacing w:after="0" w:line="171" w:lineRule="exact"/>
        <w:rPr>
          <w:sz w:val="20"/>
          <w:szCs w:val="20"/>
          <w:color w:val="auto"/>
        </w:rPr>
      </w:pPr>
    </w:p>
    <w:p>
      <w:pPr>
        <w:ind w:left="600"/>
        <w:spacing w:after="0"/>
        <w:tabs>
          <w:tab w:leader="none" w:pos="14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18.9%</w:t>
      </w:r>
    </w:p>
    <w:p>
      <w:pPr>
        <w:spacing w:after="0" w:line="1" w:lineRule="exact"/>
        <w:rPr>
          <w:rFonts w:ascii="Arial" w:cs="Arial" w:eastAsia="Arial" w:hAnsi="Arial"/>
          <w:sz w:val="18"/>
          <w:szCs w:val="18"/>
          <w:color w:val="auto"/>
        </w:rPr>
      </w:pPr>
    </w:p>
    <w:p>
      <w:pPr>
        <w:ind w:left="1440" w:hanging="837"/>
        <w:spacing w:after="0"/>
        <w:tabs>
          <w:tab w:leader="none" w:pos="14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103" w:lineRule="exact"/>
        <w:rPr>
          <w:rFonts w:ascii="Arial" w:cs="Arial" w:eastAsia="Arial" w:hAnsi="Arial"/>
          <w:sz w:val="18"/>
          <w:szCs w:val="18"/>
          <w:color w:val="auto"/>
        </w:rPr>
      </w:pPr>
    </w:p>
    <w:p>
      <w:pPr>
        <w:ind w:left="380" w:right="160" w:hanging="375"/>
        <w:spacing w:after="0" w:line="306" w:lineRule="auto"/>
        <w:rPr>
          <w:rFonts w:ascii="Arial" w:cs="Arial" w:eastAsia="Arial" w:hAnsi="Arial"/>
          <w:sz w:val="18"/>
          <w:szCs w:val="18"/>
          <w:color w:val="auto"/>
        </w:rPr>
      </w:pPr>
      <w:r>
        <w:rPr>
          <w:rFonts w:ascii="Arial" w:cs="Arial" w:eastAsia="Arial" w:hAnsi="Arial"/>
          <w:sz w:val="16"/>
          <w:szCs w:val="16"/>
          <w:color w:val="auto"/>
        </w:rPr>
        <w:t>* Of the 41,451,682 shares of Cablevision NY Group Class A Common Stock, par value $.01 per share (“Class A Common Stock”), that are reported as beneficially owned by the Reporting Person, 32,651,947 shares of Class A Common Stock are owned by Comcast ABB CSC Holdings, Inc., and 8,799,735 shares of Class A Common Stock are owned by Comcast ABB CSC II, Inc.</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368935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140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Comcast Cable Communications Holdings, Inc.</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-41,451,682*-</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-41,451,682*-</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-41,451,682*-</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18.9%</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280"/>
          </w:cols>
          <w:pgMar w:left="820" w:top="347" w:right="799" w:bottom="0" w:gutter="0" w:footer="0" w:header="0"/>
        </w:sectPr>
      </w:pPr>
    </w:p>
    <w:p>
      <w:pPr>
        <w:ind w:left="380" w:hanging="375"/>
        <w:spacing w:after="0"/>
        <w:tabs>
          <w:tab w:leader="none" w:pos="3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Of the 41,451,682 shares of Cablevision NY Group Class A Common Stock, par value $.01 per share (“Class A Common Stock”), that are</w:t>
      </w:r>
    </w:p>
    <w:p>
      <w:pPr>
        <w:sectPr>
          <w:pgSz w:w="11900" w:h="16838" w:orient="portrait"/>
          <w:cols w:equalWidth="0" w:num="1">
            <w:col w:w="10280"/>
          </w:cols>
          <w:pgMar w:left="820" w:top="347" w:right="799" w:bottom="0" w:gutter="0" w:footer="0" w:header="0"/>
          <w:type w:val="continuous"/>
        </w:sectPr>
      </w:pPr>
    </w:p>
    <w:bookmarkStart w:id="2" w:name="page3"/>
    <w:bookmarkEnd w:id="2"/>
    <w:p>
      <w:pPr>
        <w:spacing w:after="0" w:line="55" w:lineRule="exact"/>
        <w:rPr>
          <w:sz w:val="20"/>
          <w:szCs w:val="20"/>
          <w:color w:val="auto"/>
        </w:rPr>
      </w:pPr>
    </w:p>
    <w:p>
      <w:pPr>
        <w:ind w:left="960" w:right="280"/>
        <w:spacing w:after="0" w:line="332" w:lineRule="auto"/>
        <w:rPr>
          <w:sz w:val="20"/>
          <w:szCs w:val="20"/>
          <w:color w:val="auto"/>
        </w:rPr>
      </w:pPr>
      <w:r>
        <w:rPr>
          <w:rFonts w:ascii="Arial" w:cs="Arial" w:eastAsia="Arial" w:hAnsi="Arial"/>
          <w:sz w:val="16"/>
          <w:szCs w:val="16"/>
          <w:color w:val="auto"/>
        </w:rPr>
        <w:t>reported as beneficially owned by the Reporting Person, 32,651,947 shares of Class A Common Stock are owned by Comcast ABB CSC Holdings, Inc., and 8,799,735 shares of Class A Common Stock are owned by Comcast ABB CSC II, Inc.</w:t>
      </w:r>
    </w:p>
    <w:p>
      <w:pPr>
        <w:spacing w:after="0" w:line="13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590" w:type="dxa"/>
        <w:tblCellMar>
          <w:top w:w="0" w:type="dxa"/>
          <w:left w:w="0" w:type="dxa"/>
          <w:bottom w:w="0" w:type="dxa"/>
          <w:right w:w="0" w:type="dxa"/>
        </w:tblCellMar>
      </w:tblPr>
      <w:tr>
        <w:trPr>
          <w:trHeight w:val="391"/>
        </w:trPr>
        <w:tc>
          <w:tcPr>
            <w:tcW w:w="310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12686C109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150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20" w:type="dxa"/>
            <w:vAlign w:val="bottom"/>
            <w:tcBorders>
              <w:bottom w:val="single" w:sz="8" w:color="auto"/>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8"/>
              </w:rPr>
              <w:t>Comcast ABB CSC Holdings, Inc.</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-32,651,947-</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7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-32,651,947-</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-32,651,947-</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720" w:type="dxa"/>
            <w:vAlign w:val="bottom"/>
          </w:tcPr>
          <w:p>
            <w:pPr>
              <w:ind w:left="60"/>
              <w:spacing w:after="0"/>
              <w:rPr>
                <w:sz w:val="20"/>
                <w:szCs w:val="20"/>
                <w:color w:val="auto"/>
              </w:rPr>
            </w:pPr>
            <w:r>
              <w:rPr>
                <w:rFonts w:ascii="Arial" w:cs="Arial" w:eastAsia="Arial" w:hAnsi="Arial"/>
                <w:sz w:val="18"/>
                <w:szCs w:val="18"/>
                <w:color w:val="auto"/>
              </w:rPr>
              <w:t>14.9%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70"/>
        </w:trPr>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260"/>
              <w:spacing w:after="0"/>
              <w:rPr>
                <w:sz w:val="20"/>
                <w:szCs w:val="20"/>
                <w:color w:val="auto"/>
              </w:rPr>
            </w:pPr>
            <w:r>
              <w:rPr>
                <w:rFonts w:ascii="Arial" w:cs="Arial" w:eastAsia="Arial" w:hAnsi="Arial"/>
                <w:sz w:val="18"/>
                <w:szCs w:val="18"/>
                <w:color w:val="auto"/>
              </w:rPr>
              <w:t>Page 4 of 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Cablevision Systems 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1111 Stewart Avenue, Bethpage, New York 11714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Cable Communications Holdings, Inc.</w:t>
      </w:r>
    </w:p>
    <w:p>
      <w:pPr>
        <w:sectPr>
          <w:pgSz w:w="11900" w:h="16893" w:orient="portrait"/>
          <w:cols w:equalWidth="0" w:num="1">
            <w:col w:w="10860"/>
          </w:cols>
          <w:pgMar w:left="240" w:top="131" w:right="799" w:bottom="0" w:gutter="0" w:footer="0" w:header="0"/>
        </w:sectPr>
      </w:pPr>
    </w:p>
    <w:bookmarkStart w:id="3" w:name="page4"/>
    <w:bookmarkEnd w:id="3"/>
    <w:p>
      <w:pPr>
        <w:ind w:left="220"/>
        <w:spacing w:after="0"/>
        <w:rPr>
          <w:sz w:val="20"/>
          <w:szCs w:val="20"/>
          <w:color w:val="auto"/>
        </w:rPr>
      </w:pPr>
      <w:r>
        <w:rPr>
          <w:rFonts w:ascii="Arial" w:cs="Arial" w:eastAsia="Arial" w:hAnsi="Arial"/>
          <w:sz w:val="18"/>
          <w:szCs w:val="18"/>
          <w:color w:val="auto"/>
        </w:rPr>
        <w:t>Comcast ABB CSC Holdings,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right="540" w:firstLine="270"/>
        <w:spacing w:after="0" w:line="268" w:lineRule="auto"/>
        <w:rPr>
          <w:sz w:val="20"/>
          <w:szCs w:val="20"/>
          <w:color w:val="auto"/>
        </w:rPr>
      </w:pPr>
      <w:r>
        <w:rPr>
          <w:rFonts w:ascii="Arial" w:cs="Arial" w:eastAsia="Arial" w:hAnsi="Arial"/>
          <w:sz w:val="18"/>
          <w:szCs w:val="18"/>
          <w:color w:val="auto"/>
        </w:rPr>
        <w:t>The address of the principal business office of each of Comcast Corporation and Comcast Cable Communications Holdings, Inc. is 1500 Market Street, Philadelphia, PA 19102-2148, c/o Comcast Corporation.</w:t>
      </w:r>
    </w:p>
    <w:p>
      <w:pPr>
        <w:spacing w:after="0" w:line="213"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color w:val="auto"/>
        </w:rPr>
        <w:t>The address of the principal business office of Comcast ABB CSC Holdings, Inc. is 1201 North Market Street, Suite 1405, Wilmington, Delaware 19801, c/o Comcast Capital Corporation.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Corporation - Pennsylvania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Cable Communications Holdings, Inc. – Delaware</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ABB CSC Holdings, Inc. -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Cablevision NY Group Class A Common Stock, par value $.01 per share (“Class A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12686C109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152400</wp:posOffset>
            </wp:positionV>
            <wp:extent cx="1543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ind w:left="200"/>
              <w:spacing w:after="0"/>
              <w:rPr>
                <w:sz w:val="20"/>
                <w:szCs w:val="20"/>
                <w:color w:val="auto"/>
              </w:rPr>
            </w:pPr>
            <w:r>
              <w:rPr>
                <w:rFonts w:ascii="Arial" w:cs="Arial" w:eastAsia="Arial" w:hAnsi="Arial"/>
                <w:sz w:val="18"/>
                <w:szCs w:val="18"/>
                <w:color w:val="auto"/>
              </w:rPr>
              <w:t>(a)</w:t>
            </w:r>
          </w:p>
        </w:tc>
        <w:tc>
          <w:tcPr>
            <w:tcW w:w="10720" w:type="dxa"/>
            <w:vAlign w:val="bottom"/>
          </w:tcPr>
          <w:p>
            <w:pPr>
              <w:ind w:left="42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(b)</w:t>
            </w:r>
          </w:p>
        </w:tc>
        <w:tc>
          <w:tcPr>
            <w:tcW w:w="10720" w:type="dxa"/>
            <w:vAlign w:val="bottom"/>
          </w:tcPr>
          <w:p>
            <w:pPr>
              <w:ind w:left="420"/>
              <w:spacing w:after="0"/>
              <w:rPr>
                <w:sz w:val="20"/>
                <w:szCs w:val="20"/>
                <w:color w:val="auto"/>
              </w:rPr>
            </w:pPr>
            <w:r>
              <w:rPr>
                <w:rFonts w:ascii="Arial" w:cs="Arial" w:eastAsia="Arial" w:hAnsi="Arial"/>
                <w:sz w:val="18"/>
                <w:szCs w:val="18"/>
                <w:color w:val="auto"/>
              </w:rPr>
              <w:t>Bank as defined in Section 3(a)(6) of the Exchange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(c)</w:t>
            </w:r>
          </w:p>
        </w:tc>
        <w:tc>
          <w:tcPr>
            <w:tcW w:w="10720" w:type="dxa"/>
            <w:vAlign w:val="bottom"/>
          </w:tcPr>
          <w:p>
            <w:pPr>
              <w:ind w:left="42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(d)</w:t>
            </w:r>
          </w:p>
        </w:tc>
        <w:tc>
          <w:tcPr>
            <w:tcW w:w="10720" w:type="dxa"/>
            <w:vAlign w:val="bottom"/>
          </w:tcPr>
          <w:p>
            <w:pPr>
              <w:ind w:left="42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(e)</w:t>
            </w:r>
          </w:p>
        </w:tc>
        <w:tc>
          <w:tcPr>
            <w:tcW w:w="10720" w:type="dxa"/>
            <w:vAlign w:val="bottom"/>
          </w:tcPr>
          <w:p>
            <w:pPr>
              <w:ind w:left="42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513"/>
        </w:trPr>
        <w:tc>
          <w:tcPr>
            <w:tcW w:w="740" w:type="dxa"/>
            <w:vAlign w:val="bottom"/>
          </w:tcPr>
          <w:p>
            <w:pPr>
              <w:ind w:left="220"/>
              <w:spacing w:after="0"/>
              <w:rPr>
                <w:sz w:val="20"/>
                <w:szCs w:val="20"/>
                <w:color w:val="auto"/>
              </w:rPr>
            </w:pPr>
            <w:r>
              <w:rPr>
                <w:rFonts w:ascii="Arial" w:cs="Arial" w:eastAsia="Arial" w:hAnsi="Arial"/>
                <w:sz w:val="18"/>
                <w:szCs w:val="18"/>
                <w:color w:val="auto"/>
              </w:rPr>
              <w:t>(f)</w:t>
            </w:r>
          </w:p>
        </w:tc>
        <w:tc>
          <w:tcPr>
            <w:tcW w:w="10720" w:type="dxa"/>
            <w:vAlign w:val="bottom"/>
          </w:tcPr>
          <w:p>
            <w:pPr>
              <w:ind w:left="42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(g)</w:t>
            </w:r>
          </w:p>
        </w:tc>
        <w:tc>
          <w:tcPr>
            <w:tcW w:w="10720" w:type="dxa"/>
            <w:vAlign w:val="bottom"/>
          </w:tcPr>
          <w:p>
            <w:pPr>
              <w:ind w:left="42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(h)</w:t>
            </w:r>
          </w:p>
        </w:tc>
        <w:tc>
          <w:tcPr>
            <w:tcW w:w="10720" w:type="dxa"/>
            <w:vAlign w:val="bottom"/>
          </w:tcPr>
          <w:p>
            <w:pPr>
              <w:ind w:left="42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86"/>
        </w:trPr>
        <w:tc>
          <w:tcPr>
            <w:tcW w:w="740" w:type="dxa"/>
            <w:vAlign w:val="bottom"/>
          </w:tcPr>
          <w:p>
            <w:pPr>
              <w:spacing w:after="0"/>
              <w:rPr>
                <w:sz w:val="24"/>
                <w:szCs w:val="24"/>
                <w:color w:val="auto"/>
              </w:rPr>
            </w:pPr>
          </w:p>
        </w:tc>
        <w:tc>
          <w:tcPr>
            <w:tcW w:w="10720" w:type="dxa"/>
            <w:vAlign w:val="bottom"/>
          </w:tcPr>
          <w:p>
            <w:pPr>
              <w:ind w:left="4540"/>
              <w:spacing w:after="0"/>
              <w:rPr>
                <w:sz w:val="20"/>
                <w:szCs w:val="20"/>
                <w:color w:val="auto"/>
              </w:rPr>
            </w:pPr>
            <w:r>
              <w:rPr>
                <w:rFonts w:ascii="Arial" w:cs="Arial" w:eastAsia="Arial" w:hAnsi="Arial"/>
                <w:sz w:val="18"/>
                <w:szCs w:val="18"/>
                <w:color w:val="auto"/>
              </w:rPr>
              <w:t>Page 5 of 10</w:t>
            </w:r>
          </w:p>
        </w:tc>
      </w:tr>
      <w:tr>
        <w:trPr>
          <w:trHeight w:val="134"/>
        </w:trPr>
        <w:tc>
          <w:tcPr>
            <w:tcW w:w="740" w:type="dxa"/>
            <w:vAlign w:val="bottom"/>
            <w:tcBorders>
              <w:bottom w:val="single" w:sz="8" w:color="808080"/>
            </w:tcBorders>
          </w:tcPr>
          <w:p>
            <w:pPr>
              <w:spacing w:after="0"/>
              <w:rPr>
                <w:sz w:val="11"/>
                <w:szCs w:val="11"/>
                <w:color w:val="auto"/>
              </w:rPr>
            </w:pPr>
          </w:p>
        </w:tc>
        <w:tc>
          <w:tcPr>
            <w:tcW w:w="10720" w:type="dxa"/>
            <w:vAlign w:val="bottom"/>
            <w:tcBorders>
              <w:bottom w:val="single" w:sz="8" w:color="808080"/>
            </w:tcBorders>
          </w:tcPr>
          <w:p>
            <w:pPr>
              <w:spacing w:after="0"/>
              <w:rPr>
                <w:sz w:val="11"/>
                <w:szCs w:val="11"/>
                <w:color w:val="auto"/>
              </w:rPr>
            </w:pPr>
          </w:p>
        </w:tc>
      </w:tr>
      <w:tr>
        <w:trPr>
          <w:trHeight w:val="589"/>
        </w:trPr>
        <w:tc>
          <w:tcPr>
            <w:tcW w:w="740" w:type="dxa"/>
            <w:vAlign w:val="bottom"/>
          </w:tcPr>
          <w:p>
            <w:pPr>
              <w:ind w:left="200"/>
              <w:spacing w:after="0"/>
              <w:rPr>
                <w:sz w:val="20"/>
                <w:szCs w:val="20"/>
                <w:color w:val="auto"/>
              </w:rPr>
            </w:pPr>
            <w:r>
              <w:rPr>
                <w:rFonts w:ascii="Arial" w:cs="Arial" w:eastAsia="Arial" w:hAnsi="Arial"/>
                <w:sz w:val="18"/>
                <w:szCs w:val="18"/>
                <w:color w:val="auto"/>
              </w:rPr>
              <w:t>(i)</w:t>
            </w:r>
          </w:p>
        </w:tc>
        <w:tc>
          <w:tcPr>
            <w:tcW w:w="10720" w:type="dxa"/>
            <w:vAlign w:val="bottom"/>
          </w:tcPr>
          <w:p>
            <w:pPr>
              <w:ind w:left="34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 Investment Company Act;</w:t>
            </w:r>
          </w:p>
        </w:tc>
      </w:tr>
      <w:tr>
        <w:trPr>
          <w:trHeight w:val="513"/>
        </w:trPr>
        <w:tc>
          <w:tcPr>
            <w:tcW w:w="740" w:type="dxa"/>
            <w:vAlign w:val="bottom"/>
          </w:tcPr>
          <w:p>
            <w:pPr>
              <w:ind w:left="200"/>
              <w:spacing w:after="0"/>
              <w:rPr>
                <w:sz w:val="20"/>
                <w:szCs w:val="20"/>
                <w:color w:val="auto"/>
              </w:rPr>
            </w:pPr>
            <w:r>
              <w:rPr>
                <w:rFonts w:ascii="Arial" w:cs="Arial" w:eastAsia="Arial" w:hAnsi="Arial"/>
                <w:sz w:val="18"/>
                <w:szCs w:val="18"/>
                <w:color w:val="auto"/>
              </w:rPr>
              <w:t>(j)</w:t>
            </w:r>
          </w:p>
        </w:tc>
        <w:tc>
          <w:tcPr>
            <w:tcW w:w="10720" w:type="dxa"/>
            <w:vAlign w:val="bottom"/>
          </w:tcPr>
          <w:p>
            <w:pPr>
              <w:ind w:left="340"/>
              <w:spacing w:after="0"/>
              <w:rPr>
                <w:sz w:val="20"/>
                <w:szCs w:val="20"/>
                <w:color w:val="auto"/>
              </w:rPr>
            </w:pPr>
            <w:r>
              <w:rPr>
                <w:rFonts w:ascii="Arial" w:cs="Arial" w:eastAsia="Arial" w:hAnsi="Arial"/>
                <w:sz w:val="18"/>
                <w:szCs w:val="18"/>
                <w:color w:val="auto"/>
              </w:rPr>
              <w:t>Group, in accordance with Rule 13d-1(b)(1)(ii)(J).</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-728980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-728980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-3213735</wp:posOffset>
            </wp:positionV>
            <wp:extent cx="1543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-2887980</wp:posOffset>
            </wp:positionV>
            <wp:extent cx="1543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-2562225</wp:posOffset>
            </wp:positionV>
            <wp:extent cx="1543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-2236470</wp:posOffset>
            </wp:positionV>
            <wp:extent cx="1543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-1910715</wp:posOffset>
            </wp:positionV>
            <wp:extent cx="15430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-1584325</wp:posOffset>
            </wp:positionV>
            <wp:extent cx="1543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-1258570</wp:posOffset>
            </wp:positionV>
            <wp:extent cx="1543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-478155</wp:posOffset>
            </wp:positionV>
            <wp:extent cx="1543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-152400</wp:posOffset>
            </wp:positionV>
            <wp:extent cx="15430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580" w:hanging="386"/>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beneficially owned: 41,451,682</w:t>
      </w:r>
    </w:p>
    <w:p>
      <w:pPr>
        <w:spacing w:after="0" w:line="252" w:lineRule="exact"/>
        <w:rPr>
          <w:rFonts w:ascii="Arial" w:cs="Arial" w:eastAsia="Arial" w:hAnsi="Arial"/>
          <w:sz w:val="18"/>
          <w:szCs w:val="18"/>
          <w:color w:val="auto"/>
        </w:rPr>
      </w:pPr>
    </w:p>
    <w:p>
      <w:pPr>
        <w:ind w:left="580" w:hanging="39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18.9%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80" w:hanging="386"/>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140" w:hanging="364"/>
        <w:spacing w:after="0"/>
        <w:tabs>
          <w:tab w:leader="none" w:pos="11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79" w:lineRule="exact"/>
        <w:rPr>
          <w:sz w:val="20"/>
          <w:szCs w:val="20"/>
          <w:color w:val="auto"/>
        </w:rPr>
      </w:pPr>
    </w:p>
    <w:p>
      <w:pPr>
        <w:ind w:left="1140" w:hanging="388"/>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41,451,682</w:t>
      </w:r>
    </w:p>
    <w:p>
      <w:pPr>
        <w:spacing w:after="0" w:line="279" w:lineRule="exact"/>
        <w:rPr>
          <w:sz w:val="20"/>
          <w:szCs w:val="20"/>
          <w:color w:val="auto"/>
        </w:rPr>
      </w:pPr>
    </w:p>
    <w:p>
      <w:pPr>
        <w:ind w:left="1140" w:hanging="41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79" w:lineRule="exact"/>
        <w:rPr>
          <w:rFonts w:ascii="Arial" w:cs="Arial" w:eastAsia="Arial" w:hAnsi="Arial"/>
          <w:sz w:val="18"/>
          <w:szCs w:val="18"/>
          <w:color w:val="auto"/>
        </w:rPr>
      </w:pPr>
    </w:p>
    <w:p>
      <w:pPr>
        <w:ind w:left="1140" w:hanging="408"/>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41,451,682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ectPr>
          <w:pgSz w:w="11900" w:h="16838" w:orient="portrait"/>
          <w:cols w:equalWidth="0" w:num="1">
            <w:col w:w="11460"/>
          </w:cols>
          <w:pgMar w:left="240" w:top="131" w:right="199" w:bottom="46" w:gutter="0" w:footer="0" w:header="0"/>
        </w:sectPr>
      </w:pPr>
    </w:p>
    <w:bookmarkStart w:id="4" w:name="page5"/>
    <w:bookmarkEnd w:id="4"/>
    <w:p>
      <w:pPr>
        <w:ind w:right="120" w:firstLine="270"/>
        <w:spacing w:after="0" w:line="269"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sz w:val="1"/>
          <w:szCs w:val="1"/>
          <w:color w:val="auto"/>
        </w:rPr>
        <w:drawing>
          <wp:inline distT="0" distB="0" distL="0" distR="0">
            <wp:extent cx="154305" cy="1803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180340"/>
                    </a:xfrm>
                    <a:prstGeom prst="rect">
                      <a:avLst/>
                    </a:prstGeom>
                    <a:noFill/>
                    <a:ln>
                      <a:noFill/>
                    </a:ln>
                  </pic:spPr>
                </pic:pic>
              </a:graphicData>
            </a:graphic>
          </wp:inline>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Cable Communications Holdings, Inc. is a direct, wholly owned subsidiary of Comcast Corporation.</w:t>
      </w:r>
    </w:p>
    <w:p>
      <w:pPr>
        <w:spacing w:after="0" w:line="252" w:lineRule="exact"/>
        <w:rPr>
          <w:sz w:val="20"/>
          <w:szCs w:val="20"/>
          <w:color w:val="auto"/>
        </w:rPr>
      </w:pPr>
    </w:p>
    <w:p>
      <w:pPr>
        <w:jc w:val="both"/>
        <w:ind w:right="60" w:firstLine="270"/>
        <w:spacing w:after="0" w:line="298" w:lineRule="auto"/>
        <w:rPr>
          <w:sz w:val="20"/>
          <w:szCs w:val="20"/>
          <w:color w:val="auto"/>
        </w:rPr>
      </w:pPr>
      <w:r>
        <w:rPr>
          <w:rFonts w:ascii="Arial" w:cs="Arial" w:eastAsia="Arial" w:hAnsi="Arial"/>
          <w:sz w:val="16"/>
          <w:szCs w:val="16"/>
          <w:color w:val="auto"/>
        </w:rPr>
        <w:t>Comcast Cable Communications Holdings, Inc. owns a 61.9% interest in Comcast ABB CSC Holdings, Inc. directly and a 38.1% interest indirectly through its wholly owned subsidiary CVC Keep Well, LLC. Comcast Cable Communications Holdings, Inc. acquired its direct interest in Comcast ABB CSC Holdings, Inc. and its interest in CVC Keep Well, LLC as a result of the merger of CCC Sub, Inc. and Country Cable III, Inc. into it in 2003. Also as a result of this merger, Comcast Cable Holdings, LLC and TCI Cable Investments, LLC ceased to be Reporting Persons.</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Comcast ABB CSC Holdings, Inc. owns 32,651,947 shares of Class A Common Stock.</w:t>
      </w:r>
    </w:p>
    <w:p>
      <w:pPr>
        <w:spacing w:after="0" w:line="252" w:lineRule="exact"/>
        <w:rPr>
          <w:sz w:val="20"/>
          <w:szCs w:val="20"/>
          <w:color w:val="auto"/>
        </w:rPr>
      </w:pPr>
    </w:p>
    <w:p>
      <w:pPr>
        <w:ind w:right="460" w:firstLine="270"/>
        <w:spacing w:after="0" w:line="268" w:lineRule="auto"/>
        <w:rPr>
          <w:sz w:val="20"/>
          <w:szCs w:val="20"/>
          <w:color w:val="auto"/>
        </w:rPr>
      </w:pPr>
      <w:r>
        <w:rPr>
          <w:rFonts w:ascii="Arial" w:cs="Arial" w:eastAsia="Arial" w:hAnsi="Arial"/>
          <w:sz w:val="18"/>
          <w:szCs w:val="18"/>
          <w:color w:val="auto"/>
        </w:rPr>
        <w:t>Comcast ABB CSC II, Inc., an indirect, wholly owned subsidiary of Comcast Cable Communications Holdings, Inc., owns 8,799,735 shares of Class A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2004</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CABLE COMMUNICATIONS HOLDINGS, INC.</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ABB CSC HOLDINGS, INC.</w:t>
      </w:r>
    </w:p>
    <w:p>
      <w:pPr>
        <w:spacing w:after="0" w:line="279" w:lineRule="exact"/>
        <w:rPr>
          <w:sz w:val="20"/>
          <w:szCs w:val="20"/>
          <w:color w:val="auto"/>
        </w:rPr>
      </w:pPr>
    </w:p>
    <w:p>
      <w:pPr>
        <w:ind w:left="54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88265</wp:posOffset>
            </wp:positionV>
            <wp:extent cx="1869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5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Rosemarie S. Teta</w:t>
      </w:r>
    </w:p>
    <w:p>
      <w:pPr>
        <w:spacing w:after="0" w:line="36"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SCHEDULES</w:t>
      </w:r>
    </w:p>
    <w:p>
      <w:pPr>
        <w:sectPr>
          <w:pgSz w:w="11900" w:h="16838" w:orient="portrait"/>
          <w:cols w:equalWidth="0" w:num="1">
            <w:col w:w="11400"/>
          </w:cols>
          <w:pgMar w:left="240" w:top="158" w:right="259" w:bottom="94" w:gutter="0" w:footer="0" w:header="0"/>
        </w:sectPr>
      </w:pPr>
    </w:p>
    <w:bookmarkStart w:id="5" w:name="page6"/>
    <w:bookmarkEnd w:id="5"/>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Schedule I</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880"/>
        <w:spacing w:after="0" w:line="259" w:lineRule="auto"/>
        <w:rPr>
          <w:sz w:val="20"/>
          <w:szCs w:val="20"/>
          <w:color w:val="auto"/>
        </w:rPr>
      </w:pPr>
      <w:r>
        <w:rPr>
          <w:rFonts w:ascii="Arial" w:cs="Arial" w:eastAsia="Arial" w:hAnsi="Arial"/>
          <w:sz w:val="18"/>
          <w:szCs w:val="18"/>
          <w:color w:val="auto"/>
        </w:rPr>
        <w:t>Termination of Joint Filing Agreement dated January 27, 2003 among Comcast Corporation, Comcast Cable Communications Holdings, Inc., Comcast Cable Holdings, LLC, TCI Cable Investments, LLC and Comcast ABB CSC Holdings, Inc.</w:t>
      </w:r>
    </w:p>
    <w:p>
      <w:pPr>
        <w:spacing w:after="0" w:line="200" w:lineRule="exact"/>
        <w:rPr>
          <w:sz w:val="20"/>
          <w:szCs w:val="20"/>
          <w:color w:val="auto"/>
        </w:rPr>
      </w:pPr>
    </w:p>
    <w:p>
      <w:pPr>
        <w:sectPr>
          <w:pgSz w:w="11900" w:h="16924" w:orient="portrait"/>
          <w:cols w:equalWidth="0" w:num="2">
            <w:col w:w="1440" w:space="720"/>
            <w:col w:w="9260"/>
          </w:cols>
          <w:pgMar w:left="240" w:top="131" w:right="239" w:bottom="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Schedule II</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Joint Filing Agreement dated February 13, 2004 among the signatories to this Amendment No. 1 to Schedule 13G.</w:t>
      </w:r>
    </w:p>
    <w:p>
      <w:pPr>
        <w:spacing w:after="0" w:line="211" w:lineRule="exact"/>
        <w:rPr>
          <w:sz w:val="20"/>
          <w:szCs w:val="20"/>
          <w:color w:val="auto"/>
        </w:rPr>
      </w:pPr>
    </w:p>
    <w:p>
      <w:pPr>
        <w:sectPr>
          <w:pgSz w:w="11900" w:h="16924" w:orient="portrait"/>
          <w:cols w:equalWidth="0" w:num="2">
            <w:col w:w="1440" w:space="720"/>
            <w:col w:w="9260"/>
          </w:cols>
          <w:pgMar w:left="240" w:top="131" w:right="239" w:bottom="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w:t>
      </w:r>
    </w:p>
    <w:p>
      <w:pPr>
        <w:spacing w:after="0" w:line="25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TERMINATION OF JOINT FILING AGREEMENT</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EXECUTED PURSUANT TO RULE 13d-1(k)(1)</w:t>
      </w:r>
    </w:p>
    <w:p>
      <w:pPr>
        <w:spacing w:after="0" w:line="246" w:lineRule="exact"/>
        <w:rPr>
          <w:sz w:val="20"/>
          <w:szCs w:val="20"/>
          <w:color w:val="auto"/>
        </w:rPr>
      </w:pPr>
    </w:p>
    <w:p>
      <w:pPr>
        <w:ind w:right="500" w:firstLine="270"/>
        <w:spacing w:after="0" w:line="268" w:lineRule="auto"/>
        <w:rPr>
          <w:sz w:val="20"/>
          <w:szCs w:val="20"/>
          <w:color w:val="auto"/>
        </w:rPr>
      </w:pPr>
      <w:r>
        <w:rPr>
          <w:rFonts w:ascii="Arial" w:cs="Arial" w:eastAsia="Arial" w:hAnsi="Arial"/>
          <w:sz w:val="18"/>
          <w:szCs w:val="18"/>
          <w:color w:val="auto"/>
        </w:rPr>
        <w:t>The undersigned hereby terminate the Joint Filing Agreement among them dated January 27, 2003. This termination may be executed in any number of counterparts and all of such counterparts taken together shall constitute one and the same instrument.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2004</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CABLE COMMUNICATIONS HOLDINGS, INC.</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CABLE HOLDINGS, LLC</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486"/>
        </w:trPr>
        <w:tc>
          <w:tcPr>
            <w:tcW w:w="3480" w:type="dxa"/>
            <w:vAlign w:val="bottom"/>
            <w:gridSpan w:val="3"/>
          </w:tcPr>
          <w:p>
            <w:pPr>
              <w:spacing w:after="0"/>
              <w:rPr>
                <w:sz w:val="20"/>
                <w:szCs w:val="20"/>
                <w:color w:val="auto"/>
              </w:rPr>
            </w:pPr>
            <w:r>
              <w:rPr>
                <w:rFonts w:ascii="Arial" w:cs="Arial" w:eastAsia="Arial" w:hAnsi="Arial"/>
                <w:sz w:val="18"/>
                <w:szCs w:val="18"/>
                <w:color w:val="auto"/>
              </w:rPr>
              <w:t>TCI CABLE INVESTMENTS, LLC</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ABB CSC HOLDINGS, INC.</w:t>
      </w:r>
    </w:p>
    <w:p>
      <w:pPr>
        <w:spacing w:after="0" w:line="279" w:lineRule="exact"/>
        <w:rPr>
          <w:sz w:val="20"/>
          <w:szCs w:val="20"/>
          <w:color w:val="auto"/>
        </w:rPr>
      </w:pPr>
    </w:p>
    <w:p>
      <w:pPr>
        <w:ind w:left="54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88265</wp:posOffset>
            </wp:positionV>
            <wp:extent cx="18694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59"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Rosemarie S. Teta</w:t>
      </w:r>
    </w:p>
    <w:p>
      <w:pPr>
        <w:spacing w:after="0" w:line="36"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 accordance with Rule 13d-1(k)(1) under the Securities Exchange Act of 1934, as amended, each of the undersigned acknowledges and agrees that Amendment No. 1 to Schedule 13G with respect to the Cablevision NY Group Class A Common Stock, par value $.01 per share, of Cablevision Systems Corporation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ectPr>
          <w:pgSz w:w="11900" w:h="16924" w:orient="portrait"/>
          <w:cols w:equalWidth="0" w:num="1">
            <w:col w:w="11420"/>
          </w:cols>
          <w:pgMar w:left="240" w:top="131"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t>Date: February 13, 2004</w:t>
      </w:r>
    </w:p>
    <w:p>
      <w:pPr>
        <w:spacing w:after="0" w:line="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CORPORATION</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64" w:lineRule="exact"/>
        <w:rPr>
          <w:sz w:val="20"/>
          <w:szCs w:val="20"/>
          <w:color w:val="auto"/>
        </w:rPr>
      </w:pPr>
    </w:p>
    <w:p>
      <w:pPr>
        <w:jc w:val="right"/>
        <w:ind w:right="279"/>
        <w:spacing w:after="0"/>
        <w:rPr>
          <w:sz w:val="20"/>
          <w:szCs w:val="20"/>
          <w:color w:val="auto"/>
        </w:rPr>
      </w:pPr>
      <w:r>
        <w:rPr>
          <w:rFonts w:ascii="Arial" w:cs="Arial" w:eastAsia="Arial" w:hAnsi="Arial"/>
          <w:sz w:val="18"/>
          <w:szCs w:val="18"/>
          <w:color w:val="auto"/>
        </w:rPr>
        <w:t>COMCAST CABLE COMMUNICATIONS HOLDINGS, INC.</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486"/>
        </w:trPr>
        <w:tc>
          <w:tcPr>
            <w:tcW w:w="3480" w:type="dxa"/>
            <w:vAlign w:val="bottom"/>
            <w:gridSpan w:val="3"/>
          </w:tcPr>
          <w:p>
            <w:pPr>
              <w:spacing w:after="0"/>
              <w:rPr>
                <w:sz w:val="20"/>
                <w:szCs w:val="20"/>
                <w:color w:val="auto"/>
              </w:rPr>
            </w:pPr>
            <w:r>
              <w:rPr>
                <w:rFonts w:ascii="Arial" w:cs="Arial" w:eastAsia="Arial" w:hAnsi="Arial"/>
                <w:sz w:val="18"/>
                <w:szCs w:val="18"/>
                <w:color w:val="auto"/>
              </w:rPr>
              <w:t>COMCAST ABB CSC HOLDINGS, INC.</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Rosemarie S. Teta</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Rosemarie S. Teta</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Vice President</w:t>
            </w:r>
          </w:p>
        </w:tc>
      </w:tr>
    </w:tbl>
    <w:p>
      <w:pPr>
        <w:spacing w:after="0" w:line="2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Page 10 of 10</w:t>
      </w:r>
    </w:p>
    <w:sectPr>
      <w:pgSz w:w="11900" w:h="16838" w:orient="portrait"/>
      <w:cols w:equalWidth="0" w:num="1">
        <w:col w:w="10219"/>
      </w:cols>
      <w:pgMar w:left="240" w:top="14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x"/>
      <w:numFmt w:val="bullet"/>
      <w:start w:val="1"/>
    </w:lvl>
  </w:abstractNum>
  <w:abstractNum w:abstractNumId="2">
    <w:nsid w:val="7545E146"/>
    <w:multiLevelType w:val="hybridMultilevel"/>
    <w:lvl w:ilvl="0">
      <w:lvlJc w:val="left"/>
      <w:lvlText w:val="*"/>
      <w:numFmt w:val="bullet"/>
      <w:start w:val="1"/>
    </w:lvl>
    <w:lvl w:ilvl="1">
      <w:lvlJc w:val="left"/>
      <w:lvlText w:val="o"/>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3"/>
      <w:numFmt w:val="bullet"/>
      <w:start w:val="1"/>
    </w:lvl>
  </w:abstractNum>
  <w:abstractNum w:abstractNumId="6">
    <w:nsid w:val="4DB127F8"/>
    <w:multiLevelType w:val="hybridMultilevel"/>
    <w:lvl w:ilvl="0">
      <w:lvlJc w:val="left"/>
      <w:lvlText w:val="4"/>
      <w:numFmt w:val="bullet"/>
      <w:start w:val="1"/>
    </w:lvl>
  </w:abstractNum>
  <w:abstractNum w:abstractNumId="7">
    <w:nsid w:val="216231B"/>
    <w:multiLevelType w:val="hybridMultilevel"/>
    <w:lvl w:ilvl="0">
      <w:lvlJc w:val="left"/>
      <w:lvlText w:val="9"/>
      <w:numFmt w:val="bullet"/>
      <w:start w:val="1"/>
    </w:lvl>
  </w:abstractNum>
  <w:abstractNum w:abstractNumId="8">
    <w:nsid w:val="1F16E9E8"/>
    <w:multiLevelType w:val="hybridMultilevel"/>
    <w:lvl w:ilvl="0">
      <w:lvlJc w:val="left"/>
      <w:lvlText w:val="*"/>
      <w:numFmt w:val="bullet"/>
      <w:start w:val="1"/>
    </w:lvl>
    <w:lvl w:ilvl="1">
      <w:lvlJc w:val="left"/>
      <w:lvlText w:val="%2"/>
      <w:numFmt w:val="decimal"/>
      <w:start w:val="1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lowerLetter"/>
      <w:start w:val="9"/>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2019-12-16T11:53:18Z</dcterms:created>
  <dcterms:modified xsi:type="dcterms:W3CDTF">2019-12-16T11:53:18Z</dcterms:modified>
</cp:coreProperties>
</file>