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HARMONIC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413160102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04"/>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98"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 w:lineRule="exact"/>
        <w:rPr>
          <w:sz w:val="24"/>
          <w:szCs w:val="24"/>
          <w:color w:val="auto"/>
        </w:rPr>
      </w:pPr>
    </w:p>
    <w:p>
      <w:pPr>
        <w:ind w:right="460"/>
        <w:spacing w:after="0" w:line="261" w:lineRule="auto"/>
        <w:rPr>
          <w:sz w:val="20"/>
          <w:szCs w:val="20"/>
          <w:color w:val="auto"/>
        </w:rPr>
      </w:pPr>
      <w:r>
        <w:rPr>
          <w:rFonts w:ascii="Arial" w:cs="Arial" w:eastAsia="Arial" w:hAnsi="Arial"/>
          <w:sz w:val="18"/>
          <w:szCs w:val="18"/>
          <w:color w:val="auto"/>
        </w:rPr>
        <w:t xml:space="preserve">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4"/>
          <w:szCs w:val="24"/>
          <w:color w:val="auto"/>
        </w:rPr>
      </w:pPr>
    </w:p>
    <w:p>
      <w:pPr>
        <w:ind w:right="60" w:firstLine="441"/>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186055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413160102</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006590" cy="524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6590" cy="5240020"/>
                    </a:xfrm>
                    <a:prstGeom prst="rect">
                      <a:avLst/>
                    </a:prstGeom>
                    <a:noFill/>
                  </pic:spPr>
                </pic:pic>
              </a:graphicData>
            </a:graphic>
          </wp:anchor>
        </w:drawing>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Comcast Corporation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3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85"/>
              </w:rPr>
              <w:t>Pennsylvania</w:t>
            </w:r>
          </w:p>
        </w:tc>
        <w:tc>
          <w:tcPr>
            <w:tcW w:w="8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7"/>
                <w:szCs w:val="17"/>
                <w:b w:val="1"/>
                <w:bCs w:val="1"/>
                <w:color w:val="auto"/>
                <w:w w:val="70"/>
              </w:rPr>
              <w:t>5.</w:t>
            </w:r>
          </w:p>
        </w:tc>
        <w:tc>
          <w:tcPr>
            <w:tcW w:w="80" w:type="dxa"/>
            <w:vAlign w:val="bottom"/>
            <w:tcBorders>
              <w:right w:val="single" w:sz="8" w:color="auto"/>
            </w:tcBorders>
          </w:tcPr>
          <w:p>
            <w:pPr>
              <w:spacing w:after="0"/>
              <w:rPr>
                <w:sz w:val="19"/>
                <w:szCs w:val="19"/>
                <w:color w:val="auto"/>
              </w:rPr>
            </w:pPr>
          </w:p>
        </w:tc>
        <w:tc>
          <w:tcPr>
            <w:tcW w:w="92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0"/>
        </w:trPr>
        <w:tc>
          <w:tcPr>
            <w:tcW w:w="1320" w:type="dxa"/>
            <w:vAlign w:val="bottom"/>
            <w:gridSpan w:val="3"/>
            <w:vMerge w:val="restart"/>
          </w:tcPr>
          <w:p>
            <w:pPr>
              <w:jc w:val="center"/>
              <w:ind w:left="110"/>
              <w:spacing w:after="0"/>
              <w:rPr>
                <w:sz w:val="20"/>
                <w:szCs w:val="20"/>
                <w:color w:val="auto"/>
              </w:rPr>
            </w:pPr>
            <w:r>
              <w:rPr>
                <w:rFonts w:ascii="Arial" w:cs="Arial" w:eastAsia="Arial" w:hAnsi="Arial"/>
                <w:sz w:val="18"/>
                <w:szCs w:val="18"/>
                <w:color w:val="auto"/>
                <w:w w:val="96"/>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3,217,547 (</w:t>
            </w:r>
            <w:r>
              <w:rPr>
                <w:rFonts w:ascii="Arial" w:cs="Arial" w:eastAsia="Arial" w:hAnsi="Arial"/>
                <w:sz w:val="22"/>
                <w:szCs w:val="22"/>
                <w:i w:val="1"/>
                <w:iCs w:val="1"/>
                <w:color w:val="auto"/>
              </w:rPr>
              <w:t>see</w:t>
            </w:r>
            <w:r>
              <w:rPr>
                <w:rFonts w:ascii="Arial" w:cs="Arial" w:eastAsia="Arial" w:hAnsi="Arial"/>
                <w:sz w:val="22"/>
                <w:szCs w:val="22"/>
                <w:color w:val="auto"/>
              </w:rPr>
              <w:t xml:space="preserve"> Item 4)</w:t>
            </w:r>
          </w:p>
        </w:tc>
        <w:tc>
          <w:tcPr>
            <w:tcW w:w="0" w:type="dxa"/>
            <w:vAlign w:val="bottom"/>
          </w:tcPr>
          <w:p>
            <w:pPr>
              <w:spacing w:after="0"/>
              <w:rPr>
                <w:sz w:val="1"/>
                <w:szCs w:val="1"/>
                <w:color w:val="auto"/>
              </w:rPr>
            </w:pPr>
          </w:p>
        </w:tc>
      </w:tr>
      <w:tr>
        <w:trPr>
          <w:trHeight w:val="48"/>
        </w:trPr>
        <w:tc>
          <w:tcPr>
            <w:tcW w:w="1320" w:type="dxa"/>
            <w:vAlign w:val="bottom"/>
            <w:gridSpan w:val="3"/>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240" w:type="dxa"/>
            <w:vAlign w:val="bottom"/>
            <w:vMerge w:val="restart"/>
          </w:tcPr>
          <w:p>
            <w:pPr>
              <w:ind w:left="120"/>
              <w:spacing w:after="0"/>
              <w:rPr>
                <w:sz w:val="20"/>
                <w:szCs w:val="20"/>
                <w:color w:val="auto"/>
              </w:rPr>
            </w:pPr>
            <w:r>
              <w:rPr>
                <w:rFonts w:ascii="Arial" w:cs="Arial" w:eastAsia="Arial" w:hAnsi="Arial"/>
                <w:sz w:val="17"/>
                <w:szCs w:val="17"/>
                <w:b w:val="1"/>
                <w:bCs w:val="1"/>
                <w:color w:val="auto"/>
                <w:w w:val="70"/>
              </w:rPr>
              <w:t>6.</w:t>
            </w:r>
          </w:p>
        </w:tc>
        <w:tc>
          <w:tcPr>
            <w:tcW w:w="80" w:type="dxa"/>
            <w:vAlign w:val="bottom"/>
            <w:tcBorders>
              <w:right w:val="single" w:sz="8" w:color="auto"/>
            </w:tcBorders>
          </w:tcPr>
          <w:p>
            <w:pPr>
              <w:spacing w:after="0"/>
              <w:rPr>
                <w:sz w:val="4"/>
                <w:szCs w:val="4"/>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920" w:type="dxa"/>
            <w:vAlign w:val="bottom"/>
            <w:gridSpan w:val="2"/>
            <w:vMerge w:val="restart"/>
          </w:tcPr>
          <w:p>
            <w:pPr>
              <w:jc w:val="center"/>
              <w:ind w:right="84"/>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9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9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320" w:type="dxa"/>
            <w:vAlign w:val="bottom"/>
            <w:gridSpan w:val="3"/>
          </w:tcPr>
          <w:p>
            <w:pPr>
              <w:jc w:val="center"/>
              <w:ind w:left="110"/>
              <w:spacing w:after="0"/>
              <w:rPr>
                <w:sz w:val="20"/>
                <w:szCs w:val="20"/>
                <w:color w:val="auto"/>
              </w:rPr>
            </w:pPr>
            <w:r>
              <w:rPr>
                <w:rFonts w:ascii="Arial" w:cs="Arial" w:eastAsia="Arial" w:hAnsi="Arial"/>
                <w:sz w:val="18"/>
                <w:szCs w:val="18"/>
                <w:color w:val="auto"/>
                <w:w w:val="97"/>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ind w:left="80"/>
              <w:spacing w:after="0" w:line="182" w:lineRule="exact"/>
              <w:rPr>
                <w:sz w:val="20"/>
                <w:szCs w:val="20"/>
                <w:color w:val="auto"/>
              </w:rPr>
            </w:pPr>
            <w:r>
              <w:rPr>
                <w:rFonts w:ascii="Arial" w:cs="Arial" w:eastAsia="Arial" w:hAnsi="Arial"/>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auto"/>
              </w:rPr>
              <w:t>7.</w:t>
            </w:r>
          </w:p>
        </w:tc>
        <w:tc>
          <w:tcPr>
            <w:tcW w:w="92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92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9280" w:type="dxa"/>
            <w:vAlign w:val="bottom"/>
          </w:tcPr>
          <w:p>
            <w:pPr>
              <w:ind w:left="100"/>
              <w:spacing w:after="0" w:line="244" w:lineRule="exact"/>
              <w:rPr>
                <w:sz w:val="20"/>
                <w:szCs w:val="20"/>
                <w:color w:val="auto"/>
              </w:rPr>
            </w:pPr>
            <w:r>
              <w:rPr>
                <w:rFonts w:ascii="Arial" w:cs="Arial" w:eastAsia="Arial" w:hAnsi="Arial"/>
                <w:sz w:val="22"/>
                <w:szCs w:val="22"/>
                <w:color w:val="auto"/>
              </w:rPr>
              <w:t>3,217,547 (</w:t>
            </w:r>
            <w:r>
              <w:rPr>
                <w:rFonts w:ascii="Arial" w:cs="Arial" w:eastAsia="Arial" w:hAnsi="Arial"/>
                <w:sz w:val="22"/>
                <w:szCs w:val="22"/>
                <w:i w:val="1"/>
                <w:iCs w:val="1"/>
                <w:color w:val="auto"/>
              </w:rPr>
              <w:t>see</w:t>
            </w:r>
            <w:r>
              <w:rPr>
                <w:rFonts w:ascii="Arial" w:cs="Arial" w:eastAsia="Arial" w:hAnsi="Arial"/>
                <w:sz w:val="22"/>
                <w:szCs w:val="22"/>
                <w:color w:val="auto"/>
              </w:rPr>
              <w:t xml:space="preserve"> Item 4)</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880" w:type="dxa"/>
            <w:vAlign w:val="bottom"/>
            <w:vMerge w:val="restart"/>
          </w:tcPr>
          <w:p>
            <w:pPr>
              <w:ind w:left="10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ind w:left="120"/>
              <w:spacing w:after="0"/>
              <w:rPr>
                <w:sz w:val="20"/>
                <w:szCs w:val="20"/>
                <w:color w:val="auto"/>
              </w:rPr>
            </w:pPr>
            <w:r>
              <w:rPr>
                <w:rFonts w:ascii="Arial" w:cs="Arial" w:eastAsia="Arial" w:hAnsi="Arial"/>
                <w:sz w:val="17"/>
                <w:szCs w:val="17"/>
                <w:b w:val="1"/>
                <w:bCs w:val="1"/>
                <w:color w:val="auto"/>
                <w:w w:val="70"/>
              </w:rPr>
              <w:t>8.</w:t>
            </w:r>
          </w:p>
        </w:tc>
        <w:tc>
          <w:tcPr>
            <w:tcW w:w="80" w:type="dxa"/>
            <w:vAlign w:val="bottom"/>
            <w:tcBorders>
              <w:right w:val="single" w:sz="8" w:color="auto"/>
            </w:tcBorders>
          </w:tcPr>
          <w:p>
            <w:pPr>
              <w:spacing w:after="0"/>
              <w:rPr>
                <w:sz w:val="12"/>
                <w:szCs w:val="12"/>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w w:val="75"/>
              </w:rPr>
              <w:t>AGGREGATE</w:t>
            </w:r>
          </w:p>
        </w:tc>
        <w:tc>
          <w:tcPr>
            <w:tcW w:w="320" w:type="dxa"/>
            <w:vAlign w:val="bottom"/>
            <w:gridSpan w:val="2"/>
          </w:tcPr>
          <w:p>
            <w:pPr>
              <w:spacing w:after="0"/>
              <w:rPr>
                <w:sz w:val="19"/>
                <w:szCs w:val="19"/>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7"/>
              </w:rPr>
              <w:t>3,217,547</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0" w:type="dxa"/>
            <w:vAlign w:val="bottom"/>
            <w:tcBorders>
              <w:right w:val="single" w:sz="8" w:color="auto"/>
            </w:tcBorders>
          </w:tcPr>
          <w:p>
            <w:pPr>
              <w:spacing w:after="0"/>
              <w:rPr>
                <w:sz w:val="24"/>
                <w:szCs w:val="24"/>
                <w:color w:val="auto"/>
              </w:rPr>
            </w:pPr>
          </w:p>
        </w:tc>
        <w:tc>
          <w:tcPr>
            <w:tcW w:w="10580" w:type="dxa"/>
            <w:vAlign w:val="bottom"/>
            <w:gridSpan w:val="5"/>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1058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4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3.6% (</w:t>
            </w:r>
            <w:r>
              <w:rPr>
                <w:rFonts w:ascii="Arial" w:cs="Arial" w:eastAsia="Arial" w:hAnsi="Arial"/>
                <w:sz w:val="22"/>
                <w:szCs w:val="22"/>
                <w:i w:val="1"/>
                <w:iCs w:val="1"/>
                <w:color w:val="auto"/>
              </w:rPr>
              <w:t>see</w:t>
            </w:r>
            <w:r>
              <w:rPr>
                <w:rFonts w:ascii="Arial" w:cs="Arial" w:eastAsia="Arial" w:hAnsi="Arial"/>
                <w:sz w:val="22"/>
                <w:szCs w:val="22"/>
                <w:color w:val="auto"/>
              </w:rPr>
              <w:t xml:space="preserve"> Item 4)</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CO</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2" w:name="page3"/>
    <w:bookmarkEnd w:id="2"/>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Harmonic Inc.</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4300 North First Street, San Jose, CA 95134</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Comcast Corporation</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Comcast Center, Philadelphia, PA 19103</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Pennsylvania</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par value $0.001</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413160102</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02" w:lineRule="exact"/>
        <w:rPr>
          <w:sz w:val="20"/>
          <w:szCs w:val="20"/>
          <w:color w:val="auto"/>
        </w:rPr>
      </w:pPr>
    </w:p>
    <w:p>
      <w:pPr>
        <w:ind w:left="980" w:hanging="544"/>
        <w:spacing w:after="0" w:line="207" w:lineRule="exact"/>
        <w:tabs>
          <w:tab w:leader="none" w:pos="9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980" w:hanging="544"/>
        <w:spacing w:after="0" w:line="207" w:lineRule="exact"/>
        <w:tabs>
          <w:tab w:leader="none" w:pos="9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980" w:hanging="544"/>
        <w:spacing w:after="0" w:line="207" w:lineRule="exact"/>
        <w:tabs>
          <w:tab w:leader="none" w:pos="9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980" w:hanging="544"/>
        <w:spacing w:after="0" w:line="207" w:lineRule="exact"/>
        <w:tabs>
          <w:tab w:leader="none" w:pos="9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980" w:hanging="544"/>
        <w:spacing w:after="0" w:line="207" w:lineRule="exact"/>
        <w:tabs>
          <w:tab w:leader="none" w:pos="9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30" w:lineRule="exact"/>
        <w:rPr>
          <w:rFonts w:ascii="Arial" w:cs="Arial" w:eastAsia="Arial" w:hAnsi="Arial"/>
          <w:sz w:val="18"/>
          <w:szCs w:val="18"/>
          <w:color w:val="auto"/>
        </w:rPr>
      </w:pPr>
    </w:p>
    <w:p>
      <w:pPr>
        <w:ind w:left="980" w:hanging="544"/>
        <w:spacing w:after="0" w:line="207" w:lineRule="exact"/>
        <w:tabs>
          <w:tab w:leader="none" w:pos="9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980" w:hanging="544"/>
        <w:spacing w:after="0" w:line="207" w:lineRule="exact"/>
        <w:tabs>
          <w:tab w:leader="none" w:pos="9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980" w:hanging="544"/>
        <w:spacing w:after="0" w:line="207" w:lineRule="exact"/>
        <w:tabs>
          <w:tab w:leader="none" w:pos="9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30" w:lineRule="exact"/>
        <w:rPr>
          <w:rFonts w:ascii="Arial" w:cs="Arial" w:eastAsia="Arial" w:hAnsi="Arial"/>
          <w:sz w:val="18"/>
          <w:szCs w:val="18"/>
          <w:color w:val="auto"/>
        </w:rPr>
      </w:pPr>
    </w:p>
    <w:p>
      <w:pPr>
        <w:ind w:left="980" w:hanging="544"/>
        <w:spacing w:after="0" w:line="239" w:lineRule="exact"/>
        <w:tabs>
          <w:tab w:leader="none" w:pos="9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75" w:lineRule="exact"/>
        <w:rPr>
          <w:rFonts w:ascii="Arial" w:cs="Arial" w:eastAsia="Arial" w:hAnsi="Arial"/>
          <w:sz w:val="18"/>
          <w:szCs w:val="18"/>
          <w:color w:val="auto"/>
        </w:rPr>
      </w:pPr>
    </w:p>
    <w:p>
      <w:pPr>
        <w:ind w:left="980" w:hanging="544"/>
        <w:spacing w:after="0" w:line="207" w:lineRule="exact"/>
        <w:tabs>
          <w:tab w:leader="none" w:pos="9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issuer identified in Item 1.</w:t>
      </w:r>
    </w:p>
    <w:p>
      <w:pPr>
        <w:spacing w:after="0" w:line="142" w:lineRule="exact"/>
        <w:rPr>
          <w:sz w:val="20"/>
          <w:szCs w:val="20"/>
          <w:color w:val="auto"/>
        </w:rPr>
      </w:pPr>
    </w:p>
    <w:p>
      <w:pPr>
        <w:ind w:left="980" w:right="220" w:hanging="54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3,217,547. Represents warrant shares issued pursuant to the exercise of the Warrant to Purchase Shares of Common Stock of Harmonic Inc., dated September 26, 2016, which granted the Reporting Person the right to acquire up to 7,816,162 shares of common stock of the Issuer.</w:t>
      </w:r>
    </w:p>
    <w:p>
      <w:pPr>
        <w:sectPr>
          <w:pgSz w:w="11900" w:h="16838" w:orient="portrait"/>
          <w:cols w:equalWidth="0" w:num="1">
            <w:col w:w="10920"/>
          </w:cols>
          <w:pgMar w:left="440" w:top="270" w:right="539" w:bottom="1440" w:gutter="0" w:footer="0" w:header="0"/>
        </w:sectPr>
      </w:pPr>
    </w:p>
    <w:bookmarkStart w:id="3" w:name="page4"/>
    <w:bookmarkEnd w:id="3"/>
    <w:p>
      <w:pPr>
        <w:ind w:left="980" w:hanging="54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Percent of class: 3.6%. Percent of class determined based on 90,343,130 shares of the Issuer shown as outstanding as of October 25, 2019 in the Issuer’s 10-Q for its fiscal quarter ending September 27, 2019.</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220" w:hanging="224"/>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3,217,547</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17" w:lineRule="exact"/>
        <w:rPr>
          <w:rFonts w:ascii="Arial" w:cs="Arial" w:eastAsia="Arial" w:hAnsi="Arial"/>
          <w:sz w:val="18"/>
          <w:szCs w:val="18"/>
          <w:color w:val="auto"/>
        </w:rPr>
      </w:pPr>
    </w:p>
    <w:p>
      <w:pPr>
        <w:ind w:left="1320" w:hanging="324"/>
        <w:spacing w:after="0"/>
        <w:tabs>
          <w:tab w:leader="none" w:pos="13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3,217,547</w:t>
      </w:r>
    </w:p>
    <w:p>
      <w:pPr>
        <w:spacing w:after="0" w:line="117" w:lineRule="exact"/>
        <w:rPr>
          <w:rFonts w:ascii="Arial" w:cs="Arial" w:eastAsia="Arial" w:hAnsi="Arial"/>
          <w:sz w:val="18"/>
          <w:szCs w:val="18"/>
          <w:color w:val="auto"/>
        </w:rPr>
      </w:pPr>
    </w:p>
    <w:p>
      <w:pPr>
        <w:ind w:left="1300" w:hanging="30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60" w:firstLine="441"/>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58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900"/>
          </w:cols>
          <w:pgMar w:left="440" w:top="274" w:right="5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Senior Deputy General</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Counsel and Assistant Secretary</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2020-02-13T10:10:08Z</dcterms:created>
  <dcterms:modified xsi:type="dcterms:W3CDTF">2020-02-13T10:10:08Z</dcterms:modified>
</cp:coreProperties>
</file>