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on Comcast’s website:</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DIVESTITURE TRANSACTION FACT SHEET</w:t>
      </w:r>
    </w:p>
    <w:p>
      <w:pPr>
        <w:spacing w:after="0" w:line="220" w:lineRule="exact"/>
        <w:rPr>
          <w:sz w:val="24"/>
          <w:szCs w:val="24"/>
          <w:color w:val="auto"/>
        </w:rPr>
      </w:pPr>
    </w:p>
    <w:p>
      <w:pPr>
        <w:ind w:right="80"/>
        <w:spacing w:after="0" w:line="238" w:lineRule="auto"/>
        <w:rPr>
          <w:sz w:val="20"/>
          <w:szCs w:val="20"/>
          <w:color w:val="auto"/>
        </w:rPr>
      </w:pPr>
      <w:r>
        <w:rPr>
          <w:rFonts w:ascii="Arial" w:cs="Arial" w:eastAsia="Arial" w:hAnsi="Arial"/>
          <w:sz w:val="18"/>
          <w:szCs w:val="18"/>
          <w:color w:val="auto"/>
        </w:rPr>
        <w:t>Comcast Corporation and Charter Communications announced that the companies have reached a series of tax-efficient agreements whereby the combined Comcast-Time Warner Cable entity, following completion of Comcast’s previously announced merger with Time Warner Cable, will divest systems resulting in a net reduction of approximately 3.9 million video customers. The divestiture follows through on Comcast’s willingness to reduce its post-merger total number of managed residential customers to less than 30 percent of the total number of MVPD customers in the United States.</w:t>
      </w:r>
    </w:p>
    <w:p>
      <w:pPr>
        <w:spacing w:after="0" w:line="189"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These transactions will proactively address potential competitive concerns and enhance Comcast’s and Charter’s ability to serve consumers and businesses by filling in key gaps in their respective footprints and improving their geographic presence. They also enable us to deliver meaningful value to our shareholders. We intend to use proceeds from these transactions to reduce our debt in a leverage-neutral manner and expand our share buyback program.</w:t>
      </w:r>
    </w:p>
    <w:p>
      <w:pPr>
        <w:spacing w:after="0" w:line="188" w:lineRule="exact"/>
        <w:rPr>
          <w:sz w:val="24"/>
          <w:szCs w:val="24"/>
          <w:color w:val="auto"/>
        </w:rPr>
      </w:pPr>
    </w:p>
    <w:p>
      <w:pPr>
        <w:ind w:right="180"/>
        <w:spacing w:after="0"/>
        <w:rPr>
          <w:sz w:val="20"/>
          <w:szCs w:val="20"/>
          <w:color w:val="auto"/>
        </w:rPr>
      </w:pPr>
      <w:r>
        <w:rPr>
          <w:rFonts w:ascii="Arial" w:cs="Arial" w:eastAsia="Arial" w:hAnsi="Arial"/>
          <w:sz w:val="18"/>
          <w:szCs w:val="18"/>
          <w:color w:val="auto"/>
        </w:rPr>
        <w:t>These transactions mark an important step in Comcast’s merger with Time Warner Cable. Comcast believes this announcement will facilitate the regulatory review process, as there is now a firm commitment regarding divestitures, relatively early in the process, and the divestiture transactions can be reviewed at the same time as the Comcast-Time Warner Cable merger.</w:t>
      </w:r>
    </w:p>
    <w:p>
      <w:pPr>
        <w:spacing w:after="0" w:line="189" w:lineRule="exact"/>
        <w:rPr>
          <w:sz w:val="24"/>
          <w:szCs w:val="24"/>
          <w:color w:val="auto"/>
        </w:rPr>
      </w:pPr>
    </w:p>
    <w:p>
      <w:pPr>
        <w:ind w:right="220"/>
        <w:spacing w:after="0" w:line="246" w:lineRule="auto"/>
        <w:rPr>
          <w:sz w:val="20"/>
          <w:szCs w:val="20"/>
          <w:color w:val="auto"/>
        </w:rPr>
      </w:pPr>
      <w:r>
        <w:rPr>
          <w:rFonts w:ascii="Arial" w:cs="Arial" w:eastAsia="Arial" w:hAnsi="Arial"/>
          <w:sz w:val="18"/>
          <w:szCs w:val="18"/>
          <w:color w:val="auto"/>
        </w:rPr>
        <w:t>The divestiture will be executed through three separate transactions, which will follow and are subject to the completion of the Comcast-Time Warner Cable merger: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ASSET SALE</w:t>
      </w:r>
    </w:p>
    <w:p>
      <w:pPr>
        <w:spacing w:after="0" w:line="18" w:lineRule="exact"/>
        <w:rPr>
          <w:sz w:val="24"/>
          <w:szCs w:val="24"/>
          <w:color w:val="auto"/>
        </w:rPr>
      </w:pPr>
    </w:p>
    <w:p>
      <w:pPr>
        <w:ind w:right="40"/>
        <w:spacing w:after="0"/>
        <w:rPr>
          <w:sz w:val="20"/>
          <w:szCs w:val="20"/>
          <w:color w:val="auto"/>
        </w:rPr>
      </w:pPr>
      <w:r>
        <w:rPr>
          <w:rFonts w:ascii="Arial" w:cs="Arial" w:eastAsia="Arial" w:hAnsi="Arial"/>
          <w:sz w:val="18"/>
          <w:szCs w:val="18"/>
          <w:color w:val="auto"/>
        </w:rPr>
        <w:t>Comcast will divest Time Warner Cable systems serving approximately 1.4 million existing Time Warner Cable customers directly to Charter for cash. Charter expects to fund the purchase with proceeds from debt, and to have approximately a 5 times debt to EBITDA leverage ratio at closing.</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ASSET TRANSFER</w:t>
      </w:r>
    </w:p>
    <w:p>
      <w:pPr>
        <w:spacing w:after="0" w:line="18" w:lineRule="exact"/>
        <w:rPr>
          <w:sz w:val="24"/>
          <w:szCs w:val="24"/>
          <w:color w:val="auto"/>
        </w:rPr>
      </w:pPr>
    </w:p>
    <w:p>
      <w:pPr>
        <w:ind w:right="520"/>
        <w:spacing w:after="0"/>
        <w:rPr>
          <w:sz w:val="20"/>
          <w:szCs w:val="20"/>
          <w:color w:val="auto"/>
        </w:rPr>
      </w:pPr>
      <w:r>
        <w:rPr>
          <w:rFonts w:ascii="Arial" w:cs="Arial" w:eastAsia="Arial" w:hAnsi="Arial"/>
          <w:sz w:val="18"/>
          <w:szCs w:val="18"/>
          <w:color w:val="auto"/>
        </w:rPr>
        <w:t>Comcast and Charter will transfer assets serving approximately 1.6 million existing Time Warner Cable customers and 1.6 million Charter customers in a tax-efficient like-kind exchange, improving the geographic presence of both companies, leading to greater operational efficiencies, improved technology deployment, and enhanced customer service.</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ASSET SPIN-OFF</w:t>
      </w:r>
    </w:p>
    <w:p>
      <w:pPr>
        <w:spacing w:after="0" w:line="18" w:lineRule="exact"/>
        <w:rPr>
          <w:sz w:val="24"/>
          <w:szCs w:val="24"/>
          <w:color w:val="auto"/>
        </w:rPr>
      </w:pPr>
    </w:p>
    <w:p>
      <w:pPr>
        <w:spacing w:after="0" w:line="237" w:lineRule="auto"/>
        <w:rPr>
          <w:sz w:val="20"/>
          <w:szCs w:val="20"/>
          <w:color w:val="auto"/>
        </w:rPr>
      </w:pPr>
      <w:r>
        <w:rPr>
          <w:rFonts w:ascii="Arial" w:cs="Arial" w:eastAsia="Arial" w:hAnsi="Arial"/>
          <w:sz w:val="18"/>
          <w:szCs w:val="18"/>
          <w:color w:val="auto"/>
        </w:rPr>
        <w:t>Comcast will form and spin off to its shareholders a new, independent, publicly-traded company that will operate systems serving approximately 2.5 million existing Comcast customers. Comcast shareholders, including the former Time Warner Cable shareholders, are expected to own approximately 67 percent of SpinCo, while a new holding company formed by Charter (“New Charter”) is expected to directly own approximately 33 percent of SpinCo. SpinCo expects to incur leverage of approximately 5 times estimated pro-forma EBITDA. New Charter will then acquire its interest in SpinCo by issuing New Charter stock to Comcast shareholders (including former Time Warner Cable shareholders). SpinCo’s nine-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80"/>
        <w:spacing w:after="0" w:line="246" w:lineRule="auto"/>
        <w:rPr>
          <w:sz w:val="20"/>
          <w:szCs w:val="20"/>
          <w:color w:val="auto"/>
        </w:rPr>
      </w:pPr>
      <w:r>
        <w:rPr>
          <w:rFonts w:ascii="Arial" w:cs="Arial" w:eastAsia="Arial" w:hAnsi="Arial"/>
          <w:sz w:val="18"/>
          <w:szCs w:val="18"/>
          <w:color w:val="auto"/>
        </w:rPr>
        <w:t>member Board of Directors will include six independent directors and three directors designated by Charter. Comcast will hold no ownership interest in SpinCo (or Charter) and will have no role in managing SpinCo.</w:t>
      </w:r>
    </w:p>
    <w:p>
      <w:pPr>
        <w:spacing w:after="0" w:line="18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One of the key reasons for pursuing these various integrated transactions as opposed to a straight sale is because this structure creates substantial tax efficiencies and savings. Such savings can be used to further reduce debt, and also to invest in jobs, infrastructure, research and development, production activities, and upgrades to existing services, thereby benefiting our customers and enhancing competition. The transactions also benefit consumers by creating a new cable company and by strengthening Charter.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 w:name="page3"/>
    <w:bookmarkEnd w:id="2"/>
    <w:p>
      <w:pPr>
        <w:jc w:val="both"/>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623570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ind w:left="-8" w:firstLine="8"/>
        <w:spacing w:after="0" w:line="246"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474980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12"/>
      </w:cols>
      <w:pgMar w:left="248" w:top="77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2019-12-16T12:48:03Z</dcterms:created>
  <dcterms:modified xsi:type="dcterms:W3CDTF">2019-12-16T12:48:03Z</dcterms:modified>
</cp:coreProperties>
</file>