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29, 2008</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Comcast Corporation</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w:t>
      </w:r>
    </w:p>
    <w:p>
      <w:pPr>
        <w:jc w:val="center"/>
        <w:ind w:right="-19"/>
        <w:spacing w:after="0"/>
        <w:rPr>
          <w:sz w:val="20"/>
          <w:szCs w:val="20"/>
          <w:color w:val="auto"/>
        </w:rPr>
      </w:pPr>
      <w:r>
        <w:rPr>
          <w:rFonts w:ascii="Arial" w:cs="Arial" w:eastAsia="Arial" w:hAnsi="Arial"/>
          <w:sz w:val="14"/>
          <w:szCs w:val="14"/>
          <w:b w:val="1"/>
          <w:bCs w:val="1"/>
          <w:color w:val="auto"/>
        </w:rPr>
        <w:t>as Specified in Charter)</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78"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88"/>
              </w:rPr>
              <w:t>001-32871</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27-0000798</w:t>
            </w:r>
          </w:p>
        </w:tc>
      </w:tr>
      <w:tr>
        <w:trPr>
          <w:trHeight w:val="174"/>
        </w:trPr>
        <w:tc>
          <w:tcPr>
            <w:tcW w:w="4140" w:type="dxa"/>
            <w:vAlign w:val="bottom"/>
          </w:tcPr>
          <w:p>
            <w:pPr>
              <w:jc w:val="center"/>
              <w:ind w:right="1780"/>
              <w:spacing w:after="0"/>
              <w:rPr>
                <w:sz w:val="20"/>
                <w:szCs w:val="20"/>
                <w:color w:val="auto"/>
              </w:rPr>
            </w:pPr>
            <w:r>
              <w:rPr>
                <w:rFonts w:ascii="Arial" w:cs="Arial" w:eastAsia="Arial" w:hAnsi="Arial"/>
                <w:sz w:val="14"/>
                <w:szCs w:val="14"/>
                <w:b w:val="1"/>
                <w:bCs w:val="1"/>
                <w:color w:val="auto"/>
                <w:w w:val="87"/>
              </w:rPr>
              <w:t>(Commission File Number)</w:t>
            </w:r>
          </w:p>
        </w:tc>
        <w:tc>
          <w:tcPr>
            <w:tcW w:w="3800" w:type="dxa"/>
            <w:vAlign w:val="bottom"/>
          </w:tcPr>
          <w:p>
            <w:pPr>
              <w:jc w:val="center"/>
              <w:ind w:left="17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5"/>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87"/>
              </w:rPr>
              <w:t>One Comcast Center</w:t>
            </w:r>
          </w:p>
        </w:tc>
        <w:tc>
          <w:tcPr>
            <w:tcW w:w="3800" w:type="dxa"/>
            <w:vAlign w:val="bottom"/>
          </w:tcPr>
          <w:p>
            <w:pPr>
              <w:spacing w:after="0"/>
              <w:rPr>
                <w:sz w:val="24"/>
                <w:szCs w:val="24"/>
                <w:color w:val="auto"/>
              </w:rPr>
            </w:pPr>
          </w:p>
        </w:tc>
      </w:tr>
      <w:tr>
        <w:trPr>
          <w:trHeight w:val="231"/>
        </w:trPr>
        <w:tc>
          <w:tcPr>
            <w:tcW w:w="4140" w:type="dxa"/>
            <w:vAlign w:val="bottom"/>
          </w:tcPr>
          <w:p>
            <w:pPr>
              <w:jc w:val="center"/>
              <w:ind w:right="1760"/>
              <w:spacing w:after="0"/>
              <w:rPr>
                <w:sz w:val="20"/>
                <w:szCs w:val="20"/>
                <w:color w:val="auto"/>
              </w:rPr>
            </w:pPr>
            <w:r>
              <w:rPr>
                <w:rFonts w:ascii="Arial" w:cs="Arial" w:eastAsia="Arial" w:hAnsi="Arial"/>
                <w:sz w:val="18"/>
                <w:szCs w:val="18"/>
                <w:b w:val="1"/>
                <w:bCs w:val="1"/>
                <w:color w:val="auto"/>
                <w:w w:val="89"/>
              </w:rPr>
              <w:t>Philadelphia, PA</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19103-2838</w:t>
            </w:r>
          </w:p>
        </w:tc>
      </w:tr>
      <w:tr>
        <w:trPr>
          <w:trHeight w:val="174"/>
        </w:trPr>
        <w:tc>
          <w:tcPr>
            <w:tcW w:w="4140" w:type="dxa"/>
            <w:vAlign w:val="bottom"/>
          </w:tcPr>
          <w:p>
            <w:pPr>
              <w:jc w:val="center"/>
              <w:ind w:right="176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800" w:type="dxa"/>
            <w:vAlign w:val="bottom"/>
          </w:tcPr>
          <w:p>
            <w:pPr>
              <w:jc w:val="center"/>
              <w:ind w:left="1782"/>
              <w:spacing w:after="0"/>
              <w:rPr>
                <w:sz w:val="20"/>
                <w:szCs w:val="20"/>
                <w:color w:val="auto"/>
              </w:rPr>
            </w:pPr>
            <w:r>
              <w:rPr>
                <w:rFonts w:ascii="Arial" w:cs="Arial" w:eastAsia="Arial" w:hAnsi="Arial"/>
                <w:sz w:val="14"/>
                <w:szCs w:val="14"/>
                <w:b w:val="1"/>
                <w:bCs w:val="1"/>
                <w:color w:val="auto"/>
                <w:w w:val="89"/>
              </w:rPr>
              <w:t>(Zip Code)</w:t>
            </w:r>
          </w:p>
        </w:tc>
      </w:tr>
    </w:tbl>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(215) 286-1700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111760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7"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October 29, 2008, Comcast Corporation (“Comcast”) issued a press release reporting the results of its operations for the three and nine months ended September 30, 2008. The press release is attached hereto as Exhibit 99.1. Comcast does not intend for this Item 2.02 or Exhibit 99.1 to be treated as “filed” under the Securities Exchange Act of 1934, as amended, or incorporated by reference into its filings under the Securities Act of 1933, as amended.</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Exhibits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0" w:lineRule="exact"/>
        <w:rPr>
          <w:sz w:val="20"/>
          <w:szCs w:val="20"/>
          <w:color w:val="auto"/>
        </w:rPr>
      </w:pPr>
    </w:p>
    <w:p>
      <w:pPr>
        <w:ind w:left="100"/>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Comcast Corporation press release dated October 29, 2008.</w:t>
      </w:r>
    </w:p>
    <w:p>
      <w:pPr>
        <w:sectPr>
          <w:pgSz w:w="11900" w:h="16838" w:orient="portrait"/>
          <w:cols w:equalWidth="0" w:num="1">
            <w:col w:w="11420"/>
          </w:cols>
          <w:pgMar w:left="240" w:top="25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780" w:type="dxa"/>
            <w:vAlign w:val="bottom"/>
          </w:tcPr>
          <w:p>
            <w:pPr>
              <w:spacing w:after="0"/>
              <w:rPr>
                <w:sz w:val="24"/>
                <w:szCs w:val="24"/>
                <w:color w:val="auto"/>
              </w:rPr>
            </w:pPr>
          </w:p>
        </w:tc>
        <w:tc>
          <w:tcPr>
            <w:tcW w:w="7640" w:type="dxa"/>
            <w:vAlign w:val="bottom"/>
            <w:gridSpan w:val="2"/>
          </w:tcPr>
          <w:p>
            <w:pPr>
              <w:ind w:left="2140"/>
              <w:spacing w:after="0"/>
              <w:rPr>
                <w:sz w:val="20"/>
                <w:szCs w:val="20"/>
                <w:color w:val="auto"/>
              </w:rPr>
            </w:pPr>
            <w:r>
              <w:rPr>
                <w:rFonts w:ascii="Arial" w:cs="Arial" w:eastAsia="Arial" w:hAnsi="Arial"/>
                <w:sz w:val="22"/>
                <w:szCs w:val="22"/>
                <w:b w:val="1"/>
                <w:bCs w:val="1"/>
                <w:color w:val="auto"/>
              </w:rPr>
              <w:t>COMCAST CORPORATION</w:t>
            </w:r>
          </w:p>
        </w:tc>
      </w:tr>
      <w:tr>
        <w:trPr>
          <w:trHeight w:val="421"/>
        </w:trPr>
        <w:tc>
          <w:tcPr>
            <w:tcW w:w="3780" w:type="dxa"/>
            <w:vAlign w:val="bottom"/>
          </w:tcPr>
          <w:p>
            <w:pPr>
              <w:spacing w:after="0"/>
              <w:rPr>
                <w:sz w:val="20"/>
                <w:szCs w:val="20"/>
                <w:color w:val="auto"/>
              </w:rPr>
            </w:pPr>
            <w:r>
              <w:rPr>
                <w:rFonts w:ascii="Arial" w:cs="Arial" w:eastAsia="Arial" w:hAnsi="Arial"/>
                <w:sz w:val="18"/>
                <w:szCs w:val="18"/>
                <w:color w:val="auto"/>
              </w:rPr>
              <w:t>Date: October 29, 2008</w:t>
            </w:r>
          </w:p>
        </w:tc>
        <w:tc>
          <w:tcPr>
            <w:tcW w:w="7640" w:type="dxa"/>
            <w:vAlign w:val="bottom"/>
            <w:gridSpan w:val="2"/>
          </w:tcPr>
          <w:p>
            <w:pPr>
              <w:ind w:left="2140"/>
              <w:spacing w:after="0"/>
              <w:rPr>
                <w:sz w:val="20"/>
                <w:szCs w:val="20"/>
                <w:color w:val="auto"/>
              </w:rPr>
            </w:pPr>
            <w:r>
              <w:rPr>
                <w:rFonts w:ascii="Arial" w:cs="Arial" w:eastAsia="Arial" w:hAnsi="Arial"/>
                <w:sz w:val="18"/>
                <w:szCs w:val="18"/>
                <w:color w:val="auto"/>
              </w:rPr>
              <w:t>By: /s/ Lawrence J. Salva</w:t>
            </w:r>
          </w:p>
        </w:tc>
      </w:tr>
      <w:tr>
        <w:trPr>
          <w:trHeight w:val="202"/>
        </w:trPr>
        <w:tc>
          <w:tcPr>
            <w:tcW w:w="37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Lawrence J. Salva</w:t>
            </w:r>
          </w:p>
        </w:tc>
      </w:tr>
      <w:tr>
        <w:trPr>
          <w:trHeight w:val="216"/>
        </w:trPr>
        <w:tc>
          <w:tcPr>
            <w:tcW w:w="3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Senior Vice President, Chief Accounting Officer</w:t>
            </w:r>
          </w:p>
        </w:tc>
      </w:tr>
      <w:tr>
        <w:trPr>
          <w:trHeight w:val="216"/>
        </w:trPr>
        <w:tc>
          <w:tcPr>
            <w:tcW w:w="3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and Controller</w:t>
            </w:r>
          </w:p>
        </w:tc>
      </w:tr>
      <w:tr>
        <w:trPr>
          <w:trHeight w:val="222"/>
        </w:trPr>
        <w:tc>
          <w:tcPr>
            <w:tcW w:w="3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420"/>
          </w:cols>
          <w:pgMar w:left="240" w:top="25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475105"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5105" cy="41148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389"/>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40" w:type="dxa"/>
            <w:vAlign w:val="bottom"/>
          </w:tcPr>
          <w:p>
            <w:pPr>
              <w:jc w:val="right"/>
              <w:spacing w:after="0"/>
              <w:rPr>
                <w:sz w:val="20"/>
                <w:szCs w:val="20"/>
                <w:color w:val="auto"/>
              </w:rPr>
            </w:pPr>
            <w:r>
              <w:rPr>
                <w:rFonts w:ascii="Arial" w:cs="Arial" w:eastAsia="Arial" w:hAnsi="Arial"/>
                <w:sz w:val="32"/>
                <w:szCs w:val="32"/>
                <w:color w:val="auto"/>
              </w:rPr>
              <w:t>PRESS RELEASE</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380" w:type="dxa"/>
            <w:vAlign w:val="bottom"/>
          </w:tcPr>
          <w:p>
            <w:pPr>
              <w:spacing w:after="0" w:line="170" w:lineRule="exact"/>
              <w:rPr>
                <w:sz w:val="20"/>
                <w:szCs w:val="20"/>
                <w:color w:val="auto"/>
              </w:rPr>
            </w:pPr>
            <w:r>
              <w:rPr>
                <w:rFonts w:ascii="Arial" w:cs="Arial" w:eastAsia="Arial" w:hAnsi="Arial"/>
                <w:sz w:val="18"/>
                <w:szCs w:val="18"/>
                <w:b w:val="1"/>
                <w:bCs w:val="1"/>
                <w:color w:val="auto"/>
                <w:w w:val="86"/>
              </w:rPr>
              <w:t>Investor Contacts:</w:t>
            </w:r>
          </w:p>
        </w:tc>
        <w:tc>
          <w:tcPr>
            <w:tcW w:w="3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40" w:type="dxa"/>
            <w:vAlign w:val="bottom"/>
            <w:gridSpan w:val="2"/>
          </w:tcPr>
          <w:p>
            <w:pPr>
              <w:spacing w:after="0" w:line="170" w:lineRule="exact"/>
              <w:rPr>
                <w:sz w:val="20"/>
                <w:szCs w:val="20"/>
                <w:color w:val="auto"/>
              </w:rPr>
            </w:pPr>
            <w:r>
              <w:rPr>
                <w:rFonts w:ascii="Arial" w:cs="Arial" w:eastAsia="Arial" w:hAnsi="Arial"/>
                <w:sz w:val="18"/>
                <w:szCs w:val="18"/>
                <w:b w:val="1"/>
                <w:bCs w:val="1"/>
                <w:color w:val="auto"/>
              </w:rPr>
              <w:t>Press Contacts:</w:t>
            </w: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1"/>
              </w:rPr>
              <w:t>Marlene S. Dooner</w:t>
            </w:r>
          </w:p>
        </w:tc>
        <w:tc>
          <w:tcPr>
            <w:tcW w:w="3560" w:type="dxa"/>
            <w:vAlign w:val="bottom"/>
          </w:tcPr>
          <w:p>
            <w:pPr>
              <w:jc w:val="right"/>
              <w:ind w:right="792"/>
              <w:spacing w:after="0"/>
              <w:rPr>
                <w:sz w:val="20"/>
                <w:szCs w:val="20"/>
                <w:color w:val="auto"/>
              </w:rPr>
            </w:pPr>
            <w:r>
              <w:rPr>
                <w:rFonts w:ascii="Arial" w:cs="Arial" w:eastAsia="Arial" w:hAnsi="Arial"/>
                <w:sz w:val="18"/>
                <w:szCs w:val="18"/>
                <w:color w:val="auto"/>
              </w:rPr>
              <w:t>(215) 286-7392</w:t>
            </w:r>
          </w:p>
        </w:tc>
        <w:tc>
          <w:tcPr>
            <w:tcW w:w="880" w:type="dxa"/>
            <w:vAlign w:val="bottom"/>
          </w:tcPr>
          <w:p>
            <w:pPr>
              <w:spacing w:after="0"/>
              <w:rPr>
                <w:sz w:val="19"/>
                <w:szCs w:val="19"/>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D’Arcy Rudnay</w:t>
            </w:r>
          </w:p>
        </w:tc>
        <w:tc>
          <w:tcPr>
            <w:tcW w:w="880" w:type="dxa"/>
            <w:vAlign w:val="bottom"/>
          </w:tcPr>
          <w:p>
            <w:pPr>
              <w:spacing w:after="0"/>
              <w:rPr>
                <w:sz w:val="19"/>
                <w:szCs w:val="19"/>
                <w:color w:val="auto"/>
              </w:rPr>
            </w:pPr>
          </w:p>
        </w:tc>
        <w:tc>
          <w:tcPr>
            <w:tcW w:w="3540" w:type="dxa"/>
            <w:vAlign w:val="bottom"/>
          </w:tcPr>
          <w:p>
            <w:pPr>
              <w:jc w:val="right"/>
              <w:ind w:right="1407"/>
              <w:spacing w:after="0"/>
              <w:rPr>
                <w:sz w:val="20"/>
                <w:szCs w:val="20"/>
                <w:color w:val="auto"/>
              </w:rPr>
            </w:pPr>
            <w:r>
              <w:rPr>
                <w:rFonts w:ascii="Arial" w:cs="Arial" w:eastAsia="Arial" w:hAnsi="Arial"/>
                <w:sz w:val="18"/>
                <w:szCs w:val="18"/>
                <w:color w:val="auto"/>
              </w:rPr>
              <w:t>(215) 286-8582</w:t>
            </w:r>
          </w:p>
        </w:tc>
        <w:tc>
          <w:tcPr>
            <w:tcW w:w="0" w:type="dxa"/>
            <w:vAlign w:val="bottom"/>
          </w:tcPr>
          <w:p>
            <w:pPr>
              <w:spacing w:after="0"/>
              <w:rPr>
                <w:sz w:val="1"/>
                <w:szCs w:val="1"/>
                <w:color w:val="auto"/>
              </w:rPr>
            </w:pPr>
          </w:p>
        </w:tc>
      </w:tr>
      <w:tr>
        <w:trPr>
          <w:trHeight w:val="222"/>
        </w:trPr>
        <w:tc>
          <w:tcPr>
            <w:tcW w:w="1400" w:type="dxa"/>
            <w:vAlign w:val="bottom"/>
            <w:gridSpan w:val="2"/>
          </w:tcPr>
          <w:p>
            <w:pPr>
              <w:spacing w:after="0"/>
              <w:rPr>
                <w:sz w:val="20"/>
                <w:szCs w:val="20"/>
                <w:color w:val="auto"/>
              </w:rPr>
            </w:pPr>
            <w:r>
              <w:rPr>
                <w:rFonts w:ascii="Arial" w:cs="Arial" w:eastAsia="Arial" w:hAnsi="Arial"/>
                <w:sz w:val="18"/>
                <w:szCs w:val="18"/>
                <w:color w:val="auto"/>
                <w:w w:val="91"/>
              </w:rPr>
              <w:t>Michael A. Kelman</w:t>
            </w:r>
          </w:p>
        </w:tc>
        <w:tc>
          <w:tcPr>
            <w:tcW w:w="3560" w:type="dxa"/>
            <w:vAlign w:val="bottom"/>
          </w:tcPr>
          <w:p>
            <w:pPr>
              <w:jc w:val="right"/>
              <w:ind w:right="792"/>
              <w:spacing w:after="0"/>
              <w:rPr>
                <w:sz w:val="20"/>
                <w:szCs w:val="20"/>
                <w:color w:val="auto"/>
              </w:rPr>
            </w:pPr>
            <w:r>
              <w:rPr>
                <w:rFonts w:ascii="Arial" w:cs="Arial" w:eastAsia="Arial" w:hAnsi="Arial"/>
                <w:sz w:val="18"/>
                <w:szCs w:val="18"/>
                <w:color w:val="auto"/>
              </w:rPr>
              <w:t>(215) 286-3035</w:t>
            </w:r>
          </w:p>
        </w:tc>
        <w:tc>
          <w:tcPr>
            <w:tcW w:w="2920" w:type="dxa"/>
            <w:vAlign w:val="bottom"/>
            <w:gridSpan w:val="3"/>
          </w:tcPr>
          <w:p>
            <w:pPr>
              <w:ind w:left="880"/>
              <w:spacing w:after="0"/>
              <w:rPr>
                <w:sz w:val="20"/>
                <w:szCs w:val="20"/>
                <w:color w:val="auto"/>
              </w:rPr>
            </w:pPr>
            <w:r>
              <w:rPr>
                <w:rFonts w:ascii="Arial" w:cs="Arial" w:eastAsia="Arial" w:hAnsi="Arial"/>
                <w:sz w:val="18"/>
                <w:szCs w:val="18"/>
                <w:color w:val="auto"/>
              </w:rPr>
              <w:t>John Demming</w:t>
            </w:r>
          </w:p>
        </w:tc>
        <w:tc>
          <w:tcPr>
            <w:tcW w:w="3540" w:type="dxa"/>
            <w:vAlign w:val="bottom"/>
          </w:tcPr>
          <w:p>
            <w:pPr>
              <w:jc w:val="right"/>
              <w:ind w:right="1407"/>
              <w:spacing w:after="0"/>
              <w:rPr>
                <w:sz w:val="20"/>
                <w:szCs w:val="20"/>
                <w:color w:val="auto"/>
              </w:rPr>
            </w:pPr>
            <w:r>
              <w:rPr>
                <w:rFonts w:ascii="Arial" w:cs="Arial" w:eastAsia="Arial" w:hAnsi="Arial"/>
                <w:sz w:val="18"/>
                <w:szCs w:val="18"/>
                <w:color w:val="auto"/>
              </w:rPr>
              <w:t>(215) 286-8011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COMCAST REPORTS THIRD QUARTER 2008 RESULTS</w:t>
      </w:r>
    </w:p>
    <w:p>
      <w:pPr>
        <w:spacing w:after="0" w:line="355" w:lineRule="exact"/>
        <w:rPr>
          <w:sz w:val="20"/>
          <w:szCs w:val="20"/>
          <w:color w:val="auto"/>
        </w:rPr>
      </w:pPr>
    </w:p>
    <w:p>
      <w:pPr>
        <w:jc w:val="center"/>
        <w:spacing w:after="0" w:line="396" w:lineRule="auto"/>
        <w:rPr>
          <w:sz w:val="20"/>
          <w:szCs w:val="20"/>
          <w:color w:val="auto"/>
        </w:rPr>
      </w:pPr>
      <w:r>
        <w:rPr>
          <w:rFonts w:ascii="Arial" w:cs="Arial" w:eastAsia="Arial" w:hAnsi="Arial"/>
          <w:sz w:val="22"/>
          <w:szCs w:val="22"/>
          <w:b w:val="1"/>
          <w:bCs w:val="1"/>
          <w:color w:val="auto"/>
        </w:rPr>
        <w:t>Consolidated Revenue Increased 10%; Pro Forma Growth of 7% Consolidated Operating Cash Flow Increased 10%; Pro Forma Growth of 8% Consolidated Operating Income Increased 20% EPS of $0.26; Adjusted EPS of $0.24 Increased 33% Free Cash Flow Increased 77% to $928 Million Repurchased 40 Million Common Shares for $800 Million</w:t>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Philadelphia, PA – October 29, 2008…Comcast Corporation (NASDAQ: CMCSA, CMCSK) today reported results for the quarter ended September 30, 2008.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highlights financial results (dollars in millions, except per share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Consolidated</w:t>
            </w: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4"/>
                <w:szCs w:val="14"/>
                <w:b w:val="1"/>
                <w:bCs w:val="1"/>
                <w:color w:val="auto"/>
              </w:rPr>
              <w:t>3rd Quarter</w:t>
            </w:r>
          </w:p>
        </w:tc>
        <w:tc>
          <w:tcPr>
            <w:tcW w:w="9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194"/>
              <w:spacing w:after="0"/>
              <w:rPr>
                <w:sz w:val="20"/>
                <w:szCs w:val="20"/>
                <w:color w:val="auto"/>
              </w:rPr>
            </w:pPr>
            <w:r>
              <w:rPr>
                <w:rFonts w:ascii="Arial" w:cs="Arial" w:eastAsia="Arial" w:hAnsi="Arial"/>
                <w:sz w:val="14"/>
                <w:szCs w:val="14"/>
                <w:b w:val="1"/>
                <w:bCs w:val="1"/>
                <w:color w:val="auto"/>
              </w:rPr>
              <w:t>Year-to-Date</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w w:val="96"/>
              </w:rPr>
              <w:t>2008</w:t>
            </w:r>
          </w:p>
        </w:tc>
        <w:tc>
          <w:tcPr>
            <w:tcW w:w="380" w:type="dxa"/>
            <w:vAlign w:val="bottom"/>
          </w:tcPr>
          <w:p>
            <w:pPr>
              <w:spacing w:after="0"/>
              <w:rPr>
                <w:sz w:val="12"/>
                <w:szCs w:val="12"/>
                <w:color w:val="auto"/>
              </w:rPr>
            </w:pPr>
          </w:p>
        </w:tc>
        <w:tc>
          <w:tcPr>
            <w:tcW w:w="74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w w:val="96"/>
              </w:rPr>
              <w:t>2007</w:t>
            </w:r>
          </w:p>
        </w:tc>
        <w:tc>
          <w:tcPr>
            <w:tcW w:w="96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Growth</w:t>
            </w:r>
          </w:p>
        </w:tc>
        <w:tc>
          <w:tcPr>
            <w:tcW w:w="380" w:type="dxa"/>
            <w:vAlign w:val="bottom"/>
          </w:tcPr>
          <w:p>
            <w:pPr>
              <w:spacing w:after="0"/>
              <w:rPr>
                <w:sz w:val="12"/>
                <w:szCs w:val="12"/>
                <w:color w:val="auto"/>
              </w:rPr>
            </w:pPr>
          </w:p>
        </w:tc>
        <w:tc>
          <w:tcPr>
            <w:tcW w:w="720" w:type="dxa"/>
            <w:vAlign w:val="bottom"/>
          </w:tcPr>
          <w:p>
            <w:pPr>
              <w:jc w:val="right"/>
              <w:ind w:right="314"/>
              <w:spacing w:after="0" w:line="142" w:lineRule="exact"/>
              <w:rPr>
                <w:sz w:val="20"/>
                <w:szCs w:val="20"/>
                <w:color w:val="auto"/>
              </w:rPr>
            </w:pPr>
            <w:r>
              <w:rPr>
                <w:rFonts w:ascii="Arial" w:cs="Arial" w:eastAsia="Arial" w:hAnsi="Arial"/>
                <w:sz w:val="14"/>
                <w:szCs w:val="14"/>
                <w:b w:val="1"/>
                <w:bCs w:val="1"/>
                <w:color w:val="auto"/>
                <w:w w:val="96"/>
              </w:rPr>
              <w:t>2008</w:t>
            </w:r>
          </w:p>
        </w:tc>
        <w:tc>
          <w:tcPr>
            <w:tcW w:w="420" w:type="dxa"/>
            <w:vAlign w:val="bottom"/>
          </w:tcPr>
          <w:p>
            <w:pPr>
              <w:spacing w:after="0"/>
              <w:rPr>
                <w:sz w:val="12"/>
                <w:szCs w:val="12"/>
                <w:color w:val="auto"/>
              </w:rPr>
            </w:pPr>
          </w:p>
        </w:tc>
        <w:tc>
          <w:tcPr>
            <w:tcW w:w="800" w:type="dxa"/>
            <w:vAlign w:val="bottom"/>
          </w:tcPr>
          <w:p>
            <w:pPr>
              <w:jc w:val="right"/>
              <w:ind w:right="374"/>
              <w:spacing w:after="0" w:line="142" w:lineRule="exact"/>
              <w:rPr>
                <w:sz w:val="20"/>
                <w:szCs w:val="20"/>
                <w:color w:val="auto"/>
              </w:rPr>
            </w:pPr>
            <w:r>
              <w:rPr>
                <w:rFonts w:ascii="Arial" w:cs="Arial" w:eastAsia="Arial" w:hAnsi="Arial"/>
                <w:sz w:val="14"/>
                <w:szCs w:val="14"/>
                <w:b w:val="1"/>
                <w:bCs w:val="1"/>
                <w:color w:val="auto"/>
              </w:rPr>
              <w:t>2007</w:t>
            </w: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Growth</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8,549</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7,781</w:t>
            </w:r>
          </w:p>
        </w:tc>
        <w:tc>
          <w:tcPr>
            <w:tcW w:w="960" w:type="dxa"/>
            <w:vAlign w:val="bottom"/>
            <w:tcBorders>
              <w:top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10%</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94"/>
              </w:rPr>
              <w:t>25,491</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w w:val="98"/>
              </w:rPr>
              <w:t>22,881</w:t>
            </w:r>
          </w:p>
        </w:tc>
        <w:tc>
          <w:tcPr>
            <w:tcW w:w="7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Operating Cash Flow</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4"/>
              <w:spacing w:after="0"/>
              <w:rPr>
                <w:sz w:val="20"/>
                <w:szCs w:val="20"/>
                <w:color w:val="auto"/>
              </w:rPr>
            </w:pPr>
            <w:r>
              <w:rPr>
                <w:rFonts w:ascii="Arial" w:cs="Arial" w:eastAsia="Arial" w:hAnsi="Arial"/>
                <w:sz w:val="18"/>
                <w:szCs w:val="18"/>
                <w:color w:val="auto"/>
              </w:rPr>
              <w:t>3,237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2,929</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10%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9,762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4"/>
              <w:spacing w:after="0"/>
              <w:rPr>
                <w:sz w:val="20"/>
                <w:szCs w:val="20"/>
                <w:color w:val="auto"/>
              </w:rPr>
            </w:pPr>
            <w:r>
              <w:rPr>
                <w:rFonts w:ascii="Arial" w:cs="Arial" w:eastAsia="Arial" w:hAnsi="Arial"/>
                <w:sz w:val="18"/>
                <w:szCs w:val="18"/>
                <w:color w:val="auto"/>
              </w:rPr>
              <w:t>8,704</w:t>
            </w: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1,670</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1,391</w:t>
            </w:r>
          </w:p>
        </w:tc>
        <w:tc>
          <w:tcPr>
            <w:tcW w:w="9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20%</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4,975</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4,120</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4"/>
              <w:spacing w:after="0"/>
              <w:rPr>
                <w:sz w:val="20"/>
                <w:szCs w:val="20"/>
                <w:color w:val="auto"/>
              </w:rPr>
            </w:pPr>
            <w:r>
              <w:rPr>
                <w:rFonts w:ascii="Arial" w:cs="Arial" w:eastAsia="Arial" w:hAnsi="Arial"/>
                <w:sz w:val="18"/>
                <w:szCs w:val="18"/>
                <w:color w:val="auto"/>
              </w:rPr>
              <w:t>2,445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1,598</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53%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7,373</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4"/>
              <w:spacing w:after="0"/>
              <w:rPr>
                <w:sz w:val="20"/>
                <w:szCs w:val="20"/>
                <w:color w:val="auto"/>
              </w:rPr>
            </w:pPr>
            <w:r>
              <w:rPr>
                <w:rFonts w:ascii="Arial" w:cs="Arial" w:eastAsia="Arial" w:hAnsi="Arial"/>
                <w:sz w:val="18"/>
                <w:szCs w:val="18"/>
                <w:color w:val="auto"/>
              </w:rPr>
              <w:t>5,505</w:t>
            </w: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5E5E5"/>
          </w:tcPr>
          <w:p>
            <w:pPr>
              <w:spacing w:after="0"/>
              <w:rPr>
                <w:sz w:val="20"/>
                <w:szCs w:val="20"/>
                <w:color w:val="auto"/>
              </w:rPr>
            </w:pPr>
            <w:r>
              <w:rPr>
                <w:rFonts w:ascii="Arial" w:cs="Arial" w:eastAsia="Arial" w:hAnsi="Arial"/>
                <w:sz w:val="18"/>
                <w:szCs w:val="18"/>
                <w:color w:val="auto"/>
              </w:rPr>
              <w:t>Free Cash Flow</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928</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524</w:t>
            </w:r>
          </w:p>
        </w:tc>
        <w:tc>
          <w:tcPr>
            <w:tcW w:w="9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77%</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2,793</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1,334</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771</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560</w:t>
            </w:r>
          </w:p>
        </w:tc>
        <w:tc>
          <w:tcPr>
            <w:tcW w:w="9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38%</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2,135</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1,985</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Earnings per Share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4"/>
              <w:spacing w:after="0"/>
              <w:rPr>
                <w:sz w:val="20"/>
                <w:szCs w:val="20"/>
                <w:color w:val="auto"/>
              </w:rPr>
            </w:pPr>
            <w:r>
              <w:rPr>
                <w:rFonts w:ascii="Arial" w:cs="Arial" w:eastAsia="Arial" w:hAnsi="Arial"/>
                <w:sz w:val="18"/>
                <w:szCs w:val="18"/>
                <w:color w:val="auto"/>
              </w:rPr>
              <w:t>0.26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0.18</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44%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0.72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4"/>
              <w:spacing w:after="0"/>
              <w:rPr>
                <w:sz w:val="20"/>
                <w:szCs w:val="20"/>
                <w:color w:val="auto"/>
              </w:rPr>
            </w:pPr>
            <w:r>
              <w:rPr>
                <w:rFonts w:ascii="Arial" w:cs="Arial" w:eastAsia="Arial" w:hAnsi="Arial"/>
                <w:sz w:val="18"/>
                <w:szCs w:val="18"/>
                <w:color w:val="auto"/>
              </w:rPr>
              <w:t>0.63</w:t>
            </w: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2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96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72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800" w:type="dxa"/>
            <w:vAlign w:val="bottom"/>
            <w:shd w:val="clear" w:color="auto" w:fill="E5E5E5"/>
          </w:tcPr>
          <w:p>
            <w:pPr>
              <w:spacing w:after="0"/>
              <w:rPr>
                <w:sz w:val="12"/>
                <w:szCs w:val="12"/>
                <w:color w:val="auto"/>
              </w:rPr>
            </w:pPr>
          </w:p>
        </w:tc>
        <w:tc>
          <w:tcPr>
            <w:tcW w:w="780" w:type="dxa"/>
            <w:vAlign w:val="bottom"/>
            <w:shd w:val="clear" w:color="auto" w:fill="E5E5E5"/>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line="217"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2"/>
                <w:szCs w:val="22"/>
                <w:color w:val="auto"/>
                <w:vertAlign w:val="superscript"/>
              </w:rPr>
              <w:t>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4"/>
              <w:spacing w:after="0"/>
              <w:rPr>
                <w:sz w:val="20"/>
                <w:szCs w:val="20"/>
                <w:color w:val="auto"/>
              </w:rPr>
            </w:pPr>
            <w:r>
              <w:rPr>
                <w:rFonts w:ascii="Arial" w:cs="Arial" w:eastAsia="Arial" w:hAnsi="Arial"/>
                <w:sz w:val="18"/>
                <w:szCs w:val="18"/>
                <w:color w:val="auto"/>
              </w:rPr>
              <w:t>691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560</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23%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1,911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4"/>
              <w:spacing w:after="0"/>
              <w:rPr>
                <w:sz w:val="20"/>
                <w:szCs w:val="20"/>
                <w:color w:val="auto"/>
              </w:rPr>
            </w:pPr>
            <w:r>
              <w:rPr>
                <w:rFonts w:ascii="Arial" w:cs="Arial" w:eastAsia="Arial" w:hAnsi="Arial"/>
                <w:sz w:val="18"/>
                <w:szCs w:val="18"/>
                <w:color w:val="auto"/>
              </w:rPr>
              <w:t>1,685</w:t>
            </w: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5E5E5"/>
          </w:tcPr>
          <w:p>
            <w:pPr>
              <w:spacing w:after="0" w:line="217" w:lineRule="exact"/>
              <w:rPr>
                <w:sz w:val="20"/>
                <w:szCs w:val="20"/>
                <w:color w:val="auto"/>
              </w:rPr>
            </w:pPr>
            <w:r>
              <w:rPr>
                <w:rFonts w:ascii="Arial" w:cs="Arial" w:eastAsia="Arial" w:hAnsi="Arial"/>
                <w:sz w:val="18"/>
                <w:szCs w:val="18"/>
                <w:color w:val="auto"/>
              </w:rPr>
              <w:t>Adjusted Earnings per Share</w:t>
            </w:r>
            <w:r>
              <w:rPr>
                <w:rFonts w:ascii="Arial" w:cs="Arial" w:eastAsia="Arial" w:hAnsi="Arial"/>
                <w:sz w:val="22"/>
                <w:szCs w:val="22"/>
                <w:color w:val="auto"/>
                <w:vertAlign w:val="superscript"/>
              </w:rPr>
              <w:t>1</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0.24</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0.18</w:t>
            </w:r>
          </w:p>
        </w:tc>
        <w:tc>
          <w:tcPr>
            <w:tcW w:w="9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33%</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0.64</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0.54</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5E5E5"/>
          </w:tcPr>
          <w:p>
            <w:pPr>
              <w:spacing w:after="0" w:line="217" w:lineRule="exact"/>
              <w:rPr>
                <w:sz w:val="20"/>
                <w:szCs w:val="20"/>
                <w:color w:val="auto"/>
              </w:rPr>
            </w:pPr>
            <w:r>
              <w:rPr>
                <w:rFonts w:ascii="Arial" w:cs="Arial" w:eastAsia="Arial" w:hAnsi="Arial"/>
                <w:sz w:val="18"/>
                <w:szCs w:val="18"/>
                <w:color w:val="auto"/>
              </w:rPr>
              <w:t>Pro Forma Revenue</w:t>
            </w:r>
            <w:r>
              <w:rPr>
                <w:rFonts w:ascii="Arial" w:cs="Arial" w:eastAsia="Arial" w:hAnsi="Arial"/>
                <w:sz w:val="22"/>
                <w:szCs w:val="22"/>
                <w:color w:val="auto"/>
                <w:vertAlign w:val="superscript"/>
              </w:rPr>
              <w:t>2</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8,549</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7,974</w:t>
            </w:r>
          </w:p>
        </w:tc>
        <w:tc>
          <w:tcPr>
            <w:tcW w:w="9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7%</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w w:val="94"/>
              </w:rPr>
              <w:t>25,491</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w w:val="98"/>
              </w:rPr>
              <w:t>23,515</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Pro Forma Operating Cash Flow</w:t>
            </w:r>
            <w:r>
              <w:rPr>
                <w:rFonts w:ascii="Arial" w:cs="Arial" w:eastAsia="Arial" w:hAnsi="Arial"/>
                <w:sz w:val="22"/>
                <w:szCs w:val="22"/>
                <w:color w:val="auto"/>
                <w:vertAlign w:val="superscript"/>
              </w:rPr>
              <w:t>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4"/>
              <w:spacing w:after="0"/>
              <w:rPr>
                <w:sz w:val="20"/>
                <w:szCs w:val="20"/>
                <w:color w:val="auto"/>
              </w:rPr>
            </w:pPr>
            <w:r>
              <w:rPr>
                <w:rFonts w:ascii="Arial" w:cs="Arial" w:eastAsia="Arial" w:hAnsi="Arial"/>
                <w:sz w:val="18"/>
                <w:szCs w:val="18"/>
                <w:color w:val="auto"/>
              </w:rPr>
              <w:t>3,237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4"/>
              <w:spacing w:after="0"/>
              <w:rPr>
                <w:sz w:val="20"/>
                <w:szCs w:val="20"/>
                <w:color w:val="auto"/>
              </w:rPr>
            </w:pPr>
            <w:r>
              <w:rPr>
                <w:rFonts w:ascii="Arial" w:cs="Arial" w:eastAsia="Arial" w:hAnsi="Arial"/>
                <w:sz w:val="18"/>
                <w:szCs w:val="18"/>
                <w:color w:val="auto"/>
              </w:rPr>
              <w:t>3,004</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9,762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4"/>
              <w:spacing w:after="0"/>
              <w:rPr>
                <w:sz w:val="20"/>
                <w:szCs w:val="20"/>
                <w:color w:val="auto"/>
              </w:rPr>
            </w:pPr>
            <w:r>
              <w:rPr>
                <w:rFonts w:ascii="Arial" w:cs="Arial" w:eastAsia="Arial" w:hAnsi="Arial"/>
                <w:sz w:val="18"/>
                <w:szCs w:val="18"/>
                <w:color w:val="auto"/>
              </w:rPr>
              <w:t>8,955</w:t>
            </w: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See notes on page 4</w:t>
      </w:r>
    </w:p>
    <w:p>
      <w:pPr>
        <w:spacing w:after="0" w:line="152"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Brian L. Roberts, Chairman and CEO of Comcast Corporation, said, “We delivered solid results in the third quarter, demonstrating the underlying strength of our subscription businesses and our ability to operate well in a challenging economic and competitive environment. Importantly, our financial position has never been stronger, reflecting disciplined and prudent balance sheet management and strong free cash flow growth. The success of our financial strategy enables us to grow the business, compete effectively and invest in our products and services. We will continue to apply this balanced approach to the business, as we remain focused on improving the customer experience and extending our long-term competitive advantage in order to build shareholder value.”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Consolidated Results</w:t>
      </w:r>
    </w:p>
    <w:p>
      <w:pPr>
        <w:spacing w:after="0" w:line="17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increased 10% in the third quarter of 2008 to $8.5 billion, while</w:t>
      </w:r>
      <w:r>
        <w:rPr>
          <w:rFonts w:ascii="Arial" w:cs="Arial" w:eastAsia="Arial" w:hAnsi="Arial"/>
          <w:sz w:val="18"/>
          <w:szCs w:val="18"/>
          <w:b w:val="1"/>
          <w:bCs w:val="1"/>
          <w:i w:val="1"/>
          <w:iCs w:val="1"/>
          <w:color w:val="auto"/>
        </w:rPr>
        <w:t xml:space="preserve"> Operating Cash Flow </w:t>
      </w:r>
      <w:r>
        <w:rPr>
          <w:rFonts w:ascii="Arial" w:cs="Arial" w:eastAsia="Arial" w:hAnsi="Arial"/>
          <w:sz w:val="18"/>
          <w:szCs w:val="18"/>
          <w:color w:val="auto"/>
        </w:rPr>
        <w:t>(as defined in Table 7) increased 10% to $3.2 billion and</w:t>
      </w:r>
      <w:r>
        <w:rPr>
          <w:rFonts w:ascii="Arial" w:cs="Arial" w:eastAsia="Arial" w:hAnsi="Arial"/>
          <w:sz w:val="18"/>
          <w:szCs w:val="18"/>
          <w:b w:val="1"/>
          <w:bCs w:val="1"/>
          <w:i w:val="1"/>
          <w:iCs w:val="1"/>
          <w:color w:val="auto"/>
        </w:rPr>
        <w:t xml:space="preserve"> Operating Income </w:t>
      </w:r>
      <w:r>
        <w:rPr>
          <w:rFonts w:ascii="Arial" w:cs="Arial" w:eastAsia="Arial" w:hAnsi="Arial"/>
          <w:sz w:val="18"/>
          <w:szCs w:val="18"/>
          <w:color w:val="auto"/>
        </w:rPr>
        <w:t>increased 20% to $1.7 billion. This growth was due to solid operating results at Comcast Cable and in the Programming segment,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positive impact of cable acquisitions. For the nine months ended September 30, 2008,</w:t>
      </w:r>
    </w:p>
    <w:p>
      <w:pPr>
        <w:sectPr>
          <w:pgSz w:w="11900" w:h="16838" w:orient="portrait"/>
          <w:cols w:equalWidth="0" w:num="1">
            <w:col w:w="11420"/>
          </w:cols>
          <w:pgMar w:left="240" w:top="125" w:right="239" w:bottom="1440" w:gutter="0" w:footer="0" w:header="0"/>
        </w:sectPr>
      </w:pPr>
    </w:p>
    <w:bookmarkStart w:id="4" w:name="page5"/>
    <w:bookmarkEnd w:id="4"/>
    <w:p>
      <w:pPr>
        <w:jc w:val="both"/>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revenue increased 11% to $25.5 billion, Operating Cash Flow increased 12% to $9.8 billion, and Operating Income increased 21% to $5.0 billion, all compared to the same time period in 2007.</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17"/>
          <w:szCs w:val="17"/>
          <w:color w:val="auto"/>
        </w:rPr>
        <w:t>On a pro forma basis</w:t>
      </w:r>
      <w:r>
        <w:rPr>
          <w:rFonts w:ascii="Arial" w:cs="Arial" w:eastAsia="Arial" w:hAnsi="Arial"/>
          <w:sz w:val="21"/>
          <w:szCs w:val="21"/>
          <w:color w:val="auto"/>
          <w:vertAlign w:val="superscript"/>
        </w:rPr>
        <w:t>2</w:t>
      </w:r>
      <w:r>
        <w:rPr>
          <w:rFonts w:ascii="Arial" w:cs="Arial" w:eastAsia="Arial" w:hAnsi="Arial"/>
          <w:sz w:val="17"/>
          <w:szCs w:val="17"/>
          <w:color w:val="auto"/>
        </w:rPr>
        <w:t>, Consolidated Revenue increased 7% to $8.5 billion in the third quarter of 2008, while Consolidated Operating Cash Flow increased 8% to $3.2 billion. Operating Cash Flow margin was 37.9%, a slight increase from the 37.7% reported in the third quarter of 2007. For the nine months ended September 30, 2008, pro forma Consolidated Revenue increased 8% to $25.5 billion and pro forma Consolidated Operating Cash Flow increased 9% to $9.8 billion. Operating Cash Flow margin was 38.3%, a slight increase from the 38.1% reported in the first nine months of 2007.</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in the third quarter of 2008 was $771 million, or $0.26 per share compared to $560 million or $0.18 per share in the prior year. Net income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 quarter of 2008 included favorable income tax adjustments. Excluding these adjustments and as reconciled in Table 7-B, Adjusted Earnings per Share increased 33% to $0.24. Net income for the nine months ended September 30, 2008, increased 8% from last year to $2.1 billion. Net income in the first nine months of 2008 and 2007 also included gains from the dissolution of cable partnerships. Excluding these gains in both periods and the income tax adjustments in the third quarter of 2008, Adjusted Earnings per Share for the nine months ended September 30, 2008 increased 19% to $0.64 compared to $0.54 in the first nine months of 2007.</w:t>
      </w:r>
    </w:p>
    <w:p>
      <w:pPr>
        <w:spacing w:after="0" w:line="14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 xml:space="preserve">Net Cash Provided by Operating Activities </w:t>
      </w:r>
      <w:r>
        <w:rPr>
          <w:rFonts w:ascii="Arial" w:cs="Arial" w:eastAsia="Arial" w:hAnsi="Arial"/>
          <w:sz w:val="16"/>
          <w:szCs w:val="16"/>
          <w:color w:val="auto"/>
        </w:rPr>
        <w:t>increased 53% to $2.4 billion in the third quarter of 2008 and increased 34% to $7.4 billion for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2008, due primarily to solid operating results in all segments, as well as a positive impact from the Economic Stimulus package.</w:t>
      </w:r>
    </w:p>
    <w:p>
      <w:pPr>
        <w:spacing w:after="0" w:line="8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 xml:space="preserve">Free Cash Flow </w:t>
      </w:r>
      <w:r>
        <w:rPr>
          <w:rFonts w:ascii="Arial" w:cs="Arial" w:eastAsia="Arial" w:hAnsi="Arial"/>
          <w:sz w:val="16"/>
          <w:szCs w:val="16"/>
          <w:color w:val="auto"/>
        </w:rPr>
        <w:t>(as defined in Table 7) totaled $928 million in the third quarter of 2008 as compared to $524 million in 2007, a 77% increase. Free Cash Flow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nine months ended September 30, 2008 increased 109% to $2.8 billion. The definition of Free Cash Flow remains unchanged and excludes any impact from the Economic Stimulus package (see Table 4). The increase in Free Cash Flow was due primarily to growth in consolidated Operating Cash Flow and lower capital expenditures. During the third quarter of 2008, consolidated capital expenditures decreased 14% from the prior year to $1.3 billion, or 15.3% of total revenue, reflecting lower spending for residential services at Comcast Cable.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Pro Forma Cable Segment Results</w:t>
      </w:r>
      <w:r>
        <w:rPr>
          <w:rFonts w:ascii="Arial" w:cs="Arial" w:eastAsia="Arial" w:hAnsi="Arial"/>
          <w:sz w:val="11"/>
          <w:szCs w:val="11"/>
          <w:b w:val="1"/>
          <w:bCs w:val="1"/>
          <w:color w:val="auto"/>
        </w:rPr>
        <w:t>2</w:t>
      </w:r>
    </w:p>
    <w:p>
      <w:pPr>
        <w:spacing w:after="0" w:line="9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from our cable segment increased 7% to $8.1 billion for the third quarter of 2008 as compared to $7.6 billion in the third quarter of 2007 reflecting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increases across all product lines, with the exception of our advertising business, which has been impacted by weakness in the economy. The monthly average total revenue per basic subscriber increased 9% from $101.74 to $110.71, reflecting an increase in the number of customers taking multiple products. As of September 30, 2008, 22% of subscribers were three-product customers as compared to 15% at the end of last year’s third quarter. For the nine months ended September 30, 2008, cable revenue increased 8% to $24.1 billion.</w:t>
      </w:r>
    </w:p>
    <w:p>
      <w:pPr>
        <w:spacing w:after="0" w:line="1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 xml:space="preserve">Operating Cash Flow </w:t>
      </w:r>
      <w:r>
        <w:rPr>
          <w:rFonts w:ascii="Arial" w:cs="Arial" w:eastAsia="Arial" w:hAnsi="Arial"/>
          <w:sz w:val="16"/>
          <w:szCs w:val="16"/>
          <w:color w:val="auto"/>
        </w:rPr>
        <w:t>grew 7% to $3.3 billion in the third quarter of 2008 from $3.1 billion in the third quarter of 2007. Operating Cash Flow margin was 40.0%,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slight decrease from the 40.2% reported in the third quarter of 2007. Comcast continues to focus on controlling operating expenses; however, the company incurred expenses related to a divisional restructuring and employee reductions, the impact from two major hurricanes on Comcast systems in the southern U.S., and additional investments in Business Services. Excluding the impact of the hurricane and severance-related charges, which totaled $59 million, Operating Cash Flow grew 9% in 3Q08. For the nine months ended September 30, 2008, Operating Cash Flow increased 8% to $9.8 billion, a margin of 40.4%.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85"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Basic video subscribers declined 147,000 or 0.6% sequentially during the third quarter.</w:t>
      </w:r>
    </w:p>
    <w:p>
      <w:pPr>
        <w:spacing w:after="0" w:line="63" w:lineRule="exact"/>
        <w:rPr>
          <w:rFonts w:ascii="Arial" w:cs="Arial" w:eastAsia="Arial" w:hAnsi="Arial"/>
          <w:sz w:val="18"/>
          <w:szCs w:val="18"/>
          <w:i w:val="1"/>
          <w:iCs w:val="1"/>
          <w:color w:val="auto"/>
        </w:rPr>
      </w:pPr>
    </w:p>
    <w:p>
      <w:pPr>
        <w:ind w:left="220" w:hanging="212"/>
        <w:spacing w:after="0"/>
        <w:tabs>
          <w:tab w:leader="none" w:pos="2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Added 417,000 digital cable subscribers during the third quarter – 69% or 16.8 million video subscribers have digital service.</w:t>
      </w:r>
    </w:p>
    <w:p>
      <w:pPr>
        <w:spacing w:after="0" w:line="76" w:lineRule="exact"/>
        <w:rPr>
          <w:rFonts w:ascii="Arial" w:cs="Arial" w:eastAsia="Arial" w:hAnsi="Arial"/>
          <w:sz w:val="18"/>
          <w:szCs w:val="18"/>
          <w:i w:val="1"/>
          <w:iCs w:val="1"/>
          <w:color w:val="auto"/>
        </w:rPr>
      </w:pPr>
    </w:p>
    <w:p>
      <w:pPr>
        <w:ind w:left="220" w:hanging="212"/>
        <w:spacing w:after="0" w:line="268" w:lineRule="auto"/>
        <w:tabs>
          <w:tab w:leader="none" w:pos="2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7.3 million or 44% of digital cable subscribers have advanced services such as digital video recorders (DVR) and/or high-definition television service (HDTV).</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Video revenue increased 4% to $4.7 billion in the third quarter of 2008 from $4.5 billion in 2007. The revenue increase reflects price increases for video services and growth in digital video customers,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22466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on page 4</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2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part by an increasing number of customers in bundles and promotional offers, as well as a decline in basic video customers.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video subscribers decreased by 147,000 to 24.4 million during the third quarter, including an estimated loss of 15,000 subscribers due to the hurricanes, compared to a 56,000 subscriber decline in the third quarter of 2007. Year to date through September 30, 2008, basic subscribers decreased 342,000, reflecting a more challenging competitive and economic environment.</w:t>
      </w:r>
    </w:p>
    <w:p>
      <w:pPr>
        <w:spacing w:after="0" w:line="14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Comcast added 417,000 digital cable customers in the third quarter of 2008, compared to 503,000 in the same period one year ago. Year to date through September 30, 2008, Comcast added 1.2 million digital cable customers. PPV revenue increased 9% in the third quarter and for the first nine months of 2008.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85"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i w:val="1"/>
          <w:iCs w:val="1"/>
          <w:color w:val="auto"/>
        </w:rPr>
        <w:t>•</w:t>
      </w:r>
      <w:r>
        <w:rPr>
          <w:sz w:val="20"/>
          <w:szCs w:val="20"/>
          <w:color w:val="auto"/>
        </w:rPr>
        <w:tab/>
      </w:r>
      <w:r>
        <w:rPr>
          <w:rFonts w:ascii="Arial" w:cs="Arial" w:eastAsia="Arial" w:hAnsi="Arial"/>
          <w:sz w:val="15"/>
          <w:szCs w:val="15"/>
          <w:i w:val="1"/>
          <w:iCs w:val="1"/>
          <w:color w:val="auto"/>
        </w:rPr>
        <w:t>Added 382,000 high-speed Internet subscribers during the third quarter – penetration reached 30% of homes passed or 14.7 million customers.</w:t>
      </w:r>
    </w:p>
    <w:p>
      <w:pPr>
        <w:spacing w:after="0" w:line="17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High-speed Internet revenue increased 9% to $1.8 billion in the third quarter of 2008 from $1.7 billion in 2007 reflecting an 11% increase in subscribers and a 2% decline in average monthly revenue per subscriber to $41.74 as a result of additional bundling and the recent introduction of new offers and speed tiers.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Phone</w:t>
      </w:r>
    </w:p>
    <w:p>
      <w:pPr>
        <w:spacing w:after="0" w:line="85"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i w:val="1"/>
          <w:iCs w:val="1"/>
          <w:color w:val="auto"/>
        </w:rPr>
        <w:t>•</w:t>
      </w:r>
      <w:r>
        <w:rPr>
          <w:sz w:val="20"/>
          <w:szCs w:val="20"/>
          <w:color w:val="auto"/>
        </w:rPr>
        <w:tab/>
      </w:r>
      <w:r>
        <w:rPr>
          <w:rFonts w:ascii="Arial" w:cs="Arial" w:eastAsia="Arial" w:hAnsi="Arial"/>
          <w:sz w:val="16"/>
          <w:szCs w:val="16"/>
          <w:i w:val="1"/>
          <w:iCs w:val="1"/>
          <w:color w:val="auto"/>
        </w:rPr>
        <w:t>Added 483,000 Comcast Digital Voice (CDV) customers during the third quarter – penetration reached 13% of homes passed or 6.1 million customers.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Phone revenue increased 44% from $479 million to $690 million in the third quarter of 2008, reflecting significant growth in CDV subscribers and a 5% decrease in average revenue per subscriber to $38.98, resulting from an increase in the number of customers receiving service as part of a promotional offer or in a new product package. The increase in CDV revenue was also partially offset by a $49 million or 96% decline in circuit-switched phone revenue as Comcast exits that product offering.</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Year to date through September 30, 2008, phone revenue increased 52% from $1.3 billion to $1.9 billion, reflecting significant growth in CDV customers, partially offset by a $182 million decline in circuit-switched phone revenue.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revenue decreased 10% to $374 million in the third quarter of 2008 from $417 million in 2007, reflecting one less week in the broadcast advertising calendar as well as continued softness in the advertising marketplace, only partially offset by an increase in political advertising. Year to date through September 30, 2008, ad sales decreased 3% to $1.1 billion.</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Programming Segment Results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Comcast’s Programming segment consists of national programming networks E! Entertainment Television, Style Network, Golf Channel, VERSUS, and G4.</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Programming segment reported third quarter 2008 revenue of $347 million, a 5% increase from $330 million in 2007, reflecting higher distribution revenue and strong international revenue growth, offset by one less week in the broadcast advertising calendar. Operating Cash Flow increased to $105 million, an increase of 9% from the same period last year.</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Year to date through September 30, 2008, Programming segment revenue increased 11% to $1.1 billion from $966 million in the nine months ended September 30, 2007. During the same period, Operating Cash Flow increased 30% to $307 million in 2008, reflecting the favorable timing of certain marketing and programming expenses in the first nine months of the year, which are expected to be reversed in the fourth quarter.</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Corporate and Other</w:t>
      </w:r>
    </w:p>
    <w:p>
      <w:pPr>
        <w:spacing w:after="0" w:line="95"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Corporate and Other includes corporate overhead, Comcast-Spectacor, Comcast Interactive Media (CIM), and other operations and eliminations between Comcast’s businesses. For the third quarter of 2008, Corporate and Other revenue increased 38% to $71 million from $51 million in the third quarter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22466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on page 4</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28" w:right="239" w:bottom="1440" w:gutter="0" w:footer="0" w:header="0"/>
        </w:sectPr>
      </w:pPr>
    </w:p>
    <w:bookmarkStart w:id="6" w:name="page7"/>
    <w:bookmarkEnd w:id="6"/>
    <w:p>
      <w:pPr>
        <w:jc w:val="both"/>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2007, reflecting strong results at CIM from internet advertising and search revenue. The Operating Cash Flow loss for the third quarter of 2008 decreased to $119 million compared to a loss of $143 million in 2007, which included $55 million of At Home litigation expense.</w:t>
      </w:r>
    </w:p>
    <w:p>
      <w:pPr>
        <w:spacing w:after="0" w:line="132"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Year to date through September 30, 2008, Corporate and Other revenue increased 43% to $268 million from $187 million in the same period of 2007. Operating Cash Flow loss for Corporate and Other decreased 9% to $300 million for the nine months ended September 30, 2008 compared to a loss of $332 million in 2007.</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Share Repurchases and Dividends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In the third quarter of 2008, Comcast repurchased 39.7 million of its common shares for $800 million, reducing the number of total shares outstanding by 1.4%.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Year to date, Comcast repurchased 140.9 million of its common shares for $2.8 billion.</w:t>
      </w:r>
    </w:p>
    <w:p>
      <w:pPr>
        <w:spacing w:after="0" w:line="16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of September 30, 2008, Comcast had approximately $4.1 billion of availability remaining under its share repurchase authorization. We have previously indicated our plan to fully use our remaining share repurchase authorization by the end of 2009, subject to market conditions. Given the overall economy and the unprecedented turmoil and instability in the capital markets, the company may not complete its share repurchase authorization in 2008 and 2009 as previously planned. The company believes this is a disciplined and responsible approach given the difficult market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Comcast paid quarterly cash dividends of $185 million on April 30, 2008, $182 million on July 30, 2008 and $180 million on October 29, 2008.</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2008 Financial Outlook</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2008, Comcast reaffirms the following previously issued guidance:</w:t>
      </w:r>
    </w:p>
    <w:p>
      <w:pPr>
        <w:spacing w:after="0" w:line="90"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Consolidated Revenue and Operating Cash Flow growth of 8% to 10%</w:t>
      </w:r>
      <w:r>
        <w:rPr>
          <w:rFonts w:ascii="Arial" w:cs="Arial" w:eastAsia="Arial" w:hAnsi="Arial"/>
          <w:sz w:val="22"/>
          <w:szCs w:val="22"/>
          <w:color w:val="auto"/>
          <w:vertAlign w:val="superscript"/>
        </w:rPr>
        <w:t>2</w:t>
      </w:r>
    </w:p>
    <w:p>
      <w:pPr>
        <w:spacing w:after="0" w:line="44"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Consolidated Capital Expenditures as a percent of revenue expected to decline to approximately 18%</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Consolidated Free Cash Flow growth of at least 20% from the $2.3 billion reported in 2007</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Given that actual capital expenditures have been trending lower than initially forecasted, and Free Cash Flow is highly sensitive to the level of our capital expenditures, we will exceed the above guidance for Free Cash Flow growth.</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outlook above does not reflect the impact of any tax law changes, including the U.S. Government Economic Stimulus package or any future sales or acquisitions of businesses or operating assets (or related tax effects).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Notes</w:t>
      </w:r>
      <w:r>
        <w:rPr>
          <w:rFonts w:ascii="Arial" w:cs="Arial" w:eastAsia="Arial" w:hAnsi="Arial"/>
          <w:sz w:val="22"/>
          <w:szCs w:val="22"/>
          <w:b w:val="1"/>
          <w:bCs w:val="1"/>
          <w:color w:val="auto"/>
        </w:rPr>
        <w:t>:</w:t>
      </w:r>
    </w:p>
    <w:p>
      <w:pPr>
        <w:spacing w:after="0" w:line="95" w:lineRule="exact"/>
        <w:rPr>
          <w:sz w:val="20"/>
          <w:szCs w:val="20"/>
          <w:color w:val="auto"/>
        </w:rPr>
      </w:pPr>
    </w:p>
    <w:p>
      <w:pPr>
        <w:jc w:val="both"/>
        <w:ind w:left="220" w:hanging="212"/>
        <w:spacing w:after="0" w:line="256"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and earnings per share are adjusted for gains, net of tax, related to the dissolution of the Texas/Kansas City Cable Partnership in 2007, the dissolution of the Insight Midwest Partnership in 2008, and gains related to the settlement of an uncertain tax position of an acquired entity and certain state tax law changes in 2008. Please refer to Table 7-B for a reconciliation of adjusted net income and earnings per share. Earnings per share amounts are presented on a diluted basis.</w:t>
      </w:r>
    </w:p>
    <w:p>
      <w:pPr>
        <w:spacing w:after="0" w:line="62" w:lineRule="exact"/>
        <w:rPr>
          <w:sz w:val="20"/>
          <w:szCs w:val="20"/>
          <w:color w:val="auto"/>
        </w:rPr>
      </w:pPr>
    </w:p>
    <w:p>
      <w:pPr>
        <w:jc w:val="both"/>
        <w:ind w:left="220" w:hanging="212"/>
        <w:spacing w:after="0" w:line="298" w:lineRule="auto"/>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 forma results adjust for certain cable segment acquisitions and dispositions, including the acquisitions of Comcast SportsNet Bay Area/Comcast SportsNet New England (June 2007), the cable system acquired from Patriot Media (August 2007), and the dissolution of the Insight Midwest Partnership (January 2008). Consolidated and cable pro forma results are presented as if the transactions noted above were effective on January 1, 2007. The net impact of these transactions increased the number of basic cable subscribers by 765,000. Please refer to Table 7-A for a reconciliation of pro forma financial data.</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Information</w:t>
      </w:r>
    </w:p>
    <w:p>
      <w:pPr>
        <w:spacing w:after="0" w:line="9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Comcast Corporation will host a conference call with the financial community today, October 29, 2008 at 8:30 a.m. Eastern Time (ET). The conference call will be broadcast live on Comcast’s Investor Relations website at www.cmcsa.com or www.cmcsk.com. A recording of the call will be available on the Investor Relations website starting at 12:30 p.m. ET on October 29, 2008. Those parties interested in participating via telephone should dial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28" w:right="239" w:bottom="1440" w:gutter="0" w:footer="0" w:header="0"/>
        </w:sectPr>
      </w:pPr>
    </w:p>
    <w:bookmarkStart w:id="7" w:name="page8"/>
    <w:bookmarkEnd w:id="7"/>
    <w:p>
      <w:pPr>
        <w:jc w:val="both"/>
        <w:ind w:firstLine="8"/>
        <w:spacing w:after="0" w:line="259" w:lineRule="auto"/>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263-8495 with the conference ID number 65905828. A telephone replay will begin immediately following the call until Friday, October 31, 2008 at midnight ET. To access the rebroadcast, please dial (800) 642-1687 and enter passcode number 65905828. To automatically receive Comcast financial news by email, please visit www.cmcsa.com or www.cmcsk.com and subscribe to email alerts.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 Concerning Forward-Looking Statements</w:t>
      </w:r>
    </w:p>
    <w:p>
      <w:pPr>
        <w:spacing w:after="0" w:line="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9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provided in Table 7 of this release. All percentages are calculated based on actual amounts. Minor differences may exist due to rounding.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Comcast Corporation</w:t>
      </w:r>
    </w:p>
    <w:p>
      <w:pPr>
        <w:spacing w:after="0" w:line="9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Comcast Corporation (Nasdaq: CMCSA, CMCSK) (</w:t>
      </w:r>
      <w:r>
        <w:rPr>
          <w:rFonts w:ascii="Arial" w:cs="Arial" w:eastAsia="Arial" w:hAnsi="Arial"/>
          <w:sz w:val="16"/>
          <w:szCs w:val="16"/>
          <w:u w:val="single" w:color="auto"/>
          <w:color w:val="auto"/>
        </w:rPr>
        <w:t>http://www.comcast.com</w:t>
      </w:r>
      <w:r>
        <w:rPr>
          <w:rFonts w:ascii="Arial" w:cs="Arial" w:eastAsia="Arial" w:hAnsi="Arial"/>
          <w:sz w:val="16"/>
          <w:szCs w:val="16"/>
          <w:color w:val="auto"/>
        </w:rPr>
        <w:t>) is the nation’s leading provider of entertainment, information and communications products and services. With 24.4 million cable customers, 14.7 million high-speed Internet customers, and 6.1 million Comcast Digital Voice customers, Comcast is principally involved in the development, management and operation of broadband cable systems and in the delivery of programming content.</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Comcast’s content networks and investments include E! Entertainment Television, Style Network, Golf Channel, VERSUS, G4, PBS KIDS Sprout, TV One, ten Comcast SportsNet networks and Comcast Interactive Media, which develops and operates Comcast’s Internet business. Comcast also has a majority ownership in Comcast-Spectacor, whose major holdings include the Philadelphia Flyers NHL hockey team, the Philadelphia 76ers NBA basketball team and two large multipurpose arenas in Philadelphia.</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2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183515</wp:posOffset>
            </wp:positionV>
            <wp:extent cx="1475105"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11480"/>
                    </a:xfrm>
                    <a:prstGeom prst="rect">
                      <a:avLst/>
                    </a:prstGeom>
                    <a:noFill/>
                  </pic:spPr>
                </pic:pic>
              </a:graphicData>
            </a:graphic>
          </wp:anchor>
        </w:drawing>
        <w:t>TABLE 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Condensed Consolidated Statement of Operations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240" w:type="dxa"/>
            <w:vAlign w:val="bottom"/>
            <w:gridSpan w:val="2"/>
          </w:tcPr>
          <w:p>
            <w:pPr>
              <w:jc w:val="right"/>
              <w:ind w:right="334"/>
              <w:spacing w:after="0"/>
              <w:rPr>
                <w:sz w:val="20"/>
                <w:szCs w:val="20"/>
                <w:color w:val="auto"/>
              </w:rPr>
            </w:pPr>
            <w:r>
              <w:rPr>
                <w:rFonts w:ascii="Arial" w:cs="Arial" w:eastAsia="Arial" w:hAnsi="Arial"/>
                <w:sz w:val="14"/>
                <w:szCs w:val="14"/>
                <w:b w:val="1"/>
                <w:bCs w:val="1"/>
                <w:color w:val="auto"/>
              </w:rPr>
              <w:t>Three Months Ended</w:t>
            </w:r>
          </w:p>
        </w:tc>
        <w:tc>
          <w:tcPr>
            <w:tcW w:w="196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722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2240" w:type="dxa"/>
            <w:vAlign w:val="bottom"/>
            <w:tcBorders>
              <w:bottom w:val="single" w:sz="8" w:color="auto"/>
            </w:tcBorders>
            <w:gridSpan w:val="2"/>
          </w:tcPr>
          <w:p>
            <w:pPr>
              <w:jc w:val="right"/>
              <w:ind w:right="534"/>
              <w:spacing w:after="0"/>
              <w:rPr>
                <w:sz w:val="20"/>
                <w:szCs w:val="20"/>
                <w:color w:val="auto"/>
              </w:rPr>
            </w:pPr>
            <w:r>
              <w:rPr>
                <w:rFonts w:ascii="Arial" w:cs="Arial" w:eastAsia="Arial" w:hAnsi="Arial"/>
                <w:sz w:val="14"/>
                <w:szCs w:val="14"/>
                <w:b w:val="1"/>
                <w:bCs w:val="1"/>
                <w:color w:val="auto"/>
              </w:rPr>
              <w:t>September 30,</w:t>
            </w:r>
          </w:p>
        </w:tc>
        <w:tc>
          <w:tcPr>
            <w:tcW w:w="1960" w:type="dxa"/>
            <w:vAlign w:val="bottom"/>
            <w:tcBorders>
              <w:bottom w:val="single" w:sz="8" w:color="auto"/>
            </w:tcBorders>
            <w:gridSpan w:val="2"/>
          </w:tcPr>
          <w:p>
            <w:pPr>
              <w:jc w:val="right"/>
              <w:ind w:right="39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220" w:type="dxa"/>
            <w:vAlign w:val="bottom"/>
            <w:gridSpan w:val="2"/>
            <w:vMerge w:val="continue"/>
          </w:tcPr>
          <w:p>
            <w:pPr>
              <w:spacing w:after="0"/>
              <w:rPr>
                <w:sz w:val="12"/>
                <w:szCs w:val="12"/>
                <w:color w:val="auto"/>
              </w:rPr>
            </w:pPr>
          </w:p>
        </w:tc>
        <w:tc>
          <w:tcPr>
            <w:tcW w:w="1240" w:type="dxa"/>
            <w:vAlign w:val="bottom"/>
          </w:tcPr>
          <w:p>
            <w:pPr>
              <w:jc w:val="right"/>
              <w:ind w:right="317"/>
              <w:spacing w:after="0" w:line="142" w:lineRule="exact"/>
              <w:rPr>
                <w:sz w:val="20"/>
                <w:szCs w:val="20"/>
                <w:color w:val="auto"/>
              </w:rPr>
            </w:pPr>
            <w:r>
              <w:rPr>
                <w:rFonts w:ascii="Arial" w:cs="Arial" w:eastAsia="Arial" w:hAnsi="Arial"/>
                <w:sz w:val="14"/>
                <w:szCs w:val="14"/>
                <w:b w:val="1"/>
                <w:bCs w:val="1"/>
                <w:color w:val="auto"/>
              </w:rPr>
              <w:t>2008</w:t>
            </w:r>
          </w:p>
        </w:tc>
        <w:tc>
          <w:tcPr>
            <w:tcW w:w="100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2007</w:t>
            </w:r>
          </w:p>
        </w:tc>
        <w:tc>
          <w:tcPr>
            <w:tcW w:w="1060" w:type="dxa"/>
            <w:vAlign w:val="bottom"/>
          </w:tcPr>
          <w:p>
            <w:pPr>
              <w:jc w:val="right"/>
              <w:ind w:right="297"/>
              <w:spacing w:after="0" w:line="142" w:lineRule="exact"/>
              <w:rPr>
                <w:sz w:val="20"/>
                <w:szCs w:val="20"/>
                <w:color w:val="auto"/>
              </w:rPr>
            </w:pPr>
            <w:r>
              <w:rPr>
                <w:rFonts w:ascii="Arial" w:cs="Arial" w:eastAsia="Arial" w:hAnsi="Arial"/>
                <w:sz w:val="14"/>
                <w:szCs w:val="14"/>
                <w:b w:val="1"/>
                <w:bCs w:val="1"/>
                <w:color w:val="auto"/>
              </w:rPr>
              <w:t>2008</w:t>
            </w:r>
          </w:p>
        </w:tc>
        <w:tc>
          <w:tcPr>
            <w:tcW w:w="90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Revenues</w:t>
            </w:r>
          </w:p>
        </w:tc>
        <w:tc>
          <w:tcPr>
            <w:tcW w:w="1240" w:type="dxa"/>
            <w:vAlign w:val="bottom"/>
            <w:tcBorders>
              <w:top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$ 8,549</w:t>
            </w:r>
          </w:p>
        </w:tc>
        <w:tc>
          <w:tcPr>
            <w:tcW w:w="1000" w:type="dxa"/>
            <w:vAlign w:val="bottom"/>
            <w:tcBorders>
              <w:top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$ 7,781</w:t>
            </w:r>
          </w:p>
        </w:tc>
        <w:tc>
          <w:tcPr>
            <w:tcW w:w="1060" w:type="dxa"/>
            <w:vAlign w:val="bottom"/>
            <w:tcBorders>
              <w:top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$25,491</w:t>
            </w:r>
          </w:p>
        </w:tc>
        <w:tc>
          <w:tcPr>
            <w:tcW w:w="9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$22,881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Operating expenses</w:t>
            </w:r>
          </w:p>
        </w:tc>
        <w:tc>
          <w:tcPr>
            <w:tcW w:w="1240" w:type="dxa"/>
            <w:vAlign w:val="bottom"/>
          </w:tcPr>
          <w:p>
            <w:pPr>
              <w:jc w:val="right"/>
              <w:ind w:right="157"/>
              <w:spacing w:after="0"/>
              <w:rPr>
                <w:sz w:val="20"/>
                <w:szCs w:val="20"/>
                <w:color w:val="auto"/>
              </w:rPr>
            </w:pPr>
            <w:r>
              <w:rPr>
                <w:rFonts w:ascii="Arial" w:cs="Arial" w:eastAsia="Arial" w:hAnsi="Arial"/>
                <w:sz w:val="18"/>
                <w:szCs w:val="18"/>
                <w:b w:val="1"/>
                <w:bCs w:val="1"/>
                <w:color w:val="auto"/>
              </w:rPr>
              <w:t>3,095</w:t>
            </w: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2,759</w:t>
            </w:r>
          </w:p>
        </w:tc>
        <w:tc>
          <w:tcPr>
            <w:tcW w:w="1060" w:type="dxa"/>
            <w:vAlign w:val="bottom"/>
          </w:tcPr>
          <w:p>
            <w:pPr>
              <w:jc w:val="right"/>
              <w:ind w:right="157"/>
              <w:spacing w:after="0"/>
              <w:rPr>
                <w:sz w:val="20"/>
                <w:szCs w:val="20"/>
                <w:color w:val="auto"/>
              </w:rPr>
            </w:pPr>
            <w:r>
              <w:rPr>
                <w:rFonts w:ascii="Arial" w:cs="Arial" w:eastAsia="Arial" w:hAnsi="Arial"/>
                <w:sz w:val="18"/>
                <w:szCs w:val="18"/>
                <w:b w:val="1"/>
                <w:bCs w:val="1"/>
                <w:color w:val="auto"/>
              </w:rPr>
              <w:t>9,293</w:t>
            </w:r>
          </w:p>
        </w:tc>
        <w:tc>
          <w:tcPr>
            <w:tcW w:w="900" w:type="dxa"/>
            <w:vAlign w:val="bottom"/>
          </w:tcPr>
          <w:p>
            <w:pPr>
              <w:jc w:val="right"/>
              <w:spacing w:after="0"/>
              <w:rPr>
                <w:sz w:val="20"/>
                <w:szCs w:val="20"/>
                <w:color w:val="auto"/>
              </w:rPr>
            </w:pPr>
            <w:r>
              <w:rPr>
                <w:rFonts w:ascii="Arial" w:cs="Arial" w:eastAsia="Arial" w:hAnsi="Arial"/>
                <w:sz w:val="18"/>
                <w:szCs w:val="18"/>
                <w:color w:val="auto"/>
              </w:rPr>
              <w:t>8,272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124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2,217</w:t>
            </w:r>
          </w:p>
        </w:tc>
        <w:tc>
          <w:tcPr>
            <w:tcW w:w="100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2,093</w:t>
            </w:r>
          </w:p>
        </w:tc>
        <w:tc>
          <w:tcPr>
            <w:tcW w:w="106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6,436</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5,905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24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5,312</w:t>
            </w:r>
          </w:p>
        </w:tc>
        <w:tc>
          <w:tcPr>
            <w:tcW w:w="10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4,852</w:t>
            </w:r>
          </w:p>
        </w:tc>
        <w:tc>
          <w:tcPr>
            <w:tcW w:w="106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15,729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cash flow</w:t>
            </w:r>
          </w:p>
        </w:tc>
        <w:tc>
          <w:tcPr>
            <w:tcW w:w="1240" w:type="dxa"/>
            <w:vAlign w:val="bottom"/>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3,237</w:t>
            </w:r>
          </w:p>
        </w:tc>
        <w:tc>
          <w:tcPr>
            <w:tcW w:w="10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2,929</w:t>
            </w:r>
          </w:p>
        </w:tc>
        <w:tc>
          <w:tcPr>
            <w:tcW w:w="1060" w:type="dxa"/>
            <w:vAlign w:val="bottom"/>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9,762</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Depreciation expense</w:t>
            </w:r>
          </w:p>
        </w:tc>
        <w:tc>
          <w:tcPr>
            <w:tcW w:w="1240" w:type="dxa"/>
            <w:vAlign w:val="bottom"/>
          </w:tcPr>
          <w:p>
            <w:pPr>
              <w:jc w:val="right"/>
              <w:ind w:right="157"/>
              <w:spacing w:after="0"/>
              <w:rPr>
                <w:sz w:val="20"/>
                <w:szCs w:val="20"/>
                <w:color w:val="auto"/>
              </w:rPr>
            </w:pPr>
            <w:r>
              <w:rPr>
                <w:rFonts w:ascii="Arial" w:cs="Arial" w:eastAsia="Arial" w:hAnsi="Arial"/>
                <w:sz w:val="18"/>
                <w:szCs w:val="18"/>
                <w:b w:val="1"/>
                <w:bCs w:val="1"/>
                <w:color w:val="auto"/>
              </w:rPr>
              <w:t>1,332</w:t>
            </w: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1,291</w:t>
            </w:r>
          </w:p>
        </w:tc>
        <w:tc>
          <w:tcPr>
            <w:tcW w:w="1060" w:type="dxa"/>
            <w:vAlign w:val="bottom"/>
          </w:tcPr>
          <w:p>
            <w:pPr>
              <w:jc w:val="right"/>
              <w:ind w:right="157"/>
              <w:spacing w:after="0"/>
              <w:rPr>
                <w:sz w:val="20"/>
                <w:szCs w:val="20"/>
                <w:color w:val="auto"/>
              </w:rPr>
            </w:pPr>
            <w:r>
              <w:rPr>
                <w:rFonts w:ascii="Arial" w:cs="Arial" w:eastAsia="Arial" w:hAnsi="Arial"/>
                <w:sz w:val="18"/>
                <w:szCs w:val="18"/>
                <w:b w:val="1"/>
                <w:bCs w:val="1"/>
                <w:color w:val="auto"/>
              </w:rPr>
              <w:t>4,093</w:t>
            </w:r>
          </w:p>
        </w:tc>
        <w:tc>
          <w:tcPr>
            <w:tcW w:w="900" w:type="dxa"/>
            <w:vAlign w:val="bottom"/>
          </w:tcPr>
          <w:p>
            <w:pPr>
              <w:jc w:val="right"/>
              <w:spacing w:after="0"/>
              <w:rPr>
                <w:sz w:val="20"/>
                <w:szCs w:val="20"/>
                <w:color w:val="auto"/>
              </w:rPr>
            </w:pPr>
            <w:r>
              <w:rPr>
                <w:rFonts w:ascii="Arial" w:cs="Arial" w:eastAsia="Arial" w:hAnsi="Arial"/>
                <w:sz w:val="18"/>
                <w:szCs w:val="18"/>
                <w:color w:val="auto"/>
              </w:rPr>
              <w:t>3,768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0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Amortization expense</w:t>
            </w:r>
          </w:p>
        </w:tc>
        <w:tc>
          <w:tcPr>
            <w:tcW w:w="124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235</w:t>
            </w:r>
          </w:p>
        </w:tc>
        <w:tc>
          <w:tcPr>
            <w:tcW w:w="100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247</w:t>
            </w:r>
          </w:p>
        </w:tc>
        <w:tc>
          <w:tcPr>
            <w:tcW w:w="106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694</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24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1,567</w:t>
            </w:r>
          </w:p>
        </w:tc>
        <w:tc>
          <w:tcPr>
            <w:tcW w:w="10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1,538</w:t>
            </w:r>
          </w:p>
        </w:tc>
        <w:tc>
          <w:tcPr>
            <w:tcW w:w="106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4,787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1240" w:type="dxa"/>
            <w:vAlign w:val="bottom"/>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1,670</w:t>
            </w:r>
          </w:p>
        </w:tc>
        <w:tc>
          <w:tcPr>
            <w:tcW w:w="10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1,391</w:t>
            </w:r>
          </w:p>
        </w:tc>
        <w:tc>
          <w:tcPr>
            <w:tcW w:w="1060" w:type="dxa"/>
            <w:vAlign w:val="bottom"/>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4,975</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bl>
    <w:p>
      <w:pPr>
        <w:spacing w:after="0" w:line="100" w:lineRule="exact"/>
        <w:rPr>
          <w:sz w:val="20"/>
          <w:szCs w:val="20"/>
          <w:color w:val="auto"/>
        </w:rPr>
      </w:pPr>
    </w:p>
    <w:p>
      <w:pPr>
        <w:sectPr>
          <w:pgSz w:w="11900" w:h="16838" w:orient="portrait"/>
          <w:cols w:equalWidth="0" w:num="1">
            <w:col w:w="11420"/>
          </w:cols>
          <w:pgMar w:left="240" w:top="1052" w:right="239" w:bottom="1440" w:gutter="0" w:footer="0" w:header="0"/>
        </w:sectPr>
      </w:pPr>
    </w:p>
    <w:p>
      <w:pPr>
        <w:spacing w:after="0"/>
        <w:rPr>
          <w:sz w:val="20"/>
          <w:szCs w:val="20"/>
          <w:color w:val="auto"/>
        </w:rPr>
      </w:pPr>
      <w:r>
        <w:rPr>
          <w:rFonts w:ascii="Arial" w:cs="Arial" w:eastAsia="Arial" w:hAnsi="Arial"/>
          <w:sz w:val="18"/>
          <w:szCs w:val="18"/>
          <w:color w:val="auto"/>
        </w:rPr>
        <w:t>Other income (expense)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Investment income (loss), net</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Equity in net (losses) income of affiliates, net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income (expense)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Income before income taxes and minority interest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Income before minority interest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jc w:val="right"/>
              <w:ind w:right="212"/>
              <w:spacing w:after="0"/>
              <w:rPr>
                <w:sz w:val="20"/>
                <w:szCs w:val="20"/>
                <w:color w:val="auto"/>
              </w:rPr>
            </w:pPr>
            <w:r>
              <w:rPr>
                <w:rFonts w:ascii="Arial" w:cs="Arial" w:eastAsia="Arial" w:hAnsi="Arial"/>
                <w:sz w:val="18"/>
                <w:szCs w:val="18"/>
                <w:b w:val="1"/>
                <w:bCs w:val="1"/>
                <w:color w:val="auto"/>
              </w:rPr>
              <w:t>(601)</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(571)</w:t>
            </w:r>
          </w:p>
        </w:tc>
        <w:tc>
          <w:tcPr>
            <w:tcW w:w="1060" w:type="dxa"/>
            <w:vAlign w:val="bottom"/>
          </w:tcPr>
          <w:p>
            <w:pPr>
              <w:jc w:val="right"/>
              <w:ind w:right="192"/>
              <w:spacing w:after="0"/>
              <w:rPr>
                <w:sz w:val="20"/>
                <w:szCs w:val="20"/>
                <w:color w:val="auto"/>
              </w:rPr>
            </w:pPr>
            <w:r>
              <w:rPr>
                <w:rFonts w:ascii="Arial" w:cs="Arial" w:eastAsia="Arial" w:hAnsi="Arial"/>
                <w:sz w:val="18"/>
                <w:szCs w:val="18"/>
                <w:b w:val="1"/>
                <w:bCs w:val="1"/>
                <w:color w:val="auto"/>
              </w:rPr>
              <w:t>(1,840)</w:t>
            </w:r>
          </w:p>
        </w:tc>
        <w:tc>
          <w:tcPr>
            <w:tcW w:w="800" w:type="dxa"/>
            <w:vAlign w:val="bottom"/>
          </w:tcPr>
          <w:p>
            <w:pPr>
              <w:jc w:val="right"/>
              <w:spacing w:after="0"/>
              <w:rPr>
                <w:sz w:val="20"/>
                <w:szCs w:val="20"/>
                <w:color w:val="auto"/>
              </w:rPr>
            </w:pPr>
            <w:r>
              <w:rPr>
                <w:rFonts w:ascii="Arial" w:cs="Arial" w:eastAsia="Arial" w:hAnsi="Arial"/>
                <w:sz w:val="18"/>
                <w:szCs w:val="18"/>
                <w:color w:val="auto"/>
              </w:rPr>
              <w:t>(1,689)</w:t>
            </w:r>
          </w:p>
        </w:tc>
      </w:tr>
      <w:tr>
        <w:trPr>
          <w:trHeight w:val="216"/>
        </w:trPr>
        <w:tc>
          <w:tcPr>
            <w:tcW w:w="1360" w:type="dxa"/>
            <w:vAlign w:val="bottom"/>
          </w:tcPr>
          <w:p>
            <w:pPr>
              <w:jc w:val="right"/>
              <w:ind w:right="272"/>
              <w:spacing w:after="0"/>
              <w:rPr>
                <w:sz w:val="20"/>
                <w:szCs w:val="20"/>
                <w:color w:val="auto"/>
              </w:rPr>
            </w:pPr>
            <w:r>
              <w:rPr>
                <w:rFonts w:ascii="Arial" w:cs="Arial" w:eastAsia="Arial" w:hAnsi="Arial"/>
                <w:sz w:val="18"/>
                <w:szCs w:val="18"/>
                <w:b w:val="1"/>
                <w:bCs w:val="1"/>
                <w:color w:val="auto"/>
              </w:rPr>
              <w:t>74</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158</w:t>
            </w: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rPr>
              <w:t>83</w:t>
            </w:r>
          </w:p>
        </w:tc>
        <w:tc>
          <w:tcPr>
            <w:tcW w:w="80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16"/>
        </w:trPr>
        <w:tc>
          <w:tcPr>
            <w:tcW w:w="1360" w:type="dxa"/>
            <w:vAlign w:val="bottom"/>
          </w:tcPr>
          <w:p>
            <w:pPr>
              <w:jc w:val="right"/>
              <w:ind w:right="272"/>
              <w:spacing w:after="0"/>
              <w:rPr>
                <w:sz w:val="20"/>
                <w:szCs w:val="20"/>
                <w:color w:val="auto"/>
              </w:rPr>
            </w:pPr>
            <w:r>
              <w:rPr>
                <w:rFonts w:ascii="Arial" w:cs="Arial" w:eastAsia="Arial" w:hAnsi="Arial"/>
                <w:sz w:val="18"/>
                <w:szCs w:val="18"/>
                <w:b w:val="1"/>
                <w:bCs w:val="1"/>
                <w:color w:val="auto"/>
              </w:rPr>
              <w:t>2</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(12)</w:t>
            </w:r>
          </w:p>
        </w:tc>
        <w:tc>
          <w:tcPr>
            <w:tcW w:w="1060" w:type="dxa"/>
            <w:vAlign w:val="bottom"/>
          </w:tcPr>
          <w:p>
            <w:pPr>
              <w:jc w:val="right"/>
              <w:ind w:right="192"/>
              <w:spacing w:after="0"/>
              <w:rPr>
                <w:sz w:val="20"/>
                <w:szCs w:val="20"/>
                <w:color w:val="auto"/>
              </w:rPr>
            </w:pPr>
            <w:r>
              <w:rPr>
                <w:rFonts w:ascii="Arial" w:cs="Arial" w:eastAsia="Arial" w:hAnsi="Arial"/>
                <w:sz w:val="18"/>
                <w:szCs w:val="18"/>
                <w:b w:val="1"/>
                <w:bCs w:val="1"/>
                <w:color w:val="auto"/>
              </w:rPr>
              <w:t>(46)</w:t>
            </w: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13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12</w:t>
            </w: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w:t>
            </w:r>
          </w:p>
        </w:tc>
        <w:tc>
          <w:tcPr>
            <w:tcW w:w="10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305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r>
      <w:tr>
        <w:trPr>
          <w:trHeight w:val="211"/>
        </w:trPr>
        <w:tc>
          <w:tcPr>
            <w:tcW w:w="13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(513)</w:t>
            </w: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(426)</w:t>
            </w: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(1,498)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r>
      <w:tr>
        <w:trPr>
          <w:trHeight w:val="222"/>
        </w:trPr>
        <w:tc>
          <w:tcPr>
            <w:tcW w:w="1360" w:type="dxa"/>
            <w:vAlign w:val="bottom"/>
          </w:tcPr>
          <w:p>
            <w:pPr>
              <w:jc w:val="right"/>
              <w:ind w:right="272"/>
              <w:spacing w:after="0"/>
              <w:rPr>
                <w:sz w:val="20"/>
                <w:szCs w:val="20"/>
                <w:color w:val="auto"/>
              </w:rPr>
            </w:pPr>
            <w:r>
              <w:rPr>
                <w:rFonts w:ascii="Arial" w:cs="Arial" w:eastAsia="Arial" w:hAnsi="Arial"/>
                <w:sz w:val="18"/>
                <w:szCs w:val="18"/>
                <w:b w:val="1"/>
                <w:bCs w:val="1"/>
                <w:color w:val="auto"/>
              </w:rPr>
              <w:t>1,157</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965</w:t>
            </w: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rPr>
              <w:t>3,477</w:t>
            </w:r>
          </w:p>
        </w:tc>
        <w:tc>
          <w:tcPr>
            <w:tcW w:w="800" w:type="dxa"/>
            <w:vAlign w:val="bottom"/>
          </w:tcPr>
          <w:p>
            <w:pPr>
              <w:jc w:val="right"/>
              <w:spacing w:after="0"/>
              <w:rPr>
                <w:sz w:val="20"/>
                <w:szCs w:val="20"/>
                <w:color w:val="auto"/>
              </w:rPr>
            </w:pPr>
            <w:r>
              <w:rPr>
                <w:rFonts w:ascii="Arial" w:cs="Arial" w:eastAsia="Arial" w:hAnsi="Arial"/>
                <w:sz w:val="18"/>
                <w:szCs w:val="18"/>
                <w:color w:val="auto"/>
              </w:rPr>
              <w:t>3,353</w:t>
            </w:r>
          </w:p>
        </w:tc>
      </w:tr>
      <w:tr>
        <w:trPr>
          <w:trHeight w:val="311"/>
        </w:trPr>
        <w:tc>
          <w:tcPr>
            <w:tcW w:w="13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(401)</w:t>
            </w: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(421)</w:t>
            </w: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(1,364)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r>
      <w:tr>
        <w:trPr>
          <w:trHeight w:val="317"/>
        </w:trPr>
        <w:tc>
          <w:tcPr>
            <w:tcW w:w="1360" w:type="dxa"/>
            <w:vAlign w:val="bottom"/>
          </w:tcPr>
          <w:p>
            <w:pPr>
              <w:jc w:val="right"/>
              <w:ind w:right="272"/>
              <w:spacing w:after="0"/>
              <w:rPr>
                <w:sz w:val="20"/>
                <w:szCs w:val="20"/>
                <w:color w:val="auto"/>
              </w:rPr>
            </w:pPr>
            <w:r>
              <w:rPr>
                <w:rFonts w:ascii="Arial" w:cs="Arial" w:eastAsia="Arial" w:hAnsi="Arial"/>
                <w:sz w:val="18"/>
                <w:szCs w:val="18"/>
                <w:b w:val="1"/>
                <w:bCs w:val="1"/>
                <w:color w:val="auto"/>
              </w:rPr>
              <w:t>756</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544</w:t>
            </w: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rPr>
              <w:t>2,113</w:t>
            </w:r>
          </w:p>
        </w:tc>
        <w:tc>
          <w:tcPr>
            <w:tcW w:w="800" w:type="dxa"/>
            <w:vAlign w:val="bottom"/>
          </w:tcPr>
          <w:p>
            <w:pPr>
              <w:jc w:val="right"/>
              <w:spacing w:after="0"/>
              <w:rPr>
                <w:sz w:val="20"/>
                <w:szCs w:val="20"/>
                <w:color w:val="auto"/>
              </w:rPr>
            </w:pPr>
            <w:r>
              <w:rPr>
                <w:rFonts w:ascii="Arial" w:cs="Arial" w:eastAsia="Arial" w:hAnsi="Arial"/>
                <w:sz w:val="18"/>
                <w:szCs w:val="18"/>
                <w:color w:val="auto"/>
              </w:rPr>
              <w:t>1,953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-1258570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-4578985</wp:posOffset>
            </wp:positionH>
            <wp:positionV relativeFrom="paragraph">
              <wp:posOffset>-984250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-4578985</wp:posOffset>
            </wp:positionH>
            <wp:positionV relativeFrom="paragraph">
              <wp:posOffset>-701040</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-4578985</wp:posOffset>
            </wp:positionH>
            <wp:positionV relativeFrom="paragraph">
              <wp:posOffset>-349885</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10" w:lineRule="exact"/>
        <w:rPr>
          <w:sz w:val="20"/>
          <w:szCs w:val="20"/>
          <w:color w:val="auto"/>
        </w:rPr>
      </w:pPr>
    </w:p>
    <w:p>
      <w:pPr>
        <w:sectPr>
          <w:pgSz w:w="11900" w:h="16838" w:orient="portrait"/>
          <w:cols w:equalWidth="0" w:num="2">
            <w:col w:w="6500" w:space="720"/>
            <w:col w:w="4200"/>
          </w:cols>
          <w:pgMar w:left="240" w:top="1052"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5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15</w:t>
            </w:r>
          </w:p>
        </w:tc>
        <w:tc>
          <w:tcPr>
            <w:tcW w:w="3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22</w:t>
            </w:r>
          </w:p>
        </w:tc>
        <w:tc>
          <w:tcPr>
            <w:tcW w:w="3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25"/>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771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560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2,135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1,985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2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0.26</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0.18</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0.72</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331"/>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Adjusted earnings per common share </w:t>
            </w:r>
            <w:r>
              <w:rPr>
                <w:rFonts w:ascii="Arial" w:cs="Arial" w:eastAsia="Arial" w:hAnsi="Arial"/>
                <w:sz w:val="22"/>
                <w:szCs w:val="22"/>
                <w:b w:val="1"/>
                <w:bCs w:val="1"/>
                <w:color w:val="auto"/>
                <w:vertAlign w:val="superscript"/>
              </w:rPr>
              <w:t>(1)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0.24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0.18</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0.64</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2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w w:val="83"/>
              </w:rPr>
              <w:t>0.0625</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w w:val="83"/>
              </w:rPr>
              <w:t>0.1875</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1"/>
        </w:trPr>
        <w:tc>
          <w:tcPr>
            <w:tcW w:w="7220" w:type="dxa"/>
            <w:vAlign w:val="bottom"/>
            <w:gridSpan w:val="2"/>
          </w:tcPr>
          <w:p>
            <w:pPr>
              <w:spacing w:after="0"/>
              <w:rPr>
                <w:sz w:val="20"/>
                <w:szCs w:val="20"/>
                <w:color w:val="auto"/>
              </w:rPr>
            </w:pPr>
            <w:r>
              <w:rPr>
                <w:rFonts w:ascii="Arial" w:cs="Arial" w:eastAsia="Arial" w:hAnsi="Arial"/>
                <w:sz w:val="18"/>
                <w:szCs w:val="18"/>
                <w:color w:val="auto"/>
              </w:rPr>
              <w:t>Diluted weighted-average number of common shares</w:t>
            </w: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2,920</w:t>
            </w: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84"/>
              </w:rPr>
              <w:t>3,118</w:t>
            </w: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2,973</w:t>
            </w:r>
          </w:p>
        </w:tc>
        <w:tc>
          <w:tcPr>
            <w:tcW w:w="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3,145</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5660" w:right="4540" w:hanging="5652"/>
        <w:spacing w:after="0" w:line="525" w:lineRule="auto"/>
        <w:tabs>
          <w:tab w:leader="none" w:pos="449" w:val="left"/>
        </w:tabs>
        <w:numPr>
          <w:ilvl w:val="0"/>
          <w:numId w:val="7"/>
        </w:numPr>
        <w:rPr>
          <w:rFonts w:ascii="Arial" w:cs="Arial" w:eastAsia="Arial" w:hAnsi="Arial"/>
          <w:sz w:val="16"/>
          <w:szCs w:val="16"/>
          <w:color w:val="auto"/>
        </w:rPr>
      </w:pPr>
      <w:r>
        <w:rPr>
          <w:rFonts w:ascii="Arial" w:cs="Arial" w:eastAsia="Arial" w:hAnsi="Arial"/>
          <w:sz w:val="16"/>
          <w:szCs w:val="16"/>
          <w:color w:val="auto"/>
        </w:rPr>
        <w:t>Please refer to Table 7-B for a reconciliation of adjusted net income and earnings per share. 6</w:t>
      </w:r>
    </w:p>
    <w:p>
      <w:pPr>
        <w:sectPr>
          <w:pgSz w:w="11900" w:h="16838" w:orient="portrait"/>
          <w:cols w:equalWidth="0" w:num="1">
            <w:col w:w="11420"/>
          </w:cols>
          <w:pgMar w:left="240" w:top="1052"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183515</wp:posOffset>
            </wp:positionV>
            <wp:extent cx="1475105"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11480"/>
                    </a:xfrm>
                    <a:prstGeom prst="rect">
                      <a:avLst/>
                    </a:prstGeom>
                    <a:noFill/>
                  </pic:spPr>
                </pic:pic>
              </a:graphicData>
            </a:graphic>
          </wp:anchor>
        </w:drawing>
        <w:t>TABLE 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Condensed Consolidated Balance Sheet</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80" w:type="dxa"/>
            <w:vAlign w:val="bottom"/>
            <w:gridSpan w:val="2"/>
          </w:tcPr>
          <w:p>
            <w:pPr>
              <w:ind w:left="54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gridSpan w:val="3"/>
          </w:tcPr>
          <w:p>
            <w:pPr>
              <w:ind w:left="3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53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ind w:right="513"/>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28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98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3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3980" w:type="dxa"/>
            <w:vAlign w:val="bottom"/>
            <w:gridSpan w:val="2"/>
            <w:shd w:val="clear" w:color="auto" w:fill="E5E5E5"/>
          </w:tcPr>
          <w:p>
            <w:pPr>
              <w:ind w:left="38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2,714</w:t>
            </w:r>
          </w:p>
        </w:tc>
        <w:tc>
          <w:tcPr>
            <w:tcW w:w="48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3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jc w:val="right"/>
              <w:ind w:right="233"/>
              <w:spacing w:after="0"/>
              <w:rPr>
                <w:sz w:val="20"/>
                <w:szCs w:val="20"/>
                <w:color w:val="auto"/>
              </w:rPr>
            </w:pPr>
            <w:r>
              <w:rPr>
                <w:rFonts w:ascii="Arial" w:cs="Arial" w:eastAsia="Arial" w:hAnsi="Arial"/>
                <w:sz w:val="18"/>
                <w:szCs w:val="18"/>
                <w:b w:val="1"/>
                <w:bCs w:val="1"/>
                <w:color w:val="auto"/>
              </w:rPr>
              <w:t>203</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receivable, net</w:t>
            </w:r>
          </w:p>
        </w:tc>
        <w:tc>
          <w:tcPr>
            <w:tcW w:w="32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1,658</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32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938</w:t>
            </w: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E5E5E5"/>
            </w:tcBorders>
            <w:shd w:val="clear" w:color="auto" w:fill="E5E5E5"/>
          </w:tcPr>
          <w:p>
            <w:pPr>
              <w:ind w:left="860"/>
              <w:spacing w:after="0"/>
              <w:rPr>
                <w:sz w:val="20"/>
                <w:szCs w:val="20"/>
                <w:color w:val="auto"/>
              </w:rPr>
            </w:pPr>
            <w:r>
              <w:rPr>
                <w:rFonts w:ascii="Arial" w:cs="Arial" w:eastAsia="Arial" w:hAnsi="Arial"/>
                <w:sz w:val="18"/>
                <w:szCs w:val="18"/>
                <w:color w:val="auto"/>
              </w:rPr>
              <w:t>Total current assets</w:t>
            </w:r>
          </w:p>
        </w:tc>
        <w:tc>
          <w:tcPr>
            <w:tcW w:w="3280" w:type="dxa"/>
            <w:vAlign w:val="bottom"/>
            <w:tcBorders>
              <w:bottom w:val="single" w:sz="8" w:color="E5E5E5"/>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5,513</w:t>
            </w:r>
          </w:p>
        </w:tc>
        <w:tc>
          <w:tcPr>
            <w:tcW w:w="4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3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jc w:val="right"/>
              <w:ind w:right="233"/>
              <w:spacing w:after="0"/>
              <w:rPr>
                <w:sz w:val="20"/>
                <w:szCs w:val="20"/>
                <w:color w:val="auto"/>
              </w:rPr>
            </w:pPr>
            <w:r>
              <w:rPr>
                <w:rFonts w:ascii="Arial" w:cs="Arial" w:eastAsia="Arial" w:hAnsi="Arial"/>
                <w:sz w:val="18"/>
                <w:szCs w:val="18"/>
                <w:b w:val="1"/>
                <w:bCs w:val="1"/>
                <w:color w:val="auto"/>
              </w:rPr>
              <w:t>5,203</w:t>
            </w:r>
          </w:p>
        </w:tc>
        <w:tc>
          <w:tcPr>
            <w:tcW w:w="4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7,963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Property and equipment, net</w:t>
            </w:r>
          </w:p>
        </w:tc>
        <w:tc>
          <w:tcPr>
            <w:tcW w:w="32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23,910</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23,624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Franchise rights</w:t>
            </w:r>
          </w:p>
        </w:tc>
        <w:tc>
          <w:tcPr>
            <w:tcW w:w="3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jc w:val="right"/>
              <w:ind w:right="233"/>
              <w:spacing w:after="0"/>
              <w:rPr>
                <w:sz w:val="20"/>
                <w:szCs w:val="20"/>
                <w:color w:val="auto"/>
              </w:rPr>
            </w:pPr>
            <w:r>
              <w:rPr>
                <w:rFonts w:ascii="Arial" w:cs="Arial" w:eastAsia="Arial" w:hAnsi="Arial"/>
                <w:sz w:val="18"/>
                <w:szCs w:val="18"/>
                <w:b w:val="1"/>
                <w:bCs w:val="1"/>
                <w:color w:val="auto"/>
              </w:rPr>
              <w:t>59,452</w:t>
            </w:r>
          </w:p>
        </w:tc>
        <w:tc>
          <w:tcPr>
            <w:tcW w:w="4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58,077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Goodwill</w:t>
            </w:r>
          </w:p>
        </w:tc>
        <w:tc>
          <w:tcPr>
            <w:tcW w:w="32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14,909</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14,705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Other intangible assets, net</w:t>
            </w:r>
          </w:p>
        </w:tc>
        <w:tc>
          <w:tcPr>
            <w:tcW w:w="3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jc w:val="right"/>
              <w:ind w:right="233"/>
              <w:spacing w:after="0"/>
              <w:rPr>
                <w:sz w:val="20"/>
                <w:szCs w:val="20"/>
                <w:color w:val="auto"/>
              </w:rPr>
            </w:pPr>
            <w:r>
              <w:rPr>
                <w:rFonts w:ascii="Arial" w:cs="Arial" w:eastAsia="Arial" w:hAnsi="Arial"/>
                <w:sz w:val="18"/>
                <w:szCs w:val="18"/>
                <w:b w:val="1"/>
                <w:bCs w:val="1"/>
                <w:color w:val="auto"/>
              </w:rPr>
              <w:t>4,570</w:t>
            </w:r>
          </w:p>
        </w:tc>
        <w:tc>
          <w:tcPr>
            <w:tcW w:w="4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4,739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Other noncurrent assets, net</w:t>
            </w:r>
          </w:p>
        </w:tc>
        <w:tc>
          <w:tcPr>
            <w:tcW w:w="3280" w:type="dxa"/>
            <w:vAlign w:val="bottom"/>
            <w:tcBorders>
              <w:bottom w:val="single" w:sz="8" w:color="E5E5E5"/>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939</w:t>
            </w:r>
          </w:p>
        </w:tc>
        <w:tc>
          <w:tcPr>
            <w:tcW w:w="4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980" w:type="dxa"/>
            <w:vAlign w:val="bottom"/>
            <w:gridSpan w:val="2"/>
          </w:tcPr>
          <w:p>
            <w:pPr>
              <w:ind w:left="38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233"/>
              <w:spacing w:after="0"/>
              <w:rPr>
                <w:sz w:val="20"/>
                <w:szCs w:val="20"/>
                <w:color w:val="auto"/>
              </w:rPr>
            </w:pPr>
            <w:r>
              <w:rPr>
                <w:rFonts w:ascii="Arial" w:cs="Arial" w:eastAsia="Arial" w:hAnsi="Arial"/>
                <w:sz w:val="18"/>
                <w:szCs w:val="18"/>
                <w:b w:val="1"/>
                <w:bCs w:val="1"/>
                <w:color w:val="auto"/>
                <w:w w:val="98"/>
              </w:rPr>
              <w:t>114,496</w:t>
            </w:r>
          </w:p>
        </w:tc>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113,417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3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2"/>
              </w:rPr>
              <w:t>Accounts payable and accrued expenses related to trade creditors</w:t>
            </w:r>
          </w:p>
        </w:tc>
        <w:tc>
          <w:tcPr>
            <w:tcW w:w="3980" w:type="dxa"/>
            <w:vAlign w:val="bottom"/>
            <w:gridSpan w:val="2"/>
            <w:shd w:val="clear" w:color="auto" w:fill="E5E5E5"/>
          </w:tcPr>
          <w:p>
            <w:pPr>
              <w:ind w:left="38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3,187</w:t>
            </w:r>
          </w:p>
        </w:tc>
        <w:tc>
          <w:tcPr>
            <w:tcW w:w="48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jc w:val="right"/>
              <w:ind w:right="233"/>
              <w:spacing w:after="0"/>
              <w:rPr>
                <w:sz w:val="20"/>
                <w:szCs w:val="20"/>
                <w:color w:val="auto"/>
              </w:rPr>
            </w:pPr>
            <w:r>
              <w:rPr>
                <w:rFonts w:ascii="Arial" w:cs="Arial" w:eastAsia="Arial" w:hAnsi="Arial"/>
                <w:sz w:val="18"/>
                <w:szCs w:val="18"/>
                <w:b w:val="1"/>
                <w:bCs w:val="1"/>
                <w:color w:val="auto"/>
              </w:rPr>
              <w:t>2,985</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3280" w:type="dxa"/>
            <w:vAlign w:val="bottom"/>
            <w:tcBorders>
              <w:bottom w:val="single" w:sz="8" w:color="E5E5E5"/>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3,087</w:t>
            </w:r>
          </w:p>
        </w:tc>
        <w:tc>
          <w:tcPr>
            <w:tcW w:w="4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32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9,259</w:t>
            </w: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Long-term debt, less current portion</w:t>
            </w:r>
          </w:p>
        </w:tc>
        <w:tc>
          <w:tcPr>
            <w:tcW w:w="32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30,601</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29,828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3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jc w:val="right"/>
              <w:ind w:right="233"/>
              <w:spacing w:after="0"/>
              <w:rPr>
                <w:sz w:val="20"/>
                <w:szCs w:val="20"/>
                <w:color w:val="auto"/>
              </w:rPr>
            </w:pPr>
            <w:r>
              <w:rPr>
                <w:rFonts w:ascii="Arial" w:cs="Arial" w:eastAsia="Arial" w:hAnsi="Arial"/>
                <w:sz w:val="18"/>
                <w:szCs w:val="18"/>
                <w:b w:val="1"/>
                <w:bCs w:val="1"/>
                <w:color w:val="auto"/>
              </w:rPr>
              <w:t>27,209</w:t>
            </w:r>
          </w:p>
        </w:tc>
        <w:tc>
          <w:tcPr>
            <w:tcW w:w="4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26,880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Other noncurrent liabilities</w:t>
            </w:r>
          </w:p>
        </w:tc>
        <w:tc>
          <w:tcPr>
            <w:tcW w:w="32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6,925</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7,167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3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jc w:val="right"/>
              <w:ind w:right="233"/>
              <w:spacing w:after="0"/>
              <w:rPr>
                <w:sz w:val="20"/>
                <w:szCs w:val="20"/>
                <w:color w:val="auto"/>
              </w:rPr>
            </w:pPr>
            <w:r>
              <w:rPr>
                <w:rFonts w:ascii="Arial" w:cs="Arial" w:eastAsia="Arial" w:hAnsi="Arial"/>
                <w:sz w:val="18"/>
                <w:szCs w:val="18"/>
                <w:b w:val="1"/>
                <w:bCs w:val="1"/>
                <w:color w:val="auto"/>
              </w:rPr>
              <w:t>298</w:t>
            </w:r>
          </w:p>
        </w:tc>
        <w:tc>
          <w:tcPr>
            <w:tcW w:w="4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Stockholders’ equity</w:t>
            </w:r>
          </w:p>
        </w:tc>
        <w:tc>
          <w:tcPr>
            <w:tcW w:w="3280" w:type="dxa"/>
            <w:vAlign w:val="bottom"/>
            <w:tcBorders>
              <w:bottom w:val="single" w:sz="8" w:color="E5E5E5"/>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40,204</w:t>
            </w:r>
          </w:p>
        </w:tc>
        <w:tc>
          <w:tcPr>
            <w:tcW w:w="4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41,340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980" w:type="dxa"/>
            <w:vAlign w:val="bottom"/>
            <w:gridSpan w:val="2"/>
          </w:tcPr>
          <w:p>
            <w:pPr>
              <w:ind w:left="38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233"/>
              <w:spacing w:after="0"/>
              <w:rPr>
                <w:sz w:val="20"/>
                <w:szCs w:val="20"/>
                <w:color w:val="auto"/>
              </w:rPr>
            </w:pPr>
            <w:r>
              <w:rPr>
                <w:rFonts w:ascii="Arial" w:cs="Arial" w:eastAsia="Arial" w:hAnsi="Arial"/>
                <w:sz w:val="18"/>
                <w:szCs w:val="18"/>
                <w:b w:val="1"/>
                <w:bCs w:val="1"/>
                <w:color w:val="auto"/>
                <w:w w:val="98"/>
              </w:rPr>
              <w:t>114,496</w:t>
            </w:r>
          </w:p>
        </w:tc>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113,417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280" w:type="dxa"/>
            <w:vAlign w:val="bottom"/>
          </w:tcPr>
          <w:p>
            <w:pPr>
              <w:jc w:val="right"/>
              <w:ind w:right="2772"/>
              <w:spacing w:after="0"/>
              <w:rPr>
                <w:sz w:val="20"/>
                <w:szCs w:val="20"/>
                <w:color w:val="auto"/>
              </w:rPr>
            </w:pPr>
            <w:r>
              <w:rPr>
                <w:rFonts w:ascii="Arial" w:cs="Arial" w:eastAsia="Arial" w:hAnsi="Arial"/>
                <w:sz w:val="18"/>
                <w:szCs w:val="18"/>
                <w:color w:val="auto"/>
              </w:rPr>
              <w:t>7</w:t>
            </w:r>
          </w:p>
        </w:tc>
        <w:tc>
          <w:tcPr>
            <w:tcW w:w="7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52"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183515</wp:posOffset>
            </wp:positionV>
            <wp:extent cx="1475105"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11480"/>
                    </a:xfrm>
                    <a:prstGeom prst="rect">
                      <a:avLst/>
                    </a:prstGeom>
                    <a:noFill/>
                  </pic:spPr>
                </pic:pic>
              </a:graphicData>
            </a:graphic>
          </wp:anchor>
        </w:drawing>
        <w:t>TABLE 3</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Condensed Consolidated Statement of Cash Flows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140" w:type="dxa"/>
            <w:vAlign w:val="bottom"/>
            <w:gridSpan w:val="2"/>
          </w:tcPr>
          <w:p>
            <w:pPr>
              <w:jc w:val="right"/>
              <w:ind w:right="21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140" w:type="dxa"/>
            <w:vAlign w:val="bottom"/>
            <w:tcBorders>
              <w:bottom w:val="single" w:sz="8" w:color="auto"/>
            </w:tcBorders>
            <w:gridSpan w:val="2"/>
          </w:tcPr>
          <w:p>
            <w:pPr>
              <w:jc w:val="right"/>
              <w:ind w:right="37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28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130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2008</w:t>
            </w:r>
          </w:p>
        </w:tc>
        <w:tc>
          <w:tcPr>
            <w:tcW w:w="8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ACTIVITIES</w:t>
            </w:r>
          </w:p>
        </w:tc>
        <w:tc>
          <w:tcPr>
            <w:tcW w:w="130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30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$ 7,373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$ 5,505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130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1300" w:type="dxa"/>
            <w:vAlign w:val="bottom"/>
          </w:tcPr>
          <w:p>
            <w:pPr>
              <w:jc w:val="right"/>
              <w:ind w:right="215"/>
              <w:spacing w:after="0"/>
              <w:rPr>
                <w:sz w:val="20"/>
                <w:szCs w:val="20"/>
                <w:color w:val="auto"/>
              </w:rPr>
            </w:pPr>
            <w:r>
              <w:rPr>
                <w:rFonts w:ascii="Arial" w:cs="Arial" w:eastAsia="Arial" w:hAnsi="Arial"/>
                <w:sz w:val="18"/>
                <w:szCs w:val="18"/>
                <w:b w:val="1"/>
                <w:bCs w:val="1"/>
                <w:color w:val="auto"/>
              </w:rPr>
              <w:t>3,513</w:t>
            </w:r>
          </w:p>
        </w:tc>
        <w:tc>
          <w:tcPr>
            <w:tcW w:w="840" w:type="dxa"/>
            <w:vAlign w:val="bottom"/>
          </w:tcPr>
          <w:p>
            <w:pPr>
              <w:jc w:val="right"/>
              <w:spacing w:after="0"/>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Retirements and repayments of debt</w:t>
            </w:r>
          </w:p>
        </w:tc>
        <w:tc>
          <w:tcPr>
            <w:tcW w:w="1300" w:type="dxa"/>
            <w:vAlign w:val="bottom"/>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(1,143)</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1300" w:type="dxa"/>
            <w:vAlign w:val="bottom"/>
          </w:tcPr>
          <w:p>
            <w:pPr>
              <w:jc w:val="right"/>
              <w:ind w:right="155"/>
              <w:spacing w:after="0"/>
              <w:rPr>
                <w:sz w:val="20"/>
                <w:szCs w:val="20"/>
                <w:color w:val="auto"/>
              </w:rPr>
            </w:pPr>
            <w:r>
              <w:rPr>
                <w:rFonts w:ascii="Arial" w:cs="Arial" w:eastAsia="Arial" w:hAnsi="Arial"/>
                <w:sz w:val="18"/>
                <w:szCs w:val="18"/>
                <w:b w:val="1"/>
                <w:bCs w:val="1"/>
                <w:color w:val="auto"/>
              </w:rPr>
              <w:t>(2,800)</w:t>
            </w:r>
          </w:p>
        </w:tc>
        <w:tc>
          <w:tcPr>
            <w:tcW w:w="840" w:type="dxa"/>
            <w:vAlign w:val="bottom"/>
          </w:tcPr>
          <w:p>
            <w:pPr>
              <w:jc w:val="right"/>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Dividends paid</w:t>
            </w:r>
          </w:p>
        </w:tc>
        <w:tc>
          <w:tcPr>
            <w:tcW w:w="1300" w:type="dxa"/>
            <w:vAlign w:val="bottom"/>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(367)</w:t>
            </w:r>
          </w:p>
        </w:tc>
        <w:tc>
          <w:tcPr>
            <w:tcW w:w="8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Issuances of common stock</w:t>
            </w:r>
          </w:p>
        </w:tc>
        <w:tc>
          <w:tcPr>
            <w:tcW w:w="1300" w:type="dxa"/>
            <w:vAlign w:val="bottom"/>
          </w:tcPr>
          <w:p>
            <w:pPr>
              <w:jc w:val="right"/>
              <w:ind w:right="215"/>
              <w:spacing w:after="0"/>
              <w:rPr>
                <w:sz w:val="20"/>
                <w:szCs w:val="20"/>
                <w:color w:val="auto"/>
              </w:rPr>
            </w:pPr>
            <w:r>
              <w:rPr>
                <w:rFonts w:ascii="Arial" w:cs="Arial" w:eastAsia="Arial" w:hAnsi="Arial"/>
                <w:sz w:val="18"/>
                <w:szCs w:val="18"/>
                <w:b w:val="1"/>
                <w:bCs w:val="1"/>
                <w:color w:val="auto"/>
              </w:rPr>
              <w:t>53</w:t>
            </w:r>
          </w:p>
        </w:tc>
        <w:tc>
          <w:tcPr>
            <w:tcW w:w="840" w:type="dxa"/>
            <w:vAlign w:val="bottom"/>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130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(148)</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13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(892)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INVESTING ACTIVITIES</w:t>
            </w:r>
          </w:p>
        </w:tc>
        <w:tc>
          <w:tcPr>
            <w:tcW w:w="130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300" w:type="dxa"/>
            <w:vAlign w:val="bottom"/>
          </w:tcPr>
          <w:p>
            <w:pPr>
              <w:jc w:val="right"/>
              <w:ind w:right="155"/>
              <w:spacing w:after="0"/>
              <w:rPr>
                <w:sz w:val="20"/>
                <w:szCs w:val="20"/>
                <w:color w:val="auto"/>
              </w:rPr>
            </w:pPr>
            <w:r>
              <w:rPr>
                <w:rFonts w:ascii="Arial" w:cs="Arial" w:eastAsia="Arial" w:hAnsi="Arial"/>
                <w:sz w:val="18"/>
                <w:szCs w:val="18"/>
                <w:b w:val="1"/>
                <w:bCs w:val="1"/>
                <w:color w:val="auto"/>
              </w:rPr>
              <w:t>(4,037)</w:t>
            </w:r>
          </w:p>
        </w:tc>
        <w:tc>
          <w:tcPr>
            <w:tcW w:w="840" w:type="dxa"/>
            <w:vAlign w:val="bottom"/>
          </w:tcPr>
          <w:p>
            <w:pPr>
              <w:jc w:val="right"/>
              <w:spacing w:after="0"/>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software and other intangible assets</w:t>
            </w:r>
          </w:p>
        </w:tc>
        <w:tc>
          <w:tcPr>
            <w:tcW w:w="1300" w:type="dxa"/>
            <w:vAlign w:val="bottom"/>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(376)</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1300" w:type="dxa"/>
            <w:vAlign w:val="bottom"/>
          </w:tcPr>
          <w:p>
            <w:pPr>
              <w:jc w:val="right"/>
              <w:ind w:right="155"/>
              <w:spacing w:after="0"/>
              <w:rPr>
                <w:sz w:val="20"/>
                <w:szCs w:val="20"/>
                <w:color w:val="auto"/>
              </w:rPr>
            </w:pPr>
            <w:r>
              <w:rPr>
                <w:rFonts w:ascii="Arial" w:cs="Arial" w:eastAsia="Arial" w:hAnsi="Arial"/>
                <w:sz w:val="18"/>
                <w:szCs w:val="18"/>
                <w:b w:val="1"/>
                <w:bCs w:val="1"/>
                <w:color w:val="auto"/>
              </w:rPr>
              <w:t>(700)</w:t>
            </w:r>
          </w:p>
        </w:tc>
        <w:tc>
          <w:tcPr>
            <w:tcW w:w="840" w:type="dxa"/>
            <w:vAlign w:val="bottom"/>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sales of investments</w:t>
            </w:r>
          </w:p>
        </w:tc>
        <w:tc>
          <w:tcPr>
            <w:tcW w:w="1300" w:type="dxa"/>
            <w:vAlign w:val="bottom"/>
            <w:shd w:val="clear" w:color="auto" w:fill="E5E5E5"/>
          </w:tcPr>
          <w:p>
            <w:pPr>
              <w:jc w:val="right"/>
              <w:ind w:right="215"/>
              <w:spacing w:after="0"/>
              <w:rPr>
                <w:sz w:val="20"/>
                <w:szCs w:val="20"/>
                <w:color w:val="auto"/>
              </w:rPr>
            </w:pPr>
            <w:r>
              <w:rPr>
                <w:rFonts w:ascii="Arial" w:cs="Arial" w:eastAsia="Arial" w:hAnsi="Arial"/>
                <w:sz w:val="18"/>
                <w:szCs w:val="18"/>
                <w:b w:val="1"/>
                <w:bCs w:val="1"/>
                <w:color w:val="auto"/>
              </w:rPr>
              <w:t>452</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1300" w:type="dxa"/>
            <w:vAlign w:val="bottom"/>
          </w:tcPr>
          <w:p>
            <w:pPr>
              <w:jc w:val="right"/>
              <w:ind w:right="155"/>
              <w:spacing w:after="0"/>
              <w:rPr>
                <w:sz w:val="20"/>
                <w:szCs w:val="20"/>
                <w:color w:val="auto"/>
              </w:rPr>
            </w:pPr>
            <w:r>
              <w:rPr>
                <w:rFonts w:ascii="Arial" w:cs="Arial" w:eastAsia="Arial" w:hAnsi="Arial"/>
                <w:sz w:val="18"/>
                <w:szCs w:val="18"/>
                <w:b w:val="1"/>
                <w:bCs w:val="1"/>
                <w:color w:val="auto"/>
              </w:rPr>
              <w:t>(67)</w:t>
            </w:r>
          </w:p>
        </w:tc>
        <w:tc>
          <w:tcPr>
            <w:tcW w:w="84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130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(2)</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Net cash provided by (used in) investing activities</w:t>
            </w:r>
          </w:p>
        </w:tc>
        <w:tc>
          <w:tcPr>
            <w:tcW w:w="13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(4,730)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1300" w:type="dxa"/>
            <w:vAlign w:val="bottom"/>
            <w:shd w:val="clear" w:color="auto" w:fill="E5E5E5"/>
          </w:tcPr>
          <w:p>
            <w:pPr>
              <w:jc w:val="right"/>
              <w:ind w:right="215"/>
              <w:spacing w:after="0"/>
              <w:rPr>
                <w:sz w:val="20"/>
                <w:szCs w:val="20"/>
                <w:color w:val="auto"/>
              </w:rPr>
            </w:pPr>
            <w:r>
              <w:rPr>
                <w:rFonts w:ascii="Arial" w:cs="Arial" w:eastAsia="Arial" w:hAnsi="Arial"/>
                <w:sz w:val="18"/>
                <w:szCs w:val="18"/>
                <w:b w:val="1"/>
                <w:bCs w:val="1"/>
                <w:color w:val="auto"/>
              </w:rPr>
              <w:t>1,751</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323"/>
        </w:trPr>
        <w:tc>
          <w:tcPr>
            <w:tcW w:w="928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130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963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2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30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b w:val="1"/>
                <w:bCs w:val="1"/>
                <w:color w:val="auto"/>
              </w:rPr>
              <w:t>$ 2,714</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$ 2,949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Calculation of Free Cash Flow and Unlevered Free Cash Flow</w:t>
      </w:r>
    </w:p>
    <w:p>
      <w:pPr>
        <w:jc w:val="center"/>
        <w:spacing w:after="0"/>
        <w:rPr>
          <w:sz w:val="20"/>
          <w:szCs w:val="20"/>
          <w:color w:val="auto"/>
        </w:rPr>
      </w:pPr>
      <w:r>
        <w:rPr>
          <w:rFonts w:ascii="Arial" w:cs="Arial" w:eastAsia="Arial" w:hAnsi="Arial"/>
          <w:sz w:val="22"/>
          <w:szCs w:val="22"/>
          <w:b w:val="1"/>
          <w:bCs w:val="1"/>
          <w:color w:val="auto"/>
        </w:rPr>
        <w:t xml:space="preserve">(Unaudited) </w:t>
      </w:r>
      <w:r>
        <w:rPr>
          <w:rFonts w:ascii="Arial" w:cs="Arial" w:eastAsia="Arial" w:hAnsi="Arial"/>
          <w:sz w:val="11"/>
          <w:szCs w:val="11"/>
          <w:b w:val="1"/>
          <w:bCs w:val="1"/>
          <w:color w:val="auto"/>
        </w:rPr>
        <w:t>(1)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280" w:type="dxa"/>
            <w:vAlign w:val="bottom"/>
            <w:gridSpan w:val="2"/>
          </w:tcPr>
          <w:p>
            <w:pPr>
              <w:jc w:val="right"/>
              <w:ind w:right="354"/>
              <w:spacing w:after="0"/>
              <w:rPr>
                <w:sz w:val="20"/>
                <w:szCs w:val="20"/>
                <w:color w:val="auto"/>
              </w:rPr>
            </w:pPr>
            <w:r>
              <w:rPr>
                <w:rFonts w:ascii="Arial" w:cs="Arial" w:eastAsia="Arial" w:hAnsi="Arial"/>
                <w:sz w:val="14"/>
                <w:szCs w:val="14"/>
                <w:b w:val="1"/>
                <w:bCs w:val="1"/>
                <w:color w:val="auto"/>
              </w:rPr>
              <w:t>Three Months Ended</w:t>
            </w:r>
          </w:p>
        </w:tc>
        <w:tc>
          <w:tcPr>
            <w:tcW w:w="1880" w:type="dxa"/>
            <w:vAlign w:val="bottom"/>
            <w:gridSpan w:val="2"/>
          </w:tcPr>
          <w:p>
            <w:pPr>
              <w:jc w:val="right"/>
              <w:ind w:right="194"/>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280" w:type="dxa"/>
            <w:vAlign w:val="bottom"/>
            <w:tcBorders>
              <w:bottom w:val="single" w:sz="8" w:color="auto"/>
            </w:tcBorders>
            <w:gridSpan w:val="2"/>
          </w:tcPr>
          <w:p>
            <w:pPr>
              <w:jc w:val="right"/>
              <w:ind w:right="574"/>
              <w:spacing w:after="0"/>
              <w:rPr>
                <w:sz w:val="20"/>
                <w:szCs w:val="20"/>
                <w:color w:val="auto"/>
              </w:rPr>
            </w:pPr>
            <w:r>
              <w:rPr>
                <w:rFonts w:ascii="Arial" w:cs="Arial" w:eastAsia="Arial" w:hAnsi="Arial"/>
                <w:sz w:val="14"/>
                <w:szCs w:val="14"/>
                <w:b w:val="1"/>
                <w:bCs w:val="1"/>
                <w:color w:val="auto"/>
              </w:rPr>
              <w:t>September 30,</w:t>
            </w:r>
          </w:p>
        </w:tc>
        <w:tc>
          <w:tcPr>
            <w:tcW w:w="1880" w:type="dxa"/>
            <w:vAlign w:val="bottom"/>
            <w:tcBorders>
              <w:bottom w:val="single" w:sz="8" w:color="auto"/>
            </w:tcBorders>
            <w:gridSpan w:val="2"/>
          </w:tcPr>
          <w:p>
            <w:pPr>
              <w:jc w:val="right"/>
              <w:ind w:right="374"/>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26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124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2008</w:t>
            </w:r>
          </w:p>
        </w:tc>
        <w:tc>
          <w:tcPr>
            <w:tcW w:w="10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2007</w:t>
            </w:r>
          </w:p>
        </w:tc>
        <w:tc>
          <w:tcPr>
            <w:tcW w:w="104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2008</w:t>
            </w:r>
          </w:p>
        </w:tc>
        <w:tc>
          <w:tcPr>
            <w:tcW w:w="8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r>
      <w:tr>
        <w:trPr>
          <w:trHeight w:val="210"/>
        </w:trPr>
        <w:tc>
          <w:tcPr>
            <w:tcW w:w="20" w:type="dxa"/>
            <w:vAlign w:val="bottom"/>
          </w:tcPr>
          <w:p>
            <w:pPr>
              <w:spacing w:after="0"/>
              <w:rPr>
                <w:sz w:val="18"/>
                <w:szCs w:val="18"/>
                <w:color w:val="auto"/>
              </w:rPr>
            </w:pPr>
          </w:p>
        </w:tc>
        <w:tc>
          <w:tcPr>
            <w:tcW w:w="7240" w:type="dxa"/>
            <w:vAlign w:val="bottom"/>
            <w:shd w:val="clear" w:color="auto" w:fill="E5E5E5"/>
          </w:tcPr>
          <w:p>
            <w:pPr>
              <w:spacing w:after="0"/>
              <w:rPr>
                <w:sz w:val="20"/>
                <w:szCs w:val="20"/>
                <w:color w:val="auto"/>
              </w:rPr>
            </w:pPr>
            <w:r>
              <w:rPr>
                <w:rFonts w:ascii="Arial" w:cs="Arial" w:eastAsia="Arial" w:hAnsi="Arial"/>
                <w:sz w:val="18"/>
                <w:szCs w:val="18"/>
                <w:color w:val="auto"/>
              </w:rPr>
              <w:t>Net Cash Provided by Operating Activities</w:t>
            </w:r>
          </w:p>
        </w:tc>
        <w:tc>
          <w:tcPr>
            <w:tcW w:w="1240" w:type="dxa"/>
            <w:vAlign w:val="bottom"/>
            <w:shd w:val="clear" w:color="auto" w:fill="E5E5E5"/>
          </w:tcPr>
          <w:p>
            <w:pPr>
              <w:jc w:val="right"/>
              <w:ind w:right="177"/>
              <w:spacing w:after="0"/>
              <w:rPr>
                <w:sz w:val="20"/>
                <w:szCs w:val="20"/>
                <w:color w:val="auto"/>
              </w:rPr>
            </w:pPr>
            <w:r>
              <w:rPr>
                <w:rFonts w:ascii="Arial" w:cs="Arial" w:eastAsia="Arial" w:hAnsi="Arial"/>
                <w:sz w:val="18"/>
                <w:szCs w:val="18"/>
                <w:b w:val="1"/>
                <w:bCs w:val="1"/>
                <w:color w:val="auto"/>
              </w:rPr>
              <w:t>$ 2,445</w:t>
            </w:r>
          </w:p>
        </w:tc>
        <w:tc>
          <w:tcPr>
            <w:tcW w:w="104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$ 1,598</w:t>
            </w:r>
          </w:p>
        </w:tc>
        <w:tc>
          <w:tcPr>
            <w:tcW w:w="1040" w:type="dxa"/>
            <w:vAlign w:val="bottom"/>
            <w:shd w:val="clear" w:color="auto" w:fill="E5E5E5"/>
          </w:tcPr>
          <w:p>
            <w:pPr>
              <w:jc w:val="right"/>
              <w:ind w:right="177"/>
              <w:spacing w:after="0"/>
              <w:rPr>
                <w:sz w:val="20"/>
                <w:szCs w:val="20"/>
                <w:color w:val="auto"/>
              </w:rPr>
            </w:pPr>
            <w:r>
              <w:rPr>
                <w:rFonts w:ascii="Arial" w:cs="Arial" w:eastAsia="Arial" w:hAnsi="Arial"/>
                <w:sz w:val="18"/>
                <w:szCs w:val="18"/>
                <w:b w:val="1"/>
                <w:bCs w:val="1"/>
                <w:color w:val="auto"/>
              </w:rPr>
              <w:t>$ 7,373</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$ 5,505</w:t>
            </w: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Capital Expenditures</w:t>
            </w:r>
          </w:p>
        </w:tc>
        <w:tc>
          <w:tcPr>
            <w:tcW w:w="1240" w:type="dxa"/>
            <w:vAlign w:val="bottom"/>
          </w:tcPr>
          <w:p>
            <w:pPr>
              <w:jc w:val="right"/>
              <w:ind w:right="117"/>
              <w:spacing w:after="0"/>
              <w:rPr>
                <w:sz w:val="20"/>
                <w:szCs w:val="20"/>
                <w:color w:val="auto"/>
              </w:rPr>
            </w:pPr>
            <w:r>
              <w:rPr>
                <w:rFonts w:ascii="Arial" w:cs="Arial" w:eastAsia="Arial" w:hAnsi="Arial"/>
                <w:sz w:val="18"/>
                <w:szCs w:val="18"/>
                <w:b w:val="1"/>
                <w:bCs w:val="1"/>
                <w:color w:val="auto"/>
              </w:rPr>
              <w:t>(1,306)</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(1,526)</w:t>
            </w:r>
          </w:p>
        </w:tc>
        <w:tc>
          <w:tcPr>
            <w:tcW w:w="1040" w:type="dxa"/>
            <w:vAlign w:val="bottom"/>
          </w:tcPr>
          <w:p>
            <w:pPr>
              <w:jc w:val="right"/>
              <w:ind w:right="117"/>
              <w:spacing w:after="0"/>
              <w:rPr>
                <w:sz w:val="20"/>
                <w:szCs w:val="20"/>
                <w:color w:val="auto"/>
              </w:rPr>
            </w:pPr>
            <w:r>
              <w:rPr>
                <w:rFonts w:ascii="Arial" w:cs="Arial" w:eastAsia="Arial" w:hAnsi="Arial"/>
                <w:sz w:val="18"/>
                <w:szCs w:val="18"/>
                <w:b w:val="1"/>
                <w:bCs w:val="1"/>
                <w:color w:val="auto"/>
              </w:rPr>
              <w:t>(4,037)</w:t>
            </w:r>
          </w:p>
        </w:tc>
        <w:tc>
          <w:tcPr>
            <w:tcW w:w="840" w:type="dxa"/>
            <w:vAlign w:val="bottom"/>
          </w:tcPr>
          <w:p>
            <w:pPr>
              <w:jc w:val="right"/>
              <w:spacing w:after="0"/>
              <w:rPr>
                <w:sz w:val="20"/>
                <w:szCs w:val="20"/>
                <w:color w:val="auto"/>
              </w:rPr>
            </w:pPr>
            <w:r>
              <w:rPr>
                <w:rFonts w:ascii="Arial" w:cs="Arial" w:eastAsia="Arial" w:hAnsi="Arial"/>
                <w:sz w:val="18"/>
                <w:szCs w:val="18"/>
                <w:color w:val="auto"/>
              </w:rPr>
              <w:t>(4,584)</w:t>
            </w:r>
          </w:p>
        </w:tc>
      </w:tr>
      <w:tr>
        <w:trPr>
          <w:trHeight w:val="216"/>
        </w:trPr>
        <w:tc>
          <w:tcPr>
            <w:tcW w:w="20" w:type="dxa"/>
            <w:vAlign w:val="bottom"/>
          </w:tcPr>
          <w:p>
            <w:pPr>
              <w:spacing w:after="0"/>
              <w:rPr>
                <w:sz w:val="18"/>
                <w:szCs w:val="18"/>
                <w:color w:val="auto"/>
              </w:rPr>
            </w:pPr>
          </w:p>
        </w:tc>
        <w:tc>
          <w:tcPr>
            <w:tcW w:w="7240" w:type="dxa"/>
            <w:vAlign w:val="bottom"/>
            <w:shd w:val="clear" w:color="auto" w:fill="E5E5E5"/>
          </w:tcPr>
          <w:p>
            <w:pPr>
              <w:spacing w:after="0"/>
              <w:rPr>
                <w:sz w:val="20"/>
                <w:szCs w:val="20"/>
                <w:color w:val="auto"/>
              </w:rPr>
            </w:pPr>
            <w:r>
              <w:rPr>
                <w:rFonts w:ascii="Arial" w:cs="Arial" w:eastAsia="Arial" w:hAnsi="Arial"/>
                <w:sz w:val="18"/>
                <w:szCs w:val="18"/>
                <w:color w:val="auto"/>
              </w:rPr>
              <w:t>Cash Paid for Capitalized Software</w:t>
            </w:r>
          </w:p>
        </w:tc>
        <w:tc>
          <w:tcPr>
            <w:tcW w:w="1240" w:type="dxa"/>
            <w:vAlign w:val="bottom"/>
            <w:shd w:val="clear" w:color="auto" w:fill="E5E5E5"/>
          </w:tcPr>
          <w:p>
            <w:pPr>
              <w:jc w:val="right"/>
              <w:ind w:right="117"/>
              <w:spacing w:after="0"/>
              <w:rPr>
                <w:sz w:val="20"/>
                <w:szCs w:val="20"/>
                <w:color w:val="auto"/>
              </w:rPr>
            </w:pPr>
            <w:r>
              <w:rPr>
                <w:rFonts w:ascii="Arial" w:cs="Arial" w:eastAsia="Arial" w:hAnsi="Arial"/>
                <w:sz w:val="18"/>
                <w:szCs w:val="18"/>
                <w:b w:val="1"/>
                <w:bCs w:val="1"/>
                <w:color w:val="auto"/>
              </w:rPr>
              <w:t>(100)</w:t>
            </w:r>
          </w:p>
        </w:tc>
        <w:tc>
          <w:tcPr>
            <w:tcW w:w="104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(60)</w:t>
            </w:r>
          </w:p>
        </w:tc>
        <w:tc>
          <w:tcPr>
            <w:tcW w:w="1040" w:type="dxa"/>
            <w:vAlign w:val="bottom"/>
            <w:shd w:val="clear" w:color="auto" w:fill="E5E5E5"/>
          </w:tcPr>
          <w:p>
            <w:pPr>
              <w:jc w:val="right"/>
              <w:ind w:right="117"/>
              <w:spacing w:after="0"/>
              <w:rPr>
                <w:sz w:val="20"/>
                <w:szCs w:val="20"/>
                <w:color w:val="auto"/>
              </w:rPr>
            </w:pPr>
            <w:r>
              <w:rPr>
                <w:rFonts w:ascii="Arial" w:cs="Arial" w:eastAsia="Arial" w:hAnsi="Arial"/>
                <w:sz w:val="18"/>
                <w:szCs w:val="18"/>
                <w:b w:val="1"/>
                <w:bCs w:val="1"/>
                <w:color w:val="auto"/>
              </w:rPr>
              <w:t>(287)</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(228)</w:t>
            </w: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Cash Paid for Other Intangible Assets</w:t>
            </w:r>
          </w:p>
        </w:tc>
        <w:tc>
          <w:tcPr>
            <w:tcW w:w="1240" w:type="dxa"/>
            <w:vAlign w:val="bottom"/>
          </w:tcPr>
          <w:p>
            <w:pPr>
              <w:jc w:val="right"/>
              <w:ind w:right="117"/>
              <w:spacing w:after="0"/>
              <w:rPr>
                <w:sz w:val="20"/>
                <w:szCs w:val="20"/>
                <w:color w:val="auto"/>
              </w:rPr>
            </w:pPr>
            <w:r>
              <w:rPr>
                <w:rFonts w:ascii="Arial" w:cs="Arial" w:eastAsia="Arial" w:hAnsi="Arial"/>
                <w:sz w:val="18"/>
                <w:szCs w:val="18"/>
                <w:b w:val="1"/>
                <w:bCs w:val="1"/>
                <w:color w:val="auto"/>
              </w:rPr>
              <w:t>(31)</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(24)</w:t>
            </w:r>
          </w:p>
        </w:tc>
        <w:tc>
          <w:tcPr>
            <w:tcW w:w="1040" w:type="dxa"/>
            <w:vAlign w:val="bottom"/>
          </w:tcPr>
          <w:p>
            <w:pPr>
              <w:jc w:val="right"/>
              <w:ind w:right="117"/>
              <w:spacing w:after="0"/>
              <w:rPr>
                <w:sz w:val="20"/>
                <w:szCs w:val="20"/>
                <w:color w:val="auto"/>
              </w:rPr>
            </w:pPr>
            <w:r>
              <w:rPr>
                <w:rFonts w:ascii="Arial" w:cs="Arial" w:eastAsia="Arial" w:hAnsi="Arial"/>
                <w:sz w:val="18"/>
                <w:szCs w:val="18"/>
                <w:b w:val="1"/>
                <w:bCs w:val="1"/>
                <w:color w:val="auto"/>
              </w:rPr>
              <w:t>(89)</w:t>
            </w: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20" w:type="dxa"/>
            <w:vAlign w:val="bottom"/>
          </w:tcPr>
          <w:p>
            <w:pPr>
              <w:spacing w:after="0"/>
              <w:rPr>
                <w:sz w:val="18"/>
                <w:szCs w:val="18"/>
                <w:color w:val="auto"/>
              </w:rPr>
            </w:pPr>
          </w:p>
        </w:tc>
        <w:tc>
          <w:tcPr>
            <w:tcW w:w="7240" w:type="dxa"/>
            <w:vAlign w:val="bottom"/>
            <w:shd w:val="clear" w:color="auto" w:fill="E5E5E5"/>
          </w:tcPr>
          <w:p>
            <w:pPr>
              <w:spacing w:after="0"/>
              <w:rPr>
                <w:sz w:val="20"/>
                <w:szCs w:val="20"/>
                <w:color w:val="auto"/>
              </w:rPr>
            </w:pPr>
            <w:r>
              <w:rPr>
                <w:rFonts w:ascii="Arial" w:cs="Arial" w:eastAsia="Arial" w:hAnsi="Arial"/>
                <w:sz w:val="18"/>
                <w:szCs w:val="18"/>
                <w:color w:val="auto"/>
              </w:rPr>
              <w:t>Nonoperating and Nonrecurring items, net of tax:</w:t>
            </w:r>
          </w:p>
        </w:tc>
        <w:tc>
          <w:tcPr>
            <w:tcW w:w="124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Payment of Tax on Nonoperating Items</w:t>
            </w:r>
          </w:p>
        </w:tc>
        <w:tc>
          <w:tcPr>
            <w:tcW w:w="1240" w:type="dxa"/>
            <w:vAlign w:val="bottom"/>
          </w:tcPr>
          <w:p>
            <w:pPr>
              <w:jc w:val="right"/>
              <w:ind w:right="177"/>
              <w:spacing w:after="0"/>
              <w:rPr>
                <w:sz w:val="20"/>
                <w:szCs w:val="20"/>
                <w:color w:val="auto"/>
              </w:rPr>
            </w:pPr>
            <w:r>
              <w:rPr>
                <w:rFonts w:ascii="Arial" w:cs="Arial" w:eastAsia="Arial" w:hAnsi="Arial"/>
                <w:sz w:val="18"/>
                <w:szCs w:val="18"/>
                <w:b w:val="1"/>
                <w:bCs w:val="1"/>
                <w:color w:val="auto"/>
              </w:rPr>
              <w:t>88</w:t>
            </w:r>
          </w:p>
        </w:tc>
        <w:tc>
          <w:tcPr>
            <w:tcW w:w="1040" w:type="dxa"/>
            <w:vAlign w:val="bottom"/>
          </w:tcPr>
          <w:p>
            <w:pPr>
              <w:jc w:val="right"/>
              <w:ind w:right="174"/>
              <w:spacing w:after="0"/>
              <w:rPr>
                <w:sz w:val="20"/>
                <w:szCs w:val="20"/>
                <w:color w:val="auto"/>
              </w:rPr>
            </w:pPr>
            <w:r>
              <w:rPr>
                <w:rFonts w:ascii="Arial" w:cs="Arial" w:eastAsia="Arial" w:hAnsi="Arial"/>
                <w:sz w:val="18"/>
                <w:szCs w:val="18"/>
                <w:color w:val="auto"/>
              </w:rPr>
              <w:t>536</w:t>
            </w:r>
          </w:p>
        </w:tc>
        <w:tc>
          <w:tcPr>
            <w:tcW w:w="1040" w:type="dxa"/>
            <w:vAlign w:val="bottom"/>
          </w:tcPr>
          <w:p>
            <w:pPr>
              <w:jc w:val="right"/>
              <w:ind w:right="177"/>
              <w:spacing w:after="0"/>
              <w:rPr>
                <w:sz w:val="20"/>
                <w:szCs w:val="20"/>
                <w:color w:val="auto"/>
              </w:rPr>
            </w:pPr>
            <w:r>
              <w:rPr>
                <w:rFonts w:ascii="Arial" w:cs="Arial" w:eastAsia="Arial" w:hAnsi="Arial"/>
                <w:sz w:val="18"/>
                <w:szCs w:val="18"/>
                <w:b w:val="1"/>
                <w:bCs w:val="1"/>
                <w:color w:val="auto"/>
              </w:rPr>
              <w:t>316</w:t>
            </w:r>
          </w:p>
        </w:tc>
        <w:tc>
          <w:tcPr>
            <w:tcW w:w="84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16"/>
        </w:trPr>
        <w:tc>
          <w:tcPr>
            <w:tcW w:w="20" w:type="dxa"/>
            <w:vAlign w:val="bottom"/>
          </w:tcPr>
          <w:p>
            <w:pPr>
              <w:spacing w:after="0"/>
              <w:rPr>
                <w:sz w:val="18"/>
                <w:szCs w:val="18"/>
                <w:color w:val="auto"/>
              </w:rPr>
            </w:pPr>
          </w:p>
        </w:tc>
        <w:tc>
          <w:tcPr>
            <w:tcW w:w="7240" w:type="dxa"/>
            <w:vAlign w:val="bottom"/>
            <w:tcBorders>
              <w:bottom w:val="single" w:sz="8" w:color="E5E5E5"/>
            </w:tcBorders>
            <w:shd w:val="clear" w:color="auto" w:fill="E5E5E5"/>
          </w:tcPr>
          <w:p>
            <w:pPr>
              <w:ind w:left="200"/>
              <w:spacing w:after="0" w:line="217" w:lineRule="exact"/>
              <w:rPr>
                <w:sz w:val="20"/>
                <w:szCs w:val="20"/>
                <w:color w:val="auto"/>
              </w:rPr>
            </w:pPr>
            <w:r>
              <w:rPr>
                <w:rFonts w:ascii="Arial" w:cs="Arial" w:eastAsia="Arial" w:hAnsi="Arial"/>
                <w:sz w:val="18"/>
                <w:szCs w:val="18"/>
                <w:color w:val="auto"/>
              </w:rPr>
              <w:t xml:space="preserve">Impact of Economic Stimulus Package </w:t>
            </w:r>
            <w:r>
              <w:rPr>
                <w:rFonts w:ascii="Arial" w:cs="Arial" w:eastAsia="Arial" w:hAnsi="Arial"/>
                <w:sz w:val="22"/>
                <w:szCs w:val="22"/>
                <w:color w:val="auto"/>
                <w:vertAlign w:val="superscript"/>
              </w:rPr>
              <w:t>(2)</w:t>
            </w:r>
          </w:p>
        </w:tc>
        <w:tc>
          <w:tcPr>
            <w:tcW w:w="124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b w:val="1"/>
                <w:bCs w:val="1"/>
                <w:color w:val="auto"/>
              </w:rPr>
              <w:t>(168)</w:t>
            </w:r>
          </w:p>
        </w:tc>
        <w:tc>
          <w:tcPr>
            <w:tcW w:w="1040" w:type="dxa"/>
            <w:vAlign w:val="bottom"/>
            <w:tcBorders>
              <w:bottom w:val="single" w:sz="8" w:color="auto"/>
            </w:tcBorders>
            <w:shd w:val="clear" w:color="auto" w:fill="E5E5E5"/>
          </w:tcPr>
          <w:p>
            <w:pPr>
              <w:jc w:val="right"/>
              <w:ind w:right="274"/>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b w:val="1"/>
                <w:bCs w:val="1"/>
                <w:color w:val="auto"/>
              </w:rPr>
              <w:t>(483)</w:t>
            </w:r>
          </w:p>
        </w:tc>
        <w:tc>
          <w:tcPr>
            <w:tcW w:w="84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124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b w:val="1"/>
                <w:bCs w:val="1"/>
                <w:color w:val="auto"/>
              </w:rPr>
              <w:t>928</w:t>
            </w:r>
          </w:p>
        </w:tc>
        <w:tc>
          <w:tcPr>
            <w:tcW w:w="10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524</w:t>
            </w:r>
          </w:p>
        </w:tc>
        <w:tc>
          <w:tcPr>
            <w:tcW w:w="104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b w:val="1"/>
                <w:bCs w:val="1"/>
                <w:color w:val="auto"/>
              </w:rPr>
              <w:t>2,793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r>
      <w:tr>
        <w:trPr>
          <w:trHeight w:val="210"/>
        </w:trPr>
        <w:tc>
          <w:tcPr>
            <w:tcW w:w="20" w:type="dxa"/>
            <w:vAlign w:val="bottom"/>
          </w:tcPr>
          <w:p>
            <w:pPr>
              <w:spacing w:after="0"/>
              <w:rPr>
                <w:sz w:val="18"/>
                <w:szCs w:val="18"/>
                <w:color w:val="auto"/>
              </w:rPr>
            </w:pPr>
          </w:p>
        </w:tc>
        <w:tc>
          <w:tcPr>
            <w:tcW w:w="72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Cash Paid Interest</w:t>
            </w:r>
          </w:p>
        </w:tc>
        <w:tc>
          <w:tcPr>
            <w:tcW w:w="124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b w:val="1"/>
                <w:bCs w:val="1"/>
                <w:color w:val="auto"/>
              </w:rPr>
              <w:t>679</w:t>
            </w:r>
          </w:p>
        </w:tc>
        <w:tc>
          <w:tcPr>
            <w:tcW w:w="104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646</w:t>
            </w:r>
          </w:p>
        </w:tc>
        <w:tc>
          <w:tcPr>
            <w:tcW w:w="104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b w:val="1"/>
                <w:bCs w:val="1"/>
                <w:color w:val="auto"/>
              </w:rPr>
              <w:t>1,795</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1,724</w:t>
            </w:r>
          </w:p>
        </w:tc>
      </w:tr>
      <w:tr>
        <w:trPr>
          <w:trHeight w:val="217"/>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Unlevered Free Cash Flow</w:t>
            </w:r>
          </w:p>
        </w:tc>
        <w:tc>
          <w:tcPr>
            <w:tcW w:w="124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b w:val="1"/>
                <w:bCs w:val="1"/>
                <w:color w:val="auto"/>
              </w:rPr>
              <w:t>$ 1,607</w:t>
            </w:r>
          </w:p>
        </w:tc>
        <w:tc>
          <w:tcPr>
            <w:tcW w:w="10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$ 1,170</w:t>
            </w:r>
          </w:p>
        </w:tc>
        <w:tc>
          <w:tcPr>
            <w:tcW w:w="104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b w:val="1"/>
                <w:bCs w:val="1"/>
                <w:color w:val="auto"/>
              </w:rPr>
              <w:t>$ 4,588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$ 3,058</w:t>
            </w:r>
          </w:p>
        </w:tc>
      </w:tr>
    </w:tbl>
    <w:p>
      <w:pPr>
        <w:spacing w:after="0" w:line="7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Non-GAAP and Other Financial Measures in Table 7 for the definition of Free Cash Flow and Unlevered Free Cash Flow.</w:t>
      </w:r>
    </w:p>
    <w:p>
      <w:pPr>
        <w:spacing w:after="0" w:line="9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definition of Free Cash Flow remains unchanged and specifically eliminates any impact from the Economic Stimulus package. Net Cash Provided by Operating Activities included a $315 million benefit in 2Q08 and a $168 million benefit in 3Q08 from the Economic Stimulus package. These amounts have been excluded from Free Cash Flow to provide an appropriate comparison.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05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183515</wp:posOffset>
            </wp:positionV>
            <wp:extent cx="1475105"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11480"/>
                    </a:xfrm>
                    <a:prstGeom prst="rect">
                      <a:avLst/>
                    </a:prstGeom>
                    <a:noFill/>
                  </pic:spPr>
                </pic:pic>
              </a:graphicData>
            </a:graphic>
          </wp:anchor>
        </w:drawing>
        <w:t>TABLE 5</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Pro Forma Financial Data by Business Segment</w:t>
      </w:r>
    </w:p>
    <w:p>
      <w:pPr>
        <w:jc w:val="center"/>
        <w:spacing w:after="0"/>
        <w:rPr>
          <w:sz w:val="20"/>
          <w:szCs w:val="20"/>
          <w:color w:val="auto"/>
        </w:rPr>
      </w:pPr>
      <w:r>
        <w:rPr>
          <w:rFonts w:ascii="Arial" w:cs="Arial" w:eastAsia="Arial" w:hAnsi="Arial"/>
          <w:sz w:val="22"/>
          <w:szCs w:val="22"/>
          <w:b w:val="1"/>
          <w:bCs w:val="1"/>
          <w:color w:val="auto"/>
        </w:rPr>
        <w:t xml:space="preserve">(Unaudited) </w:t>
      </w:r>
      <w:r>
        <w:rPr>
          <w:rFonts w:ascii="Arial" w:cs="Arial" w:eastAsia="Arial" w:hAnsi="Arial"/>
          <w:sz w:val="11"/>
          <w:szCs w:val="11"/>
          <w:b w:val="1"/>
          <w:bCs w:val="1"/>
          <w:color w:val="auto"/>
        </w:rPr>
        <w:t>(1)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 xml:space="preserve">Programming </w:t>
            </w:r>
            <w:r>
              <w:rPr>
                <w:rFonts w:ascii="Arial" w:cs="Arial" w:eastAsia="Arial" w:hAnsi="Arial"/>
                <w:sz w:val="22"/>
                <w:szCs w:val="22"/>
                <w:b w:val="1"/>
                <w:bCs w:val="1"/>
                <w:color w:val="auto"/>
                <w:vertAlign w:val="superscript"/>
              </w:rPr>
              <w:t>(2)</w:t>
            </w:r>
          </w:p>
        </w:tc>
        <w:tc>
          <w:tcPr>
            <w:tcW w:w="11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20" w:type="dxa"/>
            <w:vAlign w:val="bottom"/>
            <w:gridSpan w:val="4"/>
          </w:tcPr>
          <w:p>
            <w:pPr>
              <w:spacing w:after="0"/>
              <w:rPr>
                <w:sz w:val="20"/>
                <w:szCs w:val="20"/>
                <w:color w:val="auto"/>
              </w:rPr>
            </w:pPr>
            <w:r>
              <w:rPr>
                <w:rFonts w:ascii="Arial" w:cs="Arial" w:eastAsia="Arial" w:hAnsi="Arial"/>
                <w:sz w:val="14"/>
                <w:szCs w:val="14"/>
                <w:color w:val="auto"/>
              </w:rPr>
              <w:t>(dollars in millions)</w:t>
            </w:r>
          </w:p>
        </w:tc>
        <w:tc>
          <w:tcPr>
            <w:tcW w:w="2120" w:type="dxa"/>
            <w:vAlign w:val="bottom"/>
          </w:tcPr>
          <w:p>
            <w:pPr>
              <w:spacing w:after="0"/>
              <w:rPr>
                <w:sz w:val="14"/>
                <w:szCs w:val="14"/>
                <w:color w:val="auto"/>
              </w:rPr>
            </w:pPr>
          </w:p>
        </w:tc>
        <w:tc>
          <w:tcPr>
            <w:tcW w:w="740" w:type="dxa"/>
            <w:vAlign w:val="bottom"/>
          </w:tcPr>
          <w:p>
            <w:pPr>
              <w:jc w:val="right"/>
              <w:ind w:right="293"/>
              <w:spacing w:after="0"/>
              <w:rPr>
                <w:sz w:val="20"/>
                <w:szCs w:val="20"/>
                <w:color w:val="auto"/>
              </w:rPr>
            </w:pPr>
            <w:r>
              <w:rPr>
                <w:rFonts w:ascii="Arial" w:cs="Arial" w:eastAsia="Arial" w:hAnsi="Arial"/>
                <w:sz w:val="14"/>
                <w:szCs w:val="14"/>
                <w:b w:val="1"/>
                <w:bCs w:val="1"/>
                <w:color w:val="auto"/>
                <w:w w:val="89"/>
              </w:rPr>
              <w:t>Cable</w:t>
            </w:r>
          </w:p>
        </w:tc>
        <w:tc>
          <w:tcPr>
            <w:tcW w:w="1520" w:type="dxa"/>
            <w:vAlign w:val="bottom"/>
            <w:gridSpan w:val="2"/>
            <w:vMerge w:val="continue"/>
          </w:tcPr>
          <w:p>
            <w:pPr>
              <w:spacing w:after="0"/>
              <w:rPr>
                <w:sz w:val="14"/>
                <w:szCs w:val="14"/>
                <w:color w:val="auto"/>
              </w:rPr>
            </w:pPr>
          </w:p>
        </w:tc>
        <w:tc>
          <w:tcPr>
            <w:tcW w:w="11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and Other</w:t>
            </w:r>
          </w:p>
        </w:tc>
        <w:tc>
          <w:tcPr>
            <w:tcW w:w="300" w:type="dxa"/>
            <w:vAlign w:val="bottom"/>
          </w:tcPr>
          <w:p>
            <w:pPr>
              <w:spacing w:after="0"/>
              <w:rPr>
                <w:sz w:val="14"/>
                <w:szCs w:val="14"/>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00" w:type="dxa"/>
            <w:vAlign w:val="bottom"/>
            <w:tcBorders>
              <w:top w:val="single" w:sz="8" w:color="auto"/>
              <w:bottom w:val="single" w:sz="8" w:color="auto"/>
            </w:tcBorders>
            <w:gridSpan w:val="2"/>
            <w:shd w:val="clear" w:color="auto" w:fill="E5E5E5"/>
          </w:tcPr>
          <w:p>
            <w:pPr>
              <w:spacing w:after="0" w:line="170" w:lineRule="exact"/>
              <w:rPr>
                <w:sz w:val="20"/>
                <w:szCs w:val="20"/>
                <w:color w:val="auto"/>
              </w:rPr>
            </w:pPr>
            <w:r>
              <w:rPr>
                <w:rFonts w:ascii="Arial" w:cs="Arial" w:eastAsia="Arial" w:hAnsi="Arial"/>
                <w:sz w:val="18"/>
                <w:szCs w:val="18"/>
                <w:b w:val="1"/>
                <w:bCs w:val="1"/>
                <w:color w:val="auto"/>
                <w:w w:val="87"/>
              </w:rPr>
              <w:t>Three Months Ended September 30, 2008</w:t>
            </w:r>
          </w:p>
        </w:tc>
        <w:tc>
          <w:tcPr>
            <w:tcW w:w="2000" w:type="dxa"/>
            <w:vAlign w:val="bottom"/>
            <w:tcBorders>
              <w:top w:val="single" w:sz="8" w:color="auto"/>
              <w:bottom w:val="single" w:sz="8" w:color="E5E5E5"/>
            </w:tcBorders>
            <w:shd w:val="clear" w:color="auto" w:fill="E5E5E5"/>
          </w:tcPr>
          <w:p>
            <w:pPr>
              <w:spacing w:after="0"/>
              <w:rPr>
                <w:sz w:val="16"/>
                <w:szCs w:val="16"/>
                <w:color w:val="auto"/>
              </w:rPr>
            </w:pPr>
          </w:p>
        </w:tc>
        <w:tc>
          <w:tcPr>
            <w:tcW w:w="2120" w:type="dxa"/>
            <w:vAlign w:val="bottom"/>
            <w:tcBorders>
              <w:top w:val="single" w:sz="8" w:color="auto"/>
              <w:bottom w:val="single" w:sz="8" w:color="E5E5E5"/>
            </w:tcBorders>
            <w:shd w:val="clear" w:color="auto" w:fill="E5E5E5"/>
          </w:tcPr>
          <w:p>
            <w:pPr>
              <w:spacing w:after="0"/>
              <w:rPr>
                <w:sz w:val="16"/>
                <w:szCs w:val="16"/>
                <w:color w:val="auto"/>
              </w:rPr>
            </w:pPr>
          </w:p>
        </w:tc>
        <w:tc>
          <w:tcPr>
            <w:tcW w:w="740" w:type="dxa"/>
            <w:vAlign w:val="bottom"/>
            <w:tcBorders>
              <w:top w:val="single" w:sz="8" w:color="auto"/>
              <w:bottom w:val="single" w:sz="8" w:color="E5E5E5"/>
            </w:tcBorders>
            <w:shd w:val="clear" w:color="auto" w:fill="E5E5E5"/>
          </w:tcPr>
          <w:p>
            <w:pPr>
              <w:spacing w:after="0"/>
              <w:rPr>
                <w:sz w:val="16"/>
                <w:szCs w:val="16"/>
                <w:color w:val="auto"/>
              </w:rPr>
            </w:pPr>
          </w:p>
        </w:tc>
        <w:tc>
          <w:tcPr>
            <w:tcW w:w="580" w:type="dxa"/>
            <w:vAlign w:val="bottom"/>
            <w:tcBorders>
              <w:top w:val="single" w:sz="8" w:color="auto"/>
              <w:bottom w:val="single" w:sz="8" w:color="E5E5E5"/>
            </w:tcBorders>
            <w:shd w:val="clear" w:color="auto" w:fill="E5E5E5"/>
          </w:tcPr>
          <w:p>
            <w:pPr>
              <w:spacing w:after="0"/>
              <w:rPr>
                <w:sz w:val="16"/>
                <w:szCs w:val="16"/>
                <w:color w:val="auto"/>
              </w:rPr>
            </w:pPr>
          </w:p>
        </w:tc>
        <w:tc>
          <w:tcPr>
            <w:tcW w:w="940" w:type="dxa"/>
            <w:vAlign w:val="bottom"/>
            <w:tcBorders>
              <w:top w:val="single" w:sz="8" w:color="auto"/>
              <w:bottom w:val="single" w:sz="8" w:color="E5E5E5"/>
            </w:tcBorders>
            <w:shd w:val="clear" w:color="auto" w:fill="E5E5E5"/>
          </w:tcPr>
          <w:p>
            <w:pPr>
              <w:spacing w:after="0"/>
              <w:rPr>
                <w:sz w:val="16"/>
                <w:szCs w:val="16"/>
                <w:color w:val="auto"/>
              </w:rPr>
            </w:pPr>
          </w:p>
        </w:tc>
        <w:tc>
          <w:tcPr>
            <w:tcW w:w="500" w:type="dxa"/>
            <w:vAlign w:val="bottom"/>
            <w:tcBorders>
              <w:top w:val="single" w:sz="8" w:color="auto"/>
              <w:bottom w:val="single" w:sz="8" w:color="E5E5E5"/>
            </w:tcBorders>
            <w:shd w:val="clear" w:color="auto" w:fill="E5E5E5"/>
          </w:tcPr>
          <w:p>
            <w:pPr>
              <w:spacing w:after="0"/>
              <w:rPr>
                <w:sz w:val="16"/>
                <w:szCs w:val="16"/>
                <w:color w:val="auto"/>
              </w:rPr>
            </w:pPr>
          </w:p>
        </w:tc>
        <w:tc>
          <w:tcPr>
            <w:tcW w:w="640" w:type="dxa"/>
            <w:vAlign w:val="bottom"/>
            <w:tcBorders>
              <w:top w:val="single" w:sz="8" w:color="auto"/>
              <w:bottom w:val="single" w:sz="8" w:color="E5E5E5"/>
            </w:tcBorders>
            <w:shd w:val="clear" w:color="auto" w:fill="E5E5E5"/>
          </w:tcPr>
          <w:p>
            <w:pPr>
              <w:spacing w:after="0"/>
              <w:rPr>
                <w:sz w:val="16"/>
                <w:szCs w:val="16"/>
                <w:color w:val="auto"/>
              </w:rPr>
            </w:pPr>
          </w:p>
        </w:tc>
        <w:tc>
          <w:tcPr>
            <w:tcW w:w="300" w:type="dxa"/>
            <w:vAlign w:val="bottom"/>
            <w:tcBorders>
              <w:top w:val="single" w:sz="8" w:color="auto"/>
              <w:bottom w:val="single" w:sz="8" w:color="E5E5E5"/>
            </w:tcBorders>
            <w:shd w:val="clear" w:color="auto" w:fill="E5E5E5"/>
          </w:tcPr>
          <w:p>
            <w:pPr>
              <w:spacing w:after="0"/>
              <w:rPr>
                <w:sz w:val="16"/>
                <w:szCs w:val="16"/>
                <w:color w:val="auto"/>
              </w:rPr>
            </w:pPr>
          </w:p>
        </w:tc>
        <w:tc>
          <w:tcPr>
            <w:tcW w:w="480" w:type="dxa"/>
            <w:vAlign w:val="bottom"/>
            <w:tcBorders>
              <w:top w:val="single" w:sz="8" w:color="auto"/>
              <w:bottom w:val="single" w:sz="8" w:color="E5E5E5"/>
            </w:tcBorders>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8,131</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347</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71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21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3,251</w:t>
            </w:r>
          </w:p>
        </w:tc>
        <w:tc>
          <w:tcPr>
            <w:tcW w:w="58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105</w:t>
            </w:r>
          </w:p>
        </w:tc>
        <w:tc>
          <w:tcPr>
            <w:tcW w:w="50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119)</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Operating Income (Loss)</w:t>
            </w: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1,749</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59</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138)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E5E5E5"/>
          </w:tcPr>
          <w:p>
            <w:pPr>
              <w:spacing w:after="0"/>
              <w:rPr>
                <w:sz w:val="20"/>
                <w:szCs w:val="20"/>
                <w:color w:val="auto"/>
              </w:rPr>
            </w:pPr>
            <w:r>
              <w:rPr>
                <w:rFonts w:ascii="Arial" w:cs="Arial" w:eastAsia="Arial" w:hAnsi="Arial"/>
                <w:sz w:val="18"/>
                <w:szCs w:val="18"/>
                <w:color w:val="auto"/>
              </w:rPr>
              <w:t>Operating Cash Flow Margin</w:t>
            </w:r>
          </w:p>
        </w:tc>
        <w:tc>
          <w:tcPr>
            <w:tcW w:w="21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90"/>
              </w:rPr>
              <w:t>40.0%</w:t>
            </w:r>
          </w:p>
        </w:tc>
        <w:tc>
          <w:tcPr>
            <w:tcW w:w="58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30.3%</w:t>
            </w:r>
          </w:p>
        </w:tc>
        <w:tc>
          <w:tcPr>
            <w:tcW w:w="5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NM</w:t>
            </w:r>
          </w:p>
        </w:tc>
        <w:tc>
          <w:tcPr>
            <w:tcW w:w="3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0"/>
              </w:rPr>
              <w:t>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2"/>
                <w:szCs w:val="22"/>
                <w:color w:val="auto"/>
                <w:vertAlign w:val="superscript"/>
              </w:rPr>
              <w:t>(3)</w:t>
            </w: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1,268</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12</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26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00" w:type="dxa"/>
            <w:vAlign w:val="bottom"/>
            <w:tcBorders>
              <w:bottom w:val="single" w:sz="8" w:color="auto"/>
            </w:tcBorders>
            <w:gridSpan w:val="2"/>
            <w:shd w:val="clear" w:color="auto" w:fill="E5E5E5"/>
          </w:tcPr>
          <w:p>
            <w:pPr>
              <w:spacing w:after="0" w:line="176" w:lineRule="exact"/>
              <w:rPr>
                <w:sz w:val="20"/>
                <w:szCs w:val="20"/>
                <w:color w:val="auto"/>
              </w:rPr>
            </w:pPr>
            <w:r>
              <w:rPr>
                <w:rFonts w:ascii="Arial" w:cs="Arial" w:eastAsia="Arial" w:hAnsi="Arial"/>
                <w:sz w:val="18"/>
                <w:szCs w:val="18"/>
                <w:b w:val="1"/>
                <w:bCs w:val="1"/>
                <w:color w:val="auto"/>
                <w:w w:val="87"/>
              </w:rPr>
              <w:t>Three Months Ended September 30, 2007</w:t>
            </w:r>
          </w:p>
        </w:tc>
        <w:tc>
          <w:tcPr>
            <w:tcW w:w="2000" w:type="dxa"/>
            <w:vAlign w:val="bottom"/>
            <w:tcBorders>
              <w:bottom w:val="single" w:sz="8" w:color="E5E5E5"/>
            </w:tcBorders>
            <w:shd w:val="clear" w:color="auto" w:fill="E5E5E5"/>
          </w:tcPr>
          <w:p>
            <w:pPr>
              <w:spacing w:after="0"/>
              <w:rPr>
                <w:sz w:val="17"/>
                <w:szCs w:val="17"/>
                <w:color w:val="auto"/>
              </w:rPr>
            </w:pPr>
          </w:p>
        </w:tc>
        <w:tc>
          <w:tcPr>
            <w:tcW w:w="2120" w:type="dxa"/>
            <w:vAlign w:val="bottom"/>
            <w:tcBorders>
              <w:bottom w:val="single" w:sz="8" w:color="E5E5E5"/>
            </w:tcBorders>
            <w:shd w:val="clear" w:color="auto" w:fill="E5E5E5"/>
          </w:tcPr>
          <w:p>
            <w:pPr>
              <w:spacing w:after="0"/>
              <w:rPr>
                <w:sz w:val="17"/>
                <w:szCs w:val="17"/>
                <w:color w:val="auto"/>
              </w:rPr>
            </w:pPr>
          </w:p>
        </w:tc>
        <w:tc>
          <w:tcPr>
            <w:tcW w:w="740" w:type="dxa"/>
            <w:vAlign w:val="bottom"/>
            <w:tcBorders>
              <w:bottom w:val="single" w:sz="8" w:color="E5E5E5"/>
            </w:tcBorders>
            <w:shd w:val="clear" w:color="auto" w:fill="E5E5E5"/>
          </w:tcPr>
          <w:p>
            <w:pPr>
              <w:spacing w:after="0"/>
              <w:rPr>
                <w:sz w:val="17"/>
                <w:szCs w:val="17"/>
                <w:color w:val="auto"/>
              </w:rPr>
            </w:pPr>
          </w:p>
        </w:tc>
        <w:tc>
          <w:tcPr>
            <w:tcW w:w="580" w:type="dxa"/>
            <w:vAlign w:val="bottom"/>
            <w:tcBorders>
              <w:bottom w:val="single" w:sz="8" w:color="E5E5E5"/>
            </w:tcBorders>
            <w:shd w:val="clear" w:color="auto" w:fill="E5E5E5"/>
          </w:tcPr>
          <w:p>
            <w:pPr>
              <w:spacing w:after="0"/>
              <w:rPr>
                <w:sz w:val="17"/>
                <w:szCs w:val="17"/>
                <w:color w:val="auto"/>
              </w:rPr>
            </w:pPr>
          </w:p>
        </w:tc>
        <w:tc>
          <w:tcPr>
            <w:tcW w:w="940" w:type="dxa"/>
            <w:vAlign w:val="bottom"/>
            <w:tcBorders>
              <w:bottom w:val="single" w:sz="8" w:color="E5E5E5"/>
            </w:tcBorders>
            <w:shd w:val="clear" w:color="auto" w:fill="E5E5E5"/>
          </w:tcPr>
          <w:p>
            <w:pPr>
              <w:spacing w:after="0"/>
              <w:rPr>
                <w:sz w:val="17"/>
                <w:szCs w:val="17"/>
                <w:color w:val="auto"/>
              </w:rPr>
            </w:pPr>
          </w:p>
        </w:tc>
        <w:tc>
          <w:tcPr>
            <w:tcW w:w="500" w:type="dxa"/>
            <w:vAlign w:val="bottom"/>
            <w:tcBorders>
              <w:bottom w:val="single" w:sz="8" w:color="E5E5E5"/>
            </w:tcBorders>
            <w:shd w:val="clear" w:color="auto" w:fill="E5E5E5"/>
          </w:tcPr>
          <w:p>
            <w:pPr>
              <w:spacing w:after="0"/>
              <w:rPr>
                <w:sz w:val="17"/>
                <w:szCs w:val="17"/>
                <w:color w:val="auto"/>
              </w:rPr>
            </w:pPr>
          </w:p>
        </w:tc>
        <w:tc>
          <w:tcPr>
            <w:tcW w:w="640" w:type="dxa"/>
            <w:vAlign w:val="bottom"/>
            <w:tcBorders>
              <w:bottom w:val="single" w:sz="8" w:color="E5E5E5"/>
            </w:tcBorders>
            <w:shd w:val="clear" w:color="auto" w:fill="E5E5E5"/>
          </w:tcPr>
          <w:p>
            <w:pPr>
              <w:spacing w:after="0"/>
              <w:rPr>
                <w:sz w:val="17"/>
                <w:szCs w:val="17"/>
                <w:color w:val="auto"/>
              </w:rPr>
            </w:pPr>
          </w:p>
        </w:tc>
        <w:tc>
          <w:tcPr>
            <w:tcW w:w="300" w:type="dxa"/>
            <w:vAlign w:val="bottom"/>
            <w:tcBorders>
              <w:bottom w:val="single" w:sz="8" w:color="E5E5E5"/>
            </w:tcBorders>
            <w:shd w:val="clear" w:color="auto" w:fill="E5E5E5"/>
          </w:tcPr>
          <w:p>
            <w:pPr>
              <w:spacing w:after="0"/>
              <w:rPr>
                <w:sz w:val="17"/>
                <w:szCs w:val="17"/>
                <w:color w:val="auto"/>
              </w:rPr>
            </w:pPr>
          </w:p>
        </w:tc>
        <w:tc>
          <w:tcPr>
            <w:tcW w:w="480" w:type="dxa"/>
            <w:vAlign w:val="bottom"/>
            <w:tcBorders>
              <w:bottom w:val="single" w:sz="8" w:color="E5E5E5"/>
            </w:tcBorders>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7,593</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330</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51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7,974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21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3,050</w:t>
            </w:r>
          </w:p>
        </w:tc>
        <w:tc>
          <w:tcPr>
            <w:tcW w:w="58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97</w:t>
            </w:r>
          </w:p>
        </w:tc>
        <w:tc>
          <w:tcPr>
            <w:tcW w:w="50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143)</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Operating Income (Loss)</w:t>
            </w: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1,541</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51</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162)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E5E5E5"/>
          </w:tcPr>
          <w:p>
            <w:pPr>
              <w:spacing w:after="0"/>
              <w:rPr>
                <w:sz w:val="20"/>
                <w:szCs w:val="20"/>
                <w:color w:val="auto"/>
              </w:rPr>
            </w:pPr>
            <w:r>
              <w:rPr>
                <w:rFonts w:ascii="Arial" w:cs="Arial" w:eastAsia="Arial" w:hAnsi="Arial"/>
                <w:sz w:val="18"/>
                <w:szCs w:val="18"/>
                <w:color w:val="auto"/>
              </w:rPr>
              <w:t>Operating Cash Flow Margin</w:t>
            </w:r>
          </w:p>
        </w:tc>
        <w:tc>
          <w:tcPr>
            <w:tcW w:w="21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90"/>
              </w:rPr>
              <w:t>40.2%</w:t>
            </w:r>
          </w:p>
        </w:tc>
        <w:tc>
          <w:tcPr>
            <w:tcW w:w="58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29.3%</w:t>
            </w:r>
          </w:p>
        </w:tc>
        <w:tc>
          <w:tcPr>
            <w:tcW w:w="5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NM</w:t>
            </w:r>
          </w:p>
        </w:tc>
        <w:tc>
          <w:tcPr>
            <w:tcW w:w="3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0"/>
              </w:rPr>
              <w:t>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2"/>
                <w:szCs w:val="22"/>
                <w:color w:val="auto"/>
                <w:vertAlign w:val="superscript"/>
              </w:rPr>
              <w:t>(3)</w:t>
            </w: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1,528</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8</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26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00" w:type="dxa"/>
            <w:vAlign w:val="bottom"/>
            <w:gridSpan w:val="3"/>
            <w:shd w:val="clear" w:color="auto" w:fill="E5E5E5"/>
          </w:tcPr>
          <w:p>
            <w:pPr>
              <w:spacing w:after="0" w:line="176" w:lineRule="exact"/>
              <w:rPr>
                <w:sz w:val="20"/>
                <w:szCs w:val="20"/>
                <w:color w:val="auto"/>
              </w:rPr>
            </w:pPr>
            <w:r>
              <w:rPr>
                <w:rFonts w:ascii="Arial" w:cs="Arial" w:eastAsia="Arial" w:hAnsi="Arial"/>
                <w:sz w:val="18"/>
                <w:szCs w:val="18"/>
                <w:b w:val="1"/>
                <w:bCs w:val="1"/>
                <w:color w:val="auto"/>
              </w:rPr>
              <w:t>Nine Months Ended September 30, 2008</w:t>
            </w:r>
          </w:p>
        </w:tc>
        <w:tc>
          <w:tcPr>
            <w:tcW w:w="212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w:t>
            </w:r>
          </w:p>
        </w:tc>
        <w:tc>
          <w:tcPr>
            <w:tcW w:w="2100" w:type="dxa"/>
            <w:vAlign w:val="bottom"/>
            <w:tcBorders>
              <w:top w:val="single" w:sz="8" w:color="E5E5E5"/>
            </w:tcBorders>
            <w:gridSpan w:val="2"/>
          </w:tcPr>
          <w:p>
            <w:pPr>
              <w:spacing w:after="0"/>
              <w:rPr>
                <w:sz w:val="18"/>
                <w:szCs w:val="18"/>
                <w:color w:val="auto"/>
              </w:rPr>
            </w:pPr>
          </w:p>
        </w:tc>
        <w:tc>
          <w:tcPr>
            <w:tcW w:w="2120" w:type="dxa"/>
            <w:vAlign w:val="bottom"/>
            <w:tcBorders>
              <w:top w:val="single" w:sz="8" w:color="E5E5E5"/>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E5E5E5"/>
            </w:tcBorders>
          </w:tcPr>
          <w:p>
            <w:pPr>
              <w:jc w:val="right"/>
              <w:ind w:right="173"/>
              <w:spacing w:after="0"/>
              <w:rPr>
                <w:sz w:val="20"/>
                <w:szCs w:val="20"/>
                <w:color w:val="auto"/>
              </w:rPr>
            </w:pPr>
            <w:r>
              <w:rPr>
                <w:rFonts w:ascii="Arial" w:cs="Arial" w:eastAsia="Arial" w:hAnsi="Arial"/>
                <w:sz w:val="18"/>
                <w:szCs w:val="18"/>
                <w:color w:val="auto"/>
                <w:w w:val="83"/>
              </w:rPr>
              <w:t>24,147</w:t>
            </w:r>
          </w:p>
        </w:tc>
        <w:tc>
          <w:tcPr>
            <w:tcW w:w="580" w:type="dxa"/>
            <w:vAlign w:val="bottom"/>
            <w:tcBorders>
              <w:top w:val="single" w:sz="8" w:color="E5E5E5"/>
            </w:tcBorders>
          </w:tcPr>
          <w:p>
            <w:pPr>
              <w:ind w:left="26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E5E5E5"/>
            </w:tcBorders>
          </w:tcPr>
          <w:p>
            <w:pPr>
              <w:jc w:val="right"/>
              <w:ind w:right="172"/>
              <w:spacing w:after="0"/>
              <w:rPr>
                <w:sz w:val="20"/>
                <w:szCs w:val="20"/>
                <w:color w:val="auto"/>
              </w:rPr>
            </w:pPr>
            <w:r>
              <w:rPr>
                <w:rFonts w:ascii="Arial" w:cs="Arial" w:eastAsia="Arial" w:hAnsi="Arial"/>
                <w:sz w:val="18"/>
                <w:szCs w:val="18"/>
                <w:color w:val="auto"/>
              </w:rPr>
              <w:t>1,076</w:t>
            </w:r>
          </w:p>
        </w:tc>
        <w:tc>
          <w:tcPr>
            <w:tcW w:w="500" w:type="dxa"/>
            <w:vAlign w:val="bottom"/>
            <w:tcBorders>
              <w:top w:val="single" w:sz="8" w:color="E5E5E5"/>
            </w:tcBorders>
          </w:tcPr>
          <w:p>
            <w:pPr>
              <w:ind w:left="2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E5E5E5"/>
            </w:tcBorders>
          </w:tcPr>
          <w:p>
            <w:pPr>
              <w:jc w:val="right"/>
              <w:ind w:right="192"/>
              <w:spacing w:after="0"/>
              <w:rPr>
                <w:sz w:val="20"/>
                <w:szCs w:val="20"/>
                <w:color w:val="auto"/>
              </w:rPr>
            </w:pPr>
            <w:r>
              <w:rPr>
                <w:rFonts w:ascii="Arial" w:cs="Arial" w:eastAsia="Arial" w:hAnsi="Arial"/>
                <w:sz w:val="18"/>
                <w:szCs w:val="18"/>
                <w:color w:val="auto"/>
              </w:rPr>
              <w:t>268</w:t>
            </w:r>
          </w:p>
        </w:tc>
        <w:tc>
          <w:tcPr>
            <w:tcW w:w="300" w:type="dxa"/>
            <w:vAlign w:val="bottom"/>
            <w:tcBorders>
              <w:top w:val="single" w:sz="8" w:color="E5E5E5"/>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E5E5E5"/>
            </w:tcBorders>
          </w:tcPr>
          <w:p>
            <w:pPr>
              <w:jc w:val="right"/>
              <w:spacing w:after="0"/>
              <w:rPr>
                <w:sz w:val="20"/>
                <w:szCs w:val="20"/>
                <w:color w:val="auto"/>
              </w:rPr>
            </w:pPr>
            <w:r>
              <w:rPr>
                <w:rFonts w:ascii="Arial" w:cs="Arial" w:eastAsia="Arial" w:hAnsi="Arial"/>
                <w:sz w:val="18"/>
                <w:szCs w:val="18"/>
                <w:color w:val="auto"/>
                <w:w w:val="83"/>
              </w:rPr>
              <w:t>25,491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21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9,755</w:t>
            </w:r>
          </w:p>
        </w:tc>
        <w:tc>
          <w:tcPr>
            <w:tcW w:w="58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307</w:t>
            </w:r>
          </w:p>
        </w:tc>
        <w:tc>
          <w:tcPr>
            <w:tcW w:w="50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300)</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Operating Income (Loss)</w:t>
            </w: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5,168</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162</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355)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E5E5E5"/>
          </w:tcPr>
          <w:p>
            <w:pPr>
              <w:spacing w:after="0"/>
              <w:rPr>
                <w:sz w:val="20"/>
                <w:szCs w:val="20"/>
                <w:color w:val="auto"/>
              </w:rPr>
            </w:pPr>
            <w:r>
              <w:rPr>
                <w:rFonts w:ascii="Arial" w:cs="Arial" w:eastAsia="Arial" w:hAnsi="Arial"/>
                <w:sz w:val="18"/>
                <w:szCs w:val="18"/>
                <w:color w:val="auto"/>
              </w:rPr>
              <w:t>Operating Cash Flow Margin</w:t>
            </w:r>
          </w:p>
        </w:tc>
        <w:tc>
          <w:tcPr>
            <w:tcW w:w="21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90"/>
              </w:rPr>
              <w:t>40.4%</w:t>
            </w:r>
          </w:p>
        </w:tc>
        <w:tc>
          <w:tcPr>
            <w:tcW w:w="58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28.5%</w:t>
            </w:r>
          </w:p>
        </w:tc>
        <w:tc>
          <w:tcPr>
            <w:tcW w:w="5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NM</w:t>
            </w:r>
          </w:p>
        </w:tc>
        <w:tc>
          <w:tcPr>
            <w:tcW w:w="3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0"/>
              </w:rPr>
              <w:t>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2"/>
                <w:szCs w:val="22"/>
                <w:color w:val="auto"/>
                <w:vertAlign w:val="superscript"/>
              </w:rPr>
              <w:t>(3)</w:t>
            </w: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3,877</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22</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138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00" w:type="dxa"/>
            <w:vAlign w:val="bottom"/>
            <w:gridSpan w:val="3"/>
            <w:shd w:val="clear" w:color="auto" w:fill="E5E5E5"/>
          </w:tcPr>
          <w:p>
            <w:pPr>
              <w:spacing w:after="0" w:line="176" w:lineRule="exact"/>
              <w:rPr>
                <w:sz w:val="20"/>
                <w:szCs w:val="20"/>
                <w:color w:val="auto"/>
              </w:rPr>
            </w:pPr>
            <w:r>
              <w:rPr>
                <w:rFonts w:ascii="Arial" w:cs="Arial" w:eastAsia="Arial" w:hAnsi="Arial"/>
                <w:sz w:val="18"/>
                <w:szCs w:val="18"/>
                <w:b w:val="1"/>
                <w:bCs w:val="1"/>
                <w:color w:val="auto"/>
              </w:rPr>
              <w:t>Nine Months Ended September 30, 2007</w:t>
            </w:r>
          </w:p>
        </w:tc>
        <w:tc>
          <w:tcPr>
            <w:tcW w:w="212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w:t>
            </w:r>
          </w:p>
        </w:tc>
        <w:tc>
          <w:tcPr>
            <w:tcW w:w="2100" w:type="dxa"/>
            <w:vAlign w:val="bottom"/>
            <w:tcBorders>
              <w:top w:val="single" w:sz="8" w:color="E5E5E5"/>
            </w:tcBorders>
            <w:gridSpan w:val="2"/>
          </w:tcPr>
          <w:p>
            <w:pPr>
              <w:spacing w:after="0"/>
              <w:rPr>
                <w:sz w:val="18"/>
                <w:szCs w:val="18"/>
                <w:color w:val="auto"/>
              </w:rPr>
            </w:pPr>
          </w:p>
        </w:tc>
        <w:tc>
          <w:tcPr>
            <w:tcW w:w="2120" w:type="dxa"/>
            <w:vAlign w:val="bottom"/>
            <w:tcBorders>
              <w:top w:val="single" w:sz="8" w:color="E5E5E5"/>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E5E5E5"/>
            </w:tcBorders>
          </w:tcPr>
          <w:p>
            <w:pPr>
              <w:jc w:val="right"/>
              <w:ind w:right="173"/>
              <w:spacing w:after="0"/>
              <w:rPr>
                <w:sz w:val="20"/>
                <w:szCs w:val="20"/>
                <w:color w:val="auto"/>
              </w:rPr>
            </w:pPr>
            <w:r>
              <w:rPr>
                <w:rFonts w:ascii="Arial" w:cs="Arial" w:eastAsia="Arial" w:hAnsi="Arial"/>
                <w:sz w:val="18"/>
                <w:szCs w:val="18"/>
                <w:color w:val="auto"/>
                <w:w w:val="83"/>
              </w:rPr>
              <w:t>22,362</w:t>
            </w:r>
          </w:p>
        </w:tc>
        <w:tc>
          <w:tcPr>
            <w:tcW w:w="580" w:type="dxa"/>
            <w:vAlign w:val="bottom"/>
            <w:tcBorders>
              <w:top w:val="single" w:sz="8" w:color="E5E5E5"/>
            </w:tcBorders>
          </w:tcPr>
          <w:p>
            <w:pPr>
              <w:ind w:left="26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E5E5E5"/>
            </w:tcBorders>
          </w:tcPr>
          <w:p>
            <w:pPr>
              <w:jc w:val="right"/>
              <w:ind w:right="172"/>
              <w:spacing w:after="0"/>
              <w:rPr>
                <w:sz w:val="20"/>
                <w:szCs w:val="20"/>
                <w:color w:val="auto"/>
              </w:rPr>
            </w:pPr>
            <w:r>
              <w:rPr>
                <w:rFonts w:ascii="Arial" w:cs="Arial" w:eastAsia="Arial" w:hAnsi="Arial"/>
                <w:sz w:val="18"/>
                <w:szCs w:val="18"/>
                <w:color w:val="auto"/>
              </w:rPr>
              <w:t>966</w:t>
            </w:r>
          </w:p>
        </w:tc>
        <w:tc>
          <w:tcPr>
            <w:tcW w:w="500" w:type="dxa"/>
            <w:vAlign w:val="bottom"/>
            <w:tcBorders>
              <w:top w:val="single" w:sz="8" w:color="E5E5E5"/>
            </w:tcBorders>
          </w:tcPr>
          <w:p>
            <w:pPr>
              <w:ind w:left="2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E5E5E5"/>
            </w:tcBorders>
          </w:tcPr>
          <w:p>
            <w:pPr>
              <w:jc w:val="right"/>
              <w:ind w:right="192"/>
              <w:spacing w:after="0"/>
              <w:rPr>
                <w:sz w:val="20"/>
                <w:szCs w:val="20"/>
                <w:color w:val="auto"/>
              </w:rPr>
            </w:pPr>
            <w:r>
              <w:rPr>
                <w:rFonts w:ascii="Arial" w:cs="Arial" w:eastAsia="Arial" w:hAnsi="Arial"/>
                <w:sz w:val="18"/>
                <w:szCs w:val="18"/>
                <w:color w:val="auto"/>
              </w:rPr>
              <w:t>187</w:t>
            </w:r>
          </w:p>
        </w:tc>
        <w:tc>
          <w:tcPr>
            <w:tcW w:w="300" w:type="dxa"/>
            <w:vAlign w:val="bottom"/>
            <w:tcBorders>
              <w:top w:val="single" w:sz="8" w:color="E5E5E5"/>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E5E5E5"/>
            </w:tcBorders>
          </w:tcPr>
          <w:p>
            <w:pPr>
              <w:jc w:val="right"/>
              <w:spacing w:after="0"/>
              <w:rPr>
                <w:sz w:val="20"/>
                <w:szCs w:val="20"/>
                <w:color w:val="auto"/>
              </w:rPr>
            </w:pPr>
            <w:r>
              <w:rPr>
                <w:rFonts w:ascii="Arial" w:cs="Arial" w:eastAsia="Arial" w:hAnsi="Arial"/>
                <w:sz w:val="18"/>
                <w:szCs w:val="18"/>
                <w:color w:val="auto"/>
                <w:w w:val="83"/>
              </w:rPr>
              <w:t>23,515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21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9,050</w:t>
            </w:r>
          </w:p>
        </w:tc>
        <w:tc>
          <w:tcPr>
            <w:tcW w:w="58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237</w:t>
            </w:r>
          </w:p>
        </w:tc>
        <w:tc>
          <w:tcPr>
            <w:tcW w:w="50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332)</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Operating Income (Loss)</w:t>
            </w: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4,554</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98</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392)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E5E5E5"/>
          </w:tcPr>
          <w:p>
            <w:pPr>
              <w:spacing w:after="0"/>
              <w:rPr>
                <w:sz w:val="20"/>
                <w:szCs w:val="20"/>
                <w:color w:val="auto"/>
              </w:rPr>
            </w:pPr>
            <w:r>
              <w:rPr>
                <w:rFonts w:ascii="Arial" w:cs="Arial" w:eastAsia="Arial" w:hAnsi="Arial"/>
                <w:sz w:val="18"/>
                <w:szCs w:val="18"/>
                <w:color w:val="auto"/>
              </w:rPr>
              <w:t>Operating Cash Flow Margin</w:t>
            </w:r>
          </w:p>
        </w:tc>
        <w:tc>
          <w:tcPr>
            <w:tcW w:w="21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90"/>
              </w:rPr>
              <w:t>40.5%</w:t>
            </w:r>
          </w:p>
        </w:tc>
        <w:tc>
          <w:tcPr>
            <w:tcW w:w="58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24.5%</w:t>
            </w:r>
          </w:p>
        </w:tc>
        <w:tc>
          <w:tcPr>
            <w:tcW w:w="5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NM</w:t>
            </w:r>
          </w:p>
        </w:tc>
        <w:tc>
          <w:tcPr>
            <w:tcW w:w="3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0"/>
              </w:rPr>
              <w:t>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2"/>
                <w:szCs w:val="22"/>
                <w:color w:val="auto"/>
                <w:vertAlign w:val="superscript"/>
              </w:rPr>
              <w:t>(3)</w:t>
            </w: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4,623</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22</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41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4,686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460" w:hanging="452"/>
        <w:spacing w:after="0" w:line="25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Non-GAAP and Other Financial Measures in Table 7. Historical financial data by business segment, in accordance with generally accepted accounting principles in the United States (GAAP), is available in the Company’s Quarterly Report on Form 10-Q. All percentages are calculated based on actual amounts. Minor differences may exist due to rounding.</w:t>
      </w:r>
    </w:p>
    <w:p>
      <w:pPr>
        <w:spacing w:after="0" w:line="60"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Programming includes our national networks E! Entertainment Television and Style Network (E! Networks), Golf Channel, VERSUS and G4.</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Cable segment’s capital expenditures are comprised of the following categories: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81"/>
              </w:rPr>
              <w:t>3Q08</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81"/>
              </w:rPr>
              <w:t>3Q07</w:t>
            </w:r>
          </w:p>
        </w:tc>
        <w:tc>
          <w:tcPr>
            <w:tcW w:w="11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YTD 3Q08</w:t>
            </w:r>
          </w:p>
        </w:tc>
        <w:tc>
          <w:tcPr>
            <w:tcW w:w="8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3"/>
              </w:rPr>
              <w:t>YTD 3Q07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E5E5E5"/>
          </w:tcPr>
          <w:p>
            <w:pPr>
              <w:spacing w:after="0"/>
              <w:rPr>
                <w:sz w:val="20"/>
                <w:szCs w:val="20"/>
                <w:color w:val="auto"/>
              </w:rPr>
            </w:pPr>
            <w:r>
              <w:rPr>
                <w:rFonts w:ascii="Arial" w:cs="Arial" w:eastAsia="Arial" w:hAnsi="Arial"/>
                <w:sz w:val="18"/>
                <w:szCs w:val="18"/>
                <w:color w:val="auto"/>
              </w:rPr>
              <w:t>Growth</w:t>
            </w:r>
          </w:p>
        </w:tc>
        <w:tc>
          <w:tcPr>
            <w:tcW w:w="42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tcBorders>
              <w:righ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Customer Premise Equipment (CPE)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4"/>
              <w:spacing w:after="0"/>
              <w:rPr>
                <w:sz w:val="20"/>
                <w:szCs w:val="20"/>
                <w:color w:val="auto"/>
              </w:rPr>
            </w:pPr>
            <w:r>
              <w:rPr>
                <w:rFonts w:ascii="Arial" w:cs="Arial" w:eastAsia="Arial" w:hAnsi="Arial"/>
                <w:sz w:val="18"/>
                <w:szCs w:val="18"/>
                <w:color w:val="auto"/>
              </w:rPr>
              <w:t>590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tcPr>
          <w:p>
            <w:pPr>
              <w:jc w:val="right"/>
              <w:ind w:right="354"/>
              <w:spacing w:after="0"/>
              <w:rPr>
                <w:sz w:val="20"/>
                <w:szCs w:val="20"/>
                <w:color w:val="auto"/>
              </w:rPr>
            </w:pPr>
            <w:r>
              <w:rPr>
                <w:rFonts w:ascii="Arial" w:cs="Arial" w:eastAsia="Arial" w:hAnsi="Arial"/>
                <w:sz w:val="18"/>
                <w:szCs w:val="18"/>
                <w:color w:val="auto"/>
              </w:rPr>
              <w:t>701</w:t>
            </w: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2,096</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Scalable Infrastructure</w:t>
            </w:r>
          </w:p>
        </w:tc>
        <w:tc>
          <w:tcPr>
            <w:tcW w:w="42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60</w:t>
            </w:r>
          </w:p>
        </w:tc>
        <w:tc>
          <w:tcPr>
            <w:tcW w:w="260" w:type="dxa"/>
            <w:vAlign w:val="bottom"/>
            <w:shd w:val="clear" w:color="auto" w:fill="E5E5E5"/>
          </w:tcPr>
          <w:p>
            <w:pPr>
              <w:spacing w:after="0"/>
              <w:rPr>
                <w:sz w:val="18"/>
                <w:szCs w:val="18"/>
                <w:color w:val="auto"/>
              </w:rPr>
            </w:pPr>
          </w:p>
        </w:tc>
        <w:tc>
          <w:tcPr>
            <w:tcW w:w="840" w:type="dxa"/>
            <w:vAlign w:val="bottom"/>
            <w:tcBorders>
              <w:right w:val="single" w:sz="8" w:color="auto"/>
            </w:tcBorders>
            <w:shd w:val="clear" w:color="auto" w:fill="E5E5E5"/>
          </w:tcPr>
          <w:p>
            <w:pPr>
              <w:jc w:val="right"/>
              <w:ind w:right="354"/>
              <w:spacing w:after="0"/>
              <w:rPr>
                <w:sz w:val="20"/>
                <w:szCs w:val="20"/>
                <w:color w:val="auto"/>
              </w:rPr>
            </w:pPr>
            <w:r>
              <w:rPr>
                <w:rFonts w:ascii="Arial" w:cs="Arial" w:eastAsia="Arial" w:hAnsi="Arial"/>
                <w:sz w:val="18"/>
                <w:szCs w:val="18"/>
                <w:color w:val="auto"/>
              </w:rPr>
              <w:t>98</w:t>
            </w: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175</w:t>
            </w:r>
          </w:p>
        </w:tc>
        <w:tc>
          <w:tcPr>
            <w:tcW w:w="3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Line Extensions</w:t>
            </w:r>
          </w:p>
        </w:tc>
        <w:tc>
          <w:tcPr>
            <w:tcW w:w="420" w:type="dxa"/>
            <w:vAlign w:val="bottom"/>
          </w:tcPr>
          <w:p>
            <w:pPr>
              <w:spacing w:after="0"/>
              <w:rPr>
                <w:sz w:val="18"/>
                <w:szCs w:val="18"/>
                <w:color w:val="auto"/>
              </w:rPr>
            </w:pPr>
          </w:p>
        </w:tc>
        <w:tc>
          <w:tcPr>
            <w:tcW w:w="560" w:type="dxa"/>
            <w:vAlign w:val="bottom"/>
          </w:tcPr>
          <w:p>
            <w:pPr>
              <w:jc w:val="right"/>
              <w:ind w:right="74"/>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840" w:type="dxa"/>
            <w:vAlign w:val="bottom"/>
            <w:tcBorders>
              <w:right w:val="single" w:sz="8" w:color="auto"/>
            </w:tcBorders>
          </w:tcPr>
          <w:p>
            <w:pPr>
              <w:jc w:val="right"/>
              <w:ind w:right="354"/>
              <w:spacing w:after="0"/>
              <w:rPr>
                <w:sz w:val="20"/>
                <w:szCs w:val="20"/>
                <w:color w:val="auto"/>
              </w:rPr>
            </w:pPr>
            <w:r>
              <w:rPr>
                <w:rFonts w:ascii="Arial" w:cs="Arial" w:eastAsia="Arial" w:hAnsi="Arial"/>
                <w:sz w:val="18"/>
                <w:szCs w:val="18"/>
                <w:color w:val="auto"/>
              </w:rPr>
              <w:t>98</w:t>
            </w:r>
          </w:p>
        </w:tc>
        <w:tc>
          <w:tcPr>
            <w:tcW w:w="460" w:type="dxa"/>
            <w:vAlign w:val="bottom"/>
          </w:tcPr>
          <w:p>
            <w:pPr>
              <w:spacing w:after="0"/>
              <w:rPr>
                <w:sz w:val="18"/>
                <w:szCs w:val="18"/>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154</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Support Capital</w:t>
            </w:r>
          </w:p>
        </w:tc>
        <w:tc>
          <w:tcPr>
            <w:tcW w:w="42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65</w:t>
            </w:r>
          </w:p>
        </w:tc>
        <w:tc>
          <w:tcPr>
            <w:tcW w:w="260" w:type="dxa"/>
            <w:vAlign w:val="bottom"/>
            <w:shd w:val="clear" w:color="auto" w:fill="E5E5E5"/>
          </w:tcPr>
          <w:p>
            <w:pPr>
              <w:spacing w:after="0"/>
              <w:rPr>
                <w:sz w:val="18"/>
                <w:szCs w:val="18"/>
                <w:color w:val="auto"/>
              </w:rPr>
            </w:pPr>
          </w:p>
        </w:tc>
        <w:tc>
          <w:tcPr>
            <w:tcW w:w="840" w:type="dxa"/>
            <w:vAlign w:val="bottom"/>
            <w:tcBorders>
              <w:right w:val="single" w:sz="8" w:color="auto"/>
            </w:tcBorders>
            <w:shd w:val="clear" w:color="auto" w:fill="E5E5E5"/>
          </w:tcPr>
          <w:p>
            <w:pPr>
              <w:jc w:val="right"/>
              <w:ind w:right="354"/>
              <w:spacing w:after="0"/>
              <w:rPr>
                <w:sz w:val="20"/>
                <w:szCs w:val="20"/>
                <w:color w:val="auto"/>
              </w:rPr>
            </w:pPr>
            <w:r>
              <w:rPr>
                <w:rFonts w:ascii="Arial" w:cs="Arial" w:eastAsia="Arial" w:hAnsi="Arial"/>
                <w:sz w:val="18"/>
                <w:szCs w:val="18"/>
                <w:color w:val="auto"/>
              </w:rPr>
              <w:t>99</w:t>
            </w: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176</w:t>
            </w:r>
          </w:p>
        </w:tc>
        <w:tc>
          <w:tcPr>
            <w:tcW w:w="3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Upgrades (Capacity Expansion)</w:t>
            </w:r>
          </w:p>
        </w:tc>
        <w:tc>
          <w:tcPr>
            <w:tcW w:w="420" w:type="dxa"/>
            <w:vAlign w:val="bottom"/>
          </w:tcPr>
          <w:p>
            <w:pPr>
              <w:spacing w:after="0"/>
              <w:rPr>
                <w:sz w:val="18"/>
                <w:szCs w:val="18"/>
                <w:color w:val="auto"/>
              </w:rPr>
            </w:pPr>
          </w:p>
        </w:tc>
        <w:tc>
          <w:tcPr>
            <w:tcW w:w="560" w:type="dxa"/>
            <w:vAlign w:val="bottom"/>
          </w:tcPr>
          <w:p>
            <w:pPr>
              <w:jc w:val="right"/>
              <w:ind w:right="74"/>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840" w:type="dxa"/>
            <w:vAlign w:val="bottom"/>
            <w:tcBorders>
              <w:right w:val="single" w:sz="8" w:color="auto"/>
            </w:tcBorders>
          </w:tcPr>
          <w:p>
            <w:pPr>
              <w:jc w:val="right"/>
              <w:ind w:right="354"/>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18"/>
                <w:szCs w:val="18"/>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Business Services</w:t>
            </w:r>
          </w:p>
        </w:tc>
        <w:tc>
          <w:tcPr>
            <w:tcW w:w="42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61</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right w:val="single" w:sz="8" w:color="auto"/>
            </w:tcBorders>
            <w:shd w:val="clear" w:color="auto" w:fill="E5E5E5"/>
          </w:tcPr>
          <w:p>
            <w:pPr>
              <w:jc w:val="right"/>
              <w:ind w:right="354"/>
              <w:spacing w:after="0"/>
              <w:rPr>
                <w:sz w:val="20"/>
                <w:szCs w:val="20"/>
                <w:color w:val="auto"/>
              </w:rPr>
            </w:pPr>
            <w:r>
              <w:rPr>
                <w:rFonts w:ascii="Arial" w:cs="Arial" w:eastAsia="Arial" w:hAnsi="Arial"/>
                <w:sz w:val="18"/>
                <w:szCs w:val="18"/>
                <w:color w:val="auto"/>
              </w:rPr>
              <w:t>23</w:t>
            </w:r>
          </w:p>
        </w:tc>
        <w:tc>
          <w:tcPr>
            <w:tcW w:w="4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160</w:t>
            </w:r>
          </w:p>
        </w:tc>
        <w:tc>
          <w:tcPr>
            <w:tcW w:w="3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jc w:val="right"/>
              <w:ind w:right="74"/>
              <w:spacing w:after="0"/>
              <w:rPr>
                <w:sz w:val="20"/>
                <w:szCs w:val="20"/>
                <w:color w:val="auto"/>
              </w:rPr>
            </w:pPr>
            <w:r>
              <w:rPr>
                <w:rFonts w:ascii="Arial" w:cs="Arial" w:eastAsia="Arial" w:hAnsi="Arial"/>
                <w:sz w:val="18"/>
                <w:szCs w:val="18"/>
                <w:color w:val="auto"/>
              </w:rPr>
              <w:t>843</w:t>
            </w:r>
          </w:p>
        </w:tc>
        <w:tc>
          <w:tcPr>
            <w:tcW w:w="260" w:type="dxa"/>
            <w:vAlign w:val="bottom"/>
          </w:tcPr>
          <w:p>
            <w:pPr>
              <w:spacing w:after="0"/>
              <w:rPr>
                <w:sz w:val="18"/>
                <w:szCs w:val="18"/>
                <w:color w:val="auto"/>
              </w:rPr>
            </w:pPr>
          </w:p>
        </w:tc>
        <w:tc>
          <w:tcPr>
            <w:tcW w:w="840" w:type="dxa"/>
            <w:vAlign w:val="bottom"/>
            <w:tcBorders>
              <w:right w:val="single" w:sz="8" w:color="auto"/>
            </w:tcBorders>
          </w:tcPr>
          <w:p>
            <w:pPr>
              <w:jc w:val="right"/>
              <w:ind w:right="354"/>
              <w:spacing w:after="0"/>
              <w:rPr>
                <w:sz w:val="20"/>
                <w:szCs w:val="20"/>
                <w:color w:val="auto"/>
              </w:rPr>
            </w:pPr>
            <w:r>
              <w:rPr>
                <w:rFonts w:ascii="Arial" w:cs="Arial" w:eastAsia="Arial" w:hAnsi="Arial"/>
                <w:sz w:val="18"/>
                <w:szCs w:val="18"/>
                <w:color w:val="auto"/>
                <w:w w:val="84"/>
              </w:rPr>
              <w:t>1,047</w:t>
            </w:r>
          </w:p>
        </w:tc>
        <w:tc>
          <w:tcPr>
            <w:tcW w:w="460" w:type="dxa"/>
            <w:vAlign w:val="bottom"/>
          </w:tcPr>
          <w:p>
            <w:pPr>
              <w:spacing w:after="0"/>
              <w:rPr>
                <w:sz w:val="18"/>
                <w:szCs w:val="18"/>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2,819</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E5E5E5"/>
          </w:tcPr>
          <w:p>
            <w:pPr>
              <w:spacing w:after="0"/>
              <w:rPr>
                <w:sz w:val="20"/>
                <w:szCs w:val="20"/>
                <w:color w:val="auto"/>
              </w:rPr>
            </w:pPr>
            <w:r>
              <w:rPr>
                <w:rFonts w:ascii="Arial" w:cs="Arial" w:eastAsia="Arial" w:hAnsi="Arial"/>
                <w:sz w:val="18"/>
                <w:szCs w:val="18"/>
                <w:color w:val="auto"/>
              </w:rPr>
              <w:t>Maintenance</w:t>
            </w:r>
          </w:p>
        </w:tc>
        <w:tc>
          <w:tcPr>
            <w:tcW w:w="42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tcBorders>
              <w:righ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CPE (Drop Replacements)</w:t>
            </w:r>
          </w:p>
        </w:tc>
        <w:tc>
          <w:tcPr>
            <w:tcW w:w="420" w:type="dxa"/>
            <w:vAlign w:val="bottom"/>
          </w:tcPr>
          <w:p>
            <w:pPr>
              <w:spacing w:after="0"/>
              <w:rPr>
                <w:sz w:val="18"/>
                <w:szCs w:val="18"/>
                <w:color w:val="auto"/>
              </w:rPr>
            </w:pPr>
          </w:p>
        </w:tc>
        <w:tc>
          <w:tcPr>
            <w:tcW w:w="560" w:type="dxa"/>
            <w:vAlign w:val="bottom"/>
          </w:tcPr>
          <w:p>
            <w:pPr>
              <w:jc w:val="right"/>
              <w:ind w:right="74"/>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8"/>
                <w:szCs w:val="18"/>
                <w:color w:val="auto"/>
              </w:rPr>
            </w:pPr>
          </w:p>
        </w:tc>
        <w:tc>
          <w:tcPr>
            <w:tcW w:w="840" w:type="dxa"/>
            <w:vAlign w:val="bottom"/>
            <w:tcBorders>
              <w:right w:val="single" w:sz="8" w:color="auto"/>
            </w:tcBorders>
          </w:tcPr>
          <w:p>
            <w:pPr>
              <w:jc w:val="right"/>
              <w:ind w:right="354"/>
              <w:spacing w:after="0"/>
              <w:rPr>
                <w:sz w:val="20"/>
                <w:szCs w:val="20"/>
                <w:color w:val="auto"/>
              </w:rPr>
            </w:pPr>
            <w:r>
              <w:rPr>
                <w:rFonts w:ascii="Arial" w:cs="Arial" w:eastAsia="Arial" w:hAnsi="Arial"/>
                <w:sz w:val="18"/>
                <w:szCs w:val="18"/>
                <w:color w:val="auto"/>
              </w:rPr>
              <w:t>84</w:t>
            </w:r>
          </w:p>
        </w:tc>
        <w:tc>
          <w:tcPr>
            <w:tcW w:w="460" w:type="dxa"/>
            <w:vAlign w:val="bottom"/>
          </w:tcPr>
          <w:p>
            <w:pPr>
              <w:spacing w:after="0"/>
              <w:rPr>
                <w:sz w:val="18"/>
                <w:szCs w:val="18"/>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207</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Scalable Infrastructure</w:t>
            </w:r>
          </w:p>
        </w:tc>
        <w:tc>
          <w:tcPr>
            <w:tcW w:w="42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194</w:t>
            </w:r>
          </w:p>
        </w:tc>
        <w:tc>
          <w:tcPr>
            <w:tcW w:w="260" w:type="dxa"/>
            <w:vAlign w:val="bottom"/>
            <w:shd w:val="clear" w:color="auto" w:fill="E5E5E5"/>
          </w:tcPr>
          <w:p>
            <w:pPr>
              <w:spacing w:after="0"/>
              <w:rPr>
                <w:sz w:val="18"/>
                <w:szCs w:val="18"/>
                <w:color w:val="auto"/>
              </w:rPr>
            </w:pPr>
          </w:p>
        </w:tc>
        <w:tc>
          <w:tcPr>
            <w:tcW w:w="840" w:type="dxa"/>
            <w:vAlign w:val="bottom"/>
            <w:tcBorders>
              <w:right w:val="single" w:sz="8" w:color="auto"/>
            </w:tcBorders>
            <w:shd w:val="clear" w:color="auto" w:fill="E5E5E5"/>
          </w:tcPr>
          <w:p>
            <w:pPr>
              <w:jc w:val="right"/>
              <w:ind w:right="354"/>
              <w:spacing w:after="0"/>
              <w:rPr>
                <w:sz w:val="20"/>
                <w:szCs w:val="20"/>
                <w:color w:val="auto"/>
              </w:rPr>
            </w:pPr>
            <w:r>
              <w:rPr>
                <w:rFonts w:ascii="Arial" w:cs="Arial" w:eastAsia="Arial" w:hAnsi="Arial"/>
                <w:sz w:val="18"/>
                <w:szCs w:val="18"/>
                <w:color w:val="auto"/>
              </w:rPr>
              <w:t>140</w:t>
            </w: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411</w:t>
            </w:r>
          </w:p>
        </w:tc>
        <w:tc>
          <w:tcPr>
            <w:tcW w:w="3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Support Capital</w:t>
            </w:r>
          </w:p>
        </w:tc>
        <w:tc>
          <w:tcPr>
            <w:tcW w:w="420" w:type="dxa"/>
            <w:vAlign w:val="bottom"/>
          </w:tcPr>
          <w:p>
            <w:pPr>
              <w:spacing w:after="0"/>
              <w:rPr>
                <w:sz w:val="18"/>
                <w:szCs w:val="18"/>
                <w:color w:val="auto"/>
              </w:rPr>
            </w:pPr>
          </w:p>
        </w:tc>
        <w:tc>
          <w:tcPr>
            <w:tcW w:w="560" w:type="dxa"/>
            <w:vAlign w:val="bottom"/>
          </w:tcPr>
          <w:p>
            <w:pPr>
              <w:jc w:val="right"/>
              <w:ind w:right="74"/>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840" w:type="dxa"/>
            <w:vAlign w:val="bottom"/>
            <w:tcBorders>
              <w:right w:val="single" w:sz="8" w:color="auto"/>
            </w:tcBorders>
          </w:tcPr>
          <w:p>
            <w:pPr>
              <w:jc w:val="right"/>
              <w:ind w:right="354"/>
              <w:spacing w:after="0"/>
              <w:rPr>
                <w:sz w:val="20"/>
                <w:szCs w:val="20"/>
                <w:color w:val="auto"/>
              </w:rPr>
            </w:pPr>
            <w:r>
              <w:rPr>
                <w:rFonts w:ascii="Arial" w:cs="Arial" w:eastAsia="Arial" w:hAnsi="Arial"/>
                <w:sz w:val="18"/>
                <w:szCs w:val="18"/>
                <w:color w:val="auto"/>
              </w:rPr>
              <w:t>99</w:t>
            </w:r>
          </w:p>
        </w:tc>
        <w:tc>
          <w:tcPr>
            <w:tcW w:w="460" w:type="dxa"/>
            <w:vAlign w:val="bottom"/>
          </w:tcPr>
          <w:p>
            <w:pPr>
              <w:spacing w:after="0"/>
              <w:rPr>
                <w:sz w:val="18"/>
                <w:szCs w:val="18"/>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155</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Upgrades</w:t>
            </w:r>
          </w:p>
        </w:tc>
        <w:tc>
          <w:tcPr>
            <w:tcW w:w="42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81</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right w:val="single" w:sz="8" w:color="auto"/>
            </w:tcBorders>
            <w:shd w:val="clear" w:color="auto" w:fill="E5E5E5"/>
          </w:tcPr>
          <w:p>
            <w:pPr>
              <w:jc w:val="right"/>
              <w:ind w:right="354"/>
              <w:spacing w:after="0"/>
              <w:rPr>
                <w:sz w:val="20"/>
                <w:szCs w:val="20"/>
                <w:color w:val="auto"/>
              </w:rPr>
            </w:pPr>
            <w:r>
              <w:rPr>
                <w:rFonts w:ascii="Arial" w:cs="Arial" w:eastAsia="Arial" w:hAnsi="Arial"/>
                <w:sz w:val="18"/>
                <w:szCs w:val="18"/>
                <w:color w:val="auto"/>
              </w:rPr>
              <w:t>129</w:t>
            </w:r>
          </w:p>
        </w:tc>
        <w:tc>
          <w:tcPr>
            <w:tcW w:w="4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199</w:t>
            </w:r>
          </w:p>
        </w:tc>
        <w:tc>
          <w:tcPr>
            <w:tcW w:w="3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jc w:val="right"/>
              <w:ind w:right="74"/>
              <w:spacing w:after="0"/>
              <w:rPr>
                <w:sz w:val="20"/>
                <w:szCs w:val="20"/>
                <w:color w:val="auto"/>
              </w:rPr>
            </w:pPr>
            <w:r>
              <w:rPr>
                <w:rFonts w:ascii="Arial" w:cs="Arial" w:eastAsia="Arial" w:hAnsi="Arial"/>
                <w:sz w:val="18"/>
                <w:szCs w:val="18"/>
                <w:color w:val="auto"/>
              </w:rPr>
              <w:t>405</w:t>
            </w:r>
          </w:p>
        </w:tc>
        <w:tc>
          <w:tcPr>
            <w:tcW w:w="260" w:type="dxa"/>
            <w:vAlign w:val="bottom"/>
          </w:tcPr>
          <w:p>
            <w:pPr>
              <w:spacing w:after="0"/>
              <w:rPr>
                <w:sz w:val="18"/>
                <w:szCs w:val="18"/>
                <w:color w:val="auto"/>
              </w:rPr>
            </w:pPr>
          </w:p>
        </w:tc>
        <w:tc>
          <w:tcPr>
            <w:tcW w:w="840" w:type="dxa"/>
            <w:vAlign w:val="bottom"/>
            <w:tcBorders>
              <w:right w:val="single" w:sz="8" w:color="auto"/>
            </w:tcBorders>
          </w:tcPr>
          <w:p>
            <w:pPr>
              <w:jc w:val="right"/>
              <w:ind w:right="354"/>
              <w:spacing w:after="0"/>
              <w:rPr>
                <w:sz w:val="20"/>
                <w:szCs w:val="20"/>
                <w:color w:val="auto"/>
              </w:rPr>
            </w:pPr>
            <w:r>
              <w:rPr>
                <w:rFonts w:ascii="Arial" w:cs="Arial" w:eastAsia="Arial" w:hAnsi="Arial"/>
                <w:sz w:val="18"/>
                <w:szCs w:val="18"/>
                <w:color w:val="auto"/>
              </w:rPr>
              <w:t>452</w:t>
            </w:r>
          </w:p>
        </w:tc>
        <w:tc>
          <w:tcPr>
            <w:tcW w:w="460" w:type="dxa"/>
            <w:vAlign w:val="bottom"/>
          </w:tcPr>
          <w:p>
            <w:pPr>
              <w:spacing w:after="0"/>
              <w:rPr>
                <w:sz w:val="18"/>
                <w:szCs w:val="18"/>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972</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Discretionary</w:t>
            </w:r>
          </w:p>
        </w:tc>
        <w:tc>
          <w:tcPr>
            <w:tcW w:w="42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right w:val="single" w:sz="8" w:color="auto"/>
            </w:tcBorders>
            <w:shd w:val="clear" w:color="auto" w:fill="E5E5E5"/>
          </w:tcPr>
          <w:p>
            <w:pPr>
              <w:jc w:val="right"/>
              <w:ind w:right="354"/>
              <w:spacing w:after="0"/>
              <w:rPr>
                <w:sz w:val="20"/>
                <w:szCs w:val="20"/>
                <w:color w:val="auto"/>
              </w:rPr>
            </w:pPr>
            <w:r>
              <w:rPr>
                <w:rFonts w:ascii="Arial" w:cs="Arial" w:eastAsia="Arial" w:hAnsi="Arial"/>
                <w:sz w:val="18"/>
                <w:szCs w:val="18"/>
                <w:color w:val="auto"/>
              </w:rPr>
              <w:t>29</w:t>
            </w:r>
          </w:p>
        </w:tc>
        <w:tc>
          <w:tcPr>
            <w:tcW w:w="4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86</w:t>
            </w:r>
          </w:p>
        </w:tc>
        <w:tc>
          <w:tcPr>
            <w:tcW w:w="3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84"/>
              </w:rPr>
              <w:t>1,268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354"/>
              <w:spacing w:after="0"/>
              <w:rPr>
                <w:sz w:val="20"/>
                <w:szCs w:val="20"/>
                <w:color w:val="auto"/>
              </w:rPr>
            </w:pPr>
            <w:r>
              <w:rPr>
                <w:rFonts w:ascii="Arial" w:cs="Arial" w:eastAsia="Arial" w:hAnsi="Arial"/>
                <w:sz w:val="18"/>
                <w:szCs w:val="18"/>
                <w:color w:val="auto"/>
                <w:w w:val="84"/>
              </w:rPr>
              <w:t>1,528</w:t>
            </w:r>
          </w:p>
        </w:tc>
        <w:tc>
          <w:tcPr>
            <w:tcW w:w="4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3,877</w:t>
            </w:r>
          </w:p>
        </w:tc>
        <w:tc>
          <w:tcPr>
            <w:tcW w:w="3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4,623</w:t>
            </w: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left="460"/>
        <w:spacing w:after="0" w:line="291" w:lineRule="auto"/>
        <w:rPr>
          <w:sz w:val="20"/>
          <w:szCs w:val="20"/>
          <w:color w:val="auto"/>
        </w:rPr>
      </w:pPr>
      <w:r>
        <w:rPr>
          <w:rFonts w:ascii="Arial" w:cs="Arial" w:eastAsia="Arial" w:hAnsi="Arial"/>
          <w:sz w:val="16"/>
          <w:szCs w:val="16"/>
          <w:color w:val="auto"/>
        </w:rPr>
        <w:t>CPE includes costs incurred at the customer residence to secure new customers, revenue units and additional bandwidth revenues (e.g. digital converters). Scalable infrastructure includes costs, not CPE or network related, to secure growth of new customers, revenue units and additional bandwidth revenues or provide service enhancements (e.g. headend equipment). Line extensions include network costs associated with entering new service areas (e.g. fiber/coaxial cable). Support capital includes costs associated with the replacement or enhancement of non-network assets due to obsolescence and wear out (e.g. non-network equipment, land, buildings and vehicles). Upgrades include costs to enhance or replace existing fiber/coaxial cable networks, including network improvements. Business Services includes fiber/coax extension, electronics, CPE and costs to secure new customers.</w:t>
      </w:r>
    </w:p>
    <w:p>
      <w:pPr>
        <w:spacing w:after="0" w:line="39" w:lineRule="exact"/>
        <w:rPr>
          <w:sz w:val="20"/>
          <w:szCs w:val="20"/>
          <w:color w:val="auto"/>
        </w:rPr>
      </w:pPr>
    </w:p>
    <w:p>
      <w:pPr>
        <w:jc w:val="both"/>
        <w:ind w:left="460"/>
        <w:spacing w:after="0" w:line="255" w:lineRule="auto"/>
        <w:rPr>
          <w:sz w:val="20"/>
          <w:szCs w:val="20"/>
          <w:color w:val="auto"/>
        </w:rPr>
      </w:pPr>
      <w:r>
        <w:rPr>
          <w:rFonts w:ascii="Arial" w:cs="Arial" w:eastAsia="Arial" w:hAnsi="Arial"/>
          <w:sz w:val="18"/>
          <w:szCs w:val="18"/>
          <w:color w:val="auto"/>
        </w:rPr>
        <w:t>Management evaluates capital expenditures by categorizing investments into three groups: Growth, Maintenance and Discretionary. Growth is directly tied to revenue generation and represents the costs required to secure new customers, revenue units or additional bandwidth revenues. Maintenance includes investments that allow the company to maintain its competitive position and provide a foundation for growth. Discretionary includes investments that lay the groundwork for future products and services, such as our investments in interactive advertising, cross-platform product development or switched digital video.</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052" w:right="239" w:bottom="0" w:gutter="0" w:footer="0" w:header="0"/>
        </w:sectPr>
      </w:pPr>
    </w:p>
    <w:bookmarkStart w:id="12" w:name="page13"/>
    <w:bookmarkEnd w:id="12"/>
    <w:p>
      <w:pPr>
        <w:spacing w:after="0" w:line="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183515</wp:posOffset>
            </wp:positionV>
            <wp:extent cx="1475105" cy="411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114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TABLE 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Pro Forma Data – Cable Segment Components</w:t>
      </w:r>
    </w:p>
    <w:p>
      <w:pPr>
        <w:jc w:val="center"/>
        <w:spacing w:after="0"/>
        <w:rPr>
          <w:sz w:val="20"/>
          <w:szCs w:val="20"/>
          <w:color w:val="auto"/>
        </w:rPr>
      </w:pPr>
      <w:r>
        <w:rPr>
          <w:rFonts w:ascii="Arial" w:cs="Arial" w:eastAsia="Arial" w:hAnsi="Arial"/>
          <w:sz w:val="22"/>
          <w:szCs w:val="22"/>
          <w:b w:val="1"/>
          <w:bCs w:val="1"/>
          <w:color w:val="auto"/>
        </w:rPr>
        <w:t xml:space="preserve">(Unaudited) </w:t>
      </w:r>
      <w:r>
        <w:rPr>
          <w:rFonts w:ascii="Arial" w:cs="Arial" w:eastAsia="Arial" w:hAnsi="Arial"/>
          <w:sz w:val="11"/>
          <w:szCs w:val="11"/>
          <w:b w:val="1"/>
          <w:bCs w:val="1"/>
          <w:color w:val="auto"/>
        </w:rPr>
        <w:t>(1) (2)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120" w:type="dxa"/>
            <w:vAlign w:val="bottom"/>
            <w:gridSpan w:val="2"/>
          </w:tcPr>
          <w:p>
            <w:pPr>
              <w:jc w:val="right"/>
              <w:ind w:right="314"/>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5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120" w:type="dxa"/>
            <w:vAlign w:val="bottom"/>
            <w:gridSpan w:val="2"/>
          </w:tcPr>
          <w:p>
            <w:pPr>
              <w:jc w:val="right"/>
              <w:ind w:right="514"/>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5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7480" w:type="dxa"/>
            <w:vAlign w:val="bottom"/>
            <w:gridSpan w:val="2"/>
          </w:tcPr>
          <w:p>
            <w:pPr>
              <w:spacing w:after="0" w:line="142" w:lineRule="exact"/>
              <w:rPr>
                <w:sz w:val="20"/>
                <w:szCs w:val="20"/>
                <w:color w:val="auto"/>
              </w:rPr>
            </w:pPr>
            <w:r>
              <w:rPr>
                <w:rFonts w:ascii="Arial" w:cs="Arial" w:eastAsia="Arial" w:hAnsi="Arial"/>
                <w:sz w:val="14"/>
                <w:szCs w:val="14"/>
                <w:color w:val="auto"/>
              </w:rPr>
              <w:t>(dollars in millions, except per subscriber data)</w:t>
            </w:r>
          </w:p>
        </w:tc>
        <w:tc>
          <w:tcPr>
            <w:tcW w:w="112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2008</w:t>
            </w:r>
          </w:p>
        </w:tc>
        <w:tc>
          <w:tcPr>
            <w:tcW w:w="10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Revenues:</w:t>
            </w:r>
          </w:p>
        </w:tc>
        <w:tc>
          <w:tcPr>
            <w:tcW w:w="112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line="217" w:lineRule="exact"/>
              <w:rPr>
                <w:sz w:val="20"/>
                <w:szCs w:val="20"/>
                <w:color w:val="auto"/>
              </w:rPr>
            </w:pPr>
            <w:r>
              <w:rPr>
                <w:rFonts w:ascii="Arial" w:cs="Arial" w:eastAsia="Arial" w:hAnsi="Arial"/>
                <w:sz w:val="18"/>
                <w:szCs w:val="18"/>
                <w:color w:val="auto"/>
              </w:rPr>
              <w:t xml:space="preserve">Video </w:t>
            </w:r>
            <w:r>
              <w:rPr>
                <w:rFonts w:ascii="Arial" w:cs="Arial" w:eastAsia="Arial" w:hAnsi="Arial"/>
                <w:sz w:val="22"/>
                <w:szCs w:val="22"/>
                <w:color w:val="auto"/>
                <w:vertAlign w:val="superscript"/>
              </w:rPr>
              <w:t>(3)</w:t>
            </w:r>
          </w:p>
        </w:tc>
        <w:tc>
          <w:tcPr>
            <w:tcW w:w="1120" w:type="dxa"/>
            <w:vAlign w:val="bottom"/>
          </w:tcPr>
          <w:p>
            <w:pPr>
              <w:jc w:val="right"/>
              <w:ind w:right="157"/>
              <w:spacing w:after="0"/>
              <w:rPr>
                <w:sz w:val="20"/>
                <w:szCs w:val="20"/>
                <w:color w:val="auto"/>
              </w:rPr>
            </w:pPr>
            <w:r>
              <w:rPr>
                <w:rFonts w:ascii="Arial" w:cs="Arial" w:eastAsia="Arial" w:hAnsi="Arial"/>
                <w:sz w:val="18"/>
                <w:szCs w:val="18"/>
                <w:color w:val="auto"/>
              </w:rPr>
              <w:t>$ 4,681</w:t>
            </w: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$ 4,519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7"/>
              <w:spacing w:after="0"/>
              <w:rPr>
                <w:sz w:val="20"/>
                <w:szCs w:val="20"/>
                <w:color w:val="auto"/>
              </w:rPr>
            </w:pPr>
            <w:r>
              <w:rPr>
                <w:rFonts w:ascii="Arial" w:cs="Arial" w:eastAsia="Arial" w:hAnsi="Arial"/>
                <w:sz w:val="18"/>
                <w:szCs w:val="18"/>
                <w:color w:val="auto"/>
                <w:w w:val="87"/>
              </w:rPr>
              <w:t>14,113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High-speed Internet</w:t>
            </w:r>
          </w:p>
        </w:tc>
        <w:tc>
          <w:tcPr>
            <w:tcW w:w="112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1,822</w:t>
            </w:r>
          </w:p>
        </w:tc>
        <w:tc>
          <w:tcPr>
            <w:tcW w:w="10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1,666</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5,364</w:t>
            </w:r>
          </w:p>
        </w:tc>
        <w:tc>
          <w:tcPr>
            <w:tcW w:w="3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Phone</w:t>
            </w:r>
          </w:p>
        </w:tc>
        <w:tc>
          <w:tcPr>
            <w:tcW w:w="1120" w:type="dxa"/>
            <w:vAlign w:val="bottom"/>
          </w:tcPr>
          <w:p>
            <w:pPr>
              <w:jc w:val="right"/>
              <w:ind w:right="157"/>
              <w:spacing w:after="0"/>
              <w:rPr>
                <w:sz w:val="20"/>
                <w:szCs w:val="20"/>
                <w:color w:val="auto"/>
              </w:rPr>
            </w:pPr>
            <w:r>
              <w:rPr>
                <w:rFonts w:ascii="Arial" w:cs="Arial" w:eastAsia="Arial" w:hAnsi="Arial"/>
                <w:sz w:val="18"/>
                <w:szCs w:val="18"/>
                <w:color w:val="auto"/>
              </w:rPr>
              <w:t>690</w:t>
            </w: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479</w:t>
            </w:r>
          </w:p>
        </w:tc>
        <w:tc>
          <w:tcPr>
            <w:tcW w:w="300" w:type="dxa"/>
            <w:vAlign w:val="bottom"/>
          </w:tcPr>
          <w:p>
            <w:pPr>
              <w:spacing w:after="0"/>
              <w:rPr>
                <w:sz w:val="18"/>
                <w:szCs w:val="18"/>
                <w:color w:val="auto"/>
              </w:rPr>
            </w:pPr>
          </w:p>
        </w:tc>
        <w:tc>
          <w:tcPr>
            <w:tcW w:w="720" w:type="dxa"/>
            <w:vAlign w:val="bottom"/>
          </w:tcPr>
          <w:p>
            <w:pPr>
              <w:jc w:val="right"/>
              <w:ind w:right="137"/>
              <w:spacing w:after="0"/>
              <w:rPr>
                <w:sz w:val="20"/>
                <w:szCs w:val="20"/>
                <w:color w:val="auto"/>
              </w:rPr>
            </w:pPr>
            <w:r>
              <w:rPr>
                <w:rFonts w:ascii="Arial" w:cs="Arial" w:eastAsia="Arial" w:hAnsi="Arial"/>
                <w:sz w:val="18"/>
                <w:szCs w:val="18"/>
                <w:color w:val="auto"/>
              </w:rPr>
              <w:t>1,917</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Advertising</w:t>
            </w:r>
          </w:p>
        </w:tc>
        <w:tc>
          <w:tcPr>
            <w:tcW w:w="112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374</w:t>
            </w:r>
          </w:p>
        </w:tc>
        <w:tc>
          <w:tcPr>
            <w:tcW w:w="10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417</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1,117</w:t>
            </w:r>
          </w:p>
        </w:tc>
        <w:tc>
          <w:tcPr>
            <w:tcW w:w="3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line="217"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2"/>
                <w:szCs w:val="22"/>
                <w:color w:val="auto"/>
                <w:vertAlign w:val="superscript"/>
              </w:rPr>
              <w:t>(4)</w:t>
            </w:r>
          </w:p>
        </w:tc>
        <w:tc>
          <w:tcPr>
            <w:tcW w:w="1120" w:type="dxa"/>
            <w:vAlign w:val="bottom"/>
          </w:tcPr>
          <w:p>
            <w:pPr>
              <w:jc w:val="right"/>
              <w:ind w:right="157"/>
              <w:spacing w:after="0"/>
              <w:rPr>
                <w:sz w:val="20"/>
                <w:szCs w:val="20"/>
                <w:color w:val="auto"/>
              </w:rPr>
            </w:pPr>
            <w:r>
              <w:rPr>
                <w:rFonts w:ascii="Arial" w:cs="Arial" w:eastAsia="Arial" w:hAnsi="Arial"/>
                <w:sz w:val="18"/>
                <w:szCs w:val="18"/>
                <w:color w:val="auto"/>
              </w:rPr>
              <w:t>336</w:t>
            </w: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299</w:t>
            </w:r>
          </w:p>
        </w:tc>
        <w:tc>
          <w:tcPr>
            <w:tcW w:w="300" w:type="dxa"/>
            <w:vAlign w:val="bottom"/>
          </w:tcPr>
          <w:p>
            <w:pPr>
              <w:spacing w:after="0"/>
              <w:rPr>
                <w:sz w:val="18"/>
                <w:szCs w:val="18"/>
                <w:color w:val="auto"/>
              </w:rPr>
            </w:pPr>
          </w:p>
        </w:tc>
        <w:tc>
          <w:tcPr>
            <w:tcW w:w="720" w:type="dxa"/>
            <w:vAlign w:val="bottom"/>
          </w:tcPr>
          <w:p>
            <w:pPr>
              <w:jc w:val="right"/>
              <w:ind w:right="137"/>
              <w:spacing w:after="0"/>
              <w:rPr>
                <w:sz w:val="20"/>
                <w:szCs w:val="20"/>
                <w:color w:val="auto"/>
              </w:rPr>
            </w:pPr>
            <w:r>
              <w:rPr>
                <w:rFonts w:ascii="Arial" w:cs="Arial" w:eastAsia="Arial" w:hAnsi="Arial"/>
                <w:sz w:val="18"/>
                <w:szCs w:val="18"/>
                <w:color w:val="auto"/>
              </w:rPr>
              <w:t>957</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Franchise fees</w:t>
            </w:r>
          </w:p>
        </w:tc>
        <w:tc>
          <w:tcPr>
            <w:tcW w:w="112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228</w:t>
            </w:r>
          </w:p>
        </w:tc>
        <w:tc>
          <w:tcPr>
            <w:tcW w:w="100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213</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679</w:t>
            </w:r>
          </w:p>
        </w:tc>
        <w:tc>
          <w:tcPr>
            <w:tcW w:w="3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Total Revenues *</w:t>
            </w:r>
          </w:p>
        </w:tc>
        <w:tc>
          <w:tcPr>
            <w:tcW w:w="1120" w:type="dxa"/>
            <w:vAlign w:val="bottom"/>
          </w:tcPr>
          <w:p>
            <w:pPr>
              <w:jc w:val="right"/>
              <w:ind w:right="157"/>
              <w:spacing w:after="0"/>
              <w:rPr>
                <w:sz w:val="20"/>
                <w:szCs w:val="20"/>
                <w:color w:val="auto"/>
              </w:rPr>
            </w:pPr>
            <w:r>
              <w:rPr>
                <w:rFonts w:ascii="Arial" w:cs="Arial" w:eastAsia="Arial" w:hAnsi="Arial"/>
                <w:sz w:val="18"/>
                <w:szCs w:val="18"/>
                <w:color w:val="auto"/>
              </w:rPr>
              <w:t>$ 8,131</w:t>
            </w: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$ 7,593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7"/>
              <w:spacing w:after="0"/>
              <w:rPr>
                <w:sz w:val="20"/>
                <w:szCs w:val="20"/>
                <w:color w:val="auto"/>
              </w:rPr>
            </w:pPr>
            <w:r>
              <w:rPr>
                <w:rFonts w:ascii="Arial" w:cs="Arial" w:eastAsia="Arial" w:hAnsi="Arial"/>
                <w:sz w:val="18"/>
                <w:szCs w:val="18"/>
                <w:color w:val="auto"/>
                <w:w w:val="87"/>
              </w:rPr>
              <w:t>24,147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112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$ 3,251</w:t>
            </w:r>
          </w:p>
        </w:tc>
        <w:tc>
          <w:tcPr>
            <w:tcW w:w="10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$ 3,050</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9,755</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9,050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Operating Income</w:t>
            </w:r>
          </w:p>
        </w:tc>
        <w:tc>
          <w:tcPr>
            <w:tcW w:w="1120" w:type="dxa"/>
            <w:vAlign w:val="bottom"/>
          </w:tcPr>
          <w:p>
            <w:pPr>
              <w:jc w:val="right"/>
              <w:ind w:right="157"/>
              <w:spacing w:after="0"/>
              <w:rPr>
                <w:sz w:val="20"/>
                <w:szCs w:val="20"/>
                <w:color w:val="auto"/>
              </w:rPr>
            </w:pPr>
            <w:r>
              <w:rPr>
                <w:rFonts w:ascii="Arial" w:cs="Arial" w:eastAsia="Arial" w:hAnsi="Arial"/>
                <w:sz w:val="18"/>
                <w:szCs w:val="18"/>
                <w:color w:val="auto"/>
              </w:rPr>
              <w:t>$ 1,749</w:t>
            </w: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$ 1,541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7"/>
              <w:spacing w:after="0"/>
              <w:rPr>
                <w:sz w:val="20"/>
                <w:szCs w:val="20"/>
                <w:color w:val="auto"/>
              </w:rPr>
            </w:pPr>
            <w:r>
              <w:rPr>
                <w:rFonts w:ascii="Arial" w:cs="Arial" w:eastAsia="Arial" w:hAnsi="Arial"/>
                <w:sz w:val="18"/>
                <w:szCs w:val="18"/>
                <w:color w:val="auto"/>
              </w:rPr>
              <w:t>5,168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4,554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 Margin</w:t>
            </w:r>
          </w:p>
        </w:tc>
        <w:tc>
          <w:tcPr>
            <w:tcW w:w="112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40.0%</w:t>
            </w:r>
          </w:p>
        </w:tc>
        <w:tc>
          <w:tcPr>
            <w:tcW w:w="10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40.2%</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w w:val="93"/>
              </w:rPr>
              <w:t>40.4%</w:t>
            </w:r>
          </w:p>
        </w:tc>
        <w:tc>
          <w:tcPr>
            <w:tcW w:w="3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0"/>
              </w:rPr>
              <w:t>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Capital Expenditures</w:t>
            </w:r>
          </w:p>
        </w:tc>
        <w:tc>
          <w:tcPr>
            <w:tcW w:w="1120" w:type="dxa"/>
            <w:vAlign w:val="bottom"/>
          </w:tcPr>
          <w:p>
            <w:pPr>
              <w:jc w:val="right"/>
              <w:ind w:right="157"/>
              <w:spacing w:after="0"/>
              <w:rPr>
                <w:sz w:val="20"/>
                <w:szCs w:val="20"/>
                <w:color w:val="auto"/>
              </w:rPr>
            </w:pPr>
            <w:r>
              <w:rPr>
                <w:rFonts w:ascii="Arial" w:cs="Arial" w:eastAsia="Arial" w:hAnsi="Arial"/>
                <w:sz w:val="18"/>
                <w:szCs w:val="18"/>
                <w:color w:val="auto"/>
              </w:rPr>
              <w:t>$ 1,268</w:t>
            </w: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$ 1,528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7"/>
              <w:spacing w:after="0"/>
              <w:rPr>
                <w:sz w:val="20"/>
                <w:szCs w:val="20"/>
                <w:color w:val="auto"/>
              </w:rPr>
            </w:pPr>
            <w:r>
              <w:rPr>
                <w:rFonts w:ascii="Arial" w:cs="Arial" w:eastAsia="Arial" w:hAnsi="Arial"/>
                <w:sz w:val="18"/>
                <w:szCs w:val="18"/>
                <w:color w:val="auto"/>
              </w:rPr>
              <w:t>3,877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4,623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Revenues include revenue from Business Services of $145 million in 3Q08 and $102 million in 3Q07, and $396 million in YTD 2008 and $285 million in YTD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3"/>
              </w:rPr>
              <w:t>3Q08</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9"/>
              </w:rPr>
              <w:t>2Q08</w:t>
            </w: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9"/>
              </w:rPr>
              <w:t>3Q07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Video</w:t>
            </w:r>
          </w:p>
        </w:tc>
        <w:tc>
          <w:tcPr>
            <w:tcW w:w="4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Homes Passed (000’s)</w:t>
            </w:r>
          </w:p>
        </w:tc>
        <w:tc>
          <w:tcPr>
            <w:tcW w:w="480" w:type="dxa"/>
            <w:vAlign w:val="bottom"/>
          </w:tcPr>
          <w:p>
            <w:pPr>
              <w:spacing w:after="0"/>
              <w:rPr>
                <w:sz w:val="18"/>
                <w:szCs w:val="18"/>
                <w:color w:val="auto"/>
              </w:rPr>
            </w:pPr>
          </w:p>
        </w:tc>
        <w:tc>
          <w:tcPr>
            <w:tcW w:w="820" w:type="dxa"/>
            <w:vAlign w:val="bottom"/>
          </w:tcPr>
          <w:p>
            <w:pPr>
              <w:jc w:val="right"/>
              <w:ind w:right="253"/>
              <w:spacing w:after="0"/>
              <w:rPr>
                <w:sz w:val="20"/>
                <w:szCs w:val="20"/>
                <w:color w:val="auto"/>
              </w:rPr>
            </w:pPr>
            <w:r>
              <w:rPr>
                <w:rFonts w:ascii="Arial" w:cs="Arial" w:eastAsia="Arial" w:hAnsi="Arial"/>
                <w:sz w:val="18"/>
                <w:szCs w:val="18"/>
                <w:color w:val="auto"/>
                <w:w w:val="83"/>
              </w:rPr>
              <w:t>50,329</w:t>
            </w:r>
          </w:p>
        </w:tc>
        <w:tc>
          <w:tcPr>
            <w:tcW w:w="28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w w:val="83"/>
              </w:rPr>
              <w:t>50,096</w:t>
            </w:r>
          </w:p>
        </w:tc>
        <w:tc>
          <w:tcPr>
            <w:tcW w:w="28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w w:val="87"/>
              </w:rPr>
              <w:t>49,457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5E5E5"/>
          </w:tcPr>
          <w:p>
            <w:pPr>
              <w:spacing w:after="0"/>
              <w:rPr>
                <w:sz w:val="20"/>
                <w:szCs w:val="20"/>
                <w:color w:val="auto"/>
              </w:rPr>
            </w:pPr>
            <w:r>
              <w:rPr>
                <w:rFonts w:ascii="Arial" w:cs="Arial" w:eastAsia="Arial" w:hAnsi="Arial"/>
                <w:sz w:val="18"/>
                <w:szCs w:val="18"/>
                <w:color w:val="auto"/>
              </w:rPr>
              <w:t>Basic Subscribers (000’s)</w:t>
            </w:r>
          </w:p>
        </w:tc>
        <w:tc>
          <w:tcPr>
            <w:tcW w:w="4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w w:val="83"/>
              </w:rPr>
              <w:t>24,406</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w w:val="83"/>
              </w:rPr>
              <w:t>24,553</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7"/>
              </w:rPr>
              <w:t>24,848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Basic Penetration</w:t>
            </w:r>
          </w:p>
        </w:tc>
        <w:tc>
          <w:tcPr>
            <w:tcW w:w="480" w:type="dxa"/>
            <w:vAlign w:val="bottom"/>
          </w:tcPr>
          <w:p>
            <w:pPr>
              <w:spacing w:after="0"/>
              <w:rPr>
                <w:sz w:val="18"/>
                <w:szCs w:val="18"/>
                <w:color w:val="auto"/>
              </w:rPr>
            </w:pPr>
          </w:p>
        </w:tc>
        <w:tc>
          <w:tcPr>
            <w:tcW w:w="820" w:type="dxa"/>
            <w:vAlign w:val="bottom"/>
          </w:tcPr>
          <w:p>
            <w:pPr>
              <w:jc w:val="right"/>
              <w:ind w:right="113"/>
              <w:spacing w:after="0"/>
              <w:rPr>
                <w:sz w:val="20"/>
                <w:szCs w:val="20"/>
                <w:color w:val="auto"/>
              </w:rPr>
            </w:pPr>
            <w:r>
              <w:rPr>
                <w:rFonts w:ascii="Arial" w:cs="Arial" w:eastAsia="Arial" w:hAnsi="Arial"/>
                <w:sz w:val="18"/>
                <w:szCs w:val="18"/>
                <w:color w:val="auto"/>
              </w:rPr>
              <w:t>48.5%</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49.0%</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5E5E5"/>
          </w:tcPr>
          <w:p>
            <w:pPr>
              <w:spacing w:after="0"/>
              <w:rPr>
                <w:sz w:val="20"/>
                <w:szCs w:val="20"/>
                <w:color w:val="auto"/>
              </w:rPr>
            </w:pPr>
            <w:r>
              <w:rPr>
                <w:rFonts w:ascii="Arial" w:cs="Arial" w:eastAsia="Arial" w:hAnsi="Arial"/>
                <w:sz w:val="18"/>
                <w:szCs w:val="18"/>
                <w:color w:val="auto"/>
              </w:rPr>
              <w:t>Quarterly Net Basic Subscriber Additions (000’s)</w:t>
            </w:r>
          </w:p>
        </w:tc>
        <w:tc>
          <w:tcPr>
            <w:tcW w:w="4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(138)</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22"/>
        </w:trPr>
        <w:tc>
          <w:tcPr>
            <w:tcW w:w="5800" w:type="dxa"/>
            <w:vAlign w:val="bottom"/>
            <w:gridSpan w:val="2"/>
          </w:tcPr>
          <w:p>
            <w:pPr>
              <w:spacing w:after="0"/>
              <w:rPr>
                <w:sz w:val="20"/>
                <w:szCs w:val="20"/>
                <w:color w:val="auto"/>
              </w:rPr>
            </w:pPr>
            <w:r>
              <w:rPr>
                <w:rFonts w:ascii="Arial" w:cs="Arial" w:eastAsia="Arial" w:hAnsi="Arial"/>
                <w:sz w:val="18"/>
                <w:szCs w:val="18"/>
                <w:color w:val="auto"/>
              </w:rPr>
              <w:t>Digital Subscribers (000’s)</w:t>
            </w:r>
          </w:p>
        </w:tc>
        <w:tc>
          <w:tcPr>
            <w:tcW w:w="480" w:type="dxa"/>
            <w:vAlign w:val="bottom"/>
          </w:tcPr>
          <w:p>
            <w:pPr>
              <w:spacing w:after="0"/>
              <w:rPr>
                <w:sz w:val="24"/>
                <w:szCs w:val="24"/>
                <w:color w:val="auto"/>
              </w:rPr>
            </w:pPr>
          </w:p>
        </w:tc>
        <w:tc>
          <w:tcPr>
            <w:tcW w:w="820" w:type="dxa"/>
            <w:vAlign w:val="bottom"/>
          </w:tcPr>
          <w:p>
            <w:pPr>
              <w:jc w:val="right"/>
              <w:ind w:right="253"/>
              <w:spacing w:after="0"/>
              <w:rPr>
                <w:sz w:val="20"/>
                <w:szCs w:val="20"/>
                <w:color w:val="auto"/>
              </w:rPr>
            </w:pPr>
            <w:r>
              <w:rPr>
                <w:rFonts w:ascii="Arial" w:cs="Arial" w:eastAsia="Arial" w:hAnsi="Arial"/>
                <w:sz w:val="18"/>
                <w:szCs w:val="18"/>
                <w:color w:val="auto"/>
                <w:w w:val="83"/>
              </w:rPr>
              <w:t>16,752</w:t>
            </w:r>
          </w:p>
        </w:tc>
        <w:tc>
          <w:tcPr>
            <w:tcW w:w="280" w:type="dxa"/>
            <w:vAlign w:val="bottom"/>
          </w:tcPr>
          <w:p>
            <w:pPr>
              <w:spacing w:after="0"/>
              <w:rPr>
                <w:sz w:val="24"/>
                <w:szCs w:val="24"/>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w w:val="83"/>
              </w:rPr>
              <w:t>16,335</w:t>
            </w:r>
          </w:p>
        </w:tc>
        <w:tc>
          <w:tcPr>
            <w:tcW w:w="280" w:type="dxa"/>
            <w:vAlign w:val="bottom"/>
          </w:tcPr>
          <w:p>
            <w:pPr>
              <w:spacing w:after="0"/>
              <w:rPr>
                <w:sz w:val="24"/>
                <w:szCs w:val="24"/>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w w:val="87"/>
              </w:rPr>
              <w:t>14,991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shd w:val="clear" w:color="auto" w:fill="E5E5E5"/>
          </w:tcPr>
          <w:p>
            <w:pPr>
              <w:spacing w:after="0"/>
              <w:rPr>
                <w:sz w:val="20"/>
                <w:szCs w:val="20"/>
                <w:color w:val="auto"/>
              </w:rPr>
            </w:pPr>
            <w:r>
              <w:rPr>
                <w:rFonts w:ascii="Arial" w:cs="Arial" w:eastAsia="Arial" w:hAnsi="Arial"/>
                <w:sz w:val="18"/>
                <w:szCs w:val="18"/>
                <w:color w:val="auto"/>
              </w:rPr>
              <w:t>Digital Penetration</w:t>
            </w:r>
          </w:p>
        </w:tc>
        <w:tc>
          <w:tcPr>
            <w:tcW w:w="4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68.6%</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66.5%</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Quarterly Net Digital Subscriber Additions (000’s)</w:t>
            </w:r>
          </w:p>
        </w:tc>
        <w:tc>
          <w:tcPr>
            <w:tcW w:w="480" w:type="dxa"/>
            <w:vAlign w:val="bottom"/>
          </w:tcPr>
          <w:p>
            <w:pPr>
              <w:spacing w:after="0"/>
              <w:rPr>
                <w:sz w:val="18"/>
                <w:szCs w:val="18"/>
                <w:color w:val="auto"/>
              </w:rPr>
            </w:pPr>
          </w:p>
        </w:tc>
        <w:tc>
          <w:tcPr>
            <w:tcW w:w="820" w:type="dxa"/>
            <w:vAlign w:val="bottom"/>
          </w:tcPr>
          <w:p>
            <w:pPr>
              <w:jc w:val="right"/>
              <w:ind w:right="253"/>
              <w:spacing w:after="0"/>
              <w:rPr>
                <w:sz w:val="20"/>
                <w:szCs w:val="20"/>
                <w:color w:val="auto"/>
              </w:rPr>
            </w:pPr>
            <w:r>
              <w:rPr>
                <w:rFonts w:ascii="Arial" w:cs="Arial" w:eastAsia="Arial" w:hAnsi="Arial"/>
                <w:sz w:val="18"/>
                <w:szCs w:val="18"/>
                <w:color w:val="auto"/>
              </w:rPr>
              <w:t>417</w:t>
            </w:r>
          </w:p>
        </w:tc>
        <w:tc>
          <w:tcPr>
            <w:tcW w:w="28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320</w:t>
            </w:r>
          </w:p>
        </w:tc>
        <w:tc>
          <w:tcPr>
            <w:tcW w:w="28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5E5E5"/>
          </w:tcPr>
          <w:p>
            <w:pPr>
              <w:spacing w:after="0"/>
              <w:rPr>
                <w:sz w:val="20"/>
                <w:szCs w:val="20"/>
                <w:color w:val="auto"/>
              </w:rPr>
            </w:pPr>
            <w:r>
              <w:rPr>
                <w:rFonts w:ascii="Arial" w:cs="Arial" w:eastAsia="Arial" w:hAnsi="Arial"/>
                <w:sz w:val="18"/>
                <w:szCs w:val="18"/>
                <w:color w:val="auto"/>
              </w:rPr>
              <w:t>Digital Set-Top Boxes</w:t>
            </w:r>
          </w:p>
        </w:tc>
        <w:tc>
          <w:tcPr>
            <w:tcW w:w="4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w w:val="83"/>
              </w:rPr>
              <w:t>27,060</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w w:val="83"/>
              </w:rPr>
              <w:t>26,345</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7"/>
              </w:rPr>
              <w:t>24,117</w:t>
            </w:r>
          </w:p>
        </w:tc>
        <w:tc>
          <w:tcPr>
            <w:tcW w:w="0" w:type="dxa"/>
            <w:vAlign w:val="bottom"/>
          </w:tcPr>
          <w:p>
            <w:pPr>
              <w:spacing w:after="0"/>
              <w:rPr>
                <w:sz w:val="1"/>
                <w:szCs w:val="1"/>
                <w:color w:val="auto"/>
              </w:rPr>
            </w:pPr>
          </w:p>
        </w:tc>
      </w:tr>
      <w:tr>
        <w:trPr>
          <w:trHeight w:val="322"/>
        </w:trPr>
        <w:tc>
          <w:tcPr>
            <w:tcW w:w="5800" w:type="dxa"/>
            <w:vAlign w:val="bottom"/>
            <w:gridSpan w:val="2"/>
          </w:tcPr>
          <w:p>
            <w:pPr>
              <w:spacing w:after="0"/>
              <w:rPr>
                <w:sz w:val="20"/>
                <w:szCs w:val="20"/>
                <w:color w:val="auto"/>
              </w:rPr>
            </w:pPr>
            <w:r>
              <w:rPr>
                <w:rFonts w:ascii="Arial" w:cs="Arial" w:eastAsia="Arial" w:hAnsi="Arial"/>
                <w:sz w:val="18"/>
                <w:szCs w:val="18"/>
                <w:color w:val="auto"/>
              </w:rPr>
              <w:t>Monthly Average Video Revenue per Basic Subscriber</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53"/>
              <w:spacing w:after="0"/>
              <w:rPr>
                <w:sz w:val="20"/>
                <w:szCs w:val="20"/>
                <w:color w:val="auto"/>
              </w:rPr>
            </w:pPr>
            <w:r>
              <w:rPr>
                <w:rFonts w:ascii="Arial" w:cs="Arial" w:eastAsia="Arial" w:hAnsi="Arial"/>
                <w:sz w:val="18"/>
                <w:szCs w:val="18"/>
                <w:color w:val="auto"/>
              </w:rPr>
              <w:t>63.74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63.98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60.54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High-Speed Internet</w:t>
            </w:r>
          </w:p>
        </w:tc>
        <w:tc>
          <w:tcPr>
            <w:tcW w:w="4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“Available” Homes (000’s)</w:t>
            </w:r>
          </w:p>
        </w:tc>
        <w:tc>
          <w:tcPr>
            <w:tcW w:w="480" w:type="dxa"/>
            <w:vAlign w:val="bottom"/>
          </w:tcPr>
          <w:p>
            <w:pPr>
              <w:spacing w:after="0"/>
              <w:rPr>
                <w:sz w:val="18"/>
                <w:szCs w:val="18"/>
                <w:color w:val="auto"/>
              </w:rPr>
            </w:pPr>
          </w:p>
        </w:tc>
        <w:tc>
          <w:tcPr>
            <w:tcW w:w="820" w:type="dxa"/>
            <w:vAlign w:val="bottom"/>
          </w:tcPr>
          <w:p>
            <w:pPr>
              <w:jc w:val="right"/>
              <w:ind w:right="253"/>
              <w:spacing w:after="0"/>
              <w:rPr>
                <w:sz w:val="20"/>
                <w:szCs w:val="20"/>
                <w:color w:val="auto"/>
              </w:rPr>
            </w:pPr>
            <w:r>
              <w:rPr>
                <w:rFonts w:ascii="Arial" w:cs="Arial" w:eastAsia="Arial" w:hAnsi="Arial"/>
                <w:sz w:val="18"/>
                <w:szCs w:val="18"/>
                <w:color w:val="auto"/>
                <w:w w:val="83"/>
              </w:rPr>
              <w:t>49,982</w:t>
            </w:r>
          </w:p>
        </w:tc>
        <w:tc>
          <w:tcPr>
            <w:tcW w:w="28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w w:val="83"/>
              </w:rPr>
              <w:t>49,745</w:t>
            </w:r>
          </w:p>
        </w:tc>
        <w:tc>
          <w:tcPr>
            <w:tcW w:w="28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w w:val="87"/>
              </w:rPr>
              <w:t>49,081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5E5E5"/>
          </w:tcPr>
          <w:p>
            <w:pPr>
              <w:spacing w:after="0"/>
              <w:rPr>
                <w:sz w:val="20"/>
                <w:szCs w:val="20"/>
                <w:color w:val="auto"/>
              </w:rPr>
            </w:pPr>
            <w:r>
              <w:rPr>
                <w:rFonts w:ascii="Arial" w:cs="Arial" w:eastAsia="Arial" w:hAnsi="Arial"/>
                <w:sz w:val="18"/>
                <w:szCs w:val="18"/>
                <w:color w:val="auto"/>
              </w:rPr>
              <w:t>Subscribers (000’s)</w:t>
            </w:r>
          </w:p>
        </w:tc>
        <w:tc>
          <w:tcPr>
            <w:tcW w:w="4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w w:val="83"/>
              </w:rPr>
              <w:t>14,738</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w w:val="83"/>
              </w:rPr>
              <w:t>14,357</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7"/>
              </w:rPr>
              <w:t>13,245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Penetration of “Available” Homes</w:t>
            </w:r>
          </w:p>
        </w:tc>
        <w:tc>
          <w:tcPr>
            <w:tcW w:w="480" w:type="dxa"/>
            <w:vAlign w:val="bottom"/>
          </w:tcPr>
          <w:p>
            <w:pPr>
              <w:spacing w:after="0"/>
              <w:rPr>
                <w:sz w:val="18"/>
                <w:szCs w:val="18"/>
                <w:color w:val="auto"/>
              </w:rPr>
            </w:pPr>
          </w:p>
        </w:tc>
        <w:tc>
          <w:tcPr>
            <w:tcW w:w="820" w:type="dxa"/>
            <w:vAlign w:val="bottom"/>
          </w:tcPr>
          <w:p>
            <w:pPr>
              <w:jc w:val="right"/>
              <w:ind w:right="113"/>
              <w:spacing w:after="0"/>
              <w:rPr>
                <w:sz w:val="20"/>
                <w:szCs w:val="20"/>
                <w:color w:val="auto"/>
              </w:rPr>
            </w:pPr>
            <w:r>
              <w:rPr>
                <w:rFonts w:ascii="Arial" w:cs="Arial" w:eastAsia="Arial" w:hAnsi="Arial"/>
                <w:sz w:val="18"/>
                <w:szCs w:val="18"/>
                <w:color w:val="auto"/>
              </w:rPr>
              <w:t>29.5%</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28.9%</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5E5E5"/>
          </w:tcPr>
          <w:p>
            <w:pPr>
              <w:spacing w:after="0"/>
              <w:rPr>
                <w:sz w:val="20"/>
                <w:szCs w:val="20"/>
                <w:color w:val="auto"/>
              </w:rPr>
            </w:pPr>
            <w:r>
              <w:rPr>
                <w:rFonts w:ascii="Arial" w:cs="Arial" w:eastAsia="Arial" w:hAnsi="Arial"/>
                <w:sz w:val="18"/>
                <w:szCs w:val="18"/>
                <w:color w:val="auto"/>
              </w:rPr>
              <w:t>Quarterly Net Subscriber Additions (000’s)</w:t>
            </w:r>
          </w:p>
        </w:tc>
        <w:tc>
          <w:tcPr>
            <w:tcW w:w="4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382</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278</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Monthly Average Revenue per Subscriber</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53"/>
              <w:spacing w:after="0"/>
              <w:rPr>
                <w:sz w:val="20"/>
                <w:szCs w:val="20"/>
                <w:color w:val="auto"/>
              </w:rPr>
            </w:pPr>
            <w:r>
              <w:rPr>
                <w:rFonts w:ascii="Arial" w:cs="Arial" w:eastAsia="Arial" w:hAnsi="Arial"/>
                <w:sz w:val="18"/>
                <w:szCs w:val="18"/>
                <w:color w:val="auto"/>
              </w:rPr>
              <w:t>41.74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42.01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Phone</w:t>
            </w:r>
          </w:p>
        </w:tc>
        <w:tc>
          <w:tcPr>
            <w:tcW w:w="4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Comcast Digital Voice</w:t>
            </w: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“Available” Homes (000’s)</w:t>
            </w:r>
          </w:p>
        </w:tc>
        <w:tc>
          <w:tcPr>
            <w:tcW w:w="4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w w:val="83"/>
              </w:rPr>
              <w:t>46,083</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w w:val="83"/>
              </w:rPr>
              <w:t>45,143</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7"/>
              </w:rPr>
              <w:t>41,395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Subscribers (000’s)</w:t>
            </w:r>
          </w:p>
        </w:tc>
        <w:tc>
          <w:tcPr>
            <w:tcW w:w="480" w:type="dxa"/>
            <w:vAlign w:val="bottom"/>
          </w:tcPr>
          <w:p>
            <w:pPr>
              <w:spacing w:after="0"/>
              <w:rPr>
                <w:sz w:val="18"/>
                <w:szCs w:val="18"/>
                <w:color w:val="auto"/>
              </w:rPr>
            </w:pPr>
          </w:p>
        </w:tc>
        <w:tc>
          <w:tcPr>
            <w:tcW w:w="820" w:type="dxa"/>
            <w:vAlign w:val="bottom"/>
          </w:tcPr>
          <w:p>
            <w:pPr>
              <w:jc w:val="right"/>
              <w:ind w:right="253"/>
              <w:spacing w:after="0"/>
              <w:rPr>
                <w:sz w:val="20"/>
                <w:szCs w:val="20"/>
                <w:color w:val="auto"/>
              </w:rPr>
            </w:pPr>
            <w:r>
              <w:rPr>
                <w:rFonts w:ascii="Arial" w:cs="Arial" w:eastAsia="Arial" w:hAnsi="Arial"/>
                <w:sz w:val="18"/>
                <w:szCs w:val="18"/>
                <w:color w:val="auto"/>
              </w:rPr>
              <w:t>6,126</w:t>
            </w:r>
          </w:p>
        </w:tc>
        <w:tc>
          <w:tcPr>
            <w:tcW w:w="28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5,643</w:t>
            </w:r>
          </w:p>
        </w:tc>
        <w:tc>
          <w:tcPr>
            <w:tcW w:w="28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3,831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Penetration of “Available” Homes</w:t>
            </w:r>
          </w:p>
        </w:tc>
        <w:tc>
          <w:tcPr>
            <w:tcW w:w="4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13.3%</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Quarterly Net Subscriber Additions (000’s)</w:t>
            </w:r>
          </w:p>
        </w:tc>
        <w:tc>
          <w:tcPr>
            <w:tcW w:w="480" w:type="dxa"/>
            <w:vAlign w:val="bottom"/>
          </w:tcPr>
          <w:p>
            <w:pPr>
              <w:spacing w:after="0"/>
              <w:rPr>
                <w:sz w:val="18"/>
                <w:szCs w:val="18"/>
                <w:color w:val="auto"/>
              </w:rPr>
            </w:pPr>
          </w:p>
        </w:tc>
        <w:tc>
          <w:tcPr>
            <w:tcW w:w="820" w:type="dxa"/>
            <w:vAlign w:val="bottom"/>
          </w:tcPr>
          <w:p>
            <w:pPr>
              <w:jc w:val="right"/>
              <w:ind w:right="253"/>
              <w:spacing w:after="0"/>
              <w:rPr>
                <w:sz w:val="20"/>
                <w:szCs w:val="20"/>
                <w:color w:val="auto"/>
              </w:rPr>
            </w:pPr>
            <w:r>
              <w:rPr>
                <w:rFonts w:ascii="Arial" w:cs="Arial" w:eastAsia="Arial" w:hAnsi="Arial"/>
                <w:sz w:val="18"/>
                <w:szCs w:val="18"/>
                <w:color w:val="auto"/>
              </w:rPr>
              <w:t>483</w:t>
            </w:r>
          </w:p>
        </w:tc>
        <w:tc>
          <w:tcPr>
            <w:tcW w:w="28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555</w:t>
            </w:r>
          </w:p>
        </w:tc>
        <w:tc>
          <w:tcPr>
            <w:tcW w:w="28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Monthly Average Revenue per Subscriber</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38.98</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39.48</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40.99</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Circuit Switched Phone</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“Available” Homes (000’s)</w:t>
            </w:r>
          </w:p>
        </w:tc>
        <w:tc>
          <w:tcPr>
            <w:tcW w:w="4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1,429</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Subscribers (000’s)</w:t>
            </w:r>
          </w:p>
        </w:tc>
        <w:tc>
          <w:tcPr>
            <w:tcW w:w="480" w:type="dxa"/>
            <w:vAlign w:val="bottom"/>
          </w:tcPr>
          <w:p>
            <w:pPr>
              <w:spacing w:after="0"/>
              <w:rPr>
                <w:sz w:val="18"/>
                <w:szCs w:val="18"/>
                <w:color w:val="auto"/>
              </w:rPr>
            </w:pPr>
          </w:p>
        </w:tc>
        <w:tc>
          <w:tcPr>
            <w:tcW w:w="820" w:type="dxa"/>
            <w:vAlign w:val="bottom"/>
          </w:tcPr>
          <w:p>
            <w:pPr>
              <w:jc w:val="right"/>
              <w:ind w:right="253"/>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Penetration of “Available” Homes</w:t>
            </w:r>
          </w:p>
        </w:tc>
        <w:tc>
          <w:tcPr>
            <w:tcW w:w="4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6.6%</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0.7%</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Quarterly Net Subscriber Additions (000’s)</w:t>
            </w:r>
          </w:p>
        </w:tc>
        <w:tc>
          <w:tcPr>
            <w:tcW w:w="480" w:type="dxa"/>
            <w:vAlign w:val="bottom"/>
          </w:tcPr>
          <w:p>
            <w:pPr>
              <w:spacing w:after="0"/>
              <w:rPr>
                <w:sz w:val="19"/>
                <w:szCs w:val="19"/>
                <w:color w:val="auto"/>
              </w:rPr>
            </w:pPr>
          </w:p>
        </w:tc>
        <w:tc>
          <w:tcPr>
            <w:tcW w:w="820" w:type="dxa"/>
            <w:vAlign w:val="bottom"/>
          </w:tcPr>
          <w:p>
            <w:pPr>
              <w:jc w:val="right"/>
              <w:ind w:right="193"/>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840" w:type="dxa"/>
            <w:vAlign w:val="bottom"/>
          </w:tcPr>
          <w:p>
            <w:pPr>
              <w:jc w:val="right"/>
              <w:ind w:right="213"/>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9"/>
                <w:szCs w:val="19"/>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E5E5E5"/>
          </w:tcPr>
          <w:p>
            <w:pPr>
              <w:spacing w:after="0" w:line="217" w:lineRule="exact"/>
              <w:rPr>
                <w:sz w:val="20"/>
                <w:szCs w:val="20"/>
                <w:color w:val="auto"/>
              </w:rPr>
            </w:pPr>
            <w:r>
              <w:rPr>
                <w:rFonts w:ascii="Arial" w:cs="Arial" w:eastAsia="Arial" w:hAnsi="Arial"/>
                <w:sz w:val="18"/>
                <w:szCs w:val="18"/>
                <w:color w:val="auto"/>
              </w:rPr>
              <w:t xml:space="preserve">Total Revenue Generating Units (000’s) </w:t>
            </w:r>
            <w:r>
              <w:rPr>
                <w:rFonts w:ascii="Arial" w:cs="Arial" w:eastAsia="Arial" w:hAnsi="Arial"/>
                <w:sz w:val="22"/>
                <w:szCs w:val="22"/>
                <w:color w:val="auto"/>
                <w:vertAlign w:val="superscript"/>
              </w:rPr>
              <w:t>(5)</w:t>
            </w:r>
          </w:p>
        </w:tc>
        <w:tc>
          <w:tcPr>
            <w:tcW w:w="4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w w:val="83"/>
              </w:rPr>
              <w:t>62,029</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w w:val="83"/>
              </w:rPr>
              <w:t>60,899</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7"/>
              </w:rPr>
              <w:t>57,219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Total Quarterly Net Additions (000’s)</w:t>
            </w:r>
          </w:p>
        </w:tc>
        <w:tc>
          <w:tcPr>
            <w:tcW w:w="480" w:type="dxa"/>
            <w:vAlign w:val="bottom"/>
          </w:tcPr>
          <w:p>
            <w:pPr>
              <w:spacing w:after="0"/>
              <w:rPr>
                <w:sz w:val="19"/>
                <w:szCs w:val="19"/>
                <w:color w:val="auto"/>
              </w:rPr>
            </w:pPr>
          </w:p>
        </w:tc>
        <w:tc>
          <w:tcPr>
            <w:tcW w:w="820" w:type="dxa"/>
            <w:vAlign w:val="bottom"/>
          </w:tcPr>
          <w:p>
            <w:pPr>
              <w:jc w:val="right"/>
              <w:ind w:right="253"/>
              <w:spacing w:after="0"/>
              <w:rPr>
                <w:sz w:val="20"/>
                <w:szCs w:val="20"/>
                <w:color w:val="auto"/>
              </w:rPr>
            </w:pPr>
            <w:r>
              <w:rPr>
                <w:rFonts w:ascii="Arial" w:cs="Arial" w:eastAsia="Arial" w:hAnsi="Arial"/>
                <w:sz w:val="18"/>
                <w:szCs w:val="18"/>
                <w:color w:val="auto"/>
              </w:rPr>
              <w:t>1,131</w:t>
            </w:r>
          </w:p>
        </w:tc>
        <w:tc>
          <w:tcPr>
            <w:tcW w:w="280" w:type="dxa"/>
            <w:vAlign w:val="bottom"/>
          </w:tcPr>
          <w:p>
            <w:pPr>
              <w:spacing w:after="0"/>
              <w:rPr>
                <w:sz w:val="19"/>
                <w:szCs w:val="19"/>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960</w:t>
            </w:r>
          </w:p>
        </w:tc>
        <w:tc>
          <w:tcPr>
            <w:tcW w:w="280" w:type="dxa"/>
            <w:vAlign w:val="bottom"/>
          </w:tcPr>
          <w:p>
            <w:pPr>
              <w:spacing w:after="0"/>
              <w:rPr>
                <w:sz w:val="19"/>
                <w:szCs w:val="19"/>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E5E5E5"/>
          </w:tcPr>
          <w:p>
            <w:pPr>
              <w:spacing w:after="0"/>
              <w:rPr>
                <w:sz w:val="20"/>
                <w:szCs w:val="20"/>
                <w:color w:val="auto"/>
              </w:rPr>
            </w:pPr>
            <w:r>
              <w:rPr>
                <w:rFonts w:ascii="Arial" w:cs="Arial" w:eastAsia="Arial" w:hAnsi="Arial"/>
                <w:sz w:val="18"/>
                <w:szCs w:val="18"/>
                <w:color w:val="auto"/>
              </w:rPr>
              <w:t>Total Monthly Average Revenue per Basic Subscriber</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w w:val="83"/>
              </w:rPr>
              <w:t>110.71</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w w:val="83"/>
              </w:rPr>
              <w:t>109.66</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7"/>
              </w:rPr>
              <w:t>101.74</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Non-GAAP and Other Financial Measures in Table 7. All percentages are calculated based on actual amounts. Minor differences may exist due to rounding.</w:t>
      </w:r>
    </w:p>
    <w:p>
      <w:pPr>
        <w:spacing w:after="0" w:line="50"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 forma financial data includes the results of Comcast SportsNet Bay Area and Comcast SportsNet New England acquired on June 30, 2007, the cable system acquired from Patriot Media Holdings, LLC on August 31, 2007, and the cable systems resulting from the dissolution of the Insight Midwest Partnership on January 1, 2008. Pro forma results are presented as if the acquisitions and dispositions were effective on January 1, 2007. The net impact of these transactions was an increase of 765,000 basic cable subscribers.</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Video revenues consist of our basic, expanded basic, digital, premium, pay-per-view and equipment services.</w:t>
      </w:r>
    </w:p>
    <w:p>
      <w:pPr>
        <w:spacing w:after="0" w:line="9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revenues include regional sports programming networks, residential video installation revenues, guide revenues, commissions from electronic retailing, other product offerings and revenues of our digital media center.</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sum of basic and digital video, high-speed Internet and net phone subscribers, excluding additional outlets. Subscriptions to DVR and/or HDTV services do not result in additional RGUs.</w:t>
      </w:r>
    </w:p>
    <w:p>
      <w:pPr>
        <w:sectPr>
          <w:pgSz w:w="11900" w:h="16879" w:orient="portrait"/>
          <w:cols w:equalWidth="0" w:num="1">
            <w:col w:w="11420"/>
          </w:cols>
          <w:pgMar w:left="240" w:top="1052" w:right="239" w:bottom="0" w:gutter="0" w:footer="0" w:header="0"/>
        </w:sectPr>
      </w:pPr>
    </w:p>
    <w:bookmarkStart w:id="13" w:name="page14"/>
    <w:bookmarkEnd w:id="13"/>
    <w:p>
      <w:pPr>
        <w:jc w:val="center"/>
        <w:ind w:right="-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019"/>
          </w:cols>
          <w:pgMar w:left="1440" w:top="291"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183515</wp:posOffset>
            </wp:positionV>
            <wp:extent cx="1475105" cy="411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11480"/>
                    </a:xfrm>
                    <a:prstGeom prst="rect">
                      <a:avLst/>
                    </a:prstGeom>
                    <a:noFill/>
                  </pic:spPr>
                </pic:pic>
              </a:graphicData>
            </a:graphic>
          </wp:anchor>
        </w:drawing>
        <w:t>TABLE 7</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and Other Financial Measures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4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Operating Cash Flow is defined as operating income before depreciation and amortization, excluding impairment charges related to fixed and intangible assets and gains or losses on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financial measure in evaluating our consolidated operating performance and the operating performance of all of our operating segments. This metric is used to allocate resources and capital to our operating segments and is a significant performance measure in our annual incentive compensation programs. We believe that Operating Cash Flow is also useful to investors as it is one of the bases for comparing our operating performance with other companies in our industries, although our measure of Operating Cash Flow may not be directly comparable to similar measures used by other companies.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Operating Cash Flow is the measure of our segment profit or loss, we reconcile it to operating income, the most directly comparable financial measure calculated and presented in accordance with generally accepted accounting principles in the United States (GAAP), in the business segment footnote of our quarterly and annual financial statements. Therefore, we believe our measure of Operating Cash Flow for our business segments is not a “non-GAAP financial measure” as contemplated by Regulation G adopted by the Securities and Exchange Commission. Consolidated Operating Cash Flow is a non-GAAP financial measure.</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Free Cash Flow, which is a non-GAAP financial measure, is defined as “Net Cash Provided by Operating Activities” (as stated in our Consolidated Statement of Cash Flows) reduced by capital expenditures and cash paid for intangible assets; and adjusted for any payments related to certain nonoperating items, net of estimated tax benefits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comparable to similar measures used by other companies.</w:t>
      </w:r>
    </w:p>
    <w:p>
      <w:pPr>
        <w:spacing w:after="0" w:line="12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or dispositions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pacing w:after="0" w:line="14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Non-GAAP financial measures should not be considered as substitutes for operating income (loss), net income (loss), net cash provided by operating activities or other measures of performance or liquidity reported in accordance with GAAP. Additionally, in the opinion of management, our pro forma data is not necessarily indicative of future results or what results would have been had the acquired businesses been operated by us after the assumed earlier date.</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provide reconciliations of Consolidated Operating Cash Flow in Table 1, Free Cash Flow and Unlevered Free Cash Flow in Table 4, Pro Forma in Table 7-A and Adjusted Data in Table 7-B.</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052"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183515</wp:posOffset>
            </wp:positionV>
            <wp:extent cx="1475105" cy="411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11480"/>
                    </a:xfrm>
                    <a:prstGeom prst="rect">
                      <a:avLst/>
                    </a:prstGeom>
                    <a:noFill/>
                  </pic:spPr>
                </pic:pic>
              </a:graphicData>
            </a:graphic>
          </wp:anchor>
        </w:drawing>
        <w:t>TABLE 7-A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 xml:space="preserve">Reconciliation of GAAP to Pro Forma </w:t>
      </w:r>
      <w:r>
        <w:rPr>
          <w:rFonts w:ascii="Arial" w:cs="Arial" w:eastAsia="Arial" w:hAnsi="Arial"/>
          <w:sz w:val="11"/>
          <w:szCs w:val="11"/>
          <w:b w:val="1"/>
          <w:bCs w:val="1"/>
          <w:u w:val="single" w:color="auto"/>
          <w:color w:val="auto"/>
        </w:rPr>
        <w:t>(1)</w:t>
      </w:r>
      <w:r>
        <w:rPr>
          <w:rFonts w:ascii="Arial" w:cs="Arial" w:eastAsia="Arial" w:hAnsi="Arial"/>
          <w:sz w:val="22"/>
          <w:szCs w:val="22"/>
          <w:b w:val="1"/>
          <w:bCs w:val="1"/>
          <w:u w:val="single" w:color="auto"/>
          <w:color w:val="auto"/>
        </w:rPr>
        <w:t xml:space="preserve"> Financial Data by Business Segment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GAAP</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3"/>
          </w:tcPr>
          <w:p>
            <w:pPr>
              <w:ind w:left="620"/>
              <w:spacing w:after="0"/>
              <w:rPr>
                <w:sz w:val="20"/>
                <w:szCs w:val="20"/>
                <w:color w:val="auto"/>
              </w:rPr>
            </w:pPr>
            <w:r>
              <w:rPr>
                <w:rFonts w:ascii="Arial" w:cs="Arial" w:eastAsia="Arial" w:hAnsi="Arial"/>
                <w:sz w:val="14"/>
                <w:szCs w:val="14"/>
                <w:b w:val="1"/>
                <w:bCs w:val="1"/>
                <w:color w:val="auto"/>
                <w:w w:val="94"/>
              </w:rPr>
              <w:t>Cable</w:t>
            </w:r>
          </w:p>
        </w:tc>
        <w:tc>
          <w:tcPr>
            <w:tcW w:w="18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Total</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Corporate,</w:t>
            </w:r>
          </w:p>
        </w:tc>
        <w:tc>
          <w:tcPr>
            <w:tcW w:w="14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Pro Forma</w:t>
            </w:r>
          </w:p>
        </w:tc>
        <w:tc>
          <w:tcPr>
            <w:tcW w:w="1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vMerge w:val="restart"/>
          </w:tcPr>
          <w:p>
            <w:pPr>
              <w:jc w:val="right"/>
              <w:ind w:right="172"/>
              <w:spacing w:after="0"/>
              <w:rPr>
                <w:sz w:val="20"/>
                <w:szCs w:val="20"/>
                <w:color w:val="auto"/>
              </w:rPr>
            </w:pPr>
            <w:r>
              <w:rPr>
                <w:rFonts w:ascii="Arial" w:cs="Arial" w:eastAsia="Arial" w:hAnsi="Arial"/>
                <w:sz w:val="14"/>
                <w:szCs w:val="14"/>
                <w:b w:val="1"/>
                <w:bCs w:val="1"/>
                <w:color w:val="auto"/>
                <w:w w:val="97"/>
              </w:rPr>
              <w:t>Pro Forma</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jc w:val="center"/>
              <w:spacing w:after="0" w:line="148" w:lineRule="exact"/>
              <w:rPr>
                <w:sz w:val="20"/>
                <w:szCs w:val="20"/>
                <w:color w:val="auto"/>
              </w:rPr>
            </w:pPr>
            <w:r>
              <w:rPr>
                <w:rFonts w:ascii="Arial" w:cs="Arial" w:eastAsia="Arial" w:hAnsi="Arial"/>
                <w:sz w:val="14"/>
                <w:szCs w:val="14"/>
                <w:b w:val="1"/>
                <w:bCs w:val="1"/>
                <w:color w:val="auto"/>
                <w:w w:val="87"/>
              </w:rPr>
              <w:t>Other and</w:t>
            </w:r>
          </w:p>
        </w:tc>
        <w:tc>
          <w:tcPr>
            <w:tcW w:w="14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920" w:type="dxa"/>
            <w:vAlign w:val="bottom"/>
            <w:tcBorders>
              <w:right w:val="single" w:sz="8" w:color="auto"/>
            </w:tcBorders>
            <w:gridSpan w:val="2"/>
          </w:tcPr>
          <w:p>
            <w:pPr>
              <w:ind w:left="60"/>
              <w:spacing w:after="0" w:line="148" w:lineRule="exact"/>
              <w:rPr>
                <w:sz w:val="20"/>
                <w:szCs w:val="20"/>
                <w:color w:val="auto"/>
              </w:rPr>
            </w:pPr>
            <w:r>
              <w:rPr>
                <w:rFonts w:ascii="Arial" w:cs="Arial" w:eastAsia="Arial" w:hAnsi="Arial"/>
                <w:sz w:val="14"/>
                <w:szCs w:val="14"/>
                <w:b w:val="1"/>
                <w:bCs w:val="1"/>
                <w:color w:val="auto"/>
              </w:rPr>
              <w:t>Pro Forma</w:t>
            </w:r>
          </w:p>
        </w:tc>
        <w:tc>
          <w:tcPr>
            <w:tcW w:w="2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940" w:type="dxa"/>
            <w:vAlign w:val="bottom"/>
            <w:gridSpan w:val="4"/>
          </w:tcPr>
          <w:p>
            <w:pPr>
              <w:spacing w:after="0"/>
              <w:rPr>
                <w:sz w:val="20"/>
                <w:szCs w:val="20"/>
                <w:color w:val="auto"/>
              </w:rPr>
            </w:pPr>
            <w:r>
              <w:rPr>
                <w:rFonts w:ascii="Arial" w:cs="Arial" w:eastAsia="Arial" w:hAnsi="Arial"/>
                <w:sz w:val="14"/>
                <w:szCs w:val="14"/>
                <w:color w:val="auto"/>
              </w:rPr>
              <w:t>(in millions)</w:t>
            </w:r>
          </w:p>
        </w:tc>
        <w:tc>
          <w:tcPr>
            <w:tcW w:w="6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Cable</w:t>
            </w: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w w:val="94"/>
              </w:rPr>
              <w:t>Programming</w:t>
            </w: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Eliminations</w:t>
            </w:r>
          </w:p>
        </w:tc>
        <w:tc>
          <w:tcPr>
            <w:tcW w:w="140" w:type="dxa"/>
            <w:vAlign w:val="bottom"/>
          </w:tcPr>
          <w:p>
            <w:pPr>
              <w:spacing w:after="0"/>
              <w:rPr>
                <w:sz w:val="15"/>
                <w:szCs w:val="15"/>
                <w:color w:val="auto"/>
              </w:rPr>
            </w:pPr>
          </w:p>
        </w:tc>
        <w:tc>
          <w:tcPr>
            <w:tcW w:w="600" w:type="dxa"/>
            <w:vAlign w:val="bottom"/>
            <w:tcBorders>
              <w:right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83"/>
              </w:rPr>
              <w:t>Total</w:t>
            </w:r>
          </w:p>
        </w:tc>
        <w:tc>
          <w:tcPr>
            <w:tcW w:w="1280" w:type="dxa"/>
            <w:vAlign w:val="bottom"/>
            <w:gridSpan w:val="4"/>
          </w:tcPr>
          <w:p>
            <w:pPr>
              <w:ind w:left="140"/>
              <w:spacing w:after="0" w:line="176" w:lineRule="exact"/>
              <w:rPr>
                <w:sz w:val="20"/>
                <w:szCs w:val="20"/>
                <w:color w:val="auto"/>
              </w:rPr>
            </w:pPr>
            <w:r>
              <w:rPr>
                <w:rFonts w:ascii="Arial" w:cs="Arial" w:eastAsia="Arial" w:hAnsi="Arial"/>
                <w:sz w:val="13"/>
                <w:szCs w:val="13"/>
                <w:b w:val="1"/>
                <w:bCs w:val="1"/>
                <w:color w:val="auto"/>
                <w:w w:val="94"/>
              </w:rPr>
              <w:t xml:space="preserve">Adjustments </w:t>
            </w:r>
            <w:r>
              <w:rPr>
                <w:rFonts w:ascii="Arial" w:cs="Arial" w:eastAsia="Arial" w:hAnsi="Arial"/>
                <w:sz w:val="20"/>
                <w:szCs w:val="20"/>
                <w:b w:val="1"/>
                <w:bCs w:val="1"/>
                <w:color w:val="auto"/>
                <w:w w:val="94"/>
                <w:vertAlign w:val="superscript"/>
              </w:rPr>
              <w:t>(1) (2)</w:t>
            </w:r>
          </w:p>
        </w:tc>
        <w:tc>
          <w:tcPr>
            <w:tcW w:w="180" w:type="dxa"/>
            <w:vAlign w:val="bottom"/>
          </w:tcPr>
          <w:p>
            <w:pPr>
              <w:spacing w:after="0"/>
              <w:rPr>
                <w:sz w:val="15"/>
                <w:szCs w:val="15"/>
                <w:color w:val="auto"/>
              </w:rPr>
            </w:pPr>
          </w:p>
        </w:tc>
        <w:tc>
          <w:tcPr>
            <w:tcW w:w="740" w:type="dxa"/>
            <w:vAlign w:val="bottom"/>
            <w:tcBorders>
              <w:right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94"/>
              </w:rPr>
              <w:t>Cable</w:t>
            </w:r>
          </w:p>
        </w:tc>
        <w:tc>
          <w:tcPr>
            <w:tcW w:w="1220" w:type="dxa"/>
            <w:vAlign w:val="bottom"/>
            <w:gridSpan w:val="3"/>
          </w:tcPr>
          <w:p>
            <w:pPr>
              <w:ind w:left="140"/>
              <w:spacing w:after="0" w:line="176" w:lineRule="exact"/>
              <w:rPr>
                <w:sz w:val="20"/>
                <w:szCs w:val="20"/>
                <w:color w:val="auto"/>
              </w:rPr>
            </w:pPr>
            <w:r>
              <w:rPr>
                <w:rFonts w:ascii="Arial" w:cs="Arial" w:eastAsia="Arial" w:hAnsi="Arial"/>
                <w:sz w:val="13"/>
                <w:szCs w:val="13"/>
                <w:b w:val="1"/>
                <w:bCs w:val="1"/>
                <w:color w:val="auto"/>
                <w:w w:val="89"/>
              </w:rPr>
              <w:t xml:space="preserve">Adjustments </w:t>
            </w:r>
            <w:r>
              <w:rPr>
                <w:rFonts w:ascii="Arial" w:cs="Arial" w:eastAsia="Arial" w:hAnsi="Arial"/>
                <w:sz w:val="20"/>
                <w:szCs w:val="20"/>
                <w:b w:val="1"/>
                <w:bCs w:val="1"/>
                <w:color w:val="auto"/>
                <w:w w:val="89"/>
                <w:vertAlign w:val="superscript"/>
              </w:rPr>
              <w:t>(1) (2)</w:t>
            </w:r>
          </w:p>
        </w:tc>
        <w:tc>
          <w:tcPr>
            <w:tcW w:w="780" w:type="dxa"/>
            <w:vAlign w:val="bottom"/>
            <w:gridSpan w:val="3"/>
          </w:tcPr>
          <w:p>
            <w:pPr>
              <w:ind w:left="12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tcBorders>
              <w:top w:val="single" w:sz="8" w:color="auto"/>
              <w:bottom w:val="single" w:sz="8" w:color="auto"/>
            </w:tcBorders>
            <w:gridSpan w:val="2"/>
            <w:shd w:val="clear" w:color="auto" w:fill="E5E5E5"/>
          </w:tcPr>
          <w:p>
            <w:pPr>
              <w:spacing w:after="0" w:line="129" w:lineRule="exact"/>
              <w:rPr>
                <w:sz w:val="20"/>
                <w:szCs w:val="20"/>
                <w:color w:val="auto"/>
              </w:rPr>
            </w:pPr>
            <w:r>
              <w:rPr>
                <w:rFonts w:ascii="Arial" w:cs="Arial" w:eastAsia="Arial" w:hAnsi="Arial"/>
                <w:sz w:val="14"/>
                <w:szCs w:val="14"/>
                <w:b w:val="1"/>
                <w:bCs w:val="1"/>
                <w:color w:val="auto"/>
                <w:w w:val="86"/>
              </w:rPr>
              <w:t>Three Months Ended September 30, 2008</w:t>
            </w:r>
          </w:p>
        </w:tc>
        <w:tc>
          <w:tcPr>
            <w:tcW w:w="1540" w:type="dxa"/>
            <w:vAlign w:val="bottom"/>
            <w:tcBorders>
              <w:top w:val="single" w:sz="8" w:color="auto"/>
              <w:bottom w:val="single" w:sz="8" w:color="E5E5E5"/>
            </w:tcBorders>
            <w:shd w:val="clear" w:color="auto" w:fill="E5E5E5"/>
          </w:tcPr>
          <w:p>
            <w:pPr>
              <w:spacing w:after="0"/>
              <w:rPr>
                <w:sz w:val="11"/>
                <w:szCs w:val="11"/>
                <w:color w:val="auto"/>
              </w:rPr>
            </w:pPr>
          </w:p>
        </w:tc>
        <w:tc>
          <w:tcPr>
            <w:tcW w:w="220" w:type="dxa"/>
            <w:vAlign w:val="bottom"/>
            <w:tcBorders>
              <w:top w:val="single" w:sz="8" w:color="auto"/>
              <w:bottom w:val="single" w:sz="8" w:color="E5E5E5"/>
            </w:tcBorders>
            <w:shd w:val="clear" w:color="auto" w:fill="E5E5E5"/>
          </w:tcPr>
          <w:p>
            <w:pPr>
              <w:spacing w:after="0"/>
              <w:rPr>
                <w:sz w:val="11"/>
                <w:szCs w:val="11"/>
                <w:color w:val="auto"/>
              </w:rPr>
            </w:pPr>
          </w:p>
        </w:tc>
        <w:tc>
          <w:tcPr>
            <w:tcW w:w="440" w:type="dxa"/>
            <w:vAlign w:val="bottom"/>
            <w:tcBorders>
              <w:top w:val="single" w:sz="8" w:color="auto"/>
              <w:bottom w:val="single" w:sz="8" w:color="E5E5E5"/>
            </w:tcBorders>
            <w:shd w:val="clear" w:color="auto" w:fill="E5E5E5"/>
          </w:tcPr>
          <w:p>
            <w:pPr>
              <w:spacing w:after="0"/>
              <w:rPr>
                <w:sz w:val="11"/>
                <w:szCs w:val="11"/>
                <w:color w:val="auto"/>
              </w:rPr>
            </w:pPr>
          </w:p>
        </w:tc>
        <w:tc>
          <w:tcPr>
            <w:tcW w:w="360" w:type="dxa"/>
            <w:vAlign w:val="bottom"/>
            <w:tcBorders>
              <w:top w:val="single" w:sz="8" w:color="auto"/>
              <w:bottom w:val="single" w:sz="8" w:color="E5E5E5"/>
            </w:tcBorders>
            <w:shd w:val="clear" w:color="auto" w:fill="E5E5E5"/>
          </w:tcPr>
          <w:p>
            <w:pPr>
              <w:spacing w:after="0"/>
              <w:rPr>
                <w:sz w:val="11"/>
                <w:szCs w:val="11"/>
                <w:color w:val="auto"/>
              </w:rPr>
            </w:pPr>
          </w:p>
        </w:tc>
        <w:tc>
          <w:tcPr>
            <w:tcW w:w="400" w:type="dxa"/>
            <w:vAlign w:val="bottom"/>
            <w:tcBorders>
              <w:top w:val="single" w:sz="8" w:color="auto"/>
              <w:bottom w:val="single" w:sz="8" w:color="E5E5E5"/>
            </w:tcBorders>
            <w:shd w:val="clear" w:color="auto" w:fill="E5E5E5"/>
          </w:tcPr>
          <w:p>
            <w:pPr>
              <w:spacing w:after="0"/>
              <w:rPr>
                <w:sz w:val="11"/>
                <w:szCs w:val="11"/>
                <w:color w:val="auto"/>
              </w:rPr>
            </w:pPr>
          </w:p>
        </w:tc>
        <w:tc>
          <w:tcPr>
            <w:tcW w:w="200" w:type="dxa"/>
            <w:vAlign w:val="bottom"/>
            <w:tcBorders>
              <w:top w:val="single" w:sz="8" w:color="auto"/>
              <w:bottom w:val="single" w:sz="8" w:color="E5E5E5"/>
            </w:tcBorders>
            <w:shd w:val="clear" w:color="auto" w:fill="E5E5E5"/>
          </w:tcPr>
          <w:p>
            <w:pPr>
              <w:spacing w:after="0"/>
              <w:rPr>
                <w:sz w:val="11"/>
                <w:szCs w:val="11"/>
                <w:color w:val="auto"/>
              </w:rPr>
            </w:pPr>
          </w:p>
        </w:tc>
        <w:tc>
          <w:tcPr>
            <w:tcW w:w="180" w:type="dxa"/>
            <w:vAlign w:val="bottom"/>
            <w:tcBorders>
              <w:top w:val="single" w:sz="8" w:color="auto"/>
              <w:bottom w:val="single" w:sz="8" w:color="E5E5E5"/>
            </w:tcBorders>
            <w:shd w:val="clear" w:color="auto" w:fill="E5E5E5"/>
          </w:tcPr>
          <w:p>
            <w:pPr>
              <w:spacing w:after="0"/>
              <w:rPr>
                <w:sz w:val="11"/>
                <w:szCs w:val="11"/>
                <w:color w:val="auto"/>
              </w:rPr>
            </w:pPr>
          </w:p>
        </w:tc>
        <w:tc>
          <w:tcPr>
            <w:tcW w:w="220" w:type="dxa"/>
            <w:vAlign w:val="bottom"/>
            <w:tcBorders>
              <w:top w:val="single" w:sz="8" w:color="auto"/>
              <w:bottom w:val="single" w:sz="8" w:color="E5E5E5"/>
            </w:tcBorders>
            <w:shd w:val="clear" w:color="auto" w:fill="E5E5E5"/>
          </w:tcPr>
          <w:p>
            <w:pPr>
              <w:spacing w:after="0"/>
              <w:rPr>
                <w:sz w:val="11"/>
                <w:szCs w:val="11"/>
                <w:color w:val="auto"/>
              </w:rPr>
            </w:pPr>
          </w:p>
        </w:tc>
        <w:tc>
          <w:tcPr>
            <w:tcW w:w="540" w:type="dxa"/>
            <w:vAlign w:val="bottom"/>
            <w:tcBorders>
              <w:top w:val="single" w:sz="8" w:color="auto"/>
              <w:bottom w:val="single" w:sz="8" w:color="E5E5E5"/>
            </w:tcBorders>
            <w:shd w:val="clear" w:color="auto" w:fill="E5E5E5"/>
          </w:tcPr>
          <w:p>
            <w:pPr>
              <w:spacing w:after="0"/>
              <w:rPr>
                <w:sz w:val="11"/>
                <w:szCs w:val="11"/>
                <w:color w:val="auto"/>
              </w:rPr>
            </w:pPr>
          </w:p>
        </w:tc>
        <w:tc>
          <w:tcPr>
            <w:tcW w:w="140" w:type="dxa"/>
            <w:vAlign w:val="bottom"/>
            <w:tcBorders>
              <w:top w:val="single" w:sz="8" w:color="auto"/>
              <w:bottom w:val="single" w:sz="8" w:color="E5E5E5"/>
            </w:tcBorders>
            <w:shd w:val="clear" w:color="auto" w:fill="E5E5E5"/>
          </w:tcPr>
          <w:p>
            <w:pPr>
              <w:spacing w:after="0"/>
              <w:rPr>
                <w:sz w:val="11"/>
                <w:szCs w:val="11"/>
                <w:color w:val="auto"/>
              </w:rPr>
            </w:pPr>
          </w:p>
        </w:tc>
        <w:tc>
          <w:tcPr>
            <w:tcW w:w="600" w:type="dxa"/>
            <w:vAlign w:val="bottom"/>
            <w:tcBorders>
              <w:top w:val="single" w:sz="8" w:color="auto"/>
              <w:bottom w:val="single" w:sz="8" w:color="E5E5E5"/>
              <w:right w:val="single" w:sz="8" w:color="auto"/>
            </w:tcBorders>
            <w:shd w:val="clear" w:color="auto" w:fill="E5E5E5"/>
          </w:tcPr>
          <w:p>
            <w:pPr>
              <w:spacing w:after="0"/>
              <w:rPr>
                <w:sz w:val="11"/>
                <w:szCs w:val="11"/>
                <w:color w:val="auto"/>
              </w:rPr>
            </w:pPr>
          </w:p>
        </w:tc>
        <w:tc>
          <w:tcPr>
            <w:tcW w:w="280" w:type="dxa"/>
            <w:vAlign w:val="bottom"/>
            <w:tcBorders>
              <w:top w:val="single" w:sz="8" w:color="auto"/>
              <w:bottom w:val="single" w:sz="8" w:color="E5E5E5"/>
            </w:tcBorders>
            <w:shd w:val="clear" w:color="auto" w:fill="E5E5E5"/>
          </w:tcPr>
          <w:p>
            <w:pPr>
              <w:spacing w:after="0"/>
              <w:rPr>
                <w:sz w:val="11"/>
                <w:szCs w:val="11"/>
                <w:color w:val="auto"/>
              </w:rPr>
            </w:pPr>
          </w:p>
        </w:tc>
        <w:tc>
          <w:tcPr>
            <w:tcW w:w="620" w:type="dxa"/>
            <w:vAlign w:val="bottom"/>
            <w:tcBorders>
              <w:top w:val="single" w:sz="8" w:color="auto"/>
              <w:bottom w:val="single" w:sz="8" w:color="E5E5E5"/>
            </w:tcBorders>
            <w:shd w:val="clear" w:color="auto" w:fill="E5E5E5"/>
          </w:tcPr>
          <w:p>
            <w:pPr>
              <w:spacing w:after="0"/>
              <w:rPr>
                <w:sz w:val="11"/>
                <w:szCs w:val="11"/>
                <w:color w:val="auto"/>
              </w:rPr>
            </w:pPr>
          </w:p>
        </w:tc>
        <w:tc>
          <w:tcPr>
            <w:tcW w:w="320" w:type="dxa"/>
            <w:vAlign w:val="bottom"/>
            <w:tcBorders>
              <w:top w:val="single" w:sz="8" w:color="auto"/>
              <w:bottom w:val="single" w:sz="8" w:color="E5E5E5"/>
            </w:tcBorders>
            <w:shd w:val="clear" w:color="auto" w:fill="E5E5E5"/>
          </w:tcPr>
          <w:p>
            <w:pPr>
              <w:spacing w:after="0"/>
              <w:rPr>
                <w:sz w:val="11"/>
                <w:szCs w:val="11"/>
                <w:color w:val="auto"/>
              </w:rPr>
            </w:pPr>
          </w:p>
        </w:tc>
        <w:tc>
          <w:tcPr>
            <w:tcW w:w="60" w:type="dxa"/>
            <w:vAlign w:val="bottom"/>
            <w:tcBorders>
              <w:top w:val="single" w:sz="8" w:color="auto"/>
              <w:bottom w:val="single" w:sz="8" w:color="E5E5E5"/>
            </w:tcBorders>
            <w:shd w:val="clear" w:color="auto" w:fill="E5E5E5"/>
          </w:tcPr>
          <w:p>
            <w:pPr>
              <w:spacing w:after="0"/>
              <w:rPr>
                <w:sz w:val="11"/>
                <w:szCs w:val="11"/>
                <w:color w:val="auto"/>
              </w:rPr>
            </w:pPr>
          </w:p>
        </w:tc>
        <w:tc>
          <w:tcPr>
            <w:tcW w:w="180" w:type="dxa"/>
            <w:vAlign w:val="bottom"/>
            <w:tcBorders>
              <w:top w:val="single" w:sz="8" w:color="auto"/>
              <w:bottom w:val="single" w:sz="8" w:color="E5E5E5"/>
            </w:tcBorders>
            <w:shd w:val="clear" w:color="auto" w:fill="E5E5E5"/>
          </w:tcPr>
          <w:p>
            <w:pPr>
              <w:spacing w:after="0"/>
              <w:rPr>
                <w:sz w:val="11"/>
                <w:szCs w:val="11"/>
                <w:color w:val="auto"/>
              </w:rPr>
            </w:pPr>
          </w:p>
        </w:tc>
        <w:tc>
          <w:tcPr>
            <w:tcW w:w="740" w:type="dxa"/>
            <w:vAlign w:val="bottom"/>
            <w:tcBorders>
              <w:top w:val="single" w:sz="8" w:color="auto"/>
              <w:bottom w:val="single" w:sz="8" w:color="E5E5E5"/>
              <w:right w:val="single" w:sz="8" w:color="auto"/>
            </w:tcBorders>
            <w:shd w:val="clear" w:color="auto" w:fill="E5E5E5"/>
          </w:tcPr>
          <w:p>
            <w:pPr>
              <w:spacing w:after="0"/>
              <w:rPr>
                <w:sz w:val="11"/>
                <w:szCs w:val="11"/>
                <w:color w:val="auto"/>
              </w:rPr>
            </w:pPr>
          </w:p>
        </w:tc>
        <w:tc>
          <w:tcPr>
            <w:tcW w:w="280" w:type="dxa"/>
            <w:vAlign w:val="bottom"/>
            <w:tcBorders>
              <w:top w:val="single" w:sz="8" w:color="auto"/>
              <w:bottom w:val="single" w:sz="8" w:color="E5E5E5"/>
            </w:tcBorders>
            <w:shd w:val="clear" w:color="auto" w:fill="E5E5E5"/>
          </w:tcPr>
          <w:p>
            <w:pPr>
              <w:spacing w:after="0"/>
              <w:rPr>
                <w:sz w:val="11"/>
                <w:szCs w:val="11"/>
                <w:color w:val="auto"/>
              </w:rPr>
            </w:pPr>
          </w:p>
        </w:tc>
        <w:tc>
          <w:tcPr>
            <w:tcW w:w="620" w:type="dxa"/>
            <w:vAlign w:val="bottom"/>
            <w:tcBorders>
              <w:top w:val="single" w:sz="8" w:color="auto"/>
              <w:bottom w:val="single" w:sz="8" w:color="E5E5E5"/>
            </w:tcBorders>
            <w:shd w:val="clear" w:color="auto" w:fill="E5E5E5"/>
          </w:tcPr>
          <w:p>
            <w:pPr>
              <w:spacing w:after="0"/>
              <w:rPr>
                <w:sz w:val="11"/>
                <w:szCs w:val="11"/>
                <w:color w:val="auto"/>
              </w:rPr>
            </w:pPr>
          </w:p>
        </w:tc>
        <w:tc>
          <w:tcPr>
            <w:tcW w:w="320" w:type="dxa"/>
            <w:vAlign w:val="bottom"/>
            <w:tcBorders>
              <w:top w:val="single" w:sz="8" w:color="auto"/>
              <w:bottom w:val="single" w:sz="8" w:color="E5E5E5"/>
            </w:tcBorders>
            <w:shd w:val="clear" w:color="auto" w:fill="E5E5E5"/>
          </w:tcPr>
          <w:p>
            <w:pPr>
              <w:spacing w:after="0"/>
              <w:rPr>
                <w:sz w:val="11"/>
                <w:szCs w:val="11"/>
                <w:color w:val="auto"/>
              </w:rPr>
            </w:pPr>
          </w:p>
        </w:tc>
        <w:tc>
          <w:tcPr>
            <w:tcW w:w="240" w:type="dxa"/>
            <w:vAlign w:val="bottom"/>
            <w:tcBorders>
              <w:top w:val="single" w:sz="8" w:color="auto"/>
              <w:bottom w:val="single" w:sz="8" w:color="E5E5E5"/>
            </w:tcBorders>
            <w:shd w:val="clear" w:color="auto" w:fill="E5E5E5"/>
          </w:tcPr>
          <w:p>
            <w:pPr>
              <w:spacing w:after="0"/>
              <w:rPr>
                <w:sz w:val="11"/>
                <w:szCs w:val="11"/>
                <w:color w:val="auto"/>
              </w:rPr>
            </w:pPr>
          </w:p>
        </w:tc>
        <w:tc>
          <w:tcPr>
            <w:tcW w:w="520" w:type="dxa"/>
            <w:vAlign w:val="bottom"/>
            <w:tcBorders>
              <w:top w:val="single" w:sz="8" w:color="auto"/>
              <w:bottom w:val="single" w:sz="8" w:color="E5E5E5"/>
            </w:tcBorders>
            <w:shd w:val="clear" w:color="auto" w:fill="E5E5E5"/>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20" w:type="dxa"/>
            <w:vAlign w:val="bottom"/>
            <w:gridSpan w:val="3"/>
          </w:tcPr>
          <w:p>
            <w:pPr>
              <w:spacing w:after="0"/>
              <w:rPr>
                <w:sz w:val="20"/>
                <w:szCs w:val="20"/>
                <w:color w:val="auto"/>
              </w:rPr>
            </w:pPr>
            <w:r>
              <w:rPr>
                <w:rFonts w:ascii="Arial" w:cs="Arial" w:eastAsia="Arial" w:hAnsi="Arial"/>
                <w:sz w:val="14"/>
                <w:szCs w:val="14"/>
                <w:color w:val="auto"/>
              </w:rPr>
              <w:t>Revenue</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8,131</w:t>
            </w:r>
          </w:p>
        </w:tc>
        <w:tc>
          <w:tcPr>
            <w:tcW w:w="360" w:type="dxa"/>
            <w:vAlign w:val="bottom"/>
          </w:tcPr>
          <w:p>
            <w:pPr>
              <w:ind w:lef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347</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71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tcPr>
          <w:p>
            <w:pPr>
              <w:jc w:val="right"/>
              <w:ind w:right="152"/>
              <w:spacing w:after="0"/>
              <w:rPr>
                <w:sz w:val="20"/>
                <w:szCs w:val="20"/>
                <w:color w:val="auto"/>
              </w:rPr>
            </w:pPr>
            <w:r>
              <w:rPr>
                <w:rFonts w:ascii="Arial" w:cs="Arial" w:eastAsia="Arial" w:hAnsi="Arial"/>
                <w:sz w:val="14"/>
                <w:szCs w:val="14"/>
                <w:color w:val="auto"/>
              </w:rPr>
              <w:t>8,549</w:t>
            </w:r>
          </w:p>
        </w:tc>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3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tcPr>
          <w:p>
            <w:pPr>
              <w:jc w:val="right"/>
              <w:ind w:right="152"/>
              <w:spacing w:after="0"/>
              <w:rPr>
                <w:sz w:val="20"/>
                <w:szCs w:val="20"/>
                <w:color w:val="auto"/>
              </w:rPr>
            </w:pPr>
            <w:r>
              <w:rPr>
                <w:rFonts w:ascii="Arial" w:cs="Arial" w:eastAsia="Arial" w:hAnsi="Arial"/>
                <w:sz w:val="14"/>
                <w:szCs w:val="14"/>
                <w:color w:val="auto"/>
              </w:rPr>
              <w:t>8,131</w:t>
            </w:r>
          </w:p>
        </w:tc>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8,549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2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tcBorders>
              <w:bottom w:val="single" w:sz="8" w:color="E5E5E5"/>
            </w:tcBorders>
            <w:gridSpan w:val="3"/>
            <w:shd w:val="clear" w:color="auto" w:fill="E5E5E5"/>
          </w:tcPr>
          <w:p>
            <w:pPr>
              <w:spacing w:after="0" w:line="149" w:lineRule="exact"/>
              <w:rPr>
                <w:sz w:val="20"/>
                <w:szCs w:val="20"/>
                <w:color w:val="auto"/>
              </w:rPr>
            </w:pPr>
            <w:r>
              <w:rPr>
                <w:rFonts w:ascii="Arial" w:cs="Arial" w:eastAsia="Arial" w:hAnsi="Arial"/>
                <w:sz w:val="14"/>
                <w:szCs w:val="14"/>
                <w:color w:val="auto"/>
              </w:rPr>
              <w:t>Operating Expenses (excluding depreciation and amortization)</w:t>
            </w:r>
          </w:p>
        </w:tc>
        <w:tc>
          <w:tcPr>
            <w:tcW w:w="220" w:type="dxa"/>
            <w:vAlign w:val="bottom"/>
            <w:tcBorders>
              <w:bottom w:val="single" w:sz="8" w:color="auto"/>
            </w:tcBorders>
            <w:shd w:val="clear" w:color="auto" w:fill="E5E5E5"/>
          </w:tcPr>
          <w:p>
            <w:pPr>
              <w:spacing w:after="0"/>
              <w:rPr>
                <w:sz w:val="12"/>
                <w:szCs w:val="12"/>
                <w:color w:val="auto"/>
              </w:rPr>
            </w:pPr>
          </w:p>
        </w:tc>
        <w:tc>
          <w:tcPr>
            <w:tcW w:w="44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4,880</w:t>
            </w:r>
          </w:p>
        </w:tc>
        <w:tc>
          <w:tcPr>
            <w:tcW w:w="36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gridSpan w:val="2"/>
            <w:shd w:val="clear" w:color="auto" w:fill="E5E5E5"/>
          </w:tcPr>
          <w:p>
            <w:pPr>
              <w:jc w:val="right"/>
              <w:spacing w:after="0" w:line="149" w:lineRule="exact"/>
              <w:rPr>
                <w:sz w:val="20"/>
                <w:szCs w:val="20"/>
                <w:color w:val="auto"/>
              </w:rPr>
            </w:pPr>
            <w:r>
              <w:rPr>
                <w:rFonts w:ascii="Arial" w:cs="Arial" w:eastAsia="Arial" w:hAnsi="Arial"/>
                <w:sz w:val="14"/>
                <w:szCs w:val="14"/>
                <w:color w:val="auto"/>
              </w:rPr>
              <w:t>242</w:t>
            </w:r>
          </w:p>
        </w:tc>
        <w:tc>
          <w:tcPr>
            <w:tcW w:w="180" w:type="dxa"/>
            <w:vAlign w:val="bottom"/>
            <w:tcBorders>
              <w:bottom w:val="single" w:sz="8" w:color="auto"/>
            </w:tcBorders>
            <w:shd w:val="clear" w:color="auto" w:fill="E5E5E5"/>
          </w:tcPr>
          <w:p>
            <w:pPr>
              <w:spacing w:after="0"/>
              <w:rPr>
                <w:sz w:val="12"/>
                <w:szCs w:val="12"/>
                <w:color w:val="auto"/>
              </w:rPr>
            </w:pPr>
          </w:p>
        </w:tc>
        <w:tc>
          <w:tcPr>
            <w:tcW w:w="22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190</w:t>
            </w:r>
          </w:p>
        </w:tc>
        <w:tc>
          <w:tcPr>
            <w:tcW w:w="14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right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5,312</w:t>
            </w:r>
          </w:p>
        </w:tc>
        <w:tc>
          <w:tcPr>
            <w:tcW w:w="28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spacing w:after="0"/>
              <w:rPr>
                <w:sz w:val="12"/>
                <w:szCs w:val="12"/>
                <w:color w:val="auto"/>
              </w:rPr>
            </w:pPr>
          </w:p>
        </w:tc>
        <w:tc>
          <w:tcPr>
            <w:tcW w:w="380" w:type="dxa"/>
            <w:vAlign w:val="bottom"/>
            <w:tcBorders>
              <w:bottom w:val="single" w:sz="8" w:color="auto"/>
            </w:tcBorders>
            <w:gridSpan w:val="2"/>
            <w:shd w:val="clear" w:color="auto" w:fill="E5E5E5"/>
          </w:tcPr>
          <w:p>
            <w:pPr>
              <w:ind w:left="1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right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4,880</w:t>
            </w:r>
          </w:p>
        </w:tc>
        <w:tc>
          <w:tcPr>
            <w:tcW w:w="28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spacing w:after="0"/>
              <w:rPr>
                <w:sz w:val="12"/>
                <w:szCs w:val="12"/>
                <w:color w:val="auto"/>
              </w:rPr>
            </w:pPr>
          </w:p>
        </w:tc>
        <w:tc>
          <w:tcPr>
            <w:tcW w:w="320" w:type="dxa"/>
            <w:vAlign w:val="bottom"/>
            <w:tcBorders>
              <w:bottom w:val="single" w:sz="8" w:color="auto"/>
            </w:tcBorders>
            <w:shd w:val="clear" w:color="auto" w:fill="E5E5E5"/>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5,312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gridSpan w:val="3"/>
          </w:tcPr>
          <w:p>
            <w:pPr>
              <w:spacing w:after="0" w:line="142" w:lineRule="exact"/>
              <w:rPr>
                <w:sz w:val="20"/>
                <w:szCs w:val="20"/>
                <w:color w:val="auto"/>
              </w:rPr>
            </w:pPr>
            <w:r>
              <w:rPr>
                <w:rFonts w:ascii="Arial" w:cs="Arial" w:eastAsia="Arial" w:hAnsi="Arial"/>
                <w:sz w:val="14"/>
                <w:szCs w:val="14"/>
                <w:color w:val="auto"/>
              </w:rPr>
              <w:t>Operating Cash Flow</w:t>
            </w:r>
          </w:p>
        </w:tc>
        <w:tc>
          <w:tcPr>
            <w:tcW w:w="2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rPr>
              <w:t>3,251</w:t>
            </w:r>
          </w:p>
        </w:tc>
        <w:tc>
          <w:tcPr>
            <w:tcW w:w="36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105</w:t>
            </w:r>
          </w:p>
        </w:tc>
        <w:tc>
          <w:tcPr>
            <w:tcW w:w="40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12"/>
              <w:spacing w:after="0" w:line="142" w:lineRule="exact"/>
              <w:rPr>
                <w:sz w:val="20"/>
                <w:szCs w:val="20"/>
                <w:color w:val="auto"/>
              </w:rPr>
            </w:pPr>
            <w:r>
              <w:rPr>
                <w:rFonts w:ascii="Arial" w:cs="Arial" w:eastAsia="Arial" w:hAnsi="Arial"/>
                <w:sz w:val="14"/>
                <w:szCs w:val="14"/>
                <w:color w:val="auto"/>
              </w:rPr>
              <w:t>119)</w:t>
            </w: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3,237</w:t>
            </w:r>
          </w:p>
        </w:tc>
        <w:tc>
          <w:tcPr>
            <w:tcW w:w="2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3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3,251</w:t>
            </w:r>
          </w:p>
        </w:tc>
        <w:tc>
          <w:tcPr>
            <w:tcW w:w="2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320" w:type="dxa"/>
            <w:vAlign w:val="bottom"/>
          </w:tcPr>
          <w:p>
            <w:pPr>
              <w:ind w:left="10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rPr>
              <w:t>3,237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Borders>
              <w:bottom w:val="single" w:sz="8" w:color="E5E5E5"/>
            </w:tcBorders>
            <w:gridSpan w:val="3"/>
            <w:shd w:val="clear" w:color="auto" w:fill="E5E5E5"/>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20" w:type="dxa"/>
            <w:vAlign w:val="bottom"/>
            <w:tcBorders>
              <w:bottom w:val="single" w:sz="8" w:color="auto"/>
            </w:tcBorders>
            <w:shd w:val="clear" w:color="auto" w:fill="E5E5E5"/>
          </w:tcPr>
          <w:p>
            <w:pPr>
              <w:spacing w:after="0"/>
              <w:rPr>
                <w:sz w:val="12"/>
                <w:szCs w:val="12"/>
                <w:color w:val="auto"/>
              </w:rPr>
            </w:pPr>
          </w:p>
        </w:tc>
        <w:tc>
          <w:tcPr>
            <w:tcW w:w="44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1,502</w:t>
            </w:r>
          </w:p>
        </w:tc>
        <w:tc>
          <w:tcPr>
            <w:tcW w:w="36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gridSpan w:val="2"/>
            <w:shd w:val="clear" w:color="auto" w:fill="E5E5E5"/>
          </w:tcPr>
          <w:p>
            <w:pPr>
              <w:jc w:val="right"/>
              <w:spacing w:after="0" w:line="149" w:lineRule="exact"/>
              <w:rPr>
                <w:sz w:val="20"/>
                <w:szCs w:val="20"/>
                <w:color w:val="auto"/>
              </w:rPr>
            </w:pPr>
            <w:r>
              <w:rPr>
                <w:rFonts w:ascii="Arial" w:cs="Arial" w:eastAsia="Arial" w:hAnsi="Arial"/>
                <w:sz w:val="14"/>
                <w:szCs w:val="14"/>
                <w:color w:val="auto"/>
              </w:rPr>
              <w:t>46</w:t>
            </w:r>
          </w:p>
        </w:tc>
        <w:tc>
          <w:tcPr>
            <w:tcW w:w="180" w:type="dxa"/>
            <w:vAlign w:val="bottom"/>
            <w:tcBorders>
              <w:bottom w:val="single" w:sz="8" w:color="auto"/>
            </w:tcBorders>
            <w:shd w:val="clear" w:color="auto" w:fill="E5E5E5"/>
          </w:tcPr>
          <w:p>
            <w:pPr>
              <w:spacing w:after="0"/>
              <w:rPr>
                <w:sz w:val="12"/>
                <w:szCs w:val="12"/>
                <w:color w:val="auto"/>
              </w:rPr>
            </w:pPr>
          </w:p>
        </w:tc>
        <w:tc>
          <w:tcPr>
            <w:tcW w:w="22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19</w:t>
            </w:r>
          </w:p>
        </w:tc>
        <w:tc>
          <w:tcPr>
            <w:tcW w:w="14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right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1,567</w:t>
            </w:r>
          </w:p>
        </w:tc>
        <w:tc>
          <w:tcPr>
            <w:tcW w:w="28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spacing w:after="0"/>
              <w:rPr>
                <w:sz w:val="12"/>
                <w:szCs w:val="12"/>
                <w:color w:val="auto"/>
              </w:rPr>
            </w:pPr>
          </w:p>
        </w:tc>
        <w:tc>
          <w:tcPr>
            <w:tcW w:w="380" w:type="dxa"/>
            <w:vAlign w:val="bottom"/>
            <w:tcBorders>
              <w:bottom w:val="single" w:sz="8" w:color="auto"/>
            </w:tcBorders>
            <w:gridSpan w:val="2"/>
            <w:shd w:val="clear" w:color="auto" w:fill="E5E5E5"/>
          </w:tcPr>
          <w:p>
            <w:pPr>
              <w:ind w:left="1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right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1,502</w:t>
            </w:r>
          </w:p>
        </w:tc>
        <w:tc>
          <w:tcPr>
            <w:tcW w:w="28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spacing w:after="0"/>
              <w:rPr>
                <w:sz w:val="12"/>
                <w:szCs w:val="12"/>
                <w:color w:val="auto"/>
              </w:rPr>
            </w:pPr>
          </w:p>
        </w:tc>
        <w:tc>
          <w:tcPr>
            <w:tcW w:w="320" w:type="dxa"/>
            <w:vAlign w:val="bottom"/>
            <w:tcBorders>
              <w:bottom w:val="single" w:sz="8" w:color="auto"/>
            </w:tcBorders>
            <w:shd w:val="clear" w:color="auto" w:fill="E5E5E5"/>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1,567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3"/>
          </w:tcPr>
          <w:p>
            <w:pPr>
              <w:spacing w:after="0" w:line="142" w:lineRule="exact"/>
              <w:rPr>
                <w:sz w:val="20"/>
                <w:szCs w:val="20"/>
                <w:color w:val="auto"/>
              </w:rPr>
            </w:pPr>
            <w:r>
              <w:rPr>
                <w:rFonts w:ascii="Arial" w:cs="Arial" w:eastAsia="Arial" w:hAnsi="Arial"/>
                <w:sz w:val="14"/>
                <w:szCs w:val="14"/>
                <w:color w:val="auto"/>
              </w:rPr>
              <w:t>Operating Income (Loss)</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1,749</w:t>
            </w:r>
          </w:p>
        </w:tc>
        <w:tc>
          <w:tcPr>
            <w:tcW w:w="3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59</w:t>
            </w:r>
          </w:p>
        </w:tc>
        <w:tc>
          <w:tcPr>
            <w:tcW w:w="40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138)</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right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1,670</w:t>
            </w:r>
          </w:p>
        </w:tc>
        <w:tc>
          <w:tcPr>
            <w:tcW w:w="28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1,749</w:t>
            </w:r>
          </w:p>
        </w:tc>
        <w:tc>
          <w:tcPr>
            <w:tcW w:w="28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920" w:type="dxa"/>
            <w:vAlign w:val="bottom"/>
            <w:tcBorders>
              <w:bottom w:val="single" w:sz="8" w:color="E5E5E5"/>
            </w:tcBorders>
            <w:gridSpan w:val="3"/>
            <w:shd w:val="clear" w:color="auto" w:fill="E5E5E5"/>
          </w:tcPr>
          <w:p>
            <w:pPr>
              <w:spacing w:after="0" w:line="149" w:lineRule="exact"/>
              <w:rPr>
                <w:sz w:val="20"/>
                <w:szCs w:val="20"/>
                <w:color w:val="auto"/>
              </w:rPr>
            </w:pPr>
            <w:r>
              <w:rPr>
                <w:rFonts w:ascii="Arial" w:cs="Arial" w:eastAsia="Arial" w:hAnsi="Arial"/>
                <w:sz w:val="14"/>
                <w:szCs w:val="14"/>
                <w:color w:val="auto"/>
              </w:rPr>
              <w:t>Capital Expenditures</w:t>
            </w:r>
          </w:p>
        </w:tc>
        <w:tc>
          <w:tcPr>
            <w:tcW w:w="22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1,268</w:t>
            </w:r>
          </w:p>
        </w:tc>
        <w:tc>
          <w:tcPr>
            <w:tcW w:w="360" w:type="dxa"/>
            <w:vAlign w:val="bottom"/>
            <w:tcBorders>
              <w:bottom w:val="single" w:sz="8" w:color="auto"/>
            </w:tcBorders>
            <w:shd w:val="clear" w:color="auto" w:fill="E5E5E5"/>
          </w:tcPr>
          <w:p>
            <w:pPr>
              <w:ind w:left="80"/>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gridSpan w:val="2"/>
            <w:shd w:val="clear" w:color="auto" w:fill="E5E5E5"/>
          </w:tcPr>
          <w:p>
            <w:pPr>
              <w:jc w:val="right"/>
              <w:spacing w:after="0" w:line="149" w:lineRule="exact"/>
              <w:rPr>
                <w:sz w:val="20"/>
                <w:szCs w:val="20"/>
                <w:color w:val="auto"/>
              </w:rPr>
            </w:pPr>
            <w:r>
              <w:rPr>
                <w:rFonts w:ascii="Arial" w:cs="Arial" w:eastAsia="Arial" w:hAnsi="Arial"/>
                <w:sz w:val="14"/>
                <w:szCs w:val="14"/>
                <w:color w:val="auto"/>
              </w:rPr>
              <w:t>12</w:t>
            </w:r>
          </w:p>
        </w:tc>
        <w:tc>
          <w:tcPr>
            <w:tcW w:w="180" w:type="dxa"/>
            <w:vAlign w:val="bottom"/>
            <w:tcBorders>
              <w:bottom w:val="single" w:sz="8" w:color="auto"/>
            </w:tcBorders>
            <w:shd w:val="clear" w:color="auto" w:fill="E5E5E5"/>
          </w:tcPr>
          <w:p>
            <w:pPr>
              <w:ind w:left="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5E5E5"/>
          </w:tcPr>
          <w:p>
            <w:pPr>
              <w:spacing w:after="0"/>
              <w:rPr>
                <w:sz w:val="13"/>
                <w:szCs w:val="13"/>
                <w:color w:val="auto"/>
              </w:rPr>
            </w:pPr>
          </w:p>
        </w:tc>
        <w:tc>
          <w:tcPr>
            <w:tcW w:w="540" w:type="dxa"/>
            <w:vAlign w:val="bottom"/>
            <w:tcBorders>
              <w:bottom w:val="single" w:sz="8" w:color="auto"/>
            </w:tcBorders>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26</w:t>
            </w:r>
          </w:p>
        </w:tc>
        <w:tc>
          <w:tcPr>
            <w:tcW w:w="14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right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1,306</w:t>
            </w:r>
          </w:p>
        </w:tc>
        <w:tc>
          <w:tcPr>
            <w:tcW w:w="280" w:type="dxa"/>
            <w:vAlign w:val="bottom"/>
            <w:tcBorders>
              <w:bottom w:val="single" w:sz="8" w:color="auto"/>
            </w:tcBorders>
            <w:shd w:val="clear" w:color="auto" w:fill="E5E5E5"/>
          </w:tcPr>
          <w:p>
            <w:pPr>
              <w:ind w:left="120"/>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E5E5E5"/>
          </w:tcPr>
          <w:p>
            <w:pPr>
              <w:spacing w:after="0"/>
              <w:rPr>
                <w:sz w:val="13"/>
                <w:szCs w:val="13"/>
                <w:color w:val="auto"/>
              </w:rPr>
            </w:pPr>
          </w:p>
        </w:tc>
        <w:tc>
          <w:tcPr>
            <w:tcW w:w="380" w:type="dxa"/>
            <w:vAlign w:val="bottom"/>
            <w:tcBorders>
              <w:bottom w:val="single" w:sz="8" w:color="auto"/>
            </w:tcBorders>
            <w:gridSpan w:val="2"/>
            <w:shd w:val="clear" w:color="auto" w:fill="E5E5E5"/>
          </w:tcPr>
          <w:p>
            <w:pPr>
              <w:ind w:left="1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5E5E5"/>
          </w:tcPr>
          <w:p>
            <w:pPr>
              <w:ind w:left="60"/>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1,268</w:t>
            </w:r>
          </w:p>
        </w:tc>
        <w:tc>
          <w:tcPr>
            <w:tcW w:w="280" w:type="dxa"/>
            <w:vAlign w:val="bottom"/>
            <w:tcBorders>
              <w:bottom w:val="single" w:sz="8" w:color="auto"/>
            </w:tcBorders>
            <w:shd w:val="clear" w:color="auto" w:fill="E5E5E5"/>
          </w:tcPr>
          <w:p>
            <w:pPr>
              <w:ind w:left="120"/>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E5E5E5"/>
          </w:tcPr>
          <w:p>
            <w:pPr>
              <w:spacing w:after="0"/>
              <w:rPr>
                <w:sz w:val="13"/>
                <w:szCs w:val="13"/>
                <w:color w:val="auto"/>
              </w:rPr>
            </w:pPr>
          </w:p>
        </w:tc>
        <w:tc>
          <w:tcPr>
            <w:tcW w:w="320" w:type="dxa"/>
            <w:vAlign w:val="bottom"/>
            <w:tcBorders>
              <w:bottom w:val="single" w:sz="8" w:color="auto"/>
            </w:tcBorders>
            <w:shd w:val="clear" w:color="auto" w:fill="E5E5E5"/>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E5E5E5"/>
          </w:tcPr>
          <w:p>
            <w:pPr>
              <w:ind w:left="120"/>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1,306</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78"/>
        </w:trPr>
        <w:tc>
          <w:tcPr>
            <w:tcW w:w="394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 September 30, 2007</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Borders>
              <w:top w:val="single" w:sz="8" w:color="auto"/>
            </w:tcBorders>
            <w:gridSpan w:val="2"/>
            <w:shd w:val="clear" w:color="auto" w:fill="E5E5E5"/>
          </w:tcPr>
          <w:p>
            <w:pPr>
              <w:spacing w:after="0" w:line="142" w:lineRule="exact"/>
              <w:rPr>
                <w:sz w:val="20"/>
                <w:szCs w:val="20"/>
                <w:color w:val="auto"/>
              </w:rPr>
            </w:pPr>
            <w:r>
              <w:rPr>
                <w:rFonts w:ascii="Arial" w:cs="Arial" w:eastAsia="Arial" w:hAnsi="Arial"/>
                <w:sz w:val="14"/>
                <w:szCs w:val="14"/>
                <w:color w:val="auto"/>
              </w:rPr>
              <w:t>Revenue</w:t>
            </w:r>
          </w:p>
        </w:tc>
        <w:tc>
          <w:tcPr>
            <w:tcW w:w="1540" w:type="dxa"/>
            <w:vAlign w:val="bottom"/>
            <w:shd w:val="clear" w:color="auto" w:fill="E5E5E5"/>
          </w:tcPr>
          <w:p>
            <w:pPr>
              <w:spacing w:after="0"/>
              <w:rPr>
                <w:sz w:val="12"/>
                <w:szCs w:val="12"/>
                <w:color w:val="auto"/>
              </w:rPr>
            </w:pPr>
          </w:p>
        </w:tc>
        <w:tc>
          <w:tcPr>
            <w:tcW w:w="22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7,400</w:t>
            </w:r>
          </w:p>
        </w:tc>
        <w:tc>
          <w:tcPr>
            <w:tcW w:w="360" w:type="dxa"/>
            <w:vAlign w:val="bottom"/>
            <w:shd w:val="clear" w:color="auto" w:fill="E5E5E5"/>
          </w:tcPr>
          <w:p>
            <w:pPr>
              <w:ind w:left="80"/>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E5E5E5"/>
          </w:tcPr>
          <w:p>
            <w:pPr>
              <w:jc w:val="right"/>
              <w:spacing w:after="0" w:line="142" w:lineRule="exact"/>
              <w:rPr>
                <w:sz w:val="20"/>
                <w:szCs w:val="20"/>
                <w:color w:val="auto"/>
              </w:rPr>
            </w:pPr>
            <w:r>
              <w:rPr>
                <w:rFonts w:ascii="Arial" w:cs="Arial" w:eastAsia="Arial" w:hAnsi="Arial"/>
                <w:sz w:val="14"/>
                <w:szCs w:val="14"/>
                <w:color w:val="auto"/>
              </w:rPr>
              <w:t>330</w:t>
            </w:r>
          </w:p>
        </w:tc>
        <w:tc>
          <w:tcPr>
            <w:tcW w:w="180" w:type="dxa"/>
            <w:vAlign w:val="bottom"/>
            <w:shd w:val="clear" w:color="auto" w:fill="E5E5E5"/>
          </w:tcPr>
          <w:p>
            <w:pPr>
              <w:ind w:left="80"/>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52"/>
              <w:spacing w:after="0" w:line="142" w:lineRule="exact"/>
              <w:rPr>
                <w:sz w:val="20"/>
                <w:szCs w:val="20"/>
                <w:color w:val="auto"/>
              </w:rPr>
            </w:pPr>
            <w:r>
              <w:rPr>
                <w:rFonts w:ascii="Arial" w:cs="Arial" w:eastAsia="Arial" w:hAnsi="Arial"/>
                <w:sz w:val="14"/>
                <w:szCs w:val="14"/>
                <w:color w:val="auto"/>
              </w:rPr>
              <w:t>51</w:t>
            </w:r>
          </w:p>
        </w:tc>
        <w:tc>
          <w:tcPr>
            <w:tcW w:w="14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7,781</w:t>
            </w:r>
          </w:p>
        </w:tc>
        <w:tc>
          <w:tcPr>
            <w:tcW w:w="280" w:type="dxa"/>
            <w:vAlign w:val="bottom"/>
            <w:shd w:val="clear" w:color="auto" w:fill="E5E5E5"/>
          </w:tcPr>
          <w:p>
            <w:pPr>
              <w:ind w:left="120"/>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5E5E5"/>
          </w:tcPr>
          <w:p>
            <w:pPr>
              <w:ind w:left="720"/>
              <w:spacing w:after="0" w:line="142" w:lineRule="exact"/>
              <w:rPr>
                <w:sz w:val="20"/>
                <w:szCs w:val="20"/>
                <w:color w:val="auto"/>
              </w:rPr>
            </w:pPr>
            <w:r>
              <w:rPr>
                <w:rFonts w:ascii="Arial" w:cs="Arial" w:eastAsia="Arial" w:hAnsi="Arial"/>
                <w:sz w:val="14"/>
                <w:szCs w:val="14"/>
                <w:color w:val="auto"/>
                <w:w w:val="85"/>
              </w:rPr>
              <w:t>193</w:t>
            </w:r>
          </w:p>
        </w:tc>
        <w:tc>
          <w:tcPr>
            <w:tcW w:w="60" w:type="dxa"/>
            <w:vAlign w:val="bottom"/>
            <w:shd w:val="clear" w:color="auto" w:fill="E5E5E5"/>
          </w:tcPr>
          <w:p>
            <w:pPr>
              <w:spacing w:after="0"/>
              <w:rPr>
                <w:sz w:val="12"/>
                <w:szCs w:val="12"/>
                <w:color w:val="auto"/>
              </w:rPr>
            </w:pPr>
          </w:p>
        </w:tc>
        <w:tc>
          <w:tcPr>
            <w:tcW w:w="180" w:type="dxa"/>
            <w:vAlign w:val="bottom"/>
            <w:shd w:val="clear" w:color="auto" w:fill="E5E5E5"/>
          </w:tcPr>
          <w:p>
            <w:pPr>
              <w:ind w:left="60"/>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7,593</w:t>
            </w:r>
          </w:p>
        </w:tc>
        <w:tc>
          <w:tcPr>
            <w:tcW w:w="280" w:type="dxa"/>
            <w:vAlign w:val="bottom"/>
            <w:shd w:val="clear" w:color="auto" w:fill="E5E5E5"/>
          </w:tcPr>
          <w:p>
            <w:pPr>
              <w:ind w:left="120"/>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5E5E5"/>
          </w:tcPr>
          <w:p>
            <w:pPr>
              <w:ind w:left="720"/>
              <w:spacing w:after="0" w:line="142" w:lineRule="exact"/>
              <w:rPr>
                <w:sz w:val="20"/>
                <w:szCs w:val="20"/>
                <w:color w:val="auto"/>
              </w:rPr>
            </w:pPr>
            <w:r>
              <w:rPr>
                <w:rFonts w:ascii="Arial" w:cs="Arial" w:eastAsia="Arial" w:hAnsi="Arial"/>
                <w:sz w:val="14"/>
                <w:szCs w:val="14"/>
                <w:color w:val="auto"/>
                <w:w w:val="85"/>
              </w:rPr>
              <w:t>193</w:t>
            </w:r>
          </w:p>
        </w:tc>
        <w:tc>
          <w:tcPr>
            <w:tcW w:w="240" w:type="dxa"/>
            <w:vAlign w:val="bottom"/>
            <w:shd w:val="clear" w:color="auto" w:fill="E5E5E5"/>
          </w:tcPr>
          <w:p>
            <w:pPr>
              <w:ind w:left="120"/>
              <w:spacing w:after="0" w:line="142" w:lineRule="exact"/>
              <w:rPr>
                <w:sz w:val="20"/>
                <w:szCs w:val="20"/>
                <w:color w:val="auto"/>
              </w:rPr>
            </w:pPr>
            <w:r>
              <w:rPr>
                <w:rFonts w:ascii="Arial" w:cs="Arial" w:eastAsia="Arial" w:hAnsi="Arial"/>
                <w:sz w:val="14"/>
                <w:szCs w:val="14"/>
                <w:color w:val="auto"/>
              </w:rPr>
              <w:t>$</w:t>
            </w:r>
          </w:p>
        </w:tc>
        <w:tc>
          <w:tcPr>
            <w:tcW w:w="52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7,974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3940" w:type="dxa"/>
            <w:vAlign w:val="bottom"/>
            <w:gridSpan w:val="4"/>
          </w:tcPr>
          <w:p>
            <w:pPr>
              <w:spacing w:after="0"/>
              <w:rPr>
                <w:sz w:val="20"/>
                <w:szCs w:val="20"/>
                <w:color w:val="auto"/>
              </w:rPr>
            </w:pPr>
            <w:r>
              <w:rPr>
                <w:rFonts w:ascii="Arial" w:cs="Arial" w:eastAsia="Arial" w:hAnsi="Arial"/>
                <w:sz w:val="14"/>
                <w:szCs w:val="14"/>
                <w:color w:val="auto"/>
              </w:rPr>
              <w:t>Operating Expenses (excluding depreciation and amortization)</w:t>
            </w:r>
          </w:p>
        </w:tc>
        <w:tc>
          <w:tcPr>
            <w:tcW w:w="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4,425</w:t>
            </w:r>
          </w:p>
        </w:tc>
        <w:tc>
          <w:tcPr>
            <w:tcW w:w="3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233</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194</w:t>
            </w:r>
          </w:p>
        </w:tc>
        <w:tc>
          <w:tcPr>
            <w:tcW w:w="140" w:type="dxa"/>
            <w:vAlign w:val="bottom"/>
          </w:tcPr>
          <w:p>
            <w:pPr>
              <w:spacing w:after="0"/>
              <w:rPr>
                <w:sz w:val="24"/>
                <w:szCs w:val="24"/>
                <w:color w:val="auto"/>
              </w:rPr>
            </w:pPr>
          </w:p>
        </w:tc>
        <w:tc>
          <w:tcPr>
            <w:tcW w:w="600" w:type="dxa"/>
            <w:vAlign w:val="bottom"/>
            <w:tcBorders>
              <w:right w:val="single" w:sz="8" w:color="auto"/>
            </w:tcBorders>
          </w:tcPr>
          <w:p>
            <w:pPr>
              <w:jc w:val="right"/>
              <w:ind w:right="152"/>
              <w:spacing w:after="0"/>
              <w:rPr>
                <w:sz w:val="20"/>
                <w:szCs w:val="20"/>
                <w:color w:val="auto"/>
              </w:rPr>
            </w:pPr>
            <w:r>
              <w:rPr>
                <w:rFonts w:ascii="Arial" w:cs="Arial" w:eastAsia="Arial" w:hAnsi="Arial"/>
                <w:sz w:val="14"/>
                <w:szCs w:val="14"/>
                <w:color w:val="auto"/>
              </w:rPr>
              <w:t>4,852</w:t>
            </w:r>
          </w:p>
        </w:tc>
        <w:tc>
          <w:tcPr>
            <w:tcW w:w="280" w:type="dxa"/>
            <w:vAlign w:val="bottom"/>
          </w:tcPr>
          <w:p>
            <w:pPr>
              <w:spacing w:after="0"/>
              <w:rPr>
                <w:sz w:val="24"/>
                <w:szCs w:val="24"/>
                <w:color w:val="auto"/>
              </w:rPr>
            </w:pPr>
          </w:p>
        </w:tc>
        <w:tc>
          <w:tcPr>
            <w:tcW w:w="940" w:type="dxa"/>
            <w:vAlign w:val="bottom"/>
            <w:gridSpan w:val="2"/>
          </w:tcPr>
          <w:p>
            <w:pPr>
              <w:ind w:left="720"/>
              <w:spacing w:after="0"/>
              <w:rPr>
                <w:sz w:val="20"/>
                <w:szCs w:val="20"/>
                <w:color w:val="auto"/>
              </w:rPr>
            </w:pPr>
            <w:r>
              <w:rPr>
                <w:rFonts w:ascii="Arial" w:cs="Arial" w:eastAsia="Arial" w:hAnsi="Arial"/>
                <w:sz w:val="14"/>
                <w:szCs w:val="14"/>
                <w:color w:val="auto"/>
                <w:w w:val="85"/>
              </w:rPr>
              <w:t>118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Borders>
              <w:right w:val="single" w:sz="8" w:color="auto"/>
            </w:tcBorders>
          </w:tcPr>
          <w:p>
            <w:pPr>
              <w:jc w:val="right"/>
              <w:ind w:right="152"/>
              <w:spacing w:after="0"/>
              <w:rPr>
                <w:sz w:val="20"/>
                <w:szCs w:val="20"/>
                <w:color w:val="auto"/>
              </w:rPr>
            </w:pPr>
            <w:r>
              <w:rPr>
                <w:rFonts w:ascii="Arial" w:cs="Arial" w:eastAsia="Arial" w:hAnsi="Arial"/>
                <w:sz w:val="14"/>
                <w:szCs w:val="14"/>
                <w:color w:val="auto"/>
              </w:rPr>
              <w:t>4,543</w:t>
            </w:r>
          </w:p>
        </w:tc>
        <w:tc>
          <w:tcPr>
            <w:tcW w:w="280" w:type="dxa"/>
            <w:vAlign w:val="bottom"/>
          </w:tcPr>
          <w:p>
            <w:pPr>
              <w:spacing w:after="0"/>
              <w:rPr>
                <w:sz w:val="24"/>
                <w:szCs w:val="24"/>
                <w:color w:val="auto"/>
              </w:rPr>
            </w:pPr>
          </w:p>
        </w:tc>
        <w:tc>
          <w:tcPr>
            <w:tcW w:w="940" w:type="dxa"/>
            <w:vAlign w:val="bottom"/>
            <w:gridSpan w:val="2"/>
          </w:tcPr>
          <w:p>
            <w:pPr>
              <w:ind w:left="720"/>
              <w:spacing w:after="0"/>
              <w:rPr>
                <w:sz w:val="20"/>
                <w:szCs w:val="20"/>
                <w:color w:val="auto"/>
              </w:rPr>
            </w:pPr>
            <w:r>
              <w:rPr>
                <w:rFonts w:ascii="Arial" w:cs="Arial" w:eastAsia="Arial" w:hAnsi="Arial"/>
                <w:sz w:val="14"/>
                <w:szCs w:val="14"/>
                <w:color w:val="auto"/>
                <w:w w:val="85"/>
              </w:rPr>
              <w:t>118</w:t>
            </w:r>
          </w:p>
        </w:tc>
        <w:tc>
          <w:tcPr>
            <w:tcW w:w="24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4,970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gridSpan w:val="3"/>
            <w:shd w:val="clear" w:color="auto" w:fill="E5E5E5"/>
          </w:tcPr>
          <w:p>
            <w:pPr>
              <w:spacing w:after="0" w:line="142" w:lineRule="exact"/>
              <w:rPr>
                <w:sz w:val="20"/>
                <w:szCs w:val="20"/>
                <w:color w:val="auto"/>
              </w:rPr>
            </w:pPr>
            <w:r>
              <w:rPr>
                <w:rFonts w:ascii="Arial" w:cs="Arial" w:eastAsia="Arial" w:hAnsi="Arial"/>
                <w:sz w:val="14"/>
                <w:szCs w:val="14"/>
                <w:color w:val="auto"/>
              </w:rPr>
              <w:t>Operating Cash Flow</w:t>
            </w:r>
          </w:p>
        </w:tc>
        <w:tc>
          <w:tcPr>
            <w:tcW w:w="22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2,975</w:t>
            </w:r>
          </w:p>
        </w:tc>
        <w:tc>
          <w:tcPr>
            <w:tcW w:w="360" w:type="dxa"/>
            <w:vAlign w:val="bottom"/>
            <w:tcBorders>
              <w:top w:val="single" w:sz="8" w:color="auto"/>
            </w:tcBorders>
            <w:shd w:val="clear" w:color="auto" w:fill="E5E5E5"/>
          </w:tcPr>
          <w:p>
            <w:pPr>
              <w:ind w:left="8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gridSpan w:val="2"/>
            <w:shd w:val="clear" w:color="auto" w:fill="E5E5E5"/>
          </w:tcPr>
          <w:p>
            <w:pPr>
              <w:jc w:val="right"/>
              <w:spacing w:after="0" w:line="142" w:lineRule="exact"/>
              <w:rPr>
                <w:sz w:val="20"/>
                <w:szCs w:val="20"/>
                <w:color w:val="auto"/>
              </w:rPr>
            </w:pPr>
            <w:r>
              <w:rPr>
                <w:rFonts w:ascii="Arial" w:cs="Arial" w:eastAsia="Arial" w:hAnsi="Arial"/>
                <w:sz w:val="14"/>
                <w:szCs w:val="14"/>
                <w:color w:val="auto"/>
              </w:rPr>
              <w:t>97</w:t>
            </w:r>
          </w:p>
        </w:tc>
        <w:tc>
          <w:tcPr>
            <w:tcW w:w="400" w:type="dxa"/>
            <w:vAlign w:val="bottom"/>
            <w:tcBorders>
              <w:top w:val="single" w:sz="8" w:color="auto"/>
            </w:tcBorders>
            <w:gridSpan w:val="2"/>
            <w:shd w:val="clear" w:color="auto" w:fill="E5E5E5"/>
          </w:tcPr>
          <w:p>
            <w:pPr>
              <w:ind w:left="8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143)</w:t>
            </w:r>
          </w:p>
        </w:tc>
        <w:tc>
          <w:tcPr>
            <w:tcW w:w="14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right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2,929</w:t>
            </w:r>
          </w:p>
        </w:tc>
        <w:tc>
          <w:tcPr>
            <w:tcW w:w="280" w:type="dxa"/>
            <w:vAlign w:val="bottom"/>
            <w:tcBorders>
              <w:top w:val="single" w:sz="8" w:color="auto"/>
            </w:tcBorders>
            <w:shd w:val="clear" w:color="auto" w:fill="E5E5E5"/>
          </w:tcPr>
          <w:p>
            <w:pPr>
              <w:ind w:left="120"/>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gridSpan w:val="2"/>
            <w:shd w:val="clear" w:color="auto" w:fill="E5E5E5"/>
          </w:tcPr>
          <w:p>
            <w:pPr>
              <w:jc w:val="right"/>
              <w:spacing w:after="0" w:line="142" w:lineRule="exact"/>
              <w:rPr>
                <w:sz w:val="20"/>
                <w:szCs w:val="20"/>
                <w:color w:val="auto"/>
              </w:rPr>
            </w:pPr>
            <w:r>
              <w:rPr>
                <w:rFonts w:ascii="Arial" w:cs="Arial" w:eastAsia="Arial" w:hAnsi="Arial"/>
                <w:sz w:val="14"/>
                <w:szCs w:val="14"/>
                <w:color w:val="auto"/>
              </w:rPr>
              <w:t>75</w:t>
            </w:r>
          </w:p>
        </w:tc>
        <w:tc>
          <w:tcPr>
            <w:tcW w:w="60" w:type="dxa"/>
            <w:vAlign w:val="bottom"/>
            <w:tcBorders>
              <w:top w:val="single" w:sz="8" w:color="auto"/>
            </w:tcBorders>
            <w:shd w:val="clear" w:color="auto" w:fill="E5E5E5"/>
          </w:tcPr>
          <w:p>
            <w:pPr>
              <w:spacing w:after="0"/>
              <w:rPr>
                <w:sz w:val="12"/>
                <w:szCs w:val="12"/>
                <w:color w:val="auto"/>
              </w:rPr>
            </w:pPr>
          </w:p>
        </w:tc>
        <w:tc>
          <w:tcPr>
            <w:tcW w:w="180" w:type="dxa"/>
            <w:vAlign w:val="bottom"/>
            <w:tcBorders>
              <w:top w:val="single" w:sz="8" w:color="auto"/>
            </w:tcBorders>
            <w:shd w:val="clear" w:color="auto" w:fill="E5E5E5"/>
          </w:tcPr>
          <w:p>
            <w:pPr>
              <w:ind w:left="60"/>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right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3,050</w:t>
            </w:r>
          </w:p>
        </w:tc>
        <w:tc>
          <w:tcPr>
            <w:tcW w:w="280" w:type="dxa"/>
            <w:vAlign w:val="bottom"/>
            <w:tcBorders>
              <w:top w:val="single" w:sz="8" w:color="auto"/>
            </w:tcBorders>
            <w:shd w:val="clear" w:color="auto" w:fill="E5E5E5"/>
          </w:tcPr>
          <w:p>
            <w:pPr>
              <w:ind w:left="120"/>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gridSpan w:val="2"/>
            <w:shd w:val="clear" w:color="auto" w:fill="E5E5E5"/>
          </w:tcPr>
          <w:p>
            <w:pPr>
              <w:jc w:val="right"/>
              <w:spacing w:after="0" w:line="142" w:lineRule="exact"/>
              <w:rPr>
                <w:sz w:val="20"/>
                <w:szCs w:val="20"/>
                <w:color w:val="auto"/>
              </w:rPr>
            </w:pPr>
            <w:r>
              <w:rPr>
                <w:rFonts w:ascii="Arial" w:cs="Arial" w:eastAsia="Arial" w:hAnsi="Arial"/>
                <w:sz w:val="14"/>
                <w:szCs w:val="14"/>
                <w:color w:val="auto"/>
              </w:rPr>
              <w:t>75</w:t>
            </w:r>
          </w:p>
        </w:tc>
        <w:tc>
          <w:tcPr>
            <w:tcW w:w="240" w:type="dxa"/>
            <w:vAlign w:val="bottom"/>
            <w:tcBorders>
              <w:top w:val="single" w:sz="8" w:color="auto"/>
            </w:tcBorders>
            <w:shd w:val="clear" w:color="auto" w:fill="E5E5E5"/>
          </w:tcPr>
          <w:p>
            <w:pPr>
              <w:ind w:left="12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3,004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3"/>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1,473</w:t>
            </w:r>
          </w:p>
        </w:tc>
        <w:tc>
          <w:tcPr>
            <w:tcW w:w="3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46</w:t>
            </w: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19</w:t>
            </w: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1,538</w:t>
            </w: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36</w:t>
            </w: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1,509</w:t>
            </w: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36</w:t>
            </w: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Borders>
              <w:bottom w:val="single" w:sz="8" w:color="E5E5E5"/>
            </w:tcBorders>
            <w:gridSpan w:val="3"/>
            <w:shd w:val="clear" w:color="auto" w:fill="E5E5E5"/>
          </w:tcPr>
          <w:p>
            <w:pPr>
              <w:spacing w:after="0" w:line="142" w:lineRule="exact"/>
              <w:rPr>
                <w:sz w:val="20"/>
                <w:szCs w:val="20"/>
                <w:color w:val="auto"/>
              </w:rPr>
            </w:pPr>
            <w:r>
              <w:rPr>
                <w:rFonts w:ascii="Arial" w:cs="Arial" w:eastAsia="Arial" w:hAnsi="Arial"/>
                <w:sz w:val="14"/>
                <w:szCs w:val="14"/>
                <w:color w:val="auto"/>
              </w:rPr>
              <w:t>Operating Income (Loss)</w:t>
            </w:r>
          </w:p>
        </w:tc>
        <w:tc>
          <w:tcPr>
            <w:tcW w:w="2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1,502</w:t>
            </w:r>
          </w:p>
        </w:tc>
        <w:tc>
          <w:tcPr>
            <w:tcW w:w="360" w:type="dxa"/>
            <w:vAlign w:val="bottom"/>
            <w:tcBorders>
              <w:bottom w:val="single" w:sz="8" w:color="auto"/>
            </w:tcBorders>
            <w:shd w:val="clear" w:color="auto" w:fill="E5E5E5"/>
          </w:tcPr>
          <w:p>
            <w:pPr>
              <w:ind w:left="8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gridSpan w:val="2"/>
            <w:shd w:val="clear" w:color="auto" w:fill="E5E5E5"/>
          </w:tcPr>
          <w:p>
            <w:pPr>
              <w:jc w:val="right"/>
              <w:spacing w:after="0" w:line="142" w:lineRule="exact"/>
              <w:rPr>
                <w:sz w:val="20"/>
                <w:szCs w:val="20"/>
                <w:color w:val="auto"/>
              </w:rPr>
            </w:pPr>
            <w:r>
              <w:rPr>
                <w:rFonts w:ascii="Arial" w:cs="Arial" w:eastAsia="Arial" w:hAnsi="Arial"/>
                <w:sz w:val="14"/>
                <w:szCs w:val="14"/>
                <w:color w:val="auto"/>
              </w:rPr>
              <w:t>51</w:t>
            </w:r>
          </w:p>
        </w:tc>
        <w:tc>
          <w:tcPr>
            <w:tcW w:w="400" w:type="dxa"/>
            <w:vAlign w:val="bottom"/>
            <w:tcBorders>
              <w:bottom w:val="single" w:sz="8" w:color="auto"/>
            </w:tcBorders>
            <w:gridSpan w:val="2"/>
            <w:shd w:val="clear" w:color="auto" w:fill="E5E5E5"/>
          </w:tcPr>
          <w:p>
            <w:pPr>
              <w:ind w:left="8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162)</w:t>
            </w:r>
          </w:p>
        </w:tc>
        <w:tc>
          <w:tcPr>
            <w:tcW w:w="14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right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1,391</w:t>
            </w:r>
          </w:p>
        </w:tc>
        <w:tc>
          <w:tcPr>
            <w:tcW w:w="280" w:type="dxa"/>
            <w:vAlign w:val="bottom"/>
            <w:tcBorders>
              <w:bottom w:val="single" w:sz="8" w:color="auto"/>
            </w:tcBorders>
            <w:shd w:val="clear" w:color="auto" w:fill="E5E5E5"/>
          </w:tcPr>
          <w:p>
            <w:pPr>
              <w:ind w:left="120"/>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shd w:val="clear" w:color="auto" w:fill="E5E5E5"/>
          </w:tcPr>
          <w:p>
            <w:pPr>
              <w:jc w:val="right"/>
              <w:spacing w:after="0" w:line="142" w:lineRule="exact"/>
              <w:rPr>
                <w:sz w:val="20"/>
                <w:szCs w:val="20"/>
                <w:color w:val="auto"/>
              </w:rPr>
            </w:pPr>
            <w:r>
              <w:rPr>
                <w:rFonts w:ascii="Arial" w:cs="Arial" w:eastAsia="Arial" w:hAnsi="Arial"/>
                <w:sz w:val="14"/>
                <w:szCs w:val="14"/>
                <w:color w:val="auto"/>
              </w:rPr>
              <w:t>39</w:t>
            </w:r>
          </w:p>
        </w:tc>
        <w:tc>
          <w:tcPr>
            <w:tcW w:w="60" w:type="dxa"/>
            <w:vAlign w:val="bottom"/>
            <w:tcBorders>
              <w:bottom w:val="single" w:sz="8" w:color="auto"/>
            </w:tcBorders>
            <w:shd w:val="clear" w:color="auto" w:fill="E5E5E5"/>
          </w:tcPr>
          <w:p>
            <w:pPr>
              <w:spacing w:after="0"/>
              <w:rPr>
                <w:sz w:val="12"/>
                <w:szCs w:val="12"/>
                <w:color w:val="auto"/>
              </w:rPr>
            </w:pPr>
          </w:p>
        </w:tc>
        <w:tc>
          <w:tcPr>
            <w:tcW w:w="180" w:type="dxa"/>
            <w:vAlign w:val="bottom"/>
            <w:tcBorders>
              <w:bottom w:val="single" w:sz="8" w:color="auto"/>
            </w:tcBorders>
            <w:shd w:val="clear" w:color="auto" w:fill="E5E5E5"/>
          </w:tcPr>
          <w:p>
            <w:pPr>
              <w:ind w:left="60"/>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1,541</w:t>
            </w:r>
          </w:p>
        </w:tc>
        <w:tc>
          <w:tcPr>
            <w:tcW w:w="280" w:type="dxa"/>
            <w:vAlign w:val="bottom"/>
            <w:tcBorders>
              <w:bottom w:val="single" w:sz="8" w:color="auto"/>
            </w:tcBorders>
            <w:shd w:val="clear" w:color="auto" w:fill="E5E5E5"/>
          </w:tcPr>
          <w:p>
            <w:pPr>
              <w:ind w:left="120"/>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shd w:val="clear" w:color="auto" w:fill="E5E5E5"/>
          </w:tcPr>
          <w:p>
            <w:pPr>
              <w:jc w:val="right"/>
              <w:spacing w:after="0" w:line="142" w:lineRule="exact"/>
              <w:rPr>
                <w:sz w:val="20"/>
                <w:szCs w:val="20"/>
                <w:color w:val="auto"/>
              </w:rPr>
            </w:pPr>
            <w:r>
              <w:rPr>
                <w:rFonts w:ascii="Arial" w:cs="Arial" w:eastAsia="Arial" w:hAnsi="Arial"/>
                <w:sz w:val="14"/>
                <w:szCs w:val="14"/>
                <w:color w:val="auto"/>
              </w:rPr>
              <w:t>39</w:t>
            </w:r>
          </w:p>
        </w:tc>
        <w:tc>
          <w:tcPr>
            <w:tcW w:w="240" w:type="dxa"/>
            <w:vAlign w:val="bottom"/>
            <w:tcBorders>
              <w:bottom w:val="single" w:sz="8" w:color="auto"/>
            </w:tcBorders>
            <w:shd w:val="clear" w:color="auto" w:fill="E5E5E5"/>
          </w:tcPr>
          <w:p>
            <w:pPr>
              <w:ind w:left="12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1,430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9"/>
        </w:trPr>
        <w:tc>
          <w:tcPr>
            <w:tcW w:w="3940" w:type="dxa"/>
            <w:vAlign w:val="bottom"/>
            <w:gridSpan w:val="4"/>
          </w:tcPr>
          <w:p>
            <w:pPr>
              <w:spacing w:after="0"/>
              <w:rPr>
                <w:sz w:val="20"/>
                <w:szCs w:val="20"/>
                <w:color w:val="auto"/>
              </w:rPr>
            </w:pPr>
            <w:r>
              <w:rPr>
                <w:rFonts w:ascii="Arial" w:cs="Arial" w:eastAsia="Arial" w:hAnsi="Arial"/>
                <w:sz w:val="14"/>
                <w:szCs w:val="14"/>
                <w:color w:val="auto"/>
              </w:rPr>
              <w:t>Capital Expenditures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1,492</w:t>
            </w:r>
          </w:p>
        </w:tc>
        <w:tc>
          <w:tcPr>
            <w:tcW w:w="360" w:type="dxa"/>
            <w:vAlign w:val="bottom"/>
          </w:tcPr>
          <w:p>
            <w:pPr>
              <w:ind w:lef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26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tcPr>
          <w:p>
            <w:pPr>
              <w:jc w:val="right"/>
              <w:ind w:right="152"/>
              <w:spacing w:after="0"/>
              <w:rPr>
                <w:sz w:val="20"/>
                <w:szCs w:val="20"/>
                <w:color w:val="auto"/>
              </w:rPr>
            </w:pPr>
            <w:r>
              <w:rPr>
                <w:rFonts w:ascii="Arial" w:cs="Arial" w:eastAsia="Arial" w:hAnsi="Arial"/>
                <w:sz w:val="14"/>
                <w:szCs w:val="14"/>
                <w:color w:val="auto"/>
              </w:rPr>
              <w:t>1,526</w:t>
            </w:r>
          </w:p>
        </w:tc>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36</w:t>
            </w:r>
          </w:p>
        </w:tc>
        <w:tc>
          <w:tcPr>
            <w:tcW w:w="6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tcPr>
          <w:p>
            <w:pPr>
              <w:jc w:val="right"/>
              <w:ind w:right="152"/>
              <w:spacing w:after="0"/>
              <w:rPr>
                <w:sz w:val="20"/>
                <w:szCs w:val="20"/>
                <w:color w:val="auto"/>
              </w:rPr>
            </w:pPr>
            <w:r>
              <w:rPr>
                <w:rFonts w:ascii="Arial" w:cs="Arial" w:eastAsia="Arial" w:hAnsi="Arial"/>
                <w:sz w:val="14"/>
                <w:szCs w:val="14"/>
                <w:color w:val="auto"/>
              </w:rPr>
              <w:t>1,528</w:t>
            </w:r>
          </w:p>
        </w:tc>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36</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1,562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0" w:type="dxa"/>
            <w:vAlign w:val="bottom"/>
            <w:tcBorders>
              <w:top w:val="single" w:sz="8" w:color="auto"/>
              <w:right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right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920" w:type="dxa"/>
            <w:vAlign w:val="bottom"/>
            <w:gridSpan w:val="3"/>
            <w:shd w:val="clear" w:color="auto" w:fill="E5E5E5"/>
          </w:tcPr>
          <w:p>
            <w:pPr>
              <w:spacing w:after="0" w:line="135" w:lineRule="exact"/>
              <w:rPr>
                <w:sz w:val="20"/>
                <w:szCs w:val="20"/>
                <w:color w:val="auto"/>
              </w:rPr>
            </w:pPr>
            <w:r>
              <w:rPr>
                <w:rFonts w:ascii="Arial" w:cs="Arial" w:eastAsia="Arial" w:hAnsi="Arial"/>
                <w:sz w:val="14"/>
                <w:szCs w:val="14"/>
                <w:b w:val="1"/>
                <w:bCs w:val="1"/>
                <w:color w:val="auto"/>
              </w:rPr>
              <w:t>Nine Months Ended September 30, 2008</w:t>
            </w:r>
          </w:p>
        </w:tc>
        <w:tc>
          <w:tcPr>
            <w:tcW w:w="220" w:type="dxa"/>
            <w:vAlign w:val="bottom"/>
            <w:shd w:val="clear" w:color="auto" w:fill="E5E5E5"/>
          </w:tcPr>
          <w:p>
            <w:pPr>
              <w:spacing w:after="0"/>
              <w:rPr>
                <w:sz w:val="11"/>
                <w:szCs w:val="11"/>
                <w:color w:val="auto"/>
              </w:rPr>
            </w:pPr>
          </w:p>
        </w:tc>
        <w:tc>
          <w:tcPr>
            <w:tcW w:w="440" w:type="dxa"/>
            <w:vAlign w:val="bottom"/>
            <w:shd w:val="clear" w:color="auto" w:fill="E5E5E5"/>
          </w:tcPr>
          <w:p>
            <w:pPr>
              <w:spacing w:after="0"/>
              <w:rPr>
                <w:sz w:val="11"/>
                <w:szCs w:val="11"/>
                <w:color w:val="auto"/>
              </w:rPr>
            </w:pPr>
          </w:p>
        </w:tc>
        <w:tc>
          <w:tcPr>
            <w:tcW w:w="36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200" w:type="dxa"/>
            <w:vAlign w:val="bottom"/>
            <w:shd w:val="clear" w:color="auto" w:fill="E5E5E5"/>
          </w:tcPr>
          <w:p>
            <w:pPr>
              <w:spacing w:after="0"/>
              <w:rPr>
                <w:sz w:val="11"/>
                <w:szCs w:val="11"/>
                <w:color w:val="auto"/>
              </w:rPr>
            </w:pPr>
          </w:p>
        </w:tc>
        <w:tc>
          <w:tcPr>
            <w:tcW w:w="180" w:type="dxa"/>
            <w:vAlign w:val="bottom"/>
            <w:shd w:val="clear" w:color="auto" w:fill="E5E5E5"/>
          </w:tcPr>
          <w:p>
            <w:pPr>
              <w:spacing w:after="0"/>
              <w:rPr>
                <w:sz w:val="11"/>
                <w:szCs w:val="11"/>
                <w:color w:val="auto"/>
              </w:rPr>
            </w:pPr>
          </w:p>
        </w:tc>
        <w:tc>
          <w:tcPr>
            <w:tcW w:w="220" w:type="dxa"/>
            <w:vAlign w:val="bottom"/>
            <w:shd w:val="clear" w:color="auto" w:fill="E5E5E5"/>
          </w:tcPr>
          <w:p>
            <w:pPr>
              <w:spacing w:after="0"/>
              <w:rPr>
                <w:sz w:val="11"/>
                <w:szCs w:val="11"/>
                <w:color w:val="auto"/>
              </w:rPr>
            </w:pPr>
          </w:p>
        </w:tc>
        <w:tc>
          <w:tcPr>
            <w:tcW w:w="540" w:type="dxa"/>
            <w:vAlign w:val="bottom"/>
            <w:shd w:val="clear" w:color="auto" w:fill="E5E5E5"/>
          </w:tcPr>
          <w:p>
            <w:pPr>
              <w:spacing w:after="0"/>
              <w:rPr>
                <w:sz w:val="11"/>
                <w:szCs w:val="11"/>
                <w:color w:val="auto"/>
              </w:rPr>
            </w:pPr>
          </w:p>
        </w:tc>
        <w:tc>
          <w:tcPr>
            <w:tcW w:w="140" w:type="dxa"/>
            <w:vAlign w:val="bottom"/>
            <w:shd w:val="clear" w:color="auto" w:fill="E5E5E5"/>
          </w:tcPr>
          <w:p>
            <w:pPr>
              <w:spacing w:after="0"/>
              <w:rPr>
                <w:sz w:val="11"/>
                <w:szCs w:val="11"/>
                <w:color w:val="auto"/>
              </w:rPr>
            </w:pPr>
          </w:p>
        </w:tc>
        <w:tc>
          <w:tcPr>
            <w:tcW w:w="600" w:type="dxa"/>
            <w:vAlign w:val="bottom"/>
            <w:tcBorders>
              <w:right w:val="single" w:sz="8" w:color="auto"/>
            </w:tcBorders>
            <w:shd w:val="clear" w:color="auto" w:fill="E5E5E5"/>
          </w:tcPr>
          <w:p>
            <w:pPr>
              <w:spacing w:after="0"/>
              <w:rPr>
                <w:sz w:val="11"/>
                <w:szCs w:val="11"/>
                <w:color w:val="auto"/>
              </w:rPr>
            </w:pPr>
          </w:p>
        </w:tc>
        <w:tc>
          <w:tcPr>
            <w:tcW w:w="28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320" w:type="dxa"/>
            <w:vAlign w:val="bottom"/>
            <w:shd w:val="clear" w:color="auto" w:fill="E5E5E5"/>
          </w:tcPr>
          <w:p>
            <w:pPr>
              <w:spacing w:after="0"/>
              <w:rPr>
                <w:sz w:val="11"/>
                <w:szCs w:val="11"/>
                <w:color w:val="auto"/>
              </w:rPr>
            </w:pPr>
          </w:p>
        </w:tc>
        <w:tc>
          <w:tcPr>
            <w:tcW w:w="60" w:type="dxa"/>
            <w:vAlign w:val="bottom"/>
            <w:shd w:val="clear" w:color="auto" w:fill="E5E5E5"/>
          </w:tcPr>
          <w:p>
            <w:pPr>
              <w:spacing w:after="0"/>
              <w:rPr>
                <w:sz w:val="11"/>
                <w:szCs w:val="11"/>
                <w:color w:val="auto"/>
              </w:rPr>
            </w:pPr>
          </w:p>
        </w:tc>
        <w:tc>
          <w:tcPr>
            <w:tcW w:w="180" w:type="dxa"/>
            <w:vAlign w:val="bottom"/>
            <w:shd w:val="clear" w:color="auto" w:fill="E5E5E5"/>
          </w:tcPr>
          <w:p>
            <w:pPr>
              <w:spacing w:after="0"/>
              <w:rPr>
                <w:sz w:val="11"/>
                <w:szCs w:val="11"/>
                <w:color w:val="auto"/>
              </w:rPr>
            </w:pPr>
          </w:p>
        </w:tc>
        <w:tc>
          <w:tcPr>
            <w:tcW w:w="740" w:type="dxa"/>
            <w:vAlign w:val="bottom"/>
            <w:tcBorders>
              <w:right w:val="single" w:sz="8" w:color="auto"/>
            </w:tcBorders>
            <w:shd w:val="clear" w:color="auto" w:fill="E5E5E5"/>
          </w:tcPr>
          <w:p>
            <w:pPr>
              <w:spacing w:after="0"/>
              <w:rPr>
                <w:sz w:val="11"/>
                <w:szCs w:val="11"/>
                <w:color w:val="auto"/>
              </w:rPr>
            </w:pPr>
          </w:p>
        </w:tc>
        <w:tc>
          <w:tcPr>
            <w:tcW w:w="28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32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520" w:type="dxa"/>
            <w:vAlign w:val="bottom"/>
            <w:shd w:val="clear" w:color="auto" w:fill="E5E5E5"/>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3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Revenue</w:t>
            </w:r>
          </w:p>
        </w:tc>
        <w:tc>
          <w:tcPr>
            <w:tcW w:w="1620" w:type="dxa"/>
            <w:vAlign w:val="bottom"/>
            <w:tcBorders>
              <w:top w:val="single" w:sz="8" w:color="E5E5E5"/>
            </w:tcBorders>
            <w:gridSpan w:val="2"/>
          </w:tcPr>
          <w:p>
            <w:pPr>
              <w:spacing w:after="0"/>
              <w:rPr>
                <w:sz w:val="14"/>
                <w:szCs w:val="14"/>
                <w:color w:val="auto"/>
              </w:rPr>
            </w:pPr>
          </w:p>
        </w:tc>
        <w:tc>
          <w:tcPr>
            <w:tcW w:w="220" w:type="dxa"/>
            <w:vAlign w:val="bottom"/>
            <w:tcBorders>
              <w:top w:val="single" w:sz="8" w:color="E5E5E5"/>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E5E5E5"/>
            </w:tcBorders>
          </w:tcPr>
          <w:p>
            <w:pPr>
              <w:jc w:val="right"/>
              <w:spacing w:after="0"/>
              <w:rPr>
                <w:sz w:val="20"/>
                <w:szCs w:val="20"/>
                <w:color w:val="auto"/>
              </w:rPr>
            </w:pPr>
            <w:r>
              <w:rPr>
                <w:rFonts w:ascii="Arial" w:cs="Arial" w:eastAsia="Arial" w:hAnsi="Arial"/>
                <w:sz w:val="14"/>
                <w:szCs w:val="14"/>
                <w:color w:val="auto"/>
                <w:w w:val="83"/>
              </w:rPr>
              <w:t>24,147</w:t>
            </w:r>
          </w:p>
        </w:tc>
        <w:tc>
          <w:tcPr>
            <w:tcW w:w="360" w:type="dxa"/>
            <w:vAlign w:val="bottom"/>
            <w:tcBorders>
              <w:top w:val="single" w:sz="8" w:color="E5E5E5"/>
            </w:tcBorders>
          </w:tcPr>
          <w:p>
            <w:pPr>
              <w:ind w:left="8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E5E5E5"/>
            </w:tcBorders>
            <w:gridSpan w:val="2"/>
          </w:tcPr>
          <w:p>
            <w:pPr>
              <w:jc w:val="right"/>
              <w:spacing w:after="0"/>
              <w:rPr>
                <w:sz w:val="20"/>
                <w:szCs w:val="20"/>
                <w:color w:val="auto"/>
              </w:rPr>
            </w:pPr>
            <w:r>
              <w:rPr>
                <w:rFonts w:ascii="Arial" w:cs="Arial" w:eastAsia="Arial" w:hAnsi="Arial"/>
                <w:sz w:val="14"/>
                <w:szCs w:val="14"/>
                <w:color w:val="auto"/>
              </w:rPr>
              <w:t>1,076</w:t>
            </w:r>
          </w:p>
        </w:tc>
        <w:tc>
          <w:tcPr>
            <w:tcW w:w="180" w:type="dxa"/>
            <w:vAlign w:val="bottom"/>
            <w:tcBorders>
              <w:top w:val="single" w:sz="8" w:color="E5E5E5"/>
            </w:tcBorders>
          </w:tcPr>
          <w:p>
            <w:pPr>
              <w:ind w:left="8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E5E5E5"/>
            </w:tcBorders>
          </w:tcPr>
          <w:p>
            <w:pPr>
              <w:spacing w:after="0"/>
              <w:rPr>
                <w:sz w:val="14"/>
                <w:szCs w:val="14"/>
                <w:color w:val="auto"/>
              </w:rPr>
            </w:pPr>
          </w:p>
        </w:tc>
        <w:tc>
          <w:tcPr>
            <w:tcW w:w="540" w:type="dxa"/>
            <w:vAlign w:val="bottom"/>
            <w:tcBorders>
              <w:top w:val="single" w:sz="8" w:color="E5E5E5"/>
            </w:tcBorders>
          </w:tcPr>
          <w:p>
            <w:pPr>
              <w:jc w:val="right"/>
              <w:ind w:right="52"/>
              <w:spacing w:after="0"/>
              <w:rPr>
                <w:sz w:val="20"/>
                <w:szCs w:val="20"/>
                <w:color w:val="auto"/>
              </w:rPr>
            </w:pPr>
            <w:r>
              <w:rPr>
                <w:rFonts w:ascii="Arial" w:cs="Arial" w:eastAsia="Arial" w:hAnsi="Arial"/>
                <w:sz w:val="14"/>
                <w:szCs w:val="14"/>
                <w:color w:val="auto"/>
              </w:rPr>
              <w:t>268</w:t>
            </w:r>
          </w:p>
        </w:tc>
        <w:tc>
          <w:tcPr>
            <w:tcW w:w="140" w:type="dxa"/>
            <w:vAlign w:val="bottom"/>
            <w:tcBorders>
              <w:top w:val="single" w:sz="8" w:color="E5E5E5"/>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E5E5E5"/>
              <w:right w:val="single" w:sz="8" w:color="auto"/>
            </w:tcBorders>
          </w:tcPr>
          <w:p>
            <w:pPr>
              <w:jc w:val="right"/>
              <w:ind w:right="152"/>
              <w:spacing w:after="0"/>
              <w:rPr>
                <w:sz w:val="20"/>
                <w:szCs w:val="20"/>
                <w:color w:val="auto"/>
              </w:rPr>
            </w:pPr>
            <w:r>
              <w:rPr>
                <w:rFonts w:ascii="Arial" w:cs="Arial" w:eastAsia="Arial" w:hAnsi="Arial"/>
                <w:sz w:val="14"/>
                <w:szCs w:val="14"/>
                <w:color w:val="auto"/>
                <w:w w:val="83"/>
              </w:rPr>
              <w:t>25,491</w:t>
            </w:r>
          </w:p>
        </w:tc>
        <w:tc>
          <w:tcPr>
            <w:tcW w:w="280" w:type="dxa"/>
            <w:vAlign w:val="bottom"/>
            <w:tcBorders>
              <w:top w:val="single" w:sz="8" w:color="E5E5E5"/>
            </w:tcBorders>
          </w:tcPr>
          <w:p>
            <w:pPr>
              <w:ind w:left="1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E5E5E5"/>
            </w:tcBorders>
          </w:tcPr>
          <w:p>
            <w:pPr>
              <w:spacing w:after="0"/>
              <w:rPr>
                <w:sz w:val="14"/>
                <w:szCs w:val="14"/>
                <w:color w:val="auto"/>
              </w:rPr>
            </w:pPr>
          </w:p>
        </w:tc>
        <w:tc>
          <w:tcPr>
            <w:tcW w:w="380" w:type="dxa"/>
            <w:vAlign w:val="bottom"/>
            <w:tcBorders>
              <w:top w:val="single" w:sz="8" w:color="E5E5E5"/>
            </w:tcBorders>
            <w:gridSpan w:val="2"/>
          </w:tcPr>
          <w:p>
            <w:pPr>
              <w:ind w:left="100"/>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E5E5E5"/>
            </w:tcBorders>
          </w:tcPr>
          <w:p>
            <w:pPr>
              <w:ind w:left="6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E5E5E5"/>
              <w:right w:val="single" w:sz="8" w:color="auto"/>
            </w:tcBorders>
          </w:tcPr>
          <w:p>
            <w:pPr>
              <w:jc w:val="right"/>
              <w:ind w:right="152"/>
              <w:spacing w:after="0"/>
              <w:rPr>
                <w:sz w:val="20"/>
                <w:szCs w:val="20"/>
                <w:color w:val="auto"/>
              </w:rPr>
            </w:pPr>
            <w:r>
              <w:rPr>
                <w:rFonts w:ascii="Arial" w:cs="Arial" w:eastAsia="Arial" w:hAnsi="Arial"/>
                <w:sz w:val="14"/>
                <w:szCs w:val="14"/>
                <w:color w:val="auto"/>
              </w:rPr>
              <w:t>24,147</w:t>
            </w:r>
          </w:p>
        </w:tc>
        <w:tc>
          <w:tcPr>
            <w:tcW w:w="280" w:type="dxa"/>
            <w:vAlign w:val="bottom"/>
            <w:tcBorders>
              <w:top w:val="single" w:sz="8" w:color="E5E5E5"/>
            </w:tcBorders>
          </w:tcPr>
          <w:p>
            <w:pPr>
              <w:ind w:left="1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E5E5E5"/>
            </w:tcBorders>
          </w:tcPr>
          <w:p>
            <w:pPr>
              <w:spacing w:after="0"/>
              <w:rPr>
                <w:sz w:val="14"/>
                <w:szCs w:val="14"/>
                <w:color w:val="auto"/>
              </w:rPr>
            </w:pPr>
          </w:p>
        </w:tc>
        <w:tc>
          <w:tcPr>
            <w:tcW w:w="320" w:type="dxa"/>
            <w:vAlign w:val="bottom"/>
            <w:tcBorders>
              <w:top w:val="single" w:sz="8" w:color="E5E5E5"/>
            </w:tcBorders>
          </w:tcPr>
          <w:p>
            <w:pPr>
              <w:ind w:left="100"/>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E5E5E5"/>
            </w:tcBorders>
          </w:tcPr>
          <w:p>
            <w:pPr>
              <w:ind w:left="1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E5E5E5"/>
            </w:tcBorders>
          </w:tcPr>
          <w:p>
            <w:pPr>
              <w:jc w:val="right"/>
              <w:spacing w:after="0"/>
              <w:rPr>
                <w:sz w:val="20"/>
                <w:szCs w:val="20"/>
                <w:color w:val="auto"/>
              </w:rPr>
            </w:pPr>
            <w:r>
              <w:rPr>
                <w:rFonts w:ascii="Arial" w:cs="Arial" w:eastAsia="Arial" w:hAnsi="Arial"/>
                <w:sz w:val="14"/>
                <w:szCs w:val="14"/>
                <w:color w:val="auto"/>
              </w:rPr>
              <w:t>25,491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2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tcBorders>
              <w:bottom w:val="single" w:sz="8" w:color="E5E5E5"/>
            </w:tcBorders>
            <w:gridSpan w:val="3"/>
            <w:shd w:val="clear" w:color="auto" w:fill="E5E5E5"/>
          </w:tcPr>
          <w:p>
            <w:pPr>
              <w:spacing w:after="0" w:line="149" w:lineRule="exact"/>
              <w:rPr>
                <w:sz w:val="20"/>
                <w:szCs w:val="20"/>
                <w:color w:val="auto"/>
              </w:rPr>
            </w:pPr>
            <w:r>
              <w:rPr>
                <w:rFonts w:ascii="Arial" w:cs="Arial" w:eastAsia="Arial" w:hAnsi="Arial"/>
                <w:sz w:val="14"/>
                <w:szCs w:val="14"/>
                <w:color w:val="auto"/>
              </w:rPr>
              <w:t>Operating Expenses (excluding depreciation and amortization)</w:t>
            </w:r>
          </w:p>
        </w:tc>
        <w:tc>
          <w:tcPr>
            <w:tcW w:w="220" w:type="dxa"/>
            <w:vAlign w:val="bottom"/>
            <w:tcBorders>
              <w:bottom w:val="single" w:sz="8" w:color="auto"/>
            </w:tcBorders>
            <w:shd w:val="clear" w:color="auto" w:fill="E5E5E5"/>
          </w:tcPr>
          <w:p>
            <w:pPr>
              <w:spacing w:after="0"/>
              <w:rPr>
                <w:sz w:val="12"/>
                <w:szCs w:val="12"/>
                <w:color w:val="auto"/>
              </w:rPr>
            </w:pPr>
          </w:p>
        </w:tc>
        <w:tc>
          <w:tcPr>
            <w:tcW w:w="44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w w:val="83"/>
              </w:rPr>
              <w:t>14,392</w:t>
            </w:r>
          </w:p>
        </w:tc>
        <w:tc>
          <w:tcPr>
            <w:tcW w:w="36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gridSpan w:val="2"/>
            <w:shd w:val="clear" w:color="auto" w:fill="E5E5E5"/>
          </w:tcPr>
          <w:p>
            <w:pPr>
              <w:jc w:val="right"/>
              <w:spacing w:after="0" w:line="149" w:lineRule="exact"/>
              <w:rPr>
                <w:sz w:val="20"/>
                <w:szCs w:val="20"/>
                <w:color w:val="auto"/>
              </w:rPr>
            </w:pPr>
            <w:r>
              <w:rPr>
                <w:rFonts w:ascii="Arial" w:cs="Arial" w:eastAsia="Arial" w:hAnsi="Arial"/>
                <w:sz w:val="14"/>
                <w:szCs w:val="14"/>
                <w:color w:val="auto"/>
              </w:rPr>
              <w:t>769</w:t>
            </w:r>
          </w:p>
        </w:tc>
        <w:tc>
          <w:tcPr>
            <w:tcW w:w="180" w:type="dxa"/>
            <w:vAlign w:val="bottom"/>
            <w:tcBorders>
              <w:bottom w:val="single" w:sz="8" w:color="auto"/>
            </w:tcBorders>
            <w:shd w:val="clear" w:color="auto" w:fill="E5E5E5"/>
          </w:tcPr>
          <w:p>
            <w:pPr>
              <w:spacing w:after="0"/>
              <w:rPr>
                <w:sz w:val="12"/>
                <w:szCs w:val="12"/>
                <w:color w:val="auto"/>
              </w:rPr>
            </w:pPr>
          </w:p>
        </w:tc>
        <w:tc>
          <w:tcPr>
            <w:tcW w:w="22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568</w:t>
            </w:r>
          </w:p>
        </w:tc>
        <w:tc>
          <w:tcPr>
            <w:tcW w:w="14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right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w w:val="83"/>
              </w:rPr>
              <w:t>15,729</w:t>
            </w:r>
          </w:p>
        </w:tc>
        <w:tc>
          <w:tcPr>
            <w:tcW w:w="28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spacing w:after="0"/>
              <w:rPr>
                <w:sz w:val="12"/>
                <w:szCs w:val="12"/>
                <w:color w:val="auto"/>
              </w:rPr>
            </w:pPr>
          </w:p>
        </w:tc>
        <w:tc>
          <w:tcPr>
            <w:tcW w:w="380" w:type="dxa"/>
            <w:vAlign w:val="bottom"/>
            <w:tcBorders>
              <w:bottom w:val="single" w:sz="8" w:color="auto"/>
            </w:tcBorders>
            <w:gridSpan w:val="2"/>
            <w:shd w:val="clear" w:color="auto" w:fill="E5E5E5"/>
          </w:tcPr>
          <w:p>
            <w:pPr>
              <w:ind w:left="1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right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14,392</w:t>
            </w:r>
          </w:p>
        </w:tc>
        <w:tc>
          <w:tcPr>
            <w:tcW w:w="28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spacing w:after="0"/>
              <w:rPr>
                <w:sz w:val="12"/>
                <w:szCs w:val="12"/>
                <w:color w:val="auto"/>
              </w:rPr>
            </w:pPr>
          </w:p>
        </w:tc>
        <w:tc>
          <w:tcPr>
            <w:tcW w:w="320" w:type="dxa"/>
            <w:vAlign w:val="bottom"/>
            <w:tcBorders>
              <w:bottom w:val="single" w:sz="8" w:color="auto"/>
            </w:tcBorders>
            <w:shd w:val="clear" w:color="auto" w:fill="E5E5E5"/>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15,729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gridSpan w:val="3"/>
          </w:tcPr>
          <w:p>
            <w:pPr>
              <w:spacing w:after="0" w:line="142" w:lineRule="exact"/>
              <w:rPr>
                <w:sz w:val="20"/>
                <w:szCs w:val="20"/>
                <w:color w:val="auto"/>
              </w:rPr>
            </w:pPr>
            <w:r>
              <w:rPr>
                <w:rFonts w:ascii="Arial" w:cs="Arial" w:eastAsia="Arial" w:hAnsi="Arial"/>
                <w:sz w:val="14"/>
                <w:szCs w:val="14"/>
                <w:color w:val="auto"/>
              </w:rPr>
              <w:t>Operating Cash Flow</w:t>
            </w:r>
          </w:p>
        </w:tc>
        <w:tc>
          <w:tcPr>
            <w:tcW w:w="2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rPr>
              <w:t>9,755</w:t>
            </w:r>
          </w:p>
        </w:tc>
        <w:tc>
          <w:tcPr>
            <w:tcW w:w="360" w:type="dxa"/>
            <w:vAlign w:val="bottom"/>
          </w:tcPr>
          <w:p>
            <w:pPr>
              <w:ind w:left="80"/>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307</w:t>
            </w:r>
          </w:p>
        </w:tc>
        <w:tc>
          <w:tcPr>
            <w:tcW w:w="40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12"/>
              <w:spacing w:after="0" w:line="142" w:lineRule="exact"/>
              <w:rPr>
                <w:sz w:val="20"/>
                <w:szCs w:val="20"/>
                <w:color w:val="auto"/>
              </w:rPr>
            </w:pPr>
            <w:r>
              <w:rPr>
                <w:rFonts w:ascii="Arial" w:cs="Arial" w:eastAsia="Arial" w:hAnsi="Arial"/>
                <w:sz w:val="14"/>
                <w:szCs w:val="14"/>
                <w:color w:val="auto"/>
              </w:rPr>
              <w:t>300)</w:t>
            </w: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9,762</w:t>
            </w:r>
          </w:p>
        </w:tc>
        <w:tc>
          <w:tcPr>
            <w:tcW w:w="2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3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ind w:left="60"/>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9,755</w:t>
            </w:r>
          </w:p>
        </w:tc>
        <w:tc>
          <w:tcPr>
            <w:tcW w:w="28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320" w:type="dxa"/>
            <w:vAlign w:val="bottom"/>
          </w:tcPr>
          <w:p>
            <w:pPr>
              <w:ind w:left="100"/>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ind w:left="120"/>
              <w:spacing w:after="0" w:line="142"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rPr>
              <w:t>9,762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Borders>
              <w:bottom w:val="single" w:sz="8" w:color="E5E5E5"/>
            </w:tcBorders>
            <w:gridSpan w:val="3"/>
            <w:shd w:val="clear" w:color="auto" w:fill="E5E5E5"/>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20" w:type="dxa"/>
            <w:vAlign w:val="bottom"/>
            <w:tcBorders>
              <w:bottom w:val="single" w:sz="8" w:color="auto"/>
            </w:tcBorders>
            <w:shd w:val="clear" w:color="auto" w:fill="E5E5E5"/>
          </w:tcPr>
          <w:p>
            <w:pPr>
              <w:spacing w:after="0"/>
              <w:rPr>
                <w:sz w:val="12"/>
                <w:szCs w:val="12"/>
                <w:color w:val="auto"/>
              </w:rPr>
            </w:pPr>
          </w:p>
        </w:tc>
        <w:tc>
          <w:tcPr>
            <w:tcW w:w="44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4,587</w:t>
            </w:r>
          </w:p>
        </w:tc>
        <w:tc>
          <w:tcPr>
            <w:tcW w:w="36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tcBorders>
            <w:gridSpan w:val="2"/>
            <w:shd w:val="clear" w:color="auto" w:fill="E5E5E5"/>
          </w:tcPr>
          <w:p>
            <w:pPr>
              <w:jc w:val="right"/>
              <w:spacing w:after="0" w:line="149" w:lineRule="exact"/>
              <w:rPr>
                <w:sz w:val="20"/>
                <w:szCs w:val="20"/>
                <w:color w:val="auto"/>
              </w:rPr>
            </w:pPr>
            <w:r>
              <w:rPr>
                <w:rFonts w:ascii="Arial" w:cs="Arial" w:eastAsia="Arial" w:hAnsi="Arial"/>
                <w:sz w:val="14"/>
                <w:szCs w:val="14"/>
                <w:color w:val="auto"/>
              </w:rPr>
              <w:t>145</w:t>
            </w:r>
          </w:p>
        </w:tc>
        <w:tc>
          <w:tcPr>
            <w:tcW w:w="180" w:type="dxa"/>
            <w:vAlign w:val="bottom"/>
            <w:tcBorders>
              <w:bottom w:val="single" w:sz="8" w:color="auto"/>
            </w:tcBorders>
            <w:shd w:val="clear" w:color="auto" w:fill="E5E5E5"/>
          </w:tcPr>
          <w:p>
            <w:pPr>
              <w:spacing w:after="0"/>
              <w:rPr>
                <w:sz w:val="12"/>
                <w:szCs w:val="12"/>
                <w:color w:val="auto"/>
              </w:rPr>
            </w:pPr>
          </w:p>
        </w:tc>
        <w:tc>
          <w:tcPr>
            <w:tcW w:w="22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55</w:t>
            </w:r>
          </w:p>
        </w:tc>
        <w:tc>
          <w:tcPr>
            <w:tcW w:w="140" w:type="dxa"/>
            <w:vAlign w:val="bottom"/>
            <w:tcBorders>
              <w:bottom w:val="single" w:sz="8" w:color="auto"/>
            </w:tcBorders>
            <w:shd w:val="clear" w:color="auto" w:fill="E5E5E5"/>
          </w:tcPr>
          <w:p>
            <w:pPr>
              <w:spacing w:after="0"/>
              <w:rPr>
                <w:sz w:val="12"/>
                <w:szCs w:val="12"/>
                <w:color w:val="auto"/>
              </w:rPr>
            </w:pPr>
          </w:p>
        </w:tc>
        <w:tc>
          <w:tcPr>
            <w:tcW w:w="600" w:type="dxa"/>
            <w:vAlign w:val="bottom"/>
            <w:tcBorders>
              <w:bottom w:val="single" w:sz="8" w:color="auto"/>
              <w:right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4,787</w:t>
            </w:r>
          </w:p>
        </w:tc>
        <w:tc>
          <w:tcPr>
            <w:tcW w:w="28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spacing w:after="0"/>
              <w:rPr>
                <w:sz w:val="12"/>
                <w:szCs w:val="12"/>
                <w:color w:val="auto"/>
              </w:rPr>
            </w:pPr>
          </w:p>
        </w:tc>
        <w:tc>
          <w:tcPr>
            <w:tcW w:w="380" w:type="dxa"/>
            <w:vAlign w:val="bottom"/>
            <w:tcBorders>
              <w:bottom w:val="single" w:sz="8" w:color="auto"/>
            </w:tcBorders>
            <w:gridSpan w:val="2"/>
            <w:shd w:val="clear" w:color="auto" w:fill="E5E5E5"/>
          </w:tcPr>
          <w:p>
            <w:pPr>
              <w:ind w:left="1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right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4,587</w:t>
            </w:r>
          </w:p>
        </w:tc>
        <w:tc>
          <w:tcPr>
            <w:tcW w:w="28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spacing w:after="0"/>
              <w:rPr>
                <w:sz w:val="12"/>
                <w:szCs w:val="12"/>
                <w:color w:val="auto"/>
              </w:rPr>
            </w:pPr>
          </w:p>
        </w:tc>
        <w:tc>
          <w:tcPr>
            <w:tcW w:w="320" w:type="dxa"/>
            <w:vAlign w:val="bottom"/>
            <w:tcBorders>
              <w:bottom w:val="single" w:sz="8" w:color="auto"/>
            </w:tcBorders>
            <w:shd w:val="clear" w:color="auto" w:fill="E5E5E5"/>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4,787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3"/>
          </w:tcPr>
          <w:p>
            <w:pPr>
              <w:spacing w:after="0" w:line="142" w:lineRule="exact"/>
              <w:rPr>
                <w:sz w:val="20"/>
                <w:szCs w:val="20"/>
                <w:color w:val="auto"/>
              </w:rPr>
            </w:pPr>
            <w:r>
              <w:rPr>
                <w:rFonts w:ascii="Arial" w:cs="Arial" w:eastAsia="Arial" w:hAnsi="Arial"/>
                <w:sz w:val="14"/>
                <w:szCs w:val="14"/>
                <w:color w:val="auto"/>
              </w:rPr>
              <w:t>Operating Income (Loss)</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5,168</w:t>
            </w:r>
          </w:p>
        </w:tc>
        <w:tc>
          <w:tcPr>
            <w:tcW w:w="3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162</w:t>
            </w:r>
          </w:p>
        </w:tc>
        <w:tc>
          <w:tcPr>
            <w:tcW w:w="40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355)</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right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4,975</w:t>
            </w:r>
          </w:p>
        </w:tc>
        <w:tc>
          <w:tcPr>
            <w:tcW w:w="28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5,168</w:t>
            </w:r>
          </w:p>
        </w:tc>
        <w:tc>
          <w:tcPr>
            <w:tcW w:w="28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920" w:type="dxa"/>
            <w:vAlign w:val="bottom"/>
            <w:tcBorders>
              <w:bottom w:val="single" w:sz="8" w:color="E5E5E5"/>
            </w:tcBorders>
            <w:gridSpan w:val="3"/>
            <w:shd w:val="clear" w:color="auto" w:fill="E5E5E5"/>
          </w:tcPr>
          <w:p>
            <w:pPr>
              <w:spacing w:after="0" w:line="149" w:lineRule="exact"/>
              <w:rPr>
                <w:sz w:val="20"/>
                <w:szCs w:val="20"/>
                <w:color w:val="auto"/>
              </w:rPr>
            </w:pPr>
            <w:r>
              <w:rPr>
                <w:rFonts w:ascii="Arial" w:cs="Arial" w:eastAsia="Arial" w:hAnsi="Arial"/>
                <w:sz w:val="14"/>
                <w:szCs w:val="14"/>
                <w:color w:val="auto"/>
              </w:rPr>
              <w:t>Capital Expenditures</w:t>
            </w:r>
          </w:p>
        </w:tc>
        <w:tc>
          <w:tcPr>
            <w:tcW w:w="22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3,877</w:t>
            </w:r>
          </w:p>
        </w:tc>
        <w:tc>
          <w:tcPr>
            <w:tcW w:w="360" w:type="dxa"/>
            <w:vAlign w:val="bottom"/>
            <w:tcBorders>
              <w:bottom w:val="single" w:sz="8" w:color="auto"/>
            </w:tcBorders>
            <w:shd w:val="clear" w:color="auto" w:fill="E5E5E5"/>
          </w:tcPr>
          <w:p>
            <w:pPr>
              <w:ind w:left="80"/>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gridSpan w:val="2"/>
            <w:shd w:val="clear" w:color="auto" w:fill="E5E5E5"/>
          </w:tcPr>
          <w:p>
            <w:pPr>
              <w:jc w:val="right"/>
              <w:spacing w:after="0" w:line="149" w:lineRule="exact"/>
              <w:rPr>
                <w:sz w:val="20"/>
                <w:szCs w:val="20"/>
                <w:color w:val="auto"/>
              </w:rPr>
            </w:pPr>
            <w:r>
              <w:rPr>
                <w:rFonts w:ascii="Arial" w:cs="Arial" w:eastAsia="Arial" w:hAnsi="Arial"/>
                <w:sz w:val="14"/>
                <w:szCs w:val="14"/>
                <w:color w:val="auto"/>
              </w:rPr>
              <w:t>22</w:t>
            </w:r>
          </w:p>
        </w:tc>
        <w:tc>
          <w:tcPr>
            <w:tcW w:w="180" w:type="dxa"/>
            <w:vAlign w:val="bottom"/>
            <w:tcBorders>
              <w:bottom w:val="single" w:sz="8" w:color="auto"/>
            </w:tcBorders>
            <w:shd w:val="clear" w:color="auto" w:fill="E5E5E5"/>
          </w:tcPr>
          <w:p>
            <w:pPr>
              <w:ind w:left="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5E5E5"/>
          </w:tcPr>
          <w:p>
            <w:pPr>
              <w:spacing w:after="0"/>
              <w:rPr>
                <w:sz w:val="13"/>
                <w:szCs w:val="13"/>
                <w:color w:val="auto"/>
              </w:rPr>
            </w:pPr>
          </w:p>
        </w:tc>
        <w:tc>
          <w:tcPr>
            <w:tcW w:w="540" w:type="dxa"/>
            <w:vAlign w:val="bottom"/>
            <w:tcBorders>
              <w:bottom w:val="single" w:sz="8" w:color="auto"/>
            </w:tcBorders>
            <w:shd w:val="clear" w:color="auto" w:fill="E5E5E5"/>
          </w:tcPr>
          <w:p>
            <w:pPr>
              <w:jc w:val="right"/>
              <w:ind w:right="52"/>
              <w:spacing w:after="0" w:line="149" w:lineRule="exact"/>
              <w:rPr>
                <w:sz w:val="20"/>
                <w:szCs w:val="20"/>
                <w:color w:val="auto"/>
              </w:rPr>
            </w:pPr>
            <w:r>
              <w:rPr>
                <w:rFonts w:ascii="Arial" w:cs="Arial" w:eastAsia="Arial" w:hAnsi="Arial"/>
                <w:sz w:val="14"/>
                <w:szCs w:val="14"/>
                <w:color w:val="auto"/>
              </w:rPr>
              <w:t>138</w:t>
            </w:r>
          </w:p>
        </w:tc>
        <w:tc>
          <w:tcPr>
            <w:tcW w:w="14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right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4,037</w:t>
            </w:r>
          </w:p>
        </w:tc>
        <w:tc>
          <w:tcPr>
            <w:tcW w:w="280" w:type="dxa"/>
            <w:vAlign w:val="bottom"/>
            <w:tcBorders>
              <w:bottom w:val="single" w:sz="8" w:color="auto"/>
            </w:tcBorders>
            <w:shd w:val="clear" w:color="auto" w:fill="E5E5E5"/>
          </w:tcPr>
          <w:p>
            <w:pPr>
              <w:ind w:left="120"/>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E5E5E5"/>
          </w:tcPr>
          <w:p>
            <w:pPr>
              <w:spacing w:after="0"/>
              <w:rPr>
                <w:sz w:val="13"/>
                <w:szCs w:val="13"/>
                <w:color w:val="auto"/>
              </w:rPr>
            </w:pPr>
          </w:p>
        </w:tc>
        <w:tc>
          <w:tcPr>
            <w:tcW w:w="380" w:type="dxa"/>
            <w:vAlign w:val="bottom"/>
            <w:tcBorders>
              <w:bottom w:val="single" w:sz="8" w:color="auto"/>
            </w:tcBorders>
            <w:gridSpan w:val="2"/>
            <w:shd w:val="clear" w:color="auto" w:fill="E5E5E5"/>
          </w:tcPr>
          <w:p>
            <w:pPr>
              <w:ind w:left="1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5E5E5"/>
          </w:tcPr>
          <w:p>
            <w:pPr>
              <w:ind w:left="60"/>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E5E5E5"/>
          </w:tcPr>
          <w:p>
            <w:pPr>
              <w:jc w:val="right"/>
              <w:ind w:right="152"/>
              <w:spacing w:after="0" w:line="149" w:lineRule="exact"/>
              <w:rPr>
                <w:sz w:val="20"/>
                <w:szCs w:val="20"/>
                <w:color w:val="auto"/>
              </w:rPr>
            </w:pPr>
            <w:r>
              <w:rPr>
                <w:rFonts w:ascii="Arial" w:cs="Arial" w:eastAsia="Arial" w:hAnsi="Arial"/>
                <w:sz w:val="14"/>
                <w:szCs w:val="14"/>
                <w:color w:val="auto"/>
              </w:rPr>
              <w:t>3,877</w:t>
            </w:r>
          </w:p>
        </w:tc>
        <w:tc>
          <w:tcPr>
            <w:tcW w:w="280" w:type="dxa"/>
            <w:vAlign w:val="bottom"/>
            <w:tcBorders>
              <w:bottom w:val="single" w:sz="8" w:color="auto"/>
            </w:tcBorders>
            <w:shd w:val="clear" w:color="auto" w:fill="E5E5E5"/>
          </w:tcPr>
          <w:p>
            <w:pPr>
              <w:ind w:left="120"/>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E5E5E5"/>
          </w:tcPr>
          <w:p>
            <w:pPr>
              <w:spacing w:after="0"/>
              <w:rPr>
                <w:sz w:val="13"/>
                <w:szCs w:val="13"/>
                <w:color w:val="auto"/>
              </w:rPr>
            </w:pPr>
          </w:p>
        </w:tc>
        <w:tc>
          <w:tcPr>
            <w:tcW w:w="320" w:type="dxa"/>
            <w:vAlign w:val="bottom"/>
            <w:tcBorders>
              <w:bottom w:val="single" w:sz="8" w:color="auto"/>
            </w:tcBorders>
            <w:shd w:val="clear" w:color="auto" w:fill="E5E5E5"/>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E5E5E5"/>
          </w:tcPr>
          <w:p>
            <w:pPr>
              <w:ind w:left="120"/>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4,037</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78"/>
        </w:trPr>
        <w:tc>
          <w:tcPr>
            <w:tcW w:w="3940" w:type="dxa"/>
            <w:vAlign w:val="bottom"/>
            <w:gridSpan w:val="4"/>
          </w:tcPr>
          <w:p>
            <w:pPr>
              <w:spacing w:after="0"/>
              <w:rPr>
                <w:sz w:val="20"/>
                <w:szCs w:val="20"/>
                <w:color w:val="auto"/>
              </w:rPr>
            </w:pPr>
            <w:r>
              <w:rPr>
                <w:rFonts w:ascii="Arial" w:cs="Arial" w:eastAsia="Arial" w:hAnsi="Arial"/>
                <w:sz w:val="14"/>
                <w:szCs w:val="14"/>
                <w:b w:val="1"/>
                <w:bCs w:val="1"/>
                <w:color w:val="auto"/>
              </w:rPr>
              <w:t>Nine Months Ended September 30, 2007</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Revenue</w:t>
            </w:r>
          </w:p>
        </w:tc>
        <w:tc>
          <w:tcPr>
            <w:tcW w:w="1620" w:type="dxa"/>
            <w:vAlign w:val="bottom"/>
            <w:gridSpan w:val="2"/>
            <w:shd w:val="clear" w:color="auto" w:fill="E5E5E5"/>
          </w:tcPr>
          <w:p>
            <w:pPr>
              <w:spacing w:after="0"/>
              <w:rPr>
                <w:sz w:val="12"/>
                <w:szCs w:val="12"/>
                <w:color w:val="auto"/>
              </w:rPr>
            </w:pPr>
          </w:p>
        </w:tc>
        <w:tc>
          <w:tcPr>
            <w:tcW w:w="22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w w:val="83"/>
              </w:rPr>
              <w:t>21,728</w:t>
            </w:r>
          </w:p>
        </w:tc>
        <w:tc>
          <w:tcPr>
            <w:tcW w:w="360" w:type="dxa"/>
            <w:vAlign w:val="bottom"/>
            <w:shd w:val="clear" w:color="auto" w:fill="E5E5E5"/>
          </w:tcPr>
          <w:p>
            <w:pPr>
              <w:ind w:left="80"/>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E5E5E5"/>
          </w:tcPr>
          <w:p>
            <w:pPr>
              <w:jc w:val="right"/>
              <w:spacing w:after="0" w:line="142" w:lineRule="exact"/>
              <w:rPr>
                <w:sz w:val="20"/>
                <w:szCs w:val="20"/>
                <w:color w:val="auto"/>
              </w:rPr>
            </w:pPr>
            <w:r>
              <w:rPr>
                <w:rFonts w:ascii="Arial" w:cs="Arial" w:eastAsia="Arial" w:hAnsi="Arial"/>
                <w:sz w:val="14"/>
                <w:szCs w:val="14"/>
                <w:color w:val="auto"/>
              </w:rPr>
              <w:t>966</w:t>
            </w:r>
          </w:p>
        </w:tc>
        <w:tc>
          <w:tcPr>
            <w:tcW w:w="180" w:type="dxa"/>
            <w:vAlign w:val="bottom"/>
            <w:shd w:val="clear" w:color="auto" w:fill="E5E5E5"/>
          </w:tcPr>
          <w:p>
            <w:pPr>
              <w:ind w:left="80"/>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E5E5E5"/>
          </w:tcPr>
          <w:p>
            <w:pPr>
              <w:spacing w:after="0"/>
              <w:rPr>
                <w:sz w:val="12"/>
                <w:szCs w:val="12"/>
                <w:color w:val="auto"/>
              </w:rPr>
            </w:pPr>
          </w:p>
        </w:tc>
        <w:tc>
          <w:tcPr>
            <w:tcW w:w="540" w:type="dxa"/>
            <w:vAlign w:val="bottom"/>
            <w:shd w:val="clear" w:color="auto" w:fill="E5E5E5"/>
          </w:tcPr>
          <w:p>
            <w:pPr>
              <w:jc w:val="right"/>
              <w:ind w:right="52"/>
              <w:spacing w:after="0" w:line="142" w:lineRule="exact"/>
              <w:rPr>
                <w:sz w:val="20"/>
                <w:szCs w:val="20"/>
                <w:color w:val="auto"/>
              </w:rPr>
            </w:pPr>
            <w:r>
              <w:rPr>
                <w:rFonts w:ascii="Arial" w:cs="Arial" w:eastAsia="Arial" w:hAnsi="Arial"/>
                <w:sz w:val="14"/>
                <w:szCs w:val="14"/>
                <w:color w:val="auto"/>
              </w:rPr>
              <w:t>187</w:t>
            </w:r>
          </w:p>
        </w:tc>
        <w:tc>
          <w:tcPr>
            <w:tcW w:w="14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w w:val="83"/>
              </w:rPr>
              <w:t>22,881</w:t>
            </w:r>
          </w:p>
        </w:tc>
        <w:tc>
          <w:tcPr>
            <w:tcW w:w="280" w:type="dxa"/>
            <w:vAlign w:val="bottom"/>
            <w:shd w:val="clear" w:color="auto" w:fill="E5E5E5"/>
          </w:tcPr>
          <w:p>
            <w:pPr>
              <w:ind w:left="120"/>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5E5E5"/>
          </w:tcPr>
          <w:p>
            <w:pPr>
              <w:ind w:left="720"/>
              <w:spacing w:after="0" w:line="142" w:lineRule="exact"/>
              <w:rPr>
                <w:sz w:val="20"/>
                <w:szCs w:val="20"/>
                <w:color w:val="auto"/>
              </w:rPr>
            </w:pPr>
            <w:r>
              <w:rPr>
                <w:rFonts w:ascii="Arial" w:cs="Arial" w:eastAsia="Arial" w:hAnsi="Arial"/>
                <w:sz w:val="14"/>
                <w:szCs w:val="14"/>
                <w:color w:val="auto"/>
                <w:w w:val="85"/>
              </w:rPr>
              <w:t>634</w:t>
            </w:r>
          </w:p>
        </w:tc>
        <w:tc>
          <w:tcPr>
            <w:tcW w:w="60" w:type="dxa"/>
            <w:vAlign w:val="bottom"/>
            <w:shd w:val="clear" w:color="auto" w:fill="E5E5E5"/>
          </w:tcPr>
          <w:p>
            <w:pPr>
              <w:spacing w:after="0"/>
              <w:rPr>
                <w:sz w:val="12"/>
                <w:szCs w:val="12"/>
                <w:color w:val="auto"/>
              </w:rPr>
            </w:pPr>
          </w:p>
        </w:tc>
        <w:tc>
          <w:tcPr>
            <w:tcW w:w="180" w:type="dxa"/>
            <w:vAlign w:val="bottom"/>
            <w:shd w:val="clear" w:color="auto" w:fill="E5E5E5"/>
          </w:tcPr>
          <w:p>
            <w:pPr>
              <w:ind w:left="60"/>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22,362</w:t>
            </w:r>
          </w:p>
        </w:tc>
        <w:tc>
          <w:tcPr>
            <w:tcW w:w="280" w:type="dxa"/>
            <w:vAlign w:val="bottom"/>
            <w:shd w:val="clear" w:color="auto" w:fill="E5E5E5"/>
          </w:tcPr>
          <w:p>
            <w:pPr>
              <w:ind w:left="120"/>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5E5E5"/>
          </w:tcPr>
          <w:p>
            <w:pPr>
              <w:ind w:left="720"/>
              <w:spacing w:after="0" w:line="142" w:lineRule="exact"/>
              <w:rPr>
                <w:sz w:val="20"/>
                <w:szCs w:val="20"/>
                <w:color w:val="auto"/>
              </w:rPr>
            </w:pPr>
            <w:r>
              <w:rPr>
                <w:rFonts w:ascii="Arial" w:cs="Arial" w:eastAsia="Arial" w:hAnsi="Arial"/>
                <w:sz w:val="14"/>
                <w:szCs w:val="14"/>
                <w:color w:val="auto"/>
                <w:w w:val="85"/>
              </w:rPr>
              <w:t>634</w:t>
            </w:r>
          </w:p>
        </w:tc>
        <w:tc>
          <w:tcPr>
            <w:tcW w:w="240" w:type="dxa"/>
            <w:vAlign w:val="bottom"/>
            <w:shd w:val="clear" w:color="auto" w:fill="E5E5E5"/>
          </w:tcPr>
          <w:p>
            <w:pPr>
              <w:ind w:left="120"/>
              <w:spacing w:after="0" w:line="142" w:lineRule="exact"/>
              <w:rPr>
                <w:sz w:val="20"/>
                <w:szCs w:val="20"/>
                <w:color w:val="auto"/>
              </w:rPr>
            </w:pPr>
            <w:r>
              <w:rPr>
                <w:rFonts w:ascii="Arial" w:cs="Arial" w:eastAsia="Arial" w:hAnsi="Arial"/>
                <w:sz w:val="14"/>
                <w:szCs w:val="14"/>
                <w:color w:val="auto"/>
              </w:rPr>
              <w:t>$</w:t>
            </w:r>
          </w:p>
        </w:tc>
        <w:tc>
          <w:tcPr>
            <w:tcW w:w="52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23,515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3940" w:type="dxa"/>
            <w:vAlign w:val="bottom"/>
            <w:gridSpan w:val="4"/>
          </w:tcPr>
          <w:p>
            <w:pPr>
              <w:spacing w:after="0"/>
              <w:rPr>
                <w:sz w:val="20"/>
                <w:szCs w:val="20"/>
                <w:color w:val="auto"/>
              </w:rPr>
            </w:pPr>
            <w:r>
              <w:rPr>
                <w:rFonts w:ascii="Arial" w:cs="Arial" w:eastAsia="Arial" w:hAnsi="Arial"/>
                <w:sz w:val="14"/>
                <w:szCs w:val="14"/>
                <w:color w:val="auto"/>
              </w:rPr>
              <w:t>Operating Expenses (excluding depreciation and amortization)</w:t>
            </w:r>
          </w:p>
        </w:tc>
        <w:tc>
          <w:tcPr>
            <w:tcW w:w="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3"/>
              </w:rPr>
              <w:t>12,929</w:t>
            </w:r>
          </w:p>
        </w:tc>
        <w:tc>
          <w:tcPr>
            <w:tcW w:w="3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729</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519</w:t>
            </w:r>
          </w:p>
        </w:tc>
        <w:tc>
          <w:tcPr>
            <w:tcW w:w="140" w:type="dxa"/>
            <w:vAlign w:val="bottom"/>
          </w:tcPr>
          <w:p>
            <w:pPr>
              <w:spacing w:after="0"/>
              <w:rPr>
                <w:sz w:val="24"/>
                <w:szCs w:val="24"/>
                <w:color w:val="auto"/>
              </w:rPr>
            </w:pPr>
          </w:p>
        </w:tc>
        <w:tc>
          <w:tcPr>
            <w:tcW w:w="600" w:type="dxa"/>
            <w:vAlign w:val="bottom"/>
            <w:tcBorders>
              <w:right w:val="single" w:sz="8" w:color="auto"/>
            </w:tcBorders>
          </w:tcPr>
          <w:p>
            <w:pPr>
              <w:jc w:val="right"/>
              <w:ind w:right="152"/>
              <w:spacing w:after="0"/>
              <w:rPr>
                <w:sz w:val="20"/>
                <w:szCs w:val="20"/>
                <w:color w:val="auto"/>
              </w:rPr>
            </w:pPr>
            <w:r>
              <w:rPr>
                <w:rFonts w:ascii="Arial" w:cs="Arial" w:eastAsia="Arial" w:hAnsi="Arial"/>
                <w:sz w:val="14"/>
                <w:szCs w:val="14"/>
                <w:color w:val="auto"/>
                <w:w w:val="83"/>
              </w:rPr>
              <w:t>14,177</w:t>
            </w:r>
          </w:p>
        </w:tc>
        <w:tc>
          <w:tcPr>
            <w:tcW w:w="280" w:type="dxa"/>
            <w:vAlign w:val="bottom"/>
          </w:tcPr>
          <w:p>
            <w:pPr>
              <w:spacing w:after="0"/>
              <w:rPr>
                <w:sz w:val="24"/>
                <w:szCs w:val="24"/>
                <w:color w:val="auto"/>
              </w:rPr>
            </w:pPr>
          </w:p>
        </w:tc>
        <w:tc>
          <w:tcPr>
            <w:tcW w:w="940" w:type="dxa"/>
            <w:vAlign w:val="bottom"/>
            <w:gridSpan w:val="2"/>
          </w:tcPr>
          <w:p>
            <w:pPr>
              <w:ind w:left="720"/>
              <w:spacing w:after="0"/>
              <w:rPr>
                <w:sz w:val="20"/>
                <w:szCs w:val="20"/>
                <w:color w:val="auto"/>
              </w:rPr>
            </w:pPr>
            <w:r>
              <w:rPr>
                <w:rFonts w:ascii="Arial" w:cs="Arial" w:eastAsia="Arial" w:hAnsi="Arial"/>
                <w:sz w:val="14"/>
                <w:szCs w:val="14"/>
                <w:color w:val="auto"/>
                <w:w w:val="85"/>
              </w:rPr>
              <w:t>383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Borders>
              <w:right w:val="single" w:sz="8" w:color="auto"/>
            </w:tcBorders>
          </w:tcPr>
          <w:p>
            <w:pPr>
              <w:jc w:val="right"/>
              <w:ind w:right="152"/>
              <w:spacing w:after="0"/>
              <w:rPr>
                <w:sz w:val="20"/>
                <w:szCs w:val="20"/>
                <w:color w:val="auto"/>
              </w:rPr>
            </w:pPr>
            <w:r>
              <w:rPr>
                <w:rFonts w:ascii="Arial" w:cs="Arial" w:eastAsia="Arial" w:hAnsi="Arial"/>
                <w:sz w:val="14"/>
                <w:szCs w:val="14"/>
                <w:color w:val="auto"/>
              </w:rPr>
              <w:t>13,312</w:t>
            </w:r>
          </w:p>
        </w:tc>
        <w:tc>
          <w:tcPr>
            <w:tcW w:w="280" w:type="dxa"/>
            <w:vAlign w:val="bottom"/>
          </w:tcPr>
          <w:p>
            <w:pPr>
              <w:spacing w:after="0"/>
              <w:rPr>
                <w:sz w:val="24"/>
                <w:szCs w:val="24"/>
                <w:color w:val="auto"/>
              </w:rPr>
            </w:pPr>
          </w:p>
        </w:tc>
        <w:tc>
          <w:tcPr>
            <w:tcW w:w="940" w:type="dxa"/>
            <w:vAlign w:val="bottom"/>
            <w:gridSpan w:val="2"/>
          </w:tcPr>
          <w:p>
            <w:pPr>
              <w:ind w:left="720"/>
              <w:spacing w:after="0"/>
              <w:rPr>
                <w:sz w:val="20"/>
                <w:szCs w:val="20"/>
                <w:color w:val="auto"/>
              </w:rPr>
            </w:pPr>
            <w:r>
              <w:rPr>
                <w:rFonts w:ascii="Arial" w:cs="Arial" w:eastAsia="Arial" w:hAnsi="Arial"/>
                <w:sz w:val="14"/>
                <w:szCs w:val="14"/>
                <w:color w:val="auto"/>
                <w:w w:val="85"/>
              </w:rPr>
              <w:t>383</w:t>
            </w:r>
          </w:p>
        </w:tc>
        <w:tc>
          <w:tcPr>
            <w:tcW w:w="24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14,560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gridSpan w:val="3"/>
            <w:shd w:val="clear" w:color="auto" w:fill="E5E5E5"/>
          </w:tcPr>
          <w:p>
            <w:pPr>
              <w:spacing w:after="0" w:line="142" w:lineRule="exact"/>
              <w:rPr>
                <w:sz w:val="20"/>
                <w:szCs w:val="20"/>
                <w:color w:val="auto"/>
              </w:rPr>
            </w:pPr>
            <w:r>
              <w:rPr>
                <w:rFonts w:ascii="Arial" w:cs="Arial" w:eastAsia="Arial" w:hAnsi="Arial"/>
                <w:sz w:val="14"/>
                <w:szCs w:val="14"/>
                <w:color w:val="auto"/>
              </w:rPr>
              <w:t>Operating Cash Flow</w:t>
            </w:r>
          </w:p>
        </w:tc>
        <w:tc>
          <w:tcPr>
            <w:tcW w:w="22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8,799</w:t>
            </w:r>
          </w:p>
        </w:tc>
        <w:tc>
          <w:tcPr>
            <w:tcW w:w="360" w:type="dxa"/>
            <w:vAlign w:val="bottom"/>
            <w:tcBorders>
              <w:top w:val="single" w:sz="8" w:color="auto"/>
            </w:tcBorders>
            <w:shd w:val="clear" w:color="auto" w:fill="E5E5E5"/>
          </w:tcPr>
          <w:p>
            <w:pPr>
              <w:ind w:left="8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gridSpan w:val="2"/>
            <w:shd w:val="clear" w:color="auto" w:fill="E5E5E5"/>
          </w:tcPr>
          <w:p>
            <w:pPr>
              <w:jc w:val="right"/>
              <w:spacing w:after="0" w:line="142" w:lineRule="exact"/>
              <w:rPr>
                <w:sz w:val="20"/>
                <w:szCs w:val="20"/>
                <w:color w:val="auto"/>
              </w:rPr>
            </w:pPr>
            <w:r>
              <w:rPr>
                <w:rFonts w:ascii="Arial" w:cs="Arial" w:eastAsia="Arial" w:hAnsi="Arial"/>
                <w:sz w:val="14"/>
                <w:szCs w:val="14"/>
                <w:color w:val="auto"/>
              </w:rPr>
              <w:t>237</w:t>
            </w:r>
          </w:p>
        </w:tc>
        <w:tc>
          <w:tcPr>
            <w:tcW w:w="400" w:type="dxa"/>
            <w:vAlign w:val="bottom"/>
            <w:tcBorders>
              <w:top w:val="single" w:sz="8" w:color="auto"/>
            </w:tcBorders>
            <w:gridSpan w:val="2"/>
            <w:shd w:val="clear" w:color="auto" w:fill="E5E5E5"/>
          </w:tcPr>
          <w:p>
            <w:pPr>
              <w:ind w:left="8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332)</w:t>
            </w:r>
          </w:p>
        </w:tc>
        <w:tc>
          <w:tcPr>
            <w:tcW w:w="14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right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8,704</w:t>
            </w:r>
          </w:p>
        </w:tc>
        <w:tc>
          <w:tcPr>
            <w:tcW w:w="280" w:type="dxa"/>
            <w:vAlign w:val="bottom"/>
            <w:tcBorders>
              <w:top w:val="single" w:sz="8" w:color="auto"/>
            </w:tcBorders>
            <w:shd w:val="clear" w:color="auto" w:fill="E5E5E5"/>
          </w:tcPr>
          <w:p>
            <w:pPr>
              <w:ind w:left="120"/>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gridSpan w:val="2"/>
            <w:shd w:val="clear" w:color="auto" w:fill="E5E5E5"/>
          </w:tcPr>
          <w:p>
            <w:pPr>
              <w:ind w:left="720"/>
              <w:spacing w:after="0" w:line="142" w:lineRule="exact"/>
              <w:rPr>
                <w:sz w:val="20"/>
                <w:szCs w:val="20"/>
                <w:color w:val="auto"/>
              </w:rPr>
            </w:pPr>
            <w:r>
              <w:rPr>
                <w:rFonts w:ascii="Arial" w:cs="Arial" w:eastAsia="Arial" w:hAnsi="Arial"/>
                <w:sz w:val="14"/>
                <w:szCs w:val="14"/>
                <w:color w:val="auto"/>
                <w:w w:val="85"/>
              </w:rPr>
              <w:t>251</w:t>
            </w:r>
          </w:p>
        </w:tc>
        <w:tc>
          <w:tcPr>
            <w:tcW w:w="60" w:type="dxa"/>
            <w:vAlign w:val="bottom"/>
            <w:tcBorders>
              <w:top w:val="single" w:sz="8" w:color="auto"/>
            </w:tcBorders>
            <w:shd w:val="clear" w:color="auto" w:fill="E5E5E5"/>
          </w:tcPr>
          <w:p>
            <w:pPr>
              <w:spacing w:after="0"/>
              <w:rPr>
                <w:sz w:val="12"/>
                <w:szCs w:val="12"/>
                <w:color w:val="auto"/>
              </w:rPr>
            </w:pPr>
          </w:p>
        </w:tc>
        <w:tc>
          <w:tcPr>
            <w:tcW w:w="180" w:type="dxa"/>
            <w:vAlign w:val="bottom"/>
            <w:tcBorders>
              <w:top w:val="single" w:sz="8" w:color="auto"/>
            </w:tcBorders>
            <w:shd w:val="clear" w:color="auto" w:fill="E5E5E5"/>
          </w:tcPr>
          <w:p>
            <w:pPr>
              <w:ind w:left="60"/>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right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9,050</w:t>
            </w:r>
          </w:p>
        </w:tc>
        <w:tc>
          <w:tcPr>
            <w:tcW w:w="280" w:type="dxa"/>
            <w:vAlign w:val="bottom"/>
            <w:tcBorders>
              <w:top w:val="single" w:sz="8" w:color="auto"/>
            </w:tcBorders>
            <w:shd w:val="clear" w:color="auto" w:fill="E5E5E5"/>
          </w:tcPr>
          <w:p>
            <w:pPr>
              <w:ind w:left="120"/>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gridSpan w:val="2"/>
            <w:shd w:val="clear" w:color="auto" w:fill="E5E5E5"/>
          </w:tcPr>
          <w:p>
            <w:pPr>
              <w:ind w:left="720"/>
              <w:spacing w:after="0" w:line="142" w:lineRule="exact"/>
              <w:rPr>
                <w:sz w:val="20"/>
                <w:szCs w:val="20"/>
                <w:color w:val="auto"/>
              </w:rPr>
            </w:pPr>
            <w:r>
              <w:rPr>
                <w:rFonts w:ascii="Arial" w:cs="Arial" w:eastAsia="Arial" w:hAnsi="Arial"/>
                <w:sz w:val="14"/>
                <w:szCs w:val="14"/>
                <w:color w:val="auto"/>
                <w:w w:val="85"/>
              </w:rPr>
              <w:t>251</w:t>
            </w:r>
          </w:p>
        </w:tc>
        <w:tc>
          <w:tcPr>
            <w:tcW w:w="240" w:type="dxa"/>
            <w:vAlign w:val="bottom"/>
            <w:tcBorders>
              <w:top w:val="single" w:sz="8" w:color="auto"/>
            </w:tcBorders>
            <w:shd w:val="clear" w:color="auto" w:fill="E5E5E5"/>
          </w:tcPr>
          <w:p>
            <w:pPr>
              <w:ind w:left="12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8,955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3"/>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4,384</w:t>
            </w:r>
          </w:p>
        </w:tc>
        <w:tc>
          <w:tcPr>
            <w:tcW w:w="3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139</w:t>
            </w: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61</w:t>
            </w: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4,584</w:t>
            </w: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ind w:left="720"/>
              <w:spacing w:after="0" w:line="149" w:lineRule="exact"/>
              <w:rPr>
                <w:sz w:val="20"/>
                <w:szCs w:val="20"/>
                <w:color w:val="auto"/>
              </w:rPr>
            </w:pPr>
            <w:r>
              <w:rPr>
                <w:rFonts w:ascii="Arial" w:cs="Arial" w:eastAsia="Arial" w:hAnsi="Arial"/>
                <w:sz w:val="14"/>
                <w:szCs w:val="14"/>
                <w:color w:val="auto"/>
                <w:w w:val="85"/>
              </w:rPr>
              <w:t>112</w:t>
            </w: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4,496</w:t>
            </w: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ind w:left="720"/>
              <w:spacing w:after="0" w:line="149" w:lineRule="exact"/>
              <w:rPr>
                <w:sz w:val="20"/>
                <w:szCs w:val="20"/>
                <w:color w:val="auto"/>
              </w:rPr>
            </w:pPr>
            <w:r>
              <w:rPr>
                <w:rFonts w:ascii="Arial" w:cs="Arial" w:eastAsia="Arial" w:hAnsi="Arial"/>
                <w:sz w:val="14"/>
                <w:szCs w:val="14"/>
                <w:color w:val="auto"/>
                <w:w w:val="85"/>
              </w:rPr>
              <w:t>111</w:t>
            </w: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Borders>
              <w:bottom w:val="single" w:sz="8" w:color="E5E5E5"/>
            </w:tcBorders>
            <w:gridSpan w:val="3"/>
            <w:shd w:val="clear" w:color="auto" w:fill="E5E5E5"/>
          </w:tcPr>
          <w:p>
            <w:pPr>
              <w:spacing w:after="0" w:line="142" w:lineRule="exact"/>
              <w:rPr>
                <w:sz w:val="20"/>
                <w:szCs w:val="20"/>
                <w:color w:val="auto"/>
              </w:rPr>
            </w:pPr>
            <w:r>
              <w:rPr>
                <w:rFonts w:ascii="Arial" w:cs="Arial" w:eastAsia="Arial" w:hAnsi="Arial"/>
                <w:sz w:val="14"/>
                <w:szCs w:val="14"/>
                <w:color w:val="auto"/>
              </w:rPr>
              <w:t>Operating Income (Loss)</w:t>
            </w:r>
          </w:p>
        </w:tc>
        <w:tc>
          <w:tcPr>
            <w:tcW w:w="2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4,415</w:t>
            </w:r>
          </w:p>
        </w:tc>
        <w:tc>
          <w:tcPr>
            <w:tcW w:w="360" w:type="dxa"/>
            <w:vAlign w:val="bottom"/>
            <w:tcBorders>
              <w:bottom w:val="single" w:sz="8" w:color="auto"/>
            </w:tcBorders>
            <w:shd w:val="clear" w:color="auto" w:fill="E5E5E5"/>
          </w:tcPr>
          <w:p>
            <w:pPr>
              <w:ind w:left="8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gridSpan w:val="2"/>
            <w:shd w:val="clear" w:color="auto" w:fill="E5E5E5"/>
          </w:tcPr>
          <w:p>
            <w:pPr>
              <w:jc w:val="right"/>
              <w:spacing w:after="0" w:line="142" w:lineRule="exact"/>
              <w:rPr>
                <w:sz w:val="20"/>
                <w:szCs w:val="20"/>
                <w:color w:val="auto"/>
              </w:rPr>
            </w:pPr>
            <w:r>
              <w:rPr>
                <w:rFonts w:ascii="Arial" w:cs="Arial" w:eastAsia="Arial" w:hAnsi="Arial"/>
                <w:sz w:val="14"/>
                <w:szCs w:val="14"/>
                <w:color w:val="auto"/>
              </w:rPr>
              <w:t>98</w:t>
            </w:r>
          </w:p>
        </w:tc>
        <w:tc>
          <w:tcPr>
            <w:tcW w:w="400" w:type="dxa"/>
            <w:vAlign w:val="bottom"/>
            <w:tcBorders>
              <w:bottom w:val="single" w:sz="8" w:color="auto"/>
            </w:tcBorders>
            <w:gridSpan w:val="2"/>
            <w:shd w:val="clear" w:color="auto" w:fill="E5E5E5"/>
          </w:tcPr>
          <w:p>
            <w:pPr>
              <w:ind w:left="80"/>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393)</w:t>
            </w:r>
          </w:p>
        </w:tc>
        <w:tc>
          <w:tcPr>
            <w:tcW w:w="14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right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4,120</w:t>
            </w:r>
          </w:p>
        </w:tc>
        <w:tc>
          <w:tcPr>
            <w:tcW w:w="280" w:type="dxa"/>
            <w:vAlign w:val="bottom"/>
            <w:tcBorders>
              <w:bottom w:val="single" w:sz="8" w:color="auto"/>
            </w:tcBorders>
            <w:shd w:val="clear" w:color="auto" w:fill="E5E5E5"/>
          </w:tcPr>
          <w:p>
            <w:pPr>
              <w:ind w:left="120"/>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shd w:val="clear" w:color="auto" w:fill="E5E5E5"/>
          </w:tcPr>
          <w:p>
            <w:pPr>
              <w:ind w:left="720"/>
              <w:spacing w:after="0" w:line="142" w:lineRule="exact"/>
              <w:rPr>
                <w:sz w:val="20"/>
                <w:szCs w:val="20"/>
                <w:color w:val="auto"/>
              </w:rPr>
            </w:pPr>
            <w:r>
              <w:rPr>
                <w:rFonts w:ascii="Arial" w:cs="Arial" w:eastAsia="Arial" w:hAnsi="Arial"/>
                <w:sz w:val="14"/>
                <w:szCs w:val="14"/>
                <w:color w:val="auto"/>
                <w:w w:val="85"/>
              </w:rPr>
              <w:t>139</w:t>
            </w:r>
          </w:p>
        </w:tc>
        <w:tc>
          <w:tcPr>
            <w:tcW w:w="60" w:type="dxa"/>
            <w:vAlign w:val="bottom"/>
            <w:tcBorders>
              <w:bottom w:val="single" w:sz="8" w:color="auto"/>
            </w:tcBorders>
            <w:shd w:val="clear" w:color="auto" w:fill="E5E5E5"/>
          </w:tcPr>
          <w:p>
            <w:pPr>
              <w:spacing w:after="0"/>
              <w:rPr>
                <w:sz w:val="12"/>
                <w:szCs w:val="12"/>
                <w:color w:val="auto"/>
              </w:rPr>
            </w:pPr>
          </w:p>
        </w:tc>
        <w:tc>
          <w:tcPr>
            <w:tcW w:w="180" w:type="dxa"/>
            <w:vAlign w:val="bottom"/>
            <w:tcBorders>
              <w:bottom w:val="single" w:sz="8" w:color="auto"/>
            </w:tcBorders>
            <w:shd w:val="clear" w:color="auto" w:fill="E5E5E5"/>
          </w:tcPr>
          <w:p>
            <w:pPr>
              <w:ind w:left="60"/>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shd w:val="clear" w:color="auto" w:fill="E5E5E5"/>
          </w:tcPr>
          <w:p>
            <w:pPr>
              <w:jc w:val="right"/>
              <w:ind w:right="152"/>
              <w:spacing w:after="0" w:line="142" w:lineRule="exact"/>
              <w:rPr>
                <w:sz w:val="20"/>
                <w:szCs w:val="20"/>
                <w:color w:val="auto"/>
              </w:rPr>
            </w:pPr>
            <w:r>
              <w:rPr>
                <w:rFonts w:ascii="Arial" w:cs="Arial" w:eastAsia="Arial" w:hAnsi="Arial"/>
                <w:sz w:val="14"/>
                <w:szCs w:val="14"/>
                <w:color w:val="auto"/>
              </w:rPr>
              <w:t>4,554</w:t>
            </w:r>
          </w:p>
        </w:tc>
        <w:tc>
          <w:tcPr>
            <w:tcW w:w="280" w:type="dxa"/>
            <w:vAlign w:val="bottom"/>
            <w:tcBorders>
              <w:bottom w:val="single" w:sz="8" w:color="auto"/>
            </w:tcBorders>
            <w:shd w:val="clear" w:color="auto" w:fill="E5E5E5"/>
          </w:tcPr>
          <w:p>
            <w:pPr>
              <w:ind w:left="120"/>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shd w:val="clear" w:color="auto" w:fill="E5E5E5"/>
          </w:tcPr>
          <w:p>
            <w:pPr>
              <w:ind w:left="720"/>
              <w:spacing w:after="0" w:line="142" w:lineRule="exact"/>
              <w:rPr>
                <w:sz w:val="20"/>
                <w:szCs w:val="20"/>
                <w:color w:val="auto"/>
              </w:rPr>
            </w:pPr>
            <w:r>
              <w:rPr>
                <w:rFonts w:ascii="Arial" w:cs="Arial" w:eastAsia="Arial" w:hAnsi="Arial"/>
                <w:sz w:val="14"/>
                <w:szCs w:val="14"/>
                <w:color w:val="auto"/>
                <w:w w:val="85"/>
              </w:rPr>
              <w:t>140</w:t>
            </w:r>
          </w:p>
        </w:tc>
        <w:tc>
          <w:tcPr>
            <w:tcW w:w="240" w:type="dxa"/>
            <w:vAlign w:val="bottom"/>
            <w:tcBorders>
              <w:bottom w:val="single" w:sz="8" w:color="auto"/>
            </w:tcBorders>
            <w:shd w:val="clear" w:color="auto" w:fill="E5E5E5"/>
          </w:tcPr>
          <w:p>
            <w:pPr>
              <w:ind w:left="12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4,260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9"/>
        </w:trPr>
        <w:tc>
          <w:tcPr>
            <w:tcW w:w="3940" w:type="dxa"/>
            <w:vAlign w:val="bottom"/>
            <w:gridSpan w:val="4"/>
          </w:tcPr>
          <w:p>
            <w:pPr>
              <w:spacing w:after="0"/>
              <w:rPr>
                <w:sz w:val="20"/>
                <w:szCs w:val="20"/>
                <w:color w:val="auto"/>
              </w:rPr>
            </w:pPr>
            <w:r>
              <w:rPr>
                <w:rFonts w:ascii="Arial" w:cs="Arial" w:eastAsia="Arial" w:hAnsi="Arial"/>
                <w:sz w:val="14"/>
                <w:szCs w:val="14"/>
                <w:color w:val="auto"/>
              </w:rPr>
              <w:t>Capital Expenditures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4,521</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22</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right w:val="single" w:sz="8" w:color="auto"/>
            </w:tcBorders>
          </w:tcPr>
          <w:p>
            <w:pPr>
              <w:jc w:val="right"/>
              <w:ind w:right="152"/>
              <w:spacing w:after="0"/>
              <w:rPr>
                <w:sz w:val="20"/>
                <w:szCs w:val="20"/>
                <w:color w:val="auto"/>
              </w:rPr>
            </w:pPr>
            <w:r>
              <w:rPr>
                <w:rFonts w:ascii="Arial" w:cs="Arial" w:eastAsia="Arial" w:hAnsi="Arial"/>
                <w:sz w:val="14"/>
                <w:szCs w:val="14"/>
                <w:color w:val="auto"/>
              </w:rPr>
              <w:t>4,584</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color w:val="auto"/>
                <w:w w:val="85"/>
              </w:rPr>
              <w:t>102</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tcPr>
          <w:p>
            <w:pPr>
              <w:jc w:val="right"/>
              <w:ind w:right="152"/>
              <w:spacing w:after="0"/>
              <w:rPr>
                <w:sz w:val="20"/>
                <w:szCs w:val="20"/>
                <w:color w:val="auto"/>
              </w:rPr>
            </w:pPr>
            <w:r>
              <w:rPr>
                <w:rFonts w:ascii="Arial" w:cs="Arial" w:eastAsia="Arial" w:hAnsi="Arial"/>
                <w:sz w:val="14"/>
                <w:szCs w:val="14"/>
                <w:color w:val="auto"/>
              </w:rPr>
              <w:t>4,623</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color w:val="auto"/>
                <w:w w:val="85"/>
              </w:rPr>
              <w:t>102</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4,686</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46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 forma data is adjusted only for timing of acquisitions or dispositions and does not include adjustments for costs related to integration activities, cost savings or synergies that have been or may be achieved by the combined businesses. Pro forma results are presented as if the acquisitions and dispositions were effective on January 1, 2007. Minor differences may exist due to rounding.</w:t>
      </w:r>
    </w:p>
    <w:p>
      <w:pPr>
        <w:spacing w:after="0" w:line="59"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Pro Forma adjustments and Cable Pro Forma adjustments for 2007 include the results of Comcast SportsNet Bay Area and Comcast SportsNet New England, the cable system acquired from Patriot Media Holdings, LLC and the cable systems resulting from the dissolution of the Insight Midwest Partnership.</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052"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183515</wp:posOffset>
            </wp:positionV>
            <wp:extent cx="1475105" cy="411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11480"/>
                    </a:xfrm>
                    <a:prstGeom prst="rect">
                      <a:avLst/>
                    </a:prstGeom>
                    <a:noFill/>
                  </pic:spPr>
                </pic:pic>
              </a:graphicData>
            </a:graphic>
          </wp:anchor>
        </w:drawing>
        <w:t>TABLE 7-B</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Reconciliation of Net Income to Adjusted Net Income</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Three Months Ended</w:t>
            </w:r>
          </w:p>
        </w:tc>
        <w:tc>
          <w:tcPr>
            <w:tcW w:w="78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780" w:type="dxa"/>
            <w:vAlign w:val="bottom"/>
            <w:tcBorders>
              <w:right w:val="single" w:sz="8" w:color="auto"/>
            </w:tcBorders>
          </w:tcPr>
          <w:p>
            <w:pPr>
              <w:spacing w:after="0"/>
              <w:rPr>
                <w:sz w:val="15"/>
                <w:szCs w:val="15"/>
                <w:color w:val="auto"/>
              </w:rPr>
            </w:pPr>
          </w:p>
        </w:tc>
        <w:tc>
          <w:tcPr>
            <w:tcW w:w="1680" w:type="dxa"/>
            <w:vAlign w:val="bottom"/>
            <w:gridSpan w:val="2"/>
            <w:vMerge w:val="restart"/>
          </w:tcPr>
          <w:p>
            <w:pPr>
              <w:jc w:val="center"/>
              <w:ind w:right="158"/>
              <w:spacing w:after="0"/>
              <w:rPr>
                <w:sz w:val="20"/>
                <w:szCs w:val="20"/>
                <w:color w:val="auto"/>
              </w:rPr>
            </w:pPr>
            <w:r>
              <w:rPr>
                <w:rFonts w:ascii="Arial" w:cs="Arial" w:eastAsia="Arial" w:hAnsi="Arial"/>
                <w:sz w:val="14"/>
                <w:szCs w:val="14"/>
                <w:b w:val="1"/>
                <w:bCs w:val="1"/>
                <w:color w:val="auto"/>
                <w:w w:val="84"/>
              </w:rPr>
              <w:t>2008 vs. 2007</w:t>
            </w:r>
          </w:p>
        </w:tc>
        <w:tc>
          <w:tcPr>
            <w:tcW w:w="0" w:type="dxa"/>
            <w:vAlign w:val="bottom"/>
          </w:tcPr>
          <w:p>
            <w:pPr>
              <w:spacing w:after="0"/>
              <w:rPr>
                <w:sz w:val="1"/>
                <w:szCs w:val="1"/>
                <w:color w:val="auto"/>
              </w:rPr>
            </w:pPr>
          </w:p>
        </w:tc>
      </w:tr>
      <w:tr>
        <w:trPr>
          <w:trHeight w:val="136"/>
        </w:trPr>
        <w:tc>
          <w:tcPr>
            <w:tcW w:w="6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78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tcBorders>
            <w:gridSpan w:val="2"/>
          </w:tcPr>
          <w:p>
            <w:pPr>
              <w:jc w:val="center"/>
              <w:ind w:right="158"/>
              <w:spacing w:after="0"/>
              <w:rPr>
                <w:sz w:val="20"/>
                <w:szCs w:val="20"/>
                <w:color w:val="auto"/>
              </w:rPr>
            </w:pPr>
            <w:r>
              <w:rPr>
                <w:rFonts w:ascii="Arial" w:cs="Arial" w:eastAsia="Arial" w:hAnsi="Arial"/>
                <w:sz w:val="14"/>
                <w:szCs w:val="14"/>
                <w:b w:val="1"/>
                <w:bCs w:val="1"/>
                <w:color w:val="auto"/>
                <w:w w:val="96"/>
              </w:rPr>
              <w:t>Growth (%)</w:t>
            </w:r>
          </w:p>
        </w:tc>
        <w:tc>
          <w:tcPr>
            <w:tcW w:w="0" w:type="dxa"/>
            <w:vAlign w:val="bottom"/>
          </w:tcPr>
          <w:p>
            <w:pPr>
              <w:spacing w:after="0"/>
              <w:rPr>
                <w:sz w:val="1"/>
                <w:szCs w:val="1"/>
                <w:color w:val="auto"/>
              </w:rPr>
            </w:pPr>
          </w:p>
        </w:tc>
      </w:tr>
      <w:tr>
        <w:trPr>
          <w:trHeight w:val="169"/>
        </w:trPr>
        <w:tc>
          <w:tcPr>
            <w:tcW w:w="652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102"/>
              <w:spacing w:after="0" w:line="169" w:lineRule="exact"/>
              <w:rPr>
                <w:sz w:val="20"/>
                <w:szCs w:val="20"/>
                <w:color w:val="auto"/>
              </w:rPr>
            </w:pPr>
            <w:r>
              <w:rPr>
                <w:rFonts w:ascii="Arial" w:cs="Arial" w:eastAsia="Arial" w:hAnsi="Arial"/>
                <w:sz w:val="12"/>
                <w:szCs w:val="12"/>
                <w:b w:val="1"/>
                <w:bCs w:val="1"/>
                <w:color w:val="auto"/>
              </w:rPr>
              <w:t xml:space="preserve">EPS </w:t>
            </w:r>
            <w:r>
              <w:rPr>
                <w:rFonts w:ascii="Arial" w:cs="Arial" w:eastAsia="Arial" w:hAnsi="Arial"/>
                <w:sz w:val="19"/>
                <w:szCs w:val="19"/>
                <w:b w:val="1"/>
                <w:bCs w:val="1"/>
                <w:color w:val="auto"/>
                <w:vertAlign w:val="superscript"/>
              </w:rPr>
              <w:t>(1)</w:t>
            </w: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right w:val="single" w:sz="8" w:color="auto"/>
            </w:tcBorders>
          </w:tcPr>
          <w:p>
            <w:pPr>
              <w:jc w:val="right"/>
              <w:ind w:right="238"/>
              <w:spacing w:after="0" w:line="169" w:lineRule="exact"/>
              <w:rPr>
                <w:sz w:val="20"/>
                <w:szCs w:val="20"/>
                <w:color w:val="auto"/>
              </w:rPr>
            </w:pPr>
            <w:r>
              <w:rPr>
                <w:rFonts w:ascii="Arial" w:cs="Arial" w:eastAsia="Arial" w:hAnsi="Arial"/>
                <w:sz w:val="12"/>
                <w:szCs w:val="12"/>
                <w:b w:val="1"/>
                <w:bCs w:val="1"/>
                <w:color w:val="auto"/>
              </w:rPr>
              <w:t xml:space="preserve">EPS </w:t>
            </w:r>
            <w:r>
              <w:rPr>
                <w:rFonts w:ascii="Arial" w:cs="Arial" w:eastAsia="Arial" w:hAnsi="Arial"/>
                <w:sz w:val="19"/>
                <w:szCs w:val="19"/>
                <w:b w:val="1"/>
                <w:bCs w:val="1"/>
                <w:color w:val="auto"/>
                <w:vertAlign w:val="superscript"/>
              </w:rPr>
              <w:t>(1)</w:t>
            </w:r>
          </w:p>
        </w:tc>
        <w:tc>
          <w:tcPr>
            <w:tcW w:w="7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358"/>
              <w:spacing w:after="0" w:line="169" w:lineRule="exact"/>
              <w:rPr>
                <w:sz w:val="20"/>
                <w:szCs w:val="20"/>
                <w:color w:val="auto"/>
              </w:rPr>
            </w:pPr>
            <w:r>
              <w:rPr>
                <w:rFonts w:ascii="Arial" w:cs="Arial" w:eastAsia="Arial" w:hAnsi="Arial"/>
                <w:sz w:val="12"/>
                <w:szCs w:val="12"/>
                <w:b w:val="1"/>
                <w:bCs w:val="1"/>
                <w:color w:val="auto"/>
              </w:rPr>
              <w:t xml:space="preserve">EPS </w:t>
            </w:r>
            <w:r>
              <w:rPr>
                <w:rFonts w:ascii="Arial" w:cs="Arial" w:eastAsia="Arial" w:hAnsi="Arial"/>
                <w:sz w:val="19"/>
                <w:szCs w:val="19"/>
                <w:b w:val="1"/>
                <w:bCs w:val="1"/>
                <w:color w:val="auto"/>
                <w:vertAlign w:val="superscript"/>
              </w:rPr>
              <w:t>(1)</w:t>
            </w:r>
          </w:p>
        </w:tc>
        <w:tc>
          <w:tcPr>
            <w:tcW w:w="0" w:type="dxa"/>
            <w:vAlign w:val="bottom"/>
          </w:tcPr>
          <w:p>
            <w:pPr>
              <w:spacing w:after="0"/>
              <w:rPr>
                <w:sz w:val="1"/>
                <w:szCs w:val="1"/>
                <w:color w:val="auto"/>
              </w:rPr>
            </w:pPr>
          </w:p>
        </w:tc>
      </w:tr>
      <w:tr>
        <w:trPr>
          <w:trHeight w:val="210"/>
        </w:trPr>
        <w:tc>
          <w:tcPr>
            <w:tcW w:w="652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771</w:t>
            </w:r>
          </w:p>
        </w:tc>
        <w:tc>
          <w:tcPr>
            <w:tcW w:w="640" w:type="dxa"/>
            <w:vAlign w:val="bottom"/>
            <w:shd w:val="clear" w:color="auto" w:fill="E5E5E5"/>
          </w:tcPr>
          <w:p>
            <w:pPr>
              <w:jc w:val="right"/>
              <w:ind w:right="82"/>
              <w:spacing w:after="0"/>
              <w:rPr>
                <w:sz w:val="20"/>
                <w:szCs w:val="20"/>
                <w:color w:val="auto"/>
              </w:rPr>
            </w:pPr>
            <w:r>
              <w:rPr>
                <w:rFonts w:ascii="Arial" w:cs="Arial" w:eastAsia="Arial" w:hAnsi="Arial"/>
                <w:sz w:val="18"/>
                <w:szCs w:val="18"/>
                <w:b w:val="1"/>
                <w:bCs w:val="1"/>
                <w:color w:val="auto"/>
                <w:w w:val="91"/>
              </w:rPr>
              <w:t>$ 0.26</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ind w:right="180"/>
              <w:spacing w:after="0"/>
              <w:rPr>
                <w:sz w:val="20"/>
                <w:szCs w:val="20"/>
                <w:color w:val="auto"/>
              </w:rPr>
            </w:pPr>
            <w:r>
              <w:rPr>
                <w:rFonts w:ascii="Arial" w:cs="Arial" w:eastAsia="Arial" w:hAnsi="Arial"/>
                <w:sz w:val="18"/>
                <w:szCs w:val="18"/>
                <w:color w:val="auto"/>
              </w:rPr>
              <w:t>560</w:t>
            </w:r>
          </w:p>
        </w:tc>
        <w:tc>
          <w:tcPr>
            <w:tcW w:w="780" w:type="dxa"/>
            <w:vAlign w:val="bottom"/>
            <w:tcBorders>
              <w:right w:val="single" w:sz="8" w:color="auto"/>
            </w:tcBorders>
            <w:shd w:val="clear" w:color="auto" w:fill="E5E5E5"/>
          </w:tcPr>
          <w:p>
            <w:pPr>
              <w:jc w:val="right"/>
              <w:ind w:right="218"/>
              <w:spacing w:after="0"/>
              <w:rPr>
                <w:sz w:val="20"/>
                <w:szCs w:val="20"/>
                <w:color w:val="auto"/>
              </w:rPr>
            </w:pPr>
            <w:r>
              <w:rPr>
                <w:rFonts w:ascii="Arial" w:cs="Arial" w:eastAsia="Arial" w:hAnsi="Arial"/>
                <w:sz w:val="18"/>
                <w:szCs w:val="18"/>
                <w:color w:val="auto"/>
                <w:w w:val="91"/>
              </w:rPr>
              <w:t>$ 0.18</w:t>
            </w:r>
          </w:p>
        </w:tc>
        <w:tc>
          <w:tcPr>
            <w:tcW w:w="720" w:type="dxa"/>
            <w:vAlign w:val="bottom"/>
            <w:shd w:val="clear" w:color="auto" w:fill="E5E5E5"/>
          </w:tcPr>
          <w:p>
            <w:pPr>
              <w:ind w:left="300"/>
              <w:spacing w:after="0"/>
              <w:rPr>
                <w:sz w:val="20"/>
                <w:szCs w:val="20"/>
                <w:color w:val="auto"/>
              </w:rPr>
            </w:pPr>
            <w:r>
              <w:rPr>
                <w:rFonts w:ascii="Arial" w:cs="Arial" w:eastAsia="Arial" w:hAnsi="Arial"/>
                <w:sz w:val="18"/>
                <w:szCs w:val="18"/>
                <w:color w:val="auto"/>
              </w:rPr>
              <w:t>38%</w:t>
            </w:r>
          </w:p>
        </w:tc>
        <w:tc>
          <w:tcPr>
            <w:tcW w:w="960" w:type="dxa"/>
            <w:vAlign w:val="bottom"/>
            <w:shd w:val="clear" w:color="auto" w:fill="E5E5E5"/>
          </w:tcPr>
          <w:p>
            <w:pPr>
              <w:jc w:val="right"/>
              <w:ind w:right="198"/>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58"/>
        </w:trPr>
        <w:tc>
          <w:tcPr>
            <w:tcW w:w="6520" w:type="dxa"/>
            <w:vAlign w:val="bottom"/>
          </w:tcPr>
          <w:p>
            <w:pPr>
              <w:spacing w:after="0"/>
              <w:rPr>
                <w:sz w:val="20"/>
                <w:szCs w:val="20"/>
                <w:color w:val="auto"/>
              </w:rPr>
            </w:pPr>
            <w:r>
              <w:rPr>
                <w:rFonts w:ascii="Arial" w:cs="Arial" w:eastAsia="Arial" w:hAnsi="Arial"/>
                <w:sz w:val="18"/>
                <w:szCs w:val="18"/>
                <w:color w:val="auto"/>
              </w:rPr>
              <w:t>Adjustments:</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520" w:type="dxa"/>
            <w:vAlign w:val="bottom"/>
            <w:tcBorders>
              <w:bottom w:val="single" w:sz="8" w:color="E5E5E5"/>
            </w:tcBorders>
            <w:shd w:val="clear" w:color="auto" w:fill="E5E5E5"/>
          </w:tcPr>
          <w:p>
            <w:pPr>
              <w:ind w:left="440"/>
              <w:spacing w:after="0" w:line="217" w:lineRule="exact"/>
              <w:rPr>
                <w:sz w:val="20"/>
                <w:szCs w:val="20"/>
                <w:color w:val="auto"/>
              </w:rPr>
            </w:pPr>
            <w:r>
              <w:rPr>
                <w:rFonts w:ascii="Arial" w:cs="Arial" w:eastAsia="Arial" w:hAnsi="Arial"/>
                <w:sz w:val="18"/>
                <w:szCs w:val="18"/>
                <w:color w:val="auto"/>
              </w:rPr>
              <w:t xml:space="preserve">Favorable income tax adjustments </w:t>
            </w:r>
            <w:r>
              <w:rPr>
                <w:rFonts w:ascii="Arial" w:cs="Arial" w:eastAsia="Arial" w:hAnsi="Arial"/>
                <w:sz w:val="22"/>
                <w:szCs w:val="22"/>
                <w:color w:val="auto"/>
                <w:vertAlign w:val="superscript"/>
              </w:rPr>
              <w:t>(2)</w:t>
            </w:r>
          </w:p>
        </w:tc>
        <w:tc>
          <w:tcPr>
            <w:tcW w:w="3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(80)</w:t>
            </w:r>
          </w:p>
        </w:tc>
        <w:tc>
          <w:tcPr>
            <w:tcW w:w="64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8"/>
                <w:szCs w:val="18"/>
                <w:b w:val="1"/>
                <w:bCs w:val="1"/>
                <w:color w:val="auto"/>
              </w:rPr>
              <w:t>(0.03)</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E5E5E5"/>
          </w:tcPr>
          <w:p>
            <w:pPr>
              <w:jc w:val="right"/>
              <w:ind w:right="298"/>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NM</w:t>
            </w:r>
          </w:p>
        </w:tc>
        <w:tc>
          <w:tcPr>
            <w:tcW w:w="960" w:type="dxa"/>
            <w:vAlign w:val="bottom"/>
            <w:tcBorders>
              <w:bottom w:val="single" w:sz="8" w:color="auto"/>
            </w:tcBorders>
            <w:shd w:val="clear" w:color="auto" w:fill="E5E5E5"/>
          </w:tcPr>
          <w:p>
            <w:pPr>
              <w:jc w:val="right"/>
              <w:ind w:right="35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460"/>
        </w:trPr>
        <w:tc>
          <w:tcPr>
            <w:tcW w:w="6520" w:type="dxa"/>
            <w:vAlign w:val="bottom"/>
          </w:tcPr>
          <w:p>
            <w:pPr>
              <w:spacing w:after="0"/>
              <w:rPr>
                <w:sz w:val="20"/>
                <w:szCs w:val="20"/>
                <w:color w:val="auto"/>
              </w:rPr>
            </w:pPr>
            <w:r>
              <w:rPr>
                <w:rFonts w:ascii="Arial" w:cs="Arial" w:eastAsia="Arial" w:hAnsi="Arial"/>
                <w:sz w:val="18"/>
                <w:szCs w:val="18"/>
                <w:color w:val="auto"/>
              </w:rPr>
              <w:t>Adjusted Net Income</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b w:val="1"/>
                <w:bCs w:val="1"/>
                <w:color w:val="auto"/>
              </w:rPr>
              <w:t>691</w:t>
            </w:r>
          </w:p>
        </w:tc>
        <w:tc>
          <w:tcPr>
            <w:tcW w:w="64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b w:val="1"/>
                <w:bCs w:val="1"/>
                <w:color w:val="auto"/>
                <w:w w:val="91"/>
              </w:rPr>
              <w:t>$ 0.24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8"/>
                <w:szCs w:val="18"/>
                <w:color w:val="auto"/>
              </w:rPr>
              <w:t>560</w:t>
            </w:r>
          </w:p>
        </w:tc>
        <w:tc>
          <w:tcPr>
            <w:tcW w:w="78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8"/>
                <w:szCs w:val="18"/>
                <w:color w:val="auto"/>
                <w:w w:val="91"/>
              </w:rPr>
              <w:t>$ 0.18</w:t>
            </w:r>
          </w:p>
        </w:tc>
        <w:tc>
          <w:tcPr>
            <w:tcW w:w="7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23%</w:t>
            </w:r>
          </w:p>
        </w:tc>
        <w:tc>
          <w:tcPr>
            <w:tcW w:w="960" w:type="dxa"/>
            <w:vAlign w:val="bottom"/>
            <w:tcBorders>
              <w:bottom w:val="single" w:sz="8" w:color="auto"/>
            </w:tcBorders>
          </w:tcPr>
          <w:p>
            <w:pPr>
              <w:jc w:val="right"/>
              <w:ind w:right="198"/>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8"/>
              </w:rPr>
              <w:t>Nine Months Ended</w:t>
            </w: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6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6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780" w:type="dxa"/>
            <w:vAlign w:val="bottom"/>
            <w:tcBorders>
              <w:right w:val="single" w:sz="8" w:color="auto"/>
            </w:tcBorders>
          </w:tcPr>
          <w:p>
            <w:pPr>
              <w:spacing w:after="0"/>
              <w:rPr>
                <w:sz w:val="15"/>
                <w:szCs w:val="15"/>
                <w:color w:val="auto"/>
              </w:rPr>
            </w:pPr>
          </w:p>
        </w:tc>
        <w:tc>
          <w:tcPr>
            <w:tcW w:w="1680" w:type="dxa"/>
            <w:vAlign w:val="bottom"/>
            <w:gridSpan w:val="2"/>
            <w:vMerge w:val="restart"/>
          </w:tcPr>
          <w:p>
            <w:pPr>
              <w:jc w:val="center"/>
              <w:ind w:right="158"/>
              <w:spacing w:after="0"/>
              <w:rPr>
                <w:sz w:val="20"/>
                <w:szCs w:val="20"/>
                <w:color w:val="auto"/>
              </w:rPr>
            </w:pPr>
            <w:r>
              <w:rPr>
                <w:rFonts w:ascii="Arial" w:cs="Arial" w:eastAsia="Arial" w:hAnsi="Arial"/>
                <w:sz w:val="14"/>
                <w:szCs w:val="14"/>
                <w:b w:val="1"/>
                <w:bCs w:val="1"/>
                <w:color w:val="auto"/>
                <w:w w:val="84"/>
              </w:rPr>
              <w:t>2008 vs. 2007</w:t>
            </w:r>
          </w:p>
        </w:tc>
        <w:tc>
          <w:tcPr>
            <w:tcW w:w="0" w:type="dxa"/>
            <w:vAlign w:val="bottom"/>
          </w:tcPr>
          <w:p>
            <w:pPr>
              <w:spacing w:after="0"/>
              <w:rPr>
                <w:sz w:val="1"/>
                <w:szCs w:val="1"/>
                <w:color w:val="auto"/>
              </w:rPr>
            </w:pPr>
          </w:p>
        </w:tc>
      </w:tr>
      <w:tr>
        <w:trPr>
          <w:trHeight w:val="136"/>
        </w:trPr>
        <w:tc>
          <w:tcPr>
            <w:tcW w:w="6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78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tcBorders>
            <w:gridSpan w:val="2"/>
          </w:tcPr>
          <w:p>
            <w:pPr>
              <w:jc w:val="center"/>
              <w:ind w:right="158"/>
              <w:spacing w:after="0"/>
              <w:rPr>
                <w:sz w:val="20"/>
                <w:szCs w:val="20"/>
                <w:color w:val="auto"/>
              </w:rPr>
            </w:pPr>
            <w:r>
              <w:rPr>
                <w:rFonts w:ascii="Arial" w:cs="Arial" w:eastAsia="Arial" w:hAnsi="Arial"/>
                <w:sz w:val="14"/>
                <w:szCs w:val="14"/>
                <w:b w:val="1"/>
                <w:bCs w:val="1"/>
                <w:color w:val="auto"/>
                <w:w w:val="96"/>
              </w:rPr>
              <w:t>Growth (%)</w:t>
            </w:r>
          </w:p>
        </w:tc>
        <w:tc>
          <w:tcPr>
            <w:tcW w:w="0" w:type="dxa"/>
            <w:vAlign w:val="bottom"/>
          </w:tcPr>
          <w:p>
            <w:pPr>
              <w:spacing w:after="0"/>
              <w:rPr>
                <w:sz w:val="1"/>
                <w:szCs w:val="1"/>
                <w:color w:val="auto"/>
              </w:rPr>
            </w:pPr>
          </w:p>
        </w:tc>
      </w:tr>
      <w:tr>
        <w:trPr>
          <w:trHeight w:val="169"/>
        </w:trPr>
        <w:tc>
          <w:tcPr>
            <w:tcW w:w="65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102"/>
              <w:spacing w:after="0" w:line="169" w:lineRule="exact"/>
              <w:rPr>
                <w:sz w:val="20"/>
                <w:szCs w:val="20"/>
                <w:color w:val="auto"/>
              </w:rPr>
            </w:pPr>
            <w:r>
              <w:rPr>
                <w:rFonts w:ascii="Arial" w:cs="Arial" w:eastAsia="Arial" w:hAnsi="Arial"/>
                <w:sz w:val="12"/>
                <w:szCs w:val="12"/>
                <w:b w:val="1"/>
                <w:bCs w:val="1"/>
                <w:color w:val="auto"/>
              </w:rPr>
              <w:t xml:space="preserve">EPS </w:t>
            </w:r>
            <w:r>
              <w:rPr>
                <w:rFonts w:ascii="Arial" w:cs="Arial" w:eastAsia="Arial" w:hAnsi="Arial"/>
                <w:sz w:val="19"/>
                <w:szCs w:val="19"/>
                <w:b w:val="1"/>
                <w:bCs w:val="1"/>
                <w:color w:val="auto"/>
                <w:vertAlign w:val="superscript"/>
              </w:rPr>
              <w:t>(1)</w:t>
            </w: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right w:val="single" w:sz="8" w:color="auto"/>
            </w:tcBorders>
          </w:tcPr>
          <w:p>
            <w:pPr>
              <w:jc w:val="right"/>
              <w:ind w:right="238"/>
              <w:spacing w:after="0" w:line="169" w:lineRule="exact"/>
              <w:rPr>
                <w:sz w:val="20"/>
                <w:szCs w:val="20"/>
                <w:color w:val="auto"/>
              </w:rPr>
            </w:pPr>
            <w:r>
              <w:rPr>
                <w:rFonts w:ascii="Arial" w:cs="Arial" w:eastAsia="Arial" w:hAnsi="Arial"/>
                <w:sz w:val="12"/>
                <w:szCs w:val="12"/>
                <w:b w:val="1"/>
                <w:bCs w:val="1"/>
                <w:color w:val="auto"/>
              </w:rPr>
              <w:t xml:space="preserve">EPS </w:t>
            </w:r>
            <w:r>
              <w:rPr>
                <w:rFonts w:ascii="Arial" w:cs="Arial" w:eastAsia="Arial" w:hAnsi="Arial"/>
                <w:sz w:val="19"/>
                <w:szCs w:val="19"/>
                <w:b w:val="1"/>
                <w:bCs w:val="1"/>
                <w:color w:val="auto"/>
                <w:vertAlign w:val="superscript"/>
              </w:rPr>
              <w:t>(1)</w:t>
            </w:r>
          </w:p>
        </w:tc>
        <w:tc>
          <w:tcPr>
            <w:tcW w:w="7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358"/>
              <w:spacing w:after="0" w:line="169" w:lineRule="exact"/>
              <w:rPr>
                <w:sz w:val="20"/>
                <w:szCs w:val="20"/>
                <w:color w:val="auto"/>
              </w:rPr>
            </w:pPr>
            <w:r>
              <w:rPr>
                <w:rFonts w:ascii="Arial" w:cs="Arial" w:eastAsia="Arial" w:hAnsi="Arial"/>
                <w:sz w:val="12"/>
                <w:szCs w:val="12"/>
                <w:b w:val="1"/>
                <w:bCs w:val="1"/>
                <w:color w:val="auto"/>
              </w:rPr>
              <w:t xml:space="preserve">EPS </w:t>
            </w:r>
            <w:r>
              <w:rPr>
                <w:rFonts w:ascii="Arial" w:cs="Arial" w:eastAsia="Arial" w:hAnsi="Arial"/>
                <w:sz w:val="19"/>
                <w:szCs w:val="19"/>
                <w:b w:val="1"/>
                <w:bCs w:val="1"/>
                <w:color w:val="auto"/>
                <w:vertAlign w:val="superscript"/>
              </w:rPr>
              <w:t>(1)</w:t>
            </w:r>
          </w:p>
        </w:tc>
        <w:tc>
          <w:tcPr>
            <w:tcW w:w="0" w:type="dxa"/>
            <w:vAlign w:val="bottom"/>
          </w:tcPr>
          <w:p>
            <w:pPr>
              <w:spacing w:after="0"/>
              <w:rPr>
                <w:sz w:val="1"/>
                <w:szCs w:val="1"/>
                <w:color w:val="auto"/>
              </w:rPr>
            </w:pPr>
          </w:p>
        </w:tc>
      </w:tr>
      <w:tr>
        <w:trPr>
          <w:trHeight w:val="210"/>
        </w:trPr>
        <w:tc>
          <w:tcPr>
            <w:tcW w:w="652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$2,135</w:t>
            </w:r>
          </w:p>
        </w:tc>
        <w:tc>
          <w:tcPr>
            <w:tcW w:w="640" w:type="dxa"/>
            <w:vAlign w:val="bottom"/>
            <w:shd w:val="clear" w:color="auto" w:fill="E5E5E5"/>
          </w:tcPr>
          <w:p>
            <w:pPr>
              <w:jc w:val="right"/>
              <w:ind w:right="82"/>
              <w:spacing w:after="0"/>
              <w:rPr>
                <w:sz w:val="20"/>
                <w:szCs w:val="20"/>
                <w:color w:val="auto"/>
              </w:rPr>
            </w:pPr>
            <w:r>
              <w:rPr>
                <w:rFonts w:ascii="Arial" w:cs="Arial" w:eastAsia="Arial" w:hAnsi="Arial"/>
                <w:sz w:val="18"/>
                <w:szCs w:val="18"/>
                <w:b w:val="1"/>
                <w:bCs w:val="1"/>
                <w:color w:val="auto"/>
                <w:w w:val="91"/>
              </w:rPr>
              <w:t>$ 0.72</w:t>
            </w:r>
          </w:p>
        </w:tc>
        <w:tc>
          <w:tcPr>
            <w:tcW w:w="86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$1,985</w:t>
            </w:r>
          </w:p>
        </w:tc>
        <w:tc>
          <w:tcPr>
            <w:tcW w:w="780" w:type="dxa"/>
            <w:vAlign w:val="bottom"/>
            <w:tcBorders>
              <w:right w:val="single" w:sz="8" w:color="auto"/>
            </w:tcBorders>
            <w:shd w:val="clear" w:color="auto" w:fill="E5E5E5"/>
          </w:tcPr>
          <w:p>
            <w:pPr>
              <w:jc w:val="right"/>
              <w:ind w:right="218"/>
              <w:spacing w:after="0"/>
              <w:rPr>
                <w:sz w:val="20"/>
                <w:szCs w:val="20"/>
                <w:color w:val="auto"/>
              </w:rPr>
            </w:pPr>
            <w:r>
              <w:rPr>
                <w:rFonts w:ascii="Arial" w:cs="Arial" w:eastAsia="Arial" w:hAnsi="Arial"/>
                <w:sz w:val="18"/>
                <w:szCs w:val="18"/>
                <w:color w:val="auto"/>
                <w:w w:val="91"/>
              </w:rPr>
              <w:t>$ 0.63</w:t>
            </w:r>
          </w:p>
        </w:tc>
        <w:tc>
          <w:tcPr>
            <w:tcW w:w="720" w:type="dxa"/>
            <w:vAlign w:val="bottom"/>
            <w:shd w:val="clear" w:color="auto" w:fill="E5E5E5"/>
          </w:tcPr>
          <w:p>
            <w:pPr>
              <w:ind w:left="400"/>
              <w:spacing w:after="0"/>
              <w:rPr>
                <w:sz w:val="20"/>
                <w:szCs w:val="20"/>
                <w:color w:val="auto"/>
              </w:rPr>
            </w:pPr>
            <w:r>
              <w:rPr>
                <w:rFonts w:ascii="Arial" w:cs="Arial" w:eastAsia="Arial" w:hAnsi="Arial"/>
                <w:sz w:val="18"/>
                <w:szCs w:val="18"/>
                <w:color w:val="auto"/>
              </w:rPr>
              <w:t>8%</w:t>
            </w:r>
          </w:p>
        </w:tc>
        <w:tc>
          <w:tcPr>
            <w:tcW w:w="960" w:type="dxa"/>
            <w:vAlign w:val="bottom"/>
            <w:shd w:val="clear" w:color="auto" w:fill="E5E5E5"/>
          </w:tcPr>
          <w:p>
            <w:pPr>
              <w:jc w:val="right"/>
              <w:ind w:right="198"/>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58"/>
        </w:trPr>
        <w:tc>
          <w:tcPr>
            <w:tcW w:w="6520" w:type="dxa"/>
            <w:vAlign w:val="bottom"/>
          </w:tcPr>
          <w:p>
            <w:pPr>
              <w:spacing w:after="0"/>
              <w:rPr>
                <w:sz w:val="20"/>
                <w:szCs w:val="20"/>
                <w:color w:val="auto"/>
              </w:rPr>
            </w:pPr>
            <w:r>
              <w:rPr>
                <w:rFonts w:ascii="Arial" w:cs="Arial" w:eastAsia="Arial" w:hAnsi="Arial"/>
                <w:sz w:val="18"/>
                <w:szCs w:val="18"/>
                <w:color w:val="auto"/>
              </w:rPr>
              <w:t>Adjustments:</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E5E5E5"/>
          </w:tcPr>
          <w:p>
            <w:pPr>
              <w:ind w:left="440"/>
              <w:spacing w:after="0"/>
              <w:rPr>
                <w:sz w:val="20"/>
                <w:szCs w:val="20"/>
                <w:color w:val="auto"/>
              </w:rPr>
            </w:pPr>
            <w:r>
              <w:rPr>
                <w:rFonts w:ascii="Arial" w:cs="Arial" w:eastAsia="Arial" w:hAnsi="Arial"/>
                <w:sz w:val="18"/>
                <w:szCs w:val="18"/>
                <w:color w:val="auto"/>
                <w:w w:val="93"/>
              </w:rPr>
              <w:t>Gain related to the dissolution of the Texas/Kansas City Cable Partnership, net of</w:t>
            </w:r>
          </w:p>
        </w:tc>
        <w:tc>
          <w:tcPr>
            <w:tcW w:w="340" w:type="dxa"/>
            <w:vAlign w:val="bottom"/>
            <w:shd w:val="clear" w:color="auto" w:fill="E5E5E5"/>
          </w:tcPr>
          <w:p>
            <w:pPr>
              <w:spacing w:after="0"/>
              <w:rPr>
                <w:sz w:val="18"/>
                <w:szCs w:val="18"/>
                <w:color w:val="auto"/>
              </w:rPr>
            </w:pPr>
          </w:p>
        </w:tc>
        <w:tc>
          <w:tcPr>
            <w:tcW w:w="600" w:type="dxa"/>
            <w:vAlign w:val="bottom"/>
            <w:vMerge w:val="restart"/>
            <w:shd w:val="clear" w:color="auto" w:fill="E5E5E5"/>
          </w:tcPr>
          <w:p>
            <w:pPr>
              <w:ind w:left="100"/>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shd w:val="clear" w:color="auto" w:fill="E5E5E5"/>
          </w:tcPr>
          <w:p>
            <w:pPr>
              <w:jc w:val="right"/>
              <w:ind w:right="162"/>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780" w:type="dxa"/>
            <w:vAlign w:val="bottom"/>
            <w:tcBorders>
              <w:right w:val="single" w:sz="8" w:color="auto"/>
            </w:tcBorders>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520" w:type="dxa"/>
            <w:vAlign w:val="bottom"/>
            <w:shd w:val="clear" w:color="auto" w:fill="E5E5E5"/>
          </w:tcPr>
          <w:p>
            <w:pPr>
              <w:ind w:left="660"/>
              <w:spacing w:after="0" w:line="224" w:lineRule="exact"/>
              <w:rPr>
                <w:sz w:val="20"/>
                <w:szCs w:val="20"/>
                <w:color w:val="auto"/>
              </w:rPr>
            </w:pPr>
            <w:r>
              <w:rPr>
                <w:rFonts w:ascii="Arial" w:cs="Arial" w:eastAsia="Arial" w:hAnsi="Arial"/>
                <w:sz w:val="18"/>
                <w:szCs w:val="18"/>
                <w:color w:val="auto"/>
              </w:rPr>
              <w:t xml:space="preserve">tax </w:t>
            </w:r>
            <w:r>
              <w:rPr>
                <w:rFonts w:ascii="Arial" w:cs="Arial" w:eastAsia="Arial" w:hAnsi="Arial"/>
                <w:sz w:val="22"/>
                <w:szCs w:val="22"/>
                <w:color w:val="auto"/>
                <w:vertAlign w:val="superscript"/>
              </w:rPr>
              <w:t>(3)</w:t>
            </w:r>
          </w:p>
        </w:tc>
        <w:tc>
          <w:tcPr>
            <w:tcW w:w="340" w:type="dxa"/>
            <w:vAlign w:val="bottom"/>
            <w:shd w:val="clear" w:color="auto" w:fill="E5E5E5"/>
          </w:tcPr>
          <w:p>
            <w:pPr>
              <w:spacing w:after="0"/>
              <w:rPr>
                <w:sz w:val="19"/>
                <w:szCs w:val="19"/>
                <w:color w:val="auto"/>
              </w:rPr>
            </w:pPr>
          </w:p>
        </w:tc>
        <w:tc>
          <w:tcPr>
            <w:tcW w:w="600" w:type="dxa"/>
            <w:vAlign w:val="bottom"/>
            <w:vMerge w:val="continue"/>
            <w:shd w:val="clear" w:color="auto" w:fill="E5E5E5"/>
          </w:tcPr>
          <w:p>
            <w:pPr>
              <w:spacing w:after="0"/>
              <w:rPr>
                <w:sz w:val="19"/>
                <w:szCs w:val="19"/>
                <w:color w:val="auto"/>
              </w:rPr>
            </w:pPr>
          </w:p>
        </w:tc>
        <w:tc>
          <w:tcPr>
            <w:tcW w:w="640" w:type="dxa"/>
            <w:vAlign w:val="bottom"/>
            <w:vMerge w:val="continue"/>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620" w:type="dxa"/>
            <w:vAlign w:val="bottom"/>
            <w:shd w:val="clear" w:color="auto" w:fill="E5E5E5"/>
          </w:tcPr>
          <w:p>
            <w:pPr>
              <w:jc w:val="right"/>
              <w:ind w:right="120"/>
              <w:spacing w:after="0"/>
              <w:rPr>
                <w:sz w:val="20"/>
                <w:szCs w:val="20"/>
                <w:color w:val="auto"/>
              </w:rPr>
            </w:pPr>
            <w:r>
              <w:rPr>
                <w:rFonts w:ascii="Arial" w:cs="Arial" w:eastAsia="Arial" w:hAnsi="Arial"/>
                <w:sz w:val="18"/>
                <w:szCs w:val="18"/>
                <w:color w:val="auto"/>
                <w:w w:val="95"/>
              </w:rPr>
              <w:t>(300)</w:t>
            </w:r>
          </w:p>
        </w:tc>
        <w:tc>
          <w:tcPr>
            <w:tcW w:w="780" w:type="dxa"/>
            <w:vAlign w:val="bottom"/>
            <w:tcBorders>
              <w:right w:val="single" w:sz="8" w:color="auto"/>
            </w:tcBorders>
            <w:shd w:val="clear" w:color="auto" w:fill="E5E5E5"/>
          </w:tcPr>
          <w:p>
            <w:pPr>
              <w:jc w:val="right"/>
              <w:ind w:right="158"/>
              <w:spacing w:after="0"/>
              <w:rPr>
                <w:sz w:val="20"/>
                <w:szCs w:val="20"/>
                <w:color w:val="auto"/>
              </w:rPr>
            </w:pPr>
            <w:r>
              <w:rPr>
                <w:rFonts w:ascii="Arial" w:cs="Arial" w:eastAsia="Arial" w:hAnsi="Arial"/>
                <w:sz w:val="18"/>
                <w:szCs w:val="18"/>
                <w:color w:val="auto"/>
              </w:rPr>
              <w:t>(0.09)</w:t>
            </w:r>
          </w:p>
        </w:tc>
        <w:tc>
          <w:tcPr>
            <w:tcW w:w="7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NM</w:t>
            </w:r>
          </w:p>
        </w:tc>
        <w:tc>
          <w:tcPr>
            <w:tcW w:w="960" w:type="dxa"/>
            <w:vAlign w:val="bottom"/>
            <w:shd w:val="clear" w:color="auto" w:fill="E5E5E5"/>
          </w:tcPr>
          <w:p>
            <w:pPr>
              <w:jc w:val="right"/>
              <w:ind w:right="35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line="217" w:lineRule="exact"/>
              <w:rPr>
                <w:sz w:val="20"/>
                <w:szCs w:val="20"/>
                <w:color w:val="auto"/>
              </w:rPr>
            </w:pPr>
            <w:r>
              <w:rPr>
                <w:rFonts w:ascii="Arial" w:cs="Arial" w:eastAsia="Arial" w:hAnsi="Arial"/>
                <w:sz w:val="18"/>
                <w:szCs w:val="18"/>
                <w:color w:val="auto"/>
                <w:w w:val="97"/>
              </w:rPr>
              <w:t xml:space="preserve">Gain related to the dissolution of the Insight Midwest Partnership, net of tax </w:t>
            </w:r>
            <w:r>
              <w:rPr>
                <w:rFonts w:ascii="Arial" w:cs="Arial" w:eastAsia="Arial" w:hAnsi="Arial"/>
                <w:sz w:val="22"/>
                <w:szCs w:val="22"/>
                <w:color w:val="auto"/>
                <w:w w:val="97"/>
                <w:vertAlign w:val="superscript"/>
              </w:rPr>
              <w:t>(4)</w:t>
            </w:r>
          </w:p>
        </w:tc>
        <w:tc>
          <w:tcPr>
            <w:tcW w:w="340" w:type="dxa"/>
            <w:vAlign w:val="bottom"/>
          </w:tcPr>
          <w:p>
            <w:pPr>
              <w:spacing w:after="0"/>
              <w:rPr>
                <w:sz w:val="18"/>
                <w:szCs w:val="18"/>
                <w:color w:val="auto"/>
              </w:rPr>
            </w:pPr>
          </w:p>
        </w:tc>
        <w:tc>
          <w:tcPr>
            <w:tcW w:w="600" w:type="dxa"/>
            <w:vAlign w:val="bottom"/>
          </w:tcPr>
          <w:p>
            <w:pPr>
              <w:jc w:val="right"/>
              <w:ind w:right="100"/>
              <w:spacing w:after="0"/>
              <w:rPr>
                <w:sz w:val="20"/>
                <w:szCs w:val="20"/>
                <w:color w:val="auto"/>
              </w:rPr>
            </w:pPr>
            <w:r>
              <w:rPr>
                <w:rFonts w:ascii="Arial" w:cs="Arial" w:eastAsia="Arial" w:hAnsi="Arial"/>
                <w:sz w:val="18"/>
                <w:szCs w:val="18"/>
                <w:b w:val="1"/>
                <w:bCs w:val="1"/>
                <w:color w:val="auto"/>
                <w:w w:val="95"/>
              </w:rPr>
              <w:t>(144)</w:t>
            </w:r>
          </w:p>
        </w:tc>
        <w:tc>
          <w:tcPr>
            <w:tcW w:w="640" w:type="dxa"/>
            <w:vAlign w:val="bottom"/>
          </w:tcPr>
          <w:p>
            <w:pPr>
              <w:jc w:val="right"/>
              <w:ind w:right="22"/>
              <w:spacing w:after="0"/>
              <w:rPr>
                <w:sz w:val="20"/>
                <w:szCs w:val="20"/>
                <w:color w:val="auto"/>
              </w:rPr>
            </w:pPr>
            <w:r>
              <w:rPr>
                <w:rFonts w:ascii="Arial" w:cs="Arial" w:eastAsia="Arial" w:hAnsi="Arial"/>
                <w:sz w:val="18"/>
                <w:szCs w:val="18"/>
                <w:b w:val="1"/>
                <w:bCs w:val="1"/>
                <w:color w:val="auto"/>
              </w:rPr>
              <w:t>(0.05)</w:t>
            </w:r>
          </w:p>
        </w:tc>
        <w:tc>
          <w:tcPr>
            <w:tcW w:w="24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298"/>
              <w:spacing w:after="0"/>
              <w:rPr>
                <w:sz w:val="20"/>
                <w:szCs w:val="20"/>
                <w:color w:val="auto"/>
              </w:rPr>
            </w:pPr>
            <w:r>
              <w:rPr>
                <w:rFonts w:ascii="Arial" w:cs="Arial" w:eastAsia="Arial" w:hAnsi="Arial"/>
                <w:sz w:val="18"/>
                <w:szCs w:val="18"/>
                <w:color w:val="auto"/>
              </w:rPr>
              <w:t>—</w:t>
            </w:r>
          </w:p>
        </w:tc>
        <w:tc>
          <w:tcPr>
            <w:tcW w:w="720" w:type="dxa"/>
            <w:vAlign w:val="bottom"/>
          </w:tcPr>
          <w:p>
            <w:pPr>
              <w:ind w:left="200"/>
              <w:spacing w:after="0"/>
              <w:rPr>
                <w:sz w:val="20"/>
                <w:szCs w:val="20"/>
                <w:color w:val="auto"/>
              </w:rPr>
            </w:pPr>
            <w:r>
              <w:rPr>
                <w:rFonts w:ascii="Arial" w:cs="Arial" w:eastAsia="Arial" w:hAnsi="Arial"/>
                <w:sz w:val="18"/>
                <w:szCs w:val="18"/>
                <w:color w:val="auto"/>
              </w:rPr>
              <w:t>NM</w:t>
            </w:r>
          </w:p>
        </w:tc>
        <w:tc>
          <w:tcPr>
            <w:tcW w:w="960" w:type="dxa"/>
            <w:vAlign w:val="bottom"/>
          </w:tcPr>
          <w:p>
            <w:pPr>
              <w:jc w:val="right"/>
              <w:ind w:right="35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520" w:type="dxa"/>
            <w:vAlign w:val="bottom"/>
            <w:tcBorders>
              <w:bottom w:val="single" w:sz="8" w:color="E5E5E5"/>
            </w:tcBorders>
            <w:shd w:val="clear" w:color="auto" w:fill="E5E5E5"/>
          </w:tcPr>
          <w:p>
            <w:pPr>
              <w:ind w:left="440"/>
              <w:spacing w:after="0" w:line="217" w:lineRule="exact"/>
              <w:rPr>
                <w:sz w:val="20"/>
                <w:szCs w:val="20"/>
                <w:color w:val="auto"/>
              </w:rPr>
            </w:pPr>
            <w:r>
              <w:rPr>
                <w:rFonts w:ascii="Arial" w:cs="Arial" w:eastAsia="Arial" w:hAnsi="Arial"/>
                <w:sz w:val="18"/>
                <w:szCs w:val="18"/>
                <w:color w:val="auto"/>
              </w:rPr>
              <w:t xml:space="preserve">Favorable income tax adjustments </w:t>
            </w:r>
            <w:r>
              <w:rPr>
                <w:rFonts w:ascii="Arial" w:cs="Arial" w:eastAsia="Arial" w:hAnsi="Arial"/>
                <w:sz w:val="22"/>
                <w:szCs w:val="22"/>
                <w:color w:val="auto"/>
                <w:vertAlign w:val="superscript"/>
              </w:rPr>
              <w:t>(2)</w:t>
            </w:r>
          </w:p>
        </w:tc>
        <w:tc>
          <w:tcPr>
            <w:tcW w:w="3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(80)</w:t>
            </w:r>
          </w:p>
        </w:tc>
        <w:tc>
          <w:tcPr>
            <w:tcW w:w="64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8"/>
                <w:szCs w:val="18"/>
                <w:b w:val="1"/>
                <w:bCs w:val="1"/>
                <w:color w:val="auto"/>
              </w:rPr>
              <w:t>(0.03)</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E5E5E5"/>
          </w:tcPr>
          <w:p>
            <w:pPr>
              <w:jc w:val="right"/>
              <w:ind w:right="298"/>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NM</w:t>
            </w:r>
          </w:p>
        </w:tc>
        <w:tc>
          <w:tcPr>
            <w:tcW w:w="960" w:type="dxa"/>
            <w:vAlign w:val="bottom"/>
            <w:tcBorders>
              <w:bottom w:val="single" w:sz="8" w:color="auto"/>
            </w:tcBorders>
            <w:shd w:val="clear" w:color="auto" w:fill="E5E5E5"/>
          </w:tcPr>
          <w:p>
            <w:pPr>
              <w:jc w:val="right"/>
              <w:ind w:right="35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460"/>
        </w:trPr>
        <w:tc>
          <w:tcPr>
            <w:tcW w:w="6520" w:type="dxa"/>
            <w:vAlign w:val="bottom"/>
          </w:tcPr>
          <w:p>
            <w:pPr>
              <w:spacing w:after="0"/>
              <w:rPr>
                <w:sz w:val="20"/>
                <w:szCs w:val="20"/>
                <w:color w:val="auto"/>
              </w:rPr>
            </w:pPr>
            <w:r>
              <w:rPr>
                <w:rFonts w:ascii="Arial" w:cs="Arial" w:eastAsia="Arial" w:hAnsi="Arial"/>
                <w:sz w:val="18"/>
                <w:szCs w:val="18"/>
                <w:color w:val="auto"/>
              </w:rPr>
              <w:t>Adjusted Net Income</w:t>
            </w:r>
          </w:p>
        </w:tc>
        <w:tc>
          <w:tcPr>
            <w:tcW w:w="9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$ 1,911</w:t>
            </w:r>
          </w:p>
        </w:tc>
        <w:tc>
          <w:tcPr>
            <w:tcW w:w="64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b w:val="1"/>
                <w:bCs w:val="1"/>
                <w:color w:val="auto"/>
                <w:w w:val="91"/>
              </w:rPr>
              <w:t>$ 0.64</w:t>
            </w:r>
          </w:p>
        </w:tc>
        <w:tc>
          <w:tcPr>
            <w:tcW w:w="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$1,685</w:t>
            </w:r>
          </w:p>
        </w:tc>
        <w:tc>
          <w:tcPr>
            <w:tcW w:w="78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8"/>
                <w:szCs w:val="18"/>
                <w:color w:val="auto"/>
                <w:w w:val="91"/>
              </w:rPr>
              <w:t>$ 0.54</w:t>
            </w:r>
          </w:p>
        </w:tc>
        <w:tc>
          <w:tcPr>
            <w:tcW w:w="7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13%</w:t>
            </w:r>
          </w:p>
        </w:tc>
        <w:tc>
          <w:tcPr>
            <w:tcW w:w="960" w:type="dxa"/>
            <w:vAlign w:val="bottom"/>
            <w:tcBorders>
              <w:bottom w:val="single" w:sz="8" w:color="auto"/>
            </w:tcBorders>
          </w:tcPr>
          <w:p>
            <w:pPr>
              <w:jc w:val="right"/>
              <w:ind w:right="198"/>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diluted average number of common shares for the respective periods as presented in Table 1.</w:t>
      </w:r>
    </w:p>
    <w:p>
      <w:pPr>
        <w:spacing w:after="0" w:line="130" w:lineRule="exact"/>
        <w:rPr>
          <w:rFonts w:ascii="Arial" w:cs="Arial" w:eastAsia="Arial" w:hAnsi="Arial"/>
          <w:sz w:val="18"/>
          <w:szCs w:val="18"/>
          <w:color w:val="auto"/>
        </w:rPr>
      </w:pPr>
    </w:p>
    <w:p>
      <w:pPr>
        <w:ind w:left="440" w:right="440" w:hanging="432"/>
        <w:spacing w:after="0" w:line="268" w:lineRule="auto"/>
        <w:tabs>
          <w:tab w:leader="none" w:pos="4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2008 Net Income includes favorable income tax adjustments related to the settlement of an uncertain tax position of an acquired entity and the effect, principally on deferred taxes, of certain state tax law changes.</w:t>
      </w:r>
    </w:p>
    <w:p>
      <w:pPr>
        <w:spacing w:after="0" w:line="77" w:lineRule="exact"/>
        <w:rPr>
          <w:rFonts w:ascii="Arial" w:cs="Arial" w:eastAsia="Arial" w:hAnsi="Arial"/>
          <w:sz w:val="18"/>
          <w:szCs w:val="18"/>
          <w:color w:val="auto"/>
        </w:rPr>
      </w:pPr>
    </w:p>
    <w:p>
      <w:pPr>
        <w:ind w:left="380" w:hanging="372"/>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2007 Net Income includes a gain, net of tax, related to the dissolution of the Texas/Kansas City Cable Partnership.</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2008 Net Income includes a gain, net of tax, related to the dissolution of the Insight Midwest Partnership.</w:t>
      </w:r>
    </w:p>
    <w:p>
      <w:pPr>
        <w:spacing w:after="0" w:line="228" w:lineRule="exact"/>
        <w:rPr>
          <w:sz w:val="20"/>
          <w:szCs w:val="20"/>
          <w:color w:val="auto"/>
        </w:rPr>
      </w:pPr>
    </w:p>
    <w:p>
      <w:pPr>
        <w:jc w:val="center"/>
        <w:ind w:left="260" w:right="120"/>
        <w:spacing w:after="0" w:line="261" w:lineRule="auto"/>
        <w:rPr>
          <w:sz w:val="20"/>
          <w:szCs w:val="20"/>
          <w:color w:val="auto"/>
        </w:rPr>
      </w:pPr>
      <w:r>
        <w:rPr>
          <w:rFonts w:ascii="Arial" w:cs="Arial" w:eastAsia="Arial" w:hAnsi="Arial"/>
          <w:sz w:val="22"/>
          <w:szCs w:val="22"/>
          <w:b w:val="1"/>
          <w:bCs w:val="1"/>
          <w:u w:val="single" w:color="auto"/>
          <w:color w:val="auto"/>
        </w:rPr>
        <w:t xml:space="preserve">Reconciliation of Pro Forma Cable Operating Cash Flow excluding Hurricane Impact and Severance Charges </w:t>
      </w:r>
      <w:r>
        <w:rPr>
          <w:rFonts w:ascii="Arial" w:cs="Arial" w:eastAsia="Arial" w:hAnsi="Arial"/>
          <w:sz w:val="22"/>
          <w:szCs w:val="22"/>
          <w:b w:val="1"/>
          <w:bCs w:val="1"/>
          <w:color w:val="auto"/>
        </w:rPr>
        <w:t>(Unaudited)</w:t>
      </w:r>
    </w:p>
    <w:p>
      <w:pPr>
        <w:sectPr>
          <w:pgSz w:w="11900" w:h="16838" w:orient="portrait"/>
          <w:cols w:equalWidth="0" w:num="1">
            <w:col w:w="11420"/>
          </w:cols>
          <w:pgMar w:left="240" w:top="1052" w:right="2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Cable Operating Cash Flow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Hurricane Impact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Severance Charges</w:t>
      </w:r>
    </w:p>
    <w:p>
      <w:pPr>
        <w:spacing w:after="0" w:line="16" w:lineRule="exact"/>
        <w:rPr>
          <w:sz w:val="20"/>
          <w:szCs w:val="20"/>
          <w:color w:val="auto"/>
        </w:rPr>
      </w:pPr>
    </w:p>
    <w:p>
      <w:pPr>
        <w:ind w:left="220" w:right="500" w:hanging="215"/>
        <w:spacing w:after="0" w:line="268" w:lineRule="auto"/>
        <w:rPr>
          <w:sz w:val="20"/>
          <w:szCs w:val="20"/>
          <w:color w:val="auto"/>
        </w:rPr>
      </w:pPr>
      <w:r>
        <w:rPr>
          <w:rFonts w:ascii="Arial" w:cs="Arial" w:eastAsia="Arial" w:hAnsi="Arial"/>
          <w:sz w:val="18"/>
          <w:szCs w:val="18"/>
          <w:color w:val="auto"/>
        </w:rPr>
        <w:t>Cable Operating Cash Flow excluding Hurricane Impact and Severance Charges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 xml:space="preserve"> Minor differences may exist due to rounding.</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16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right="1660"/>
        <w:spacing w:after="0"/>
        <w:rPr>
          <w:sz w:val="20"/>
          <w:szCs w:val="20"/>
          <w:color w:val="auto"/>
        </w:rPr>
      </w:pPr>
      <w:r>
        <w:rPr>
          <w:rFonts w:ascii="Arial" w:cs="Arial" w:eastAsia="Arial" w:hAnsi="Arial"/>
          <w:sz w:val="14"/>
          <w:szCs w:val="14"/>
          <w:b w:val="1"/>
          <w:bCs w:val="1"/>
          <w:color w:val="auto"/>
        </w:rPr>
        <w:t>September 30,</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2008</w:t>
            </w:r>
          </w:p>
        </w:tc>
        <w:tc>
          <w:tcPr>
            <w:tcW w:w="114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b w:val="1"/>
                <w:bCs w:val="1"/>
                <w:color w:val="auto"/>
                <w:w w:val="83"/>
              </w:rPr>
              <w:t>2007</w:t>
            </w:r>
          </w:p>
        </w:tc>
        <w:tc>
          <w:tcPr>
            <w:tcW w:w="14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Growth %</w:t>
            </w: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Margin %</w:t>
            </w:r>
          </w:p>
        </w:tc>
      </w:tr>
      <w:tr>
        <w:trPr>
          <w:trHeight w:val="195"/>
        </w:trPr>
        <w:tc>
          <w:tcPr>
            <w:tcW w:w="800" w:type="dxa"/>
            <w:vAlign w:val="bottom"/>
          </w:tcPr>
          <w:p>
            <w:pPr>
              <w:jc w:val="right"/>
              <w:ind w:right="16"/>
              <w:spacing w:after="0" w:line="195" w:lineRule="exact"/>
              <w:rPr>
                <w:sz w:val="20"/>
                <w:szCs w:val="20"/>
                <w:color w:val="auto"/>
              </w:rPr>
            </w:pPr>
            <w:r>
              <w:rPr>
                <w:rFonts w:ascii="Arial" w:cs="Arial" w:eastAsia="Arial" w:hAnsi="Arial"/>
                <w:sz w:val="18"/>
                <w:szCs w:val="18"/>
                <w:b w:val="1"/>
                <w:bCs w:val="1"/>
                <w:color w:val="auto"/>
              </w:rPr>
              <w:t>$3,251</w:t>
            </w:r>
          </w:p>
        </w:tc>
        <w:tc>
          <w:tcPr>
            <w:tcW w:w="1140" w:type="dxa"/>
            <w:vAlign w:val="bottom"/>
          </w:tcPr>
          <w:p>
            <w:pPr>
              <w:jc w:val="center"/>
              <w:ind w:right="356"/>
              <w:spacing w:after="0" w:line="195" w:lineRule="exact"/>
              <w:rPr>
                <w:sz w:val="20"/>
                <w:szCs w:val="20"/>
                <w:color w:val="auto"/>
              </w:rPr>
            </w:pPr>
            <w:r>
              <w:rPr>
                <w:rFonts w:ascii="Arial" w:cs="Arial" w:eastAsia="Arial" w:hAnsi="Arial"/>
                <w:sz w:val="18"/>
                <w:szCs w:val="18"/>
                <w:color w:val="auto"/>
                <w:w w:val="90"/>
              </w:rPr>
              <w:t>$3,050</w:t>
            </w:r>
          </w:p>
        </w:tc>
        <w:tc>
          <w:tcPr>
            <w:tcW w:w="1420" w:type="dxa"/>
            <w:vAlign w:val="bottom"/>
          </w:tcPr>
          <w:p>
            <w:pPr>
              <w:jc w:val="right"/>
              <w:ind w:right="16"/>
              <w:spacing w:after="0" w:line="195" w:lineRule="exact"/>
              <w:rPr>
                <w:sz w:val="20"/>
                <w:szCs w:val="20"/>
                <w:color w:val="auto"/>
              </w:rPr>
            </w:pPr>
            <w:r>
              <w:rPr>
                <w:rFonts w:ascii="Arial" w:cs="Arial" w:eastAsia="Arial" w:hAnsi="Arial"/>
                <w:sz w:val="18"/>
                <w:szCs w:val="18"/>
                <w:color w:val="auto"/>
              </w:rPr>
              <w:t>6.6%</w:t>
            </w:r>
          </w:p>
        </w:tc>
        <w:tc>
          <w:tcPr>
            <w:tcW w:w="860" w:type="dxa"/>
            <w:vAlign w:val="bottom"/>
          </w:tcPr>
          <w:p>
            <w:pPr>
              <w:ind w:left="400"/>
              <w:spacing w:after="0" w:line="195" w:lineRule="exact"/>
              <w:rPr>
                <w:sz w:val="20"/>
                <w:szCs w:val="20"/>
                <w:color w:val="auto"/>
              </w:rPr>
            </w:pPr>
            <w:r>
              <w:rPr>
                <w:rFonts w:ascii="Arial" w:cs="Arial" w:eastAsia="Arial" w:hAnsi="Arial"/>
                <w:sz w:val="18"/>
                <w:szCs w:val="18"/>
                <w:color w:val="auto"/>
                <w:w w:val="86"/>
              </w:rPr>
              <w:t>40.0%</w:t>
            </w:r>
          </w:p>
        </w:tc>
      </w:tr>
      <w:tr>
        <w:trPr>
          <w:trHeight w:val="216"/>
        </w:trPr>
        <w:tc>
          <w:tcPr>
            <w:tcW w:w="800" w:type="dxa"/>
            <w:vAlign w:val="bottom"/>
          </w:tcPr>
          <w:p>
            <w:pPr>
              <w:jc w:val="right"/>
              <w:ind w:right="16"/>
              <w:spacing w:after="0"/>
              <w:rPr>
                <w:sz w:val="20"/>
                <w:szCs w:val="20"/>
                <w:color w:val="auto"/>
              </w:rPr>
            </w:pPr>
            <w:r>
              <w:rPr>
                <w:rFonts w:ascii="Arial" w:cs="Arial" w:eastAsia="Arial" w:hAnsi="Arial"/>
                <w:sz w:val="18"/>
                <w:szCs w:val="18"/>
                <w:b w:val="1"/>
                <w:bCs w:val="1"/>
                <w:color w:val="auto"/>
              </w:rPr>
              <w:t>20</w:t>
            </w:r>
          </w:p>
        </w:tc>
        <w:tc>
          <w:tcPr>
            <w:tcW w:w="1140" w:type="dxa"/>
            <w:vAlign w:val="bottom"/>
          </w:tcPr>
          <w:p>
            <w:pPr>
              <w:ind w:left="3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860" w:type="dxa"/>
            <w:vAlign w:val="bottom"/>
          </w:tcPr>
          <w:p>
            <w:pPr>
              <w:ind w:left="420"/>
              <w:spacing w:after="0"/>
              <w:rPr>
                <w:sz w:val="20"/>
                <w:szCs w:val="20"/>
                <w:color w:val="auto"/>
              </w:rPr>
            </w:pPr>
            <w:r>
              <w:rPr>
                <w:rFonts w:ascii="Arial" w:cs="Arial" w:eastAsia="Arial" w:hAnsi="Arial"/>
                <w:sz w:val="18"/>
                <w:szCs w:val="18"/>
                <w:color w:val="auto"/>
              </w:rPr>
              <w:t>NM</w:t>
            </w:r>
          </w:p>
        </w:tc>
      </w:tr>
      <w:tr>
        <w:trPr>
          <w:trHeight w:val="229"/>
        </w:trPr>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39</w:t>
            </w:r>
          </w:p>
        </w:tc>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NM</w:t>
            </w:r>
          </w:p>
        </w:tc>
        <w:tc>
          <w:tcPr>
            <w:tcW w:w="8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NM</w:t>
            </w:r>
          </w:p>
        </w:tc>
      </w:tr>
      <w:tr>
        <w:trPr>
          <w:trHeight w:val="407"/>
        </w:trPr>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$3,310</w:t>
            </w:r>
          </w:p>
        </w:tc>
        <w:tc>
          <w:tcPr>
            <w:tcW w:w="1140" w:type="dxa"/>
            <w:vAlign w:val="bottom"/>
            <w:tcBorders>
              <w:bottom w:val="single" w:sz="8" w:color="auto"/>
            </w:tcBorders>
          </w:tcPr>
          <w:p>
            <w:pPr>
              <w:jc w:val="center"/>
              <w:ind w:right="356"/>
              <w:spacing w:after="0"/>
              <w:rPr>
                <w:sz w:val="20"/>
                <w:szCs w:val="20"/>
                <w:color w:val="auto"/>
              </w:rPr>
            </w:pPr>
            <w:r>
              <w:rPr>
                <w:rFonts w:ascii="Arial" w:cs="Arial" w:eastAsia="Arial" w:hAnsi="Arial"/>
                <w:sz w:val="18"/>
                <w:szCs w:val="18"/>
                <w:color w:val="auto"/>
                <w:w w:val="90"/>
              </w:rPr>
              <w:t>$3,050</w:t>
            </w:r>
          </w:p>
        </w:tc>
        <w:tc>
          <w:tcPr>
            <w:tcW w:w="14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8.5%</w:t>
            </w:r>
          </w:p>
        </w:tc>
        <w:tc>
          <w:tcPr>
            <w:tcW w:w="8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86"/>
              </w:rPr>
              <w:t>40.7%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-694055</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-419735</wp:posOffset>
            </wp:positionV>
            <wp:extent cx="72466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13</w:t>
      </w:r>
    </w:p>
    <w:sectPr>
      <w:pgSz w:w="11900" w:h="16838" w:orient="portrait"/>
      <w:cols w:equalWidth="0" w:num="2">
        <w:col w:w="4780" w:space="720"/>
        <w:col w:w="5920"/>
      </w:cols>
      <w:pgMar w:left="240" w:top="105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1)"/>
      <w:numFmt w:val="decimal"/>
      <w:start w:val="800"/>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2019-12-15T05:13:30Z</dcterms:created>
  <dcterms:modified xsi:type="dcterms:W3CDTF">2019-12-15T05:13:30Z</dcterms:modified>
</cp:coreProperties>
</file>