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30, 2020</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40"/>
          </w:cols>
          <w:pgMar w:left="240" w:top="881" w:right="5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860"/>
        <w:spacing w:after="0" w:line="277" w:lineRule="auto"/>
        <w:rPr>
          <w:sz w:val="20"/>
          <w:szCs w:val="20"/>
          <w:color w:val="auto"/>
        </w:rPr>
      </w:pPr>
      <w:r>
        <w:rPr>
          <w:rFonts w:ascii="Arial" w:cs="Arial" w:eastAsia="Arial" w:hAnsi="Arial"/>
          <w:sz w:val="18"/>
          <w:szCs w:val="18"/>
          <w:color w:val="auto"/>
        </w:rPr>
        <w:t>Notice of disclosure filed in the Annual Report on Form 10-K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580"/>
          </w:cols>
          <w:pgMar w:left="240" w:top="881" w:right="5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2019, which was filed with the Securities and Exchange Commission on January 30, 2020.</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140"/>
      </w:cols>
      <w:pgMar w:left="240" w:top="88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2020-01-31T13:30:40Z</dcterms:created>
  <dcterms:modified xsi:type="dcterms:W3CDTF">2020-01-31T13:30:40Z</dcterms:modified>
</cp:coreProperties>
</file>