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080"/>
        <w:spacing w:after="0"/>
        <w:rPr>
          <w:sz w:val="20"/>
          <w:szCs w:val="20"/>
          <w:color w:val="auto"/>
        </w:rPr>
      </w:pPr>
      <w:r>
        <w:rPr>
          <w:rFonts w:ascii="Arial" w:cs="Arial" w:eastAsia="Arial" w:hAnsi="Arial"/>
          <w:sz w:val="14"/>
          <w:szCs w:val="14"/>
          <w:color w:val="auto"/>
        </w:rPr>
        <w:t>Comcast Corporation</w:t>
      </w:r>
    </w:p>
    <w:p>
      <w:pPr>
        <w:spacing w:after="0" w:line="1" w:lineRule="exact"/>
        <w:rPr>
          <w:sz w:val="24"/>
          <w:szCs w:val="24"/>
          <w:color w:val="auto"/>
        </w:rPr>
      </w:pPr>
    </w:p>
    <w:p>
      <w:pPr>
        <w:ind w:left="8080"/>
        <w:spacing w:after="0"/>
        <w:rPr>
          <w:sz w:val="20"/>
          <w:szCs w:val="20"/>
          <w:color w:val="auto"/>
        </w:rPr>
      </w:pPr>
      <w:r>
        <w:rPr>
          <w:rFonts w:ascii="Arial" w:cs="Arial" w:eastAsia="Arial" w:hAnsi="Arial"/>
          <w:sz w:val="14"/>
          <w:szCs w:val="14"/>
          <w:color w:val="auto"/>
        </w:rPr>
        <w:t>One Comcast Center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1243330" cy="3517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3330" cy="351790"/>
                    </a:xfrm>
                    <a:prstGeom prst="rect">
                      <a:avLst/>
                    </a:prstGeom>
                    <a:noFill/>
                  </pic:spPr>
                </pic:pic>
              </a:graphicData>
            </a:graphic>
          </wp:anchor>
        </w:drawing>
      </w:r>
    </w:p>
    <w:p>
      <w:pPr>
        <w:ind w:left="8080"/>
        <w:spacing w:after="0"/>
        <w:rPr>
          <w:sz w:val="20"/>
          <w:szCs w:val="20"/>
          <w:color w:val="auto"/>
        </w:rPr>
      </w:pPr>
      <w:r>
        <w:rPr>
          <w:rFonts w:ascii="Arial" w:cs="Arial" w:eastAsia="Arial" w:hAnsi="Arial"/>
          <w:sz w:val="14"/>
          <w:szCs w:val="14"/>
          <w:color w:val="auto"/>
        </w:rPr>
        <w:t>Philadelphia, PA 19103-2838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January 6, 2011</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Mr. Larry Spirgel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Re: Comcast Corporation</w:t>
      </w:r>
    </w:p>
    <w:p>
      <w:pPr>
        <w:spacing w:after="0" w:line="23" w:lineRule="exact"/>
        <w:rPr>
          <w:sz w:val="24"/>
          <w:szCs w:val="24"/>
          <w:color w:val="auto"/>
        </w:rPr>
      </w:pPr>
    </w:p>
    <w:p>
      <w:pPr>
        <w:ind w:left="960"/>
        <w:spacing w:after="0"/>
        <w:rPr>
          <w:sz w:val="20"/>
          <w:szCs w:val="20"/>
          <w:color w:val="auto"/>
        </w:rPr>
      </w:pPr>
      <w:r>
        <w:rPr>
          <w:rFonts w:ascii="Arial" w:cs="Arial" w:eastAsia="Arial" w:hAnsi="Arial"/>
          <w:sz w:val="18"/>
          <w:szCs w:val="18"/>
          <w:color w:val="auto"/>
        </w:rPr>
        <w:t>Form 10-K for the year ended December 31, 2009</w:t>
      </w:r>
    </w:p>
    <w:p>
      <w:pPr>
        <w:spacing w:after="0" w:line="9" w:lineRule="exact"/>
        <w:rPr>
          <w:sz w:val="24"/>
          <w:szCs w:val="24"/>
          <w:color w:val="auto"/>
        </w:rPr>
      </w:pPr>
    </w:p>
    <w:p>
      <w:pPr>
        <w:ind w:left="960"/>
        <w:spacing w:after="0"/>
        <w:rPr>
          <w:sz w:val="20"/>
          <w:szCs w:val="20"/>
          <w:color w:val="auto"/>
        </w:rPr>
      </w:pPr>
      <w:r>
        <w:rPr>
          <w:rFonts w:ascii="Arial" w:cs="Arial" w:eastAsia="Arial" w:hAnsi="Arial"/>
          <w:sz w:val="18"/>
          <w:szCs w:val="18"/>
          <w:color w:val="auto"/>
        </w:rPr>
        <w:t>Filed February 23, 2010</w:t>
      </w:r>
    </w:p>
    <w:p>
      <w:pPr>
        <w:spacing w:after="0" w:line="9" w:lineRule="exact"/>
        <w:rPr>
          <w:sz w:val="24"/>
          <w:szCs w:val="24"/>
          <w:color w:val="auto"/>
        </w:rPr>
      </w:pPr>
    </w:p>
    <w:p>
      <w:pPr>
        <w:ind w:left="960"/>
        <w:spacing w:after="0"/>
        <w:rPr>
          <w:sz w:val="20"/>
          <w:szCs w:val="20"/>
          <w:color w:val="auto"/>
        </w:rPr>
      </w:pPr>
      <w:r>
        <w:rPr>
          <w:rFonts w:ascii="Arial" w:cs="Arial" w:eastAsia="Arial" w:hAnsi="Arial"/>
          <w:sz w:val="18"/>
          <w:szCs w:val="18"/>
          <w:color w:val="auto"/>
        </w:rPr>
        <w:t>File No. 001-32871</w:t>
      </w:r>
    </w:p>
    <w:p>
      <w:pPr>
        <w:spacing w:after="0" w:line="9" w:lineRule="exact"/>
        <w:rPr>
          <w:sz w:val="24"/>
          <w:szCs w:val="24"/>
          <w:color w:val="auto"/>
        </w:rPr>
      </w:pPr>
    </w:p>
    <w:p>
      <w:pPr>
        <w:ind w:left="960"/>
        <w:spacing w:after="0"/>
        <w:rPr>
          <w:sz w:val="20"/>
          <w:szCs w:val="20"/>
          <w:color w:val="auto"/>
        </w:rPr>
      </w:pPr>
      <w:r>
        <w:rPr>
          <w:rFonts w:ascii="Arial" w:cs="Arial" w:eastAsia="Arial" w:hAnsi="Arial"/>
          <w:sz w:val="18"/>
          <w:szCs w:val="18"/>
          <w:color w:val="auto"/>
        </w:rPr>
        <w:t>Response to Staff Comment Letter Dated December 23, 2010</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252" w:lineRule="exact"/>
        <w:rPr>
          <w:sz w:val="24"/>
          <w:szCs w:val="24"/>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We are writing this letter to respond to the comment letter of the Staff (the “Staff”) of the Securities and Exchange Commission dated December 23, 2010. For your convenience, we have reproduced the Staff’s comment preceding our response below. Please let us know if you have any questions or if we can provide additional information or otherwise be of assistance in expediting the review process.</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year ended December 31, 2009</w:t>
      </w:r>
    </w:p>
    <w:p>
      <w:pPr>
        <w:spacing w:after="0" w:line="252" w:lineRule="exact"/>
        <w:rPr>
          <w:sz w:val="24"/>
          <w:szCs w:val="24"/>
          <w:color w:val="auto"/>
        </w:rPr>
      </w:pPr>
    </w:p>
    <w:p>
      <w:pPr>
        <w:ind w:left="340" w:right="240"/>
        <w:spacing w:after="0" w:line="264" w:lineRule="auto"/>
        <w:rPr>
          <w:sz w:val="20"/>
          <w:szCs w:val="20"/>
          <w:color w:val="auto"/>
        </w:rPr>
      </w:pPr>
      <w:r>
        <w:rPr>
          <w:rFonts w:ascii="Arial" w:cs="Arial" w:eastAsia="Arial" w:hAnsi="Arial"/>
          <w:sz w:val="18"/>
          <w:szCs w:val="18"/>
          <w:i w:val="1"/>
          <w:iCs w:val="1"/>
          <w:color w:val="auto"/>
        </w:rPr>
        <w:t>We note from your response to our letter dated November 10, 2010 that you determine the value of going concern by discrete calculation using the Greenfield method. In this regard, please tell us how the amount of the estimated fair value of your cable franchise rights, determined using the multi-period excess earnings method, differs from the value calculated using the Greenfield method.</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52" w:lineRule="exact"/>
        <w:rPr>
          <w:sz w:val="24"/>
          <w:szCs w:val="24"/>
          <w:color w:val="auto"/>
        </w:rPr>
      </w:pPr>
    </w:p>
    <w:p>
      <w:pPr>
        <w:ind w:right="540" w:firstLine="648"/>
        <w:spacing w:after="0" w:line="277" w:lineRule="auto"/>
        <w:rPr>
          <w:sz w:val="20"/>
          <w:szCs w:val="20"/>
          <w:color w:val="auto"/>
        </w:rPr>
      </w:pPr>
      <w:r>
        <w:rPr>
          <w:rFonts w:ascii="Arial" w:cs="Arial" w:eastAsia="Arial" w:hAnsi="Arial"/>
          <w:sz w:val="18"/>
          <w:szCs w:val="18"/>
          <w:color w:val="auto"/>
        </w:rPr>
        <w:t>Following are the comparisons of value determined using the different methods at our most recent annual impairment test date of July 1, 2010 (dollars in millions):</w:t>
      </w:r>
    </w:p>
    <w:p>
      <w:pPr>
        <w:spacing w:after="0" w:line="197"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p>
        </w:tc>
        <w:tc>
          <w:tcPr>
            <w:tcW w:w="5720" w:type="dxa"/>
            <w:vAlign w:val="bottom"/>
            <w:gridSpan w:val="2"/>
          </w:tcPr>
          <w:p>
            <w:pPr>
              <w:ind w:left="1440"/>
              <w:spacing w:after="0"/>
              <w:rPr>
                <w:sz w:val="20"/>
                <w:szCs w:val="20"/>
                <w:color w:val="auto"/>
              </w:rPr>
            </w:pPr>
            <w:r>
              <w:rPr>
                <w:rFonts w:ascii="Arial" w:cs="Arial" w:eastAsia="Arial" w:hAnsi="Arial"/>
                <w:sz w:val="18"/>
                <w:szCs w:val="18"/>
                <w:color w:val="auto"/>
              </w:rPr>
              <w:t>Estimated Fair Value of Cable Franchise Rights</w:t>
            </w: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0"/>
        </w:trPr>
        <w:tc>
          <w:tcPr>
            <w:tcW w:w="288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r>
      <w:tr>
        <w:trPr>
          <w:trHeight w:val="229"/>
        </w:trPr>
        <w:tc>
          <w:tcPr>
            <w:tcW w:w="2880" w:type="dxa"/>
            <w:vAlign w:val="bottom"/>
            <w:tcBorders>
              <w:left w:val="single" w:sz="8" w:color="auto"/>
              <w:right w:val="single" w:sz="8" w:color="auto"/>
            </w:tcBorders>
          </w:tcPr>
          <w:p>
            <w:pPr>
              <w:spacing w:after="0"/>
              <w:rPr>
                <w:sz w:val="19"/>
                <w:szCs w:val="19"/>
                <w:color w:val="auto"/>
              </w:rPr>
            </w:pP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Multi-Period Excess Earnings</w:t>
            </w:r>
          </w:p>
        </w:tc>
        <w:tc>
          <w:tcPr>
            <w:tcW w:w="2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Greenfield Method</w:t>
            </w:r>
          </w:p>
        </w:tc>
        <w:tc>
          <w:tcPr>
            <w:tcW w:w="940" w:type="dxa"/>
            <w:vAlign w:val="bottom"/>
          </w:tcPr>
          <w:p>
            <w:pPr>
              <w:spacing w:after="0"/>
              <w:rPr>
                <w:sz w:val="19"/>
                <w:szCs w:val="19"/>
                <w:color w:val="auto"/>
              </w:rPr>
            </w:pPr>
          </w:p>
        </w:tc>
        <w:tc>
          <w:tcPr>
            <w:tcW w:w="19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Difference</w:t>
            </w:r>
          </w:p>
        </w:tc>
      </w:tr>
      <w:tr>
        <w:trPr>
          <w:trHeight w:val="230"/>
        </w:trPr>
        <w:tc>
          <w:tcPr>
            <w:tcW w:w="2880" w:type="dxa"/>
            <w:vAlign w:val="bottom"/>
            <w:tcBorders>
              <w:left w:val="single" w:sz="8" w:color="auto"/>
              <w:right w:val="single" w:sz="8" w:color="auto"/>
            </w:tcBorders>
          </w:tcPr>
          <w:p>
            <w:pPr>
              <w:spacing w:after="0"/>
              <w:rPr>
                <w:sz w:val="20"/>
                <w:szCs w:val="20"/>
                <w:color w:val="auto"/>
              </w:rPr>
            </w:pP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Method</w:t>
            </w:r>
          </w:p>
        </w:tc>
        <w:tc>
          <w:tcPr>
            <w:tcW w:w="2880" w:type="dxa"/>
            <w:vAlign w:val="bottom"/>
            <w:tcBorders>
              <w:righ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r>
      <w:tr>
        <w:trPr>
          <w:trHeight w:val="51"/>
        </w:trPr>
        <w:tc>
          <w:tcPr>
            <w:tcW w:w="2880" w:type="dxa"/>
            <w:vAlign w:val="bottom"/>
            <w:tcBorders>
              <w:left w:val="single" w:sz="8" w:color="auto"/>
              <w:bottom w:val="single" w:sz="8" w:color="auto"/>
              <w:right w:val="single" w:sz="8" w:color="auto"/>
            </w:tcBorders>
          </w:tcPr>
          <w:p>
            <w:pPr>
              <w:spacing w:after="0"/>
              <w:rPr>
                <w:sz w:val="4"/>
                <w:szCs w:val="4"/>
                <w:color w:val="auto"/>
              </w:rPr>
            </w:pPr>
          </w:p>
        </w:tc>
        <w:tc>
          <w:tcPr>
            <w:tcW w:w="284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r>
      <w:tr>
        <w:trPr>
          <w:trHeight w:val="227"/>
        </w:trPr>
        <w:tc>
          <w:tcPr>
            <w:tcW w:w="2880" w:type="dxa"/>
            <w:vAlign w:val="bottom"/>
            <w:tcBorders>
              <w:left w:val="single" w:sz="8" w:color="auto"/>
              <w:right w:val="single" w:sz="8" w:color="auto"/>
            </w:tcBorders>
          </w:tcPr>
          <w:p>
            <w:pPr>
              <w:spacing w:after="0"/>
              <w:rPr>
                <w:sz w:val="19"/>
                <w:szCs w:val="19"/>
                <w:color w:val="auto"/>
              </w:rPr>
            </w:pPr>
          </w:p>
        </w:tc>
        <w:tc>
          <w:tcPr>
            <w:tcW w:w="2840" w:type="dxa"/>
            <w:vAlign w:val="bottom"/>
            <w:tcBorders>
              <w:right w:val="single" w:sz="8" w:color="auto"/>
            </w:tcBorders>
          </w:tcPr>
          <w:p>
            <w:pPr>
              <w:spacing w:after="0"/>
              <w:rPr>
                <w:sz w:val="19"/>
                <w:szCs w:val="19"/>
                <w:color w:val="auto"/>
              </w:rPr>
            </w:pPr>
          </w:p>
        </w:tc>
        <w:tc>
          <w:tcPr>
            <w:tcW w:w="2880" w:type="dxa"/>
            <w:vAlign w:val="bottom"/>
            <w:tcBorders>
              <w:right w:val="single" w:sz="8" w:color="auto"/>
            </w:tcBorders>
          </w:tcPr>
          <w:p>
            <w:pPr>
              <w:spacing w:after="0"/>
              <w:rPr>
                <w:sz w:val="19"/>
                <w:szCs w:val="19"/>
                <w:color w:val="auto"/>
              </w:rPr>
            </w:pPr>
          </w:p>
        </w:tc>
        <w:tc>
          <w:tcPr>
            <w:tcW w:w="940" w:type="dxa"/>
            <w:vAlign w:val="bottom"/>
          </w:tcPr>
          <w:p>
            <w:pPr>
              <w:jc w:val="center"/>
              <w:ind w:left="330"/>
              <w:spacing w:after="0"/>
              <w:rPr>
                <w:sz w:val="20"/>
                <w:szCs w:val="20"/>
                <w:color w:val="auto"/>
              </w:rPr>
            </w:pPr>
            <w:r>
              <w:rPr>
                <w:rFonts w:ascii="Arial" w:cs="Arial" w:eastAsia="Arial" w:hAnsi="Arial"/>
                <w:sz w:val="18"/>
                <w:szCs w:val="18"/>
                <w:color w:val="auto"/>
                <w:w w:val="79"/>
              </w:rPr>
              <w:t>$</w:t>
            </w:r>
          </w:p>
        </w:tc>
        <w:tc>
          <w:tcPr>
            <w:tcW w:w="44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w:t>
            </w:r>
          </w:p>
        </w:tc>
      </w:tr>
      <w:tr>
        <w:trPr>
          <w:trHeight w:val="34"/>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3"/>
        </w:trPr>
        <w:tc>
          <w:tcPr>
            <w:tcW w:w="28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East Division</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$17,100</w:t>
            </w:r>
          </w:p>
        </w:tc>
        <w:tc>
          <w:tcPr>
            <w:tcW w:w="2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$18,000</w:t>
            </w:r>
          </w:p>
        </w:tc>
        <w:tc>
          <w:tcPr>
            <w:tcW w:w="940" w:type="dxa"/>
            <w:vAlign w:val="bottom"/>
          </w:tcPr>
          <w:p>
            <w:pPr>
              <w:jc w:val="center"/>
              <w:ind w:left="330"/>
              <w:spacing w:after="0"/>
              <w:rPr>
                <w:sz w:val="20"/>
                <w:szCs w:val="20"/>
                <w:color w:val="auto"/>
              </w:rPr>
            </w:pPr>
            <w:r>
              <w:rPr>
                <w:rFonts w:ascii="Arial" w:cs="Arial" w:eastAsia="Arial" w:hAnsi="Arial"/>
                <w:sz w:val="18"/>
                <w:szCs w:val="18"/>
                <w:color w:val="auto"/>
                <w:w w:val="95"/>
              </w:rPr>
              <w:t>(900)</w:t>
            </w:r>
          </w:p>
        </w:tc>
        <w:tc>
          <w:tcPr>
            <w:tcW w:w="44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r>
      <w:tr>
        <w:trPr>
          <w:trHeight w:val="34"/>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3"/>
        </w:trPr>
        <w:tc>
          <w:tcPr>
            <w:tcW w:w="28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North Central Division</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$18,700</w:t>
            </w:r>
          </w:p>
        </w:tc>
        <w:tc>
          <w:tcPr>
            <w:tcW w:w="2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$19,300</w:t>
            </w:r>
          </w:p>
        </w:tc>
        <w:tc>
          <w:tcPr>
            <w:tcW w:w="940" w:type="dxa"/>
            <w:vAlign w:val="bottom"/>
          </w:tcPr>
          <w:p>
            <w:pPr>
              <w:jc w:val="center"/>
              <w:ind w:left="330"/>
              <w:spacing w:after="0"/>
              <w:rPr>
                <w:sz w:val="20"/>
                <w:szCs w:val="20"/>
                <w:color w:val="auto"/>
              </w:rPr>
            </w:pPr>
            <w:r>
              <w:rPr>
                <w:rFonts w:ascii="Arial" w:cs="Arial" w:eastAsia="Arial" w:hAnsi="Arial"/>
                <w:sz w:val="18"/>
                <w:szCs w:val="18"/>
                <w:color w:val="auto"/>
                <w:w w:val="95"/>
              </w:rPr>
              <w:t>(600)</w:t>
            </w:r>
          </w:p>
        </w:tc>
        <w:tc>
          <w:tcPr>
            <w:tcW w:w="44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r>
      <w:tr>
        <w:trPr>
          <w:trHeight w:val="34"/>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3"/>
        </w:trPr>
        <w:tc>
          <w:tcPr>
            <w:tcW w:w="28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Southern Division</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$18,000</w:t>
            </w:r>
          </w:p>
        </w:tc>
        <w:tc>
          <w:tcPr>
            <w:tcW w:w="2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$17,800</w:t>
            </w:r>
          </w:p>
        </w:tc>
        <w:tc>
          <w:tcPr>
            <w:tcW w:w="940" w:type="dxa"/>
            <w:vAlign w:val="bottom"/>
          </w:tcPr>
          <w:p>
            <w:pPr>
              <w:jc w:val="center"/>
              <w:ind w:left="330"/>
              <w:spacing w:after="0"/>
              <w:rPr>
                <w:sz w:val="20"/>
                <w:szCs w:val="20"/>
                <w:color w:val="auto"/>
              </w:rPr>
            </w:pPr>
            <w:r>
              <w:rPr>
                <w:rFonts w:ascii="Arial" w:cs="Arial" w:eastAsia="Arial" w:hAnsi="Arial"/>
                <w:sz w:val="18"/>
                <w:szCs w:val="18"/>
                <w:color w:val="auto"/>
                <w:w w:val="93"/>
              </w:rPr>
              <w:t>200</w:t>
            </w:r>
          </w:p>
        </w:tc>
        <w:tc>
          <w:tcPr>
            <w:tcW w:w="44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r>
      <w:tr>
        <w:trPr>
          <w:trHeight w:val="34"/>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3"/>
        </w:trPr>
        <w:tc>
          <w:tcPr>
            <w:tcW w:w="28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West Division</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$19,200</w:t>
            </w:r>
          </w:p>
        </w:tc>
        <w:tc>
          <w:tcPr>
            <w:tcW w:w="2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$19,400</w:t>
            </w:r>
          </w:p>
        </w:tc>
        <w:tc>
          <w:tcPr>
            <w:tcW w:w="940" w:type="dxa"/>
            <w:vAlign w:val="bottom"/>
          </w:tcPr>
          <w:p>
            <w:pPr>
              <w:jc w:val="center"/>
              <w:ind w:left="330"/>
              <w:spacing w:after="0"/>
              <w:rPr>
                <w:sz w:val="20"/>
                <w:szCs w:val="20"/>
                <w:color w:val="auto"/>
              </w:rPr>
            </w:pPr>
            <w:r>
              <w:rPr>
                <w:rFonts w:ascii="Arial" w:cs="Arial" w:eastAsia="Arial" w:hAnsi="Arial"/>
                <w:sz w:val="18"/>
                <w:szCs w:val="18"/>
                <w:color w:val="auto"/>
                <w:w w:val="95"/>
              </w:rPr>
              <w:t>(200)</w:t>
            </w:r>
          </w:p>
        </w:tc>
        <w:tc>
          <w:tcPr>
            <w:tcW w:w="44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r>
      <w:tr>
        <w:trPr>
          <w:trHeight w:val="34"/>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659"/>
        </w:trPr>
        <w:tc>
          <w:tcPr>
            <w:tcW w:w="288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52" w:right="239" w:bottom="1440" w:gutter="0" w:footer="0" w:header="0"/>
        </w:sectPr>
      </w:pPr>
    </w:p>
    <w:bookmarkStart w:id="1" w:name="page2"/>
    <w:bookmarkEnd w:id="1"/>
    <w:p>
      <w:pPr>
        <w:spacing w:after="0"/>
        <w:tabs>
          <w:tab w:leader="none" w:pos="798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5"/>
          <w:szCs w:val="15"/>
          <w:color w:val="auto"/>
        </w:rPr>
        <w:t>January 6, 2011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As illustrated above, the multi-period excess earnings method yields comparable results to the results derived using the Greenfield method.</w:t>
      </w:r>
    </w:p>
    <w:p>
      <w:pPr>
        <w:spacing w:after="0" w:line="252" w:lineRule="exact"/>
        <w:rPr>
          <w:sz w:val="20"/>
          <w:szCs w:val="20"/>
          <w:color w:val="auto"/>
        </w:rPr>
      </w:pPr>
    </w:p>
    <w:p>
      <w:pPr>
        <w:ind w:left="5080"/>
        <w:spacing w:after="0"/>
        <w:tabs>
          <w:tab w:leader="none" w:pos="5640" w:val="left"/>
          <w:tab w:leader="none" w:pos="6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our response to the Staff’s comment, I acknowledge, on behalf of Comcast Corporation, that:</w:t>
      </w:r>
    </w:p>
    <w:p>
      <w:pPr>
        <w:spacing w:after="0" w:line="252" w:lineRule="exact"/>
        <w:rPr>
          <w:sz w:val="20"/>
          <w:szCs w:val="20"/>
          <w:color w:val="auto"/>
        </w:rPr>
      </w:pPr>
    </w:p>
    <w:p>
      <w:pPr>
        <w:ind w:left="660" w:hanging="13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Comcast Corporation is responsible for the adequacy and accuracy of the disclosure in its filings;</w:t>
      </w:r>
    </w:p>
    <w:p>
      <w:pPr>
        <w:spacing w:after="0" w:line="252" w:lineRule="exact"/>
        <w:rPr>
          <w:rFonts w:ascii="Arial" w:cs="Arial" w:eastAsia="Arial" w:hAnsi="Arial"/>
          <w:sz w:val="18"/>
          <w:szCs w:val="18"/>
          <w:color w:val="auto"/>
        </w:rPr>
      </w:pPr>
    </w:p>
    <w:p>
      <w:pPr>
        <w:ind w:left="660" w:right="20" w:hanging="139"/>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197"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Comcast Corporation may not assert staff comments as a defense in any proceeding initiated by the Commission or any person under the federal securities laws of the United States.</w:t>
      </w:r>
    </w:p>
    <w:p>
      <w:pPr>
        <w:spacing w:after="0" w:line="19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Please do not hesitate to call me at (215) 286-8514 with any questions you may have with respect to the foregoing.</w:t>
      </w:r>
    </w:p>
    <w:p>
      <w:pPr>
        <w:spacing w:after="0" w:line="25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231521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Lawrence J. Salva</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Accounting Officer and Controller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60" w:right="5820" w:hanging="452"/>
        <w:spacing w:after="0" w:line="256"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Brian L. Roberts, Chairman of the Board and Chief Executive Officer Arthur R. Block, Senior Vice President, General Counsel and Secretary Bruce K. Dallas, Davis Polk &amp; Wardwell LLP</w:t>
      </w:r>
    </w:p>
    <w:p>
      <w:pPr>
        <w:ind w:left="460"/>
        <w:spacing w:after="0"/>
        <w:rPr>
          <w:rFonts w:ascii="Arial" w:cs="Arial" w:eastAsia="Arial" w:hAnsi="Arial"/>
          <w:sz w:val="18"/>
          <w:szCs w:val="18"/>
          <w:color w:val="auto"/>
        </w:rPr>
      </w:pPr>
      <w:r>
        <w:rPr>
          <w:rFonts w:ascii="Arial" w:cs="Arial" w:eastAsia="Arial" w:hAnsi="Arial"/>
          <w:sz w:val="18"/>
          <w:szCs w:val="18"/>
          <w:color w:val="auto"/>
        </w:rPr>
        <w:t>Greg Seelagy,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2019-12-10T22:44:40Z</dcterms:created>
  <dcterms:modified xsi:type="dcterms:W3CDTF">2019-12-10T22:44:40Z</dcterms:modified>
</cp:coreProperties>
</file>