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8)*</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Comcast Corp.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20030N101</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20030N101</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7,372,938</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368,821,910</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19,818,441</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388,640,351</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8.51%</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Comcast Corp.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One Comcast Center</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Philadelphia, PA 19103-2838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20030N101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388,640,351</w:t>
      </w:r>
    </w:p>
    <w:p>
      <w:pPr>
        <w:spacing w:after="0" w:line="1"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0</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7,372,938</w:t>
      </w:r>
    </w:p>
    <w:p>
      <w:pPr>
        <w:spacing w:after="0" w:line="223" w:lineRule="exact"/>
        <w:rPr>
          <w:rFonts w:ascii="Times New Roman" w:cs="Times New Roman" w:eastAsia="Times New Roman" w:hAnsi="Times New Roman"/>
          <w:sz w:val="17"/>
          <w:szCs w:val="17"/>
          <w:color w:val="auto"/>
        </w:rPr>
      </w:pPr>
    </w:p>
    <w:p>
      <w:pPr>
        <w:ind w:left="220" w:right="596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368,821,910 (iv) shared power to dispose or to direct the disposition of: 19,818,441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beneficially owns 5% or greater of the outstanding shares of the security class being reported on this Schedule 13G</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2021-02-10T09:57:55Z</dcterms:created>
  <dcterms:modified xsi:type="dcterms:W3CDTF">2021-02-10T09:57:55Z</dcterms:modified>
</cp:coreProperties>
</file>