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0"/>
          <w:szCs w:val="20"/>
          <w:color w:val="auto"/>
        </w:rPr>
      </w:pPr>
    </w:p>
    <w:p>
      <w:pPr>
        <w:jc w:val="center"/>
        <w:ind w:left="2560" w:right="25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C</w:t>
      </w:r>
      <w:r>
        <w:rPr>
          <w:rFonts w:ascii="Arial" w:cs="Arial" w:eastAsia="Arial" w:hAnsi="Arial"/>
          <w:sz w:val="12"/>
          <w:szCs w:val="12"/>
          <w:color w:val="auto"/>
        </w:rPr>
        <w:t>OMMUNICATIONS</w:t>
      </w:r>
      <w:r>
        <w:rPr>
          <w:rFonts w:ascii="Arial" w:cs="Arial" w:eastAsia="Arial" w:hAnsi="Arial"/>
          <w:sz w:val="18"/>
          <w:szCs w:val="18"/>
          <w:color w:val="auto"/>
        </w:rPr>
        <w:t>, LLC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C</w:t>
      </w:r>
      <w:r>
        <w:rPr>
          <w:rFonts w:ascii="Arial" w:cs="Arial" w:eastAsia="Arial" w:hAnsi="Arial"/>
          <w:sz w:val="12"/>
          <w:szCs w:val="12"/>
          <w:color w:val="auto"/>
        </w:rPr>
        <w:t>OMMUNICATIONS</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w:t>
      </w:r>
      <w:r>
        <w:rPr>
          <w:rFonts w:ascii="Arial" w:cs="Arial" w:eastAsia="Arial" w:hAnsi="Arial"/>
          <w:sz w:val="12"/>
          <w:szCs w:val="12"/>
          <w:color w:val="auto"/>
        </w:rPr>
        <w:t>OF</w:t>
      </w:r>
      <w:r>
        <w:rPr>
          <w:rFonts w:ascii="Arial" w:cs="Arial" w:eastAsia="Arial" w:hAnsi="Arial"/>
          <w:sz w:val="18"/>
          <w:szCs w:val="18"/>
          <w:color w:val="auto"/>
        </w:rPr>
        <w:t xml:space="preserve"> D</w:t>
      </w:r>
      <w:r>
        <w:rPr>
          <w:rFonts w:ascii="Arial" w:cs="Arial" w:eastAsia="Arial" w:hAnsi="Arial"/>
          <w:sz w:val="12"/>
          <w:szCs w:val="12"/>
          <w:color w:val="auto"/>
        </w:rPr>
        <w:t>ELAWARE</w:t>
      </w:r>
      <w:r>
        <w:rPr>
          <w:rFonts w:ascii="Arial" w:cs="Arial" w:eastAsia="Arial" w:hAnsi="Arial"/>
          <w:sz w:val="18"/>
          <w:szCs w:val="18"/>
          <w:color w:val="auto"/>
        </w:rPr>
        <w:t>,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27" w:right="239" w:bottom="1440" w:gutter="0" w:footer="0" w:header="0"/>
        </w:sect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(State of Incorporation or Organization)</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1500 Market Street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0"/>
          <w:szCs w:val="20"/>
          <w:color w:val="auto"/>
        </w:rPr>
      </w:pPr>
    </w:p>
    <w:p>
      <w:pPr>
        <w:jc w:val="both"/>
        <w:ind w:right="300"/>
        <w:spacing w:after="0" w:line="227"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registration statement file number to which this form relates: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23-2175755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04-3592397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84-1260157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91-2047743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84-1372033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0"/>
          <w:szCs w:val="20"/>
          <w:color w:val="auto"/>
        </w:rPr>
      </w:pPr>
    </w:p>
    <w:p>
      <w:pPr>
        <w:spacing w:after="0" w:line="22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19102-2148</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(Zip Code)</w:t>
      </w:r>
    </w:p>
    <w:p>
      <w:pPr>
        <w:spacing w:after="0" w:line="211"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If this form relates to the registration of a class of securities pursuant to Section 12(g) of the Exchange Act and is effective pursuant to General Instruction A.(d), please check the following box. o</w:t>
      </w:r>
    </w:p>
    <w:p>
      <w:pPr>
        <w:spacing w:after="0" w:line="147" w:lineRule="exact"/>
        <w:rPr>
          <w:sz w:val="20"/>
          <w:szCs w:val="20"/>
          <w:color w:val="auto"/>
        </w:rPr>
      </w:pPr>
    </w:p>
    <w:p>
      <w:pPr>
        <w:jc w:val="center"/>
        <w:ind w:left="-2019"/>
        <w:spacing w:after="0"/>
        <w:rPr>
          <w:sz w:val="20"/>
          <w:szCs w:val="20"/>
          <w:color w:val="auto"/>
        </w:rPr>
      </w:pPr>
      <w:r>
        <w:rPr>
          <w:rFonts w:ascii="Arial" w:cs="Arial" w:eastAsia="Arial" w:hAnsi="Arial"/>
          <w:sz w:val="18"/>
          <w:szCs w:val="18"/>
          <w:u w:val="single" w:color="auto"/>
          <w:color w:val="auto"/>
        </w:rPr>
        <w:t>333-132750</w:t>
      </w:r>
    </w:p>
    <w:p>
      <w:pPr>
        <w:spacing w:after="0" w:line="23" w:lineRule="exact"/>
        <w:rPr>
          <w:sz w:val="20"/>
          <w:szCs w:val="20"/>
          <w:color w:val="auto"/>
        </w:rPr>
      </w:pPr>
    </w:p>
    <w:p>
      <w:pPr>
        <w:jc w:val="center"/>
        <w:ind w:left="-2019"/>
        <w:spacing w:after="0"/>
        <w:rPr>
          <w:sz w:val="20"/>
          <w:szCs w:val="20"/>
          <w:color w:val="auto"/>
        </w:rPr>
      </w:pPr>
      <w:r>
        <w:rPr>
          <w:rFonts w:ascii="Arial" w:cs="Arial" w:eastAsia="Arial" w:hAnsi="Arial"/>
          <w:sz w:val="18"/>
          <w:szCs w:val="18"/>
          <w:color w:val="auto"/>
        </w:rPr>
        <w:t>(If applicable)</w:t>
      </w:r>
    </w:p>
    <w:p>
      <w:pPr>
        <w:spacing w:after="0" w:line="617" w:lineRule="exact"/>
        <w:rPr>
          <w:sz w:val="20"/>
          <w:szCs w:val="20"/>
          <w:color w:val="auto"/>
        </w:rPr>
      </w:pPr>
    </w:p>
    <w:p>
      <w:pPr>
        <w:sectPr>
          <w:pgSz w:w="11900" w:h="16838" w:orient="portrait"/>
          <w:cols w:equalWidth="0" w:num="2">
            <w:col w:w="5440" w:space="520"/>
            <w:col w:w="5460"/>
          </w:cols>
          <w:pgMar w:left="240" w:top="927"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jc w:val="center"/>
              <w:ind w:left="430"/>
              <w:spacing w:after="0"/>
              <w:rPr>
                <w:sz w:val="20"/>
                <w:szCs w:val="20"/>
                <w:color w:val="auto"/>
              </w:rPr>
            </w:pPr>
            <w:r>
              <w:rPr>
                <w:rFonts w:ascii="Arial" w:cs="Arial" w:eastAsia="Arial" w:hAnsi="Arial"/>
                <w:sz w:val="18"/>
                <w:szCs w:val="18"/>
                <w:color w:val="auto"/>
                <w:w w:val="91"/>
              </w:rPr>
              <w:t>Title of Each Class</w:t>
            </w:r>
          </w:p>
        </w:tc>
        <w:tc>
          <w:tcPr>
            <w:tcW w:w="6560" w:type="dxa"/>
            <w:vAlign w:val="bottom"/>
            <w:gridSpan w:val="3"/>
          </w:tcPr>
          <w:p>
            <w:pPr>
              <w:jc w:val="center"/>
              <w:ind w:left="1050"/>
              <w:spacing w:after="0"/>
              <w:rPr>
                <w:sz w:val="20"/>
                <w:szCs w:val="20"/>
                <w:color w:val="auto"/>
              </w:rPr>
            </w:pPr>
            <w:r>
              <w:rPr>
                <w:rFonts w:ascii="Arial" w:cs="Arial" w:eastAsia="Arial" w:hAnsi="Arial"/>
                <w:sz w:val="18"/>
                <w:szCs w:val="18"/>
                <w:color w:val="auto"/>
                <w:w w:val="90"/>
              </w:rPr>
              <w:t>Name of Each Exchange on Which</w:t>
            </w:r>
          </w:p>
        </w:tc>
      </w:tr>
      <w:tr>
        <w:trPr>
          <w:trHeight w:val="190"/>
        </w:trPr>
        <w:tc>
          <w:tcPr>
            <w:tcW w:w="2020" w:type="dxa"/>
            <w:vAlign w:val="bottom"/>
          </w:tcPr>
          <w:p>
            <w:pPr>
              <w:spacing w:after="0"/>
              <w:rPr>
                <w:sz w:val="16"/>
                <w:szCs w:val="16"/>
                <w:color w:val="auto"/>
              </w:rPr>
            </w:pPr>
          </w:p>
        </w:tc>
        <w:tc>
          <w:tcPr>
            <w:tcW w:w="2840" w:type="dxa"/>
            <w:vAlign w:val="bottom"/>
            <w:gridSpan w:val="2"/>
          </w:tcPr>
          <w:p>
            <w:pPr>
              <w:jc w:val="center"/>
              <w:ind w:right="1460"/>
              <w:spacing w:after="0" w:line="190" w:lineRule="exact"/>
              <w:rPr>
                <w:sz w:val="20"/>
                <w:szCs w:val="20"/>
                <w:color w:val="auto"/>
              </w:rPr>
            </w:pPr>
            <w:r>
              <w:rPr>
                <w:rFonts w:ascii="Arial" w:cs="Arial" w:eastAsia="Arial" w:hAnsi="Arial"/>
                <w:sz w:val="18"/>
                <w:szCs w:val="18"/>
                <w:color w:val="auto"/>
                <w:w w:val="88"/>
              </w:rPr>
              <w:t>to be so Registered</w:t>
            </w:r>
          </w:p>
        </w:tc>
        <w:tc>
          <w:tcPr>
            <w:tcW w:w="6560" w:type="dxa"/>
            <w:vAlign w:val="bottom"/>
            <w:gridSpan w:val="3"/>
          </w:tcPr>
          <w:p>
            <w:pPr>
              <w:jc w:val="center"/>
              <w:ind w:left="1050"/>
              <w:spacing w:after="0" w:line="190" w:lineRule="exact"/>
              <w:rPr>
                <w:sz w:val="20"/>
                <w:szCs w:val="20"/>
                <w:color w:val="auto"/>
              </w:rPr>
            </w:pPr>
            <w:r>
              <w:rPr>
                <w:rFonts w:ascii="Arial" w:cs="Arial" w:eastAsia="Arial" w:hAnsi="Arial"/>
                <w:sz w:val="18"/>
                <w:szCs w:val="18"/>
                <w:color w:val="auto"/>
                <w:w w:val="88"/>
              </w:rPr>
              <w:t>Each Class is to be Registered</w:t>
            </w:r>
          </w:p>
        </w:tc>
      </w:tr>
      <w:tr>
        <w:trPr>
          <w:trHeight w:val="20"/>
        </w:trPr>
        <w:tc>
          <w:tcPr>
            <w:tcW w:w="2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486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7.00% Notes Due 2055, Series B</w:t>
            </w:r>
          </w:p>
        </w:tc>
        <w:tc>
          <w:tcPr>
            <w:tcW w:w="2760" w:type="dxa"/>
            <w:vAlign w:val="bottom"/>
          </w:tcPr>
          <w:p>
            <w:pPr>
              <w:spacing w:after="0"/>
              <w:rPr>
                <w:sz w:val="24"/>
                <w:szCs w:val="24"/>
                <w:color w:val="auto"/>
              </w:rPr>
            </w:pPr>
          </w:p>
        </w:tc>
        <w:tc>
          <w:tcPr>
            <w:tcW w:w="3800" w:type="dxa"/>
            <w:vAlign w:val="bottom"/>
            <w:gridSpan w:val="2"/>
          </w:tcPr>
          <w:p>
            <w:pPr>
              <w:jc w:val="center"/>
              <w:ind w:right="1620"/>
              <w:spacing w:after="0"/>
              <w:rPr>
                <w:sz w:val="20"/>
                <w:szCs w:val="20"/>
                <w:color w:val="auto"/>
              </w:rPr>
            </w:pPr>
            <w:r>
              <w:rPr>
                <w:rFonts w:ascii="Arial" w:cs="Arial" w:eastAsia="Arial" w:hAnsi="Arial"/>
                <w:sz w:val="18"/>
                <w:szCs w:val="18"/>
                <w:color w:val="auto"/>
                <w:w w:val="91"/>
              </w:rPr>
              <w:t>New York Stock Exchange</w:t>
            </w: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color w:val="auto"/>
                <w:w w:val="96"/>
              </w:rPr>
              <w:t>Securities to be registered pursuant to Section 12(g) of the Act:</w:t>
            </w:r>
          </w:p>
        </w:tc>
        <w:tc>
          <w:tcPr>
            <w:tcW w:w="2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9"/>
        </w:trPr>
        <w:tc>
          <w:tcPr>
            <w:tcW w:w="2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jc w:val="center"/>
              <w:ind w:right="4860"/>
              <w:spacing w:after="0"/>
              <w:rPr>
                <w:sz w:val="20"/>
                <w:szCs w:val="20"/>
                <w:color w:val="auto"/>
              </w:rPr>
            </w:pPr>
            <w:r>
              <w:rPr>
                <w:rFonts w:ascii="Arial" w:cs="Arial" w:eastAsia="Arial" w:hAnsi="Arial"/>
                <w:sz w:val="18"/>
                <w:szCs w:val="18"/>
                <w:color w:val="auto"/>
                <w:w w:val="88"/>
              </w:rPr>
              <w:t>None</w:t>
            </w:r>
          </w:p>
        </w:tc>
      </w:tr>
      <w:tr>
        <w:trPr>
          <w:trHeight w:val="284"/>
        </w:trPr>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560" w:type="dxa"/>
            <w:vAlign w:val="bottom"/>
            <w:gridSpan w:val="3"/>
          </w:tcPr>
          <w:p>
            <w:pPr>
              <w:jc w:val="center"/>
              <w:ind w:right="4840"/>
              <w:spacing w:after="0"/>
              <w:rPr>
                <w:sz w:val="20"/>
                <w:szCs w:val="20"/>
                <w:color w:val="auto"/>
              </w:rPr>
            </w:pPr>
            <w:r>
              <w:rPr>
                <w:rFonts w:ascii="Arial" w:cs="Arial" w:eastAsia="Arial" w:hAnsi="Arial"/>
                <w:sz w:val="18"/>
                <w:szCs w:val="18"/>
                <w:color w:val="auto"/>
                <w:w w:val="93"/>
              </w:rPr>
              <w:t>(Title of Class)</w:t>
            </w:r>
          </w:p>
        </w:tc>
      </w:tr>
      <w:tr>
        <w:trPr>
          <w:trHeight w:val="203"/>
        </w:trPr>
        <w:tc>
          <w:tcPr>
            <w:tcW w:w="2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8"/>
        </w:trPr>
        <w:tc>
          <w:tcPr>
            <w:tcW w:w="2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618"/>
        </w:trPr>
        <w:tc>
          <w:tcPr>
            <w:tcW w:w="20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2" w:name="page3"/>
    <w:bookmarkEnd w:id="2"/>
    <w:p>
      <w:pPr>
        <w:spacing w:after="0"/>
        <w:tabs>
          <w:tab w:leader="none" w:pos="600" w:val="left"/>
        </w:tabs>
        <w:rPr>
          <w:sz w:val="20"/>
          <w:szCs w:val="20"/>
          <w:color w:val="auto"/>
        </w:rPr>
      </w:pPr>
      <w:r>
        <w:rPr>
          <w:rFonts w:ascii="Arial" w:cs="Arial" w:eastAsia="Arial" w:hAnsi="Arial"/>
          <w:sz w:val="18"/>
          <w:szCs w:val="18"/>
          <w:i w:val="1"/>
          <w:iCs w:val="1"/>
          <w:color w:val="auto"/>
        </w:rPr>
        <w:t>Item 1.</w:t>
      </w:r>
      <w:r>
        <w:rPr>
          <w:sz w:val="20"/>
          <w:szCs w:val="20"/>
          <w:color w:val="auto"/>
        </w:rPr>
        <w:tab/>
      </w:r>
      <w:r>
        <w:rPr>
          <w:rFonts w:ascii="Arial" w:cs="Arial" w:eastAsia="Arial" w:hAnsi="Arial"/>
          <w:sz w:val="16"/>
          <w:szCs w:val="16"/>
          <w:i w:val="1"/>
          <w:iCs w:val="1"/>
          <w:color w:val="auto"/>
        </w:rPr>
        <w:t>Description of Registrant’s Securities to be Registered</w:t>
      </w:r>
    </w:p>
    <w:p>
      <w:pPr>
        <w:spacing w:after="0" w:line="117"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description of the 7.00% Notes Due 2055, Series B and the guarantees thereof presented under the caption “Description of the Notes” in the Prospectus Supplement dated September 14, 2006 and filed with the Securities and Exchange Commission on September 15, 2006 and under the caption “Description of Debt Securities and Cable Guarantees” in the Prospectus contained in the Registrants’ effective Registration Statement on Form S-3 (Registration No. 333-132750) as amended, which Registration Statement was filed with the Securities and Exchange Commission on March 27, 2006, is incorporated herein by reference.</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i w:val="1"/>
          <w:iCs w:val="1"/>
          <w:color w:val="auto"/>
        </w:rPr>
        <w:t>Item 2.</w:t>
      </w:r>
      <w:r>
        <w:rPr>
          <w:sz w:val="20"/>
          <w:szCs w:val="20"/>
          <w:color w:val="auto"/>
        </w:rPr>
        <w:tab/>
      </w:r>
      <w:r>
        <w:rPr>
          <w:rFonts w:ascii="Arial" w:cs="Arial" w:eastAsia="Arial" w:hAnsi="Arial"/>
          <w:sz w:val="17"/>
          <w:szCs w:val="17"/>
          <w:i w:val="1"/>
          <w:i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103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8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Number</w:t>
            </w:r>
          </w:p>
        </w:tc>
        <w:tc>
          <w:tcPr>
            <w:tcW w:w="10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Indenture</w:t>
            </w:r>
          </w:p>
        </w:tc>
        <w:tc>
          <w:tcPr>
            <w:tcW w:w="9240" w:type="dxa"/>
            <w:vAlign w:val="bottom"/>
          </w:tcPr>
          <w:p>
            <w:pPr>
              <w:jc w:val="right"/>
              <w:ind w:right="590"/>
              <w:spacing w:after="0" w:line="195" w:lineRule="exact"/>
              <w:rPr>
                <w:sz w:val="20"/>
                <w:szCs w:val="20"/>
                <w:color w:val="auto"/>
              </w:rPr>
            </w:pPr>
            <w:r>
              <w:rPr>
                <w:rFonts w:ascii="Arial" w:cs="Arial" w:eastAsia="Arial" w:hAnsi="Arial"/>
                <w:sz w:val="18"/>
                <w:szCs w:val="18"/>
                <w:color w:val="auto"/>
                <w:w w:val="90"/>
              </w:rPr>
              <w:t>dated as of January 7, 2003 (the “</w:t>
            </w:r>
            <w:r>
              <w:rPr>
                <w:rFonts w:ascii="Arial" w:cs="Arial" w:eastAsia="Arial" w:hAnsi="Arial"/>
                <w:sz w:val="18"/>
                <w:szCs w:val="18"/>
                <w:b w:val="1"/>
                <w:bCs w:val="1"/>
                <w:color w:val="auto"/>
                <w:w w:val="90"/>
              </w:rPr>
              <w:t>Indenture</w:t>
            </w:r>
            <w:r>
              <w:rPr>
                <w:rFonts w:ascii="Arial" w:cs="Arial" w:eastAsia="Arial" w:hAnsi="Arial"/>
                <w:sz w:val="18"/>
                <w:szCs w:val="18"/>
                <w:color w:val="auto"/>
                <w:w w:val="90"/>
              </w:rPr>
              <w:t>”) by and among the Company, the Comcast Cable Communications, LLC</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3"/>
              </w:rPr>
              <w:t>(formerly known as Comcast Cable Communications, Inc.), Comcast Cable Communications Holdings, Inc., Comcast Cable Holdings,</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4"/>
              </w:rPr>
              <w:t>LLC, Comcast MO Group, Inc. (collectively with Comcast MO of Delaware, LLC (formerly known as Comcast MO of Delaware, Inc.),</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Cable Guarantors</w:t>
            </w:r>
            <w:r>
              <w:rPr>
                <w:rFonts w:ascii="Arial" w:cs="Arial" w:eastAsia="Arial" w:hAnsi="Arial"/>
                <w:sz w:val="18"/>
                <w:szCs w:val="18"/>
                <w:color w:val="auto"/>
                <w:w w:val="91"/>
              </w:rPr>
              <w:t>”) and The Bank of New York, as trustee (the “</w:t>
            </w:r>
            <w:r>
              <w:rPr>
                <w:rFonts w:ascii="Arial" w:cs="Arial" w:eastAsia="Arial" w:hAnsi="Arial"/>
                <w:sz w:val="18"/>
                <w:szCs w:val="18"/>
                <w:b w:val="1"/>
                <w:bCs w:val="1"/>
                <w:color w:val="auto"/>
                <w:w w:val="91"/>
              </w:rPr>
              <w:t>Trustee</w:t>
            </w:r>
            <w:r>
              <w:rPr>
                <w:rFonts w:ascii="Arial" w:cs="Arial" w:eastAsia="Arial" w:hAnsi="Arial"/>
                <w:sz w:val="18"/>
                <w:szCs w:val="18"/>
                <w:color w:val="auto"/>
                <w:w w:val="91"/>
              </w:rPr>
              <w:t>”), relating to the Registrant’s debt securities (Incorporated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3"/>
              </w:rPr>
              <w:t>by reference to the Registration Statement on Form S-3, File No. 333-101861, filed with the Securities and Exchange Commission on</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rPr>
              <w:t>December 16, 2002).</w:t>
            </w:r>
          </w:p>
        </w:tc>
        <w:tc>
          <w:tcPr>
            <w:tcW w:w="0" w:type="dxa"/>
            <w:vAlign w:val="bottom"/>
          </w:tcPr>
          <w:p>
            <w:pPr>
              <w:spacing w:after="0"/>
              <w:rPr>
                <w:sz w:val="1"/>
                <w:szCs w:val="1"/>
                <w:color w:val="auto"/>
              </w:rPr>
            </w:pPr>
          </w:p>
        </w:tc>
      </w:tr>
      <w:tr>
        <w:trPr>
          <w:trHeight w:val="418"/>
        </w:trPr>
        <w:tc>
          <w:tcPr>
            <w:tcW w:w="7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4.2</w:t>
            </w:r>
          </w:p>
        </w:tc>
        <w:tc>
          <w:tcPr>
            <w:tcW w:w="38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9"/>
              </w:rPr>
              <w:t>First Supplemental Indenture dated as of March 25, 2003 by and among the Company, the Cable Guarantors and the Trustee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w w:val="95"/>
              </w:rPr>
              <w:t>(incorporated by reference to the Registration Statement on Form S-3, File No. 333-104034, filed with the Securities and Exchange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rPr>
              <w:t>Commission on March 26, 2003).</w:t>
            </w:r>
          </w:p>
        </w:tc>
        <w:tc>
          <w:tcPr>
            <w:tcW w:w="0" w:type="dxa"/>
            <w:vAlign w:val="bottom"/>
          </w:tcPr>
          <w:p>
            <w:pPr>
              <w:spacing w:after="0"/>
              <w:rPr>
                <w:sz w:val="1"/>
                <w:szCs w:val="1"/>
                <w:color w:val="auto"/>
              </w:rPr>
            </w:pPr>
          </w:p>
        </w:tc>
      </w:tr>
      <w:tr>
        <w:trPr>
          <w:trHeight w:val="432"/>
        </w:trPr>
        <w:tc>
          <w:tcPr>
            <w:tcW w:w="7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4.3</w:t>
            </w:r>
          </w:p>
        </w:tc>
        <w:tc>
          <w:tcPr>
            <w:tcW w:w="38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3"/>
          </w:tcPr>
          <w:p>
            <w:pPr>
              <w:jc w:val="right"/>
              <w:ind w:right="55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Cable Communications Holdings, Inc.</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Comcast MO of Delaware, LLC</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Arthur R. Block</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2006</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958"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Officers’ Certificate</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Pursuant to Section 2.03 of the Indenture dated as of January 7, 2003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Cable Guarantors (as defined below) other than Comcast MO of Delaware, LLC and The Bank of New York,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March 25, 2003 by and among the Company, the Cable Guarantors and the Trustee, and guaranteed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7"/>
          <w:szCs w:val="17"/>
          <w:b w:val="1"/>
          <w:bCs w:val="1"/>
          <w:color w:val="auto"/>
        </w:rPr>
        <w:t>Cable Guarantors</w:t>
      </w:r>
      <w:r>
        <w:rPr>
          <w:rFonts w:ascii="Arial" w:cs="Arial" w:eastAsia="Arial" w:hAnsi="Arial"/>
          <w:sz w:val="17"/>
          <w:szCs w:val="17"/>
          <w:color w:val="auto"/>
        </w:rPr>
        <w:t>”), the undersigned officers of the Company do hereby certify, in connection with the issuance of the Company’s 7.00% Notes Due 2055, Series B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460" w:type="dxa"/>
            <w:vAlign w:val="bottom"/>
          </w:tcPr>
          <w:p>
            <w:pPr>
              <w:ind w:left="700"/>
              <w:spacing w:after="0"/>
              <w:rPr>
                <w:sz w:val="20"/>
                <w:szCs w:val="20"/>
                <w:color w:val="auto"/>
              </w:rPr>
            </w:pPr>
            <w:r>
              <w:rPr>
                <w:rFonts w:ascii="Arial" w:cs="Arial" w:eastAsia="Arial" w:hAnsi="Arial"/>
                <w:sz w:val="18"/>
                <w:szCs w:val="18"/>
                <w:color w:val="auto"/>
              </w:rPr>
              <w:t>7.00% Notes Due 2055, Series B</w:t>
            </w:r>
          </w:p>
        </w:tc>
      </w:tr>
      <w:tr>
        <w:trPr>
          <w:trHeight w:val="418"/>
        </w:trPr>
        <w:tc>
          <w:tcPr>
            <w:tcW w:w="296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8460" w:type="dxa"/>
            <w:vAlign w:val="bottom"/>
          </w:tcPr>
          <w:p>
            <w:pPr>
              <w:ind w:left="700"/>
              <w:spacing w:after="0"/>
              <w:rPr>
                <w:sz w:val="20"/>
                <w:szCs w:val="20"/>
                <w:color w:val="auto"/>
              </w:rPr>
            </w:pPr>
            <w:r>
              <w:rPr>
                <w:rFonts w:ascii="Arial" w:cs="Arial" w:eastAsia="Arial" w:hAnsi="Arial"/>
                <w:sz w:val="18"/>
                <w:szCs w:val="18"/>
                <w:color w:val="auto"/>
              </w:rPr>
              <w:t>$1,000,000,000 (or $1,150,000,000 if the underwriters exercise their over allotment option in full)</w:t>
            </w:r>
          </w:p>
        </w:tc>
      </w:t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846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460" w:type="dxa"/>
            <w:vAlign w:val="bottom"/>
          </w:tcPr>
          <w:p>
            <w:pPr>
              <w:ind w:left="700"/>
              <w:spacing w:after="0"/>
              <w:rPr>
                <w:sz w:val="20"/>
                <w:szCs w:val="20"/>
                <w:color w:val="auto"/>
              </w:rPr>
            </w:pPr>
            <w:r>
              <w:rPr>
                <w:rFonts w:ascii="Arial" w:cs="Arial" w:eastAsia="Arial" w:hAnsi="Arial"/>
                <w:sz w:val="18"/>
                <w:szCs w:val="18"/>
                <w:color w:val="auto"/>
              </w:rPr>
              <w:t>September 15, 2055</w:t>
            </w:r>
          </w:p>
        </w:tc>
      </w:tr>
      <w:tr>
        <w:trPr>
          <w:trHeight w:val="432"/>
        </w:trPr>
        <w:tc>
          <w:tcPr>
            <w:tcW w:w="29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8460" w:type="dxa"/>
            <w:vAlign w:val="bottom"/>
          </w:tcPr>
          <w:p>
            <w:pPr>
              <w:ind w:left="700"/>
              <w:spacing w:after="0"/>
              <w:rPr>
                <w:sz w:val="20"/>
                <w:szCs w:val="20"/>
                <w:color w:val="auto"/>
              </w:rPr>
            </w:pPr>
            <w:r>
              <w:rPr>
                <w:rFonts w:ascii="Arial" w:cs="Arial" w:eastAsia="Arial" w:hAnsi="Arial"/>
                <w:sz w:val="18"/>
                <w:szCs w:val="18"/>
                <w:color w:val="auto"/>
              </w:rPr>
              <w:t>7.00%</w:t>
            </w:r>
          </w:p>
        </w:tc>
      </w:tr>
      <w:tr>
        <w:trPr>
          <w:trHeight w:val="418"/>
        </w:trPr>
        <w:tc>
          <w:tcPr>
            <w:tcW w:w="29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460" w:type="dxa"/>
            <w:vAlign w:val="bottom"/>
          </w:tcPr>
          <w:p>
            <w:pPr>
              <w:ind w:left="700"/>
              <w:spacing w:after="0"/>
              <w:rPr>
                <w:sz w:val="20"/>
                <w:szCs w:val="20"/>
                <w:color w:val="auto"/>
              </w:rPr>
            </w:pPr>
            <w:r>
              <w:rPr>
                <w:rFonts w:ascii="Arial" w:cs="Arial" w:eastAsia="Arial" w:hAnsi="Arial"/>
                <w:sz w:val="18"/>
                <w:szCs w:val="18"/>
                <w:color w:val="auto"/>
                <w:w w:val="93"/>
              </w:rPr>
              <w:t>The Company may at its option redeem the Notes in whole or in part, at any time or from time to time on</w:t>
            </w:r>
          </w:p>
        </w:tc>
      </w:tr>
      <w:tr>
        <w:trPr>
          <w:trHeight w:val="216"/>
        </w:trPr>
        <w:tc>
          <w:tcPr>
            <w:tcW w:w="296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w w:val="90"/>
              </w:rPr>
              <w:t>or after September 15, 2011 and prior to their maturity, on at least 30 days, but not more than 60 days, prior</w:t>
            </w:r>
          </w:p>
        </w:tc>
      </w:tr>
      <w:tr>
        <w:trPr>
          <w:trHeight w:val="216"/>
        </w:trPr>
        <w:tc>
          <w:tcPr>
            <w:tcW w:w="296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w w:val="91"/>
              </w:rPr>
              <w:t>notice mailed to the registered address of each holder of the Notes, at a redemption price equal to 100% of</w:t>
            </w:r>
          </w:p>
        </w:tc>
      </w:tr>
      <w:tr>
        <w:trPr>
          <w:trHeight w:val="216"/>
        </w:trPr>
        <w:tc>
          <w:tcPr>
            <w:tcW w:w="296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w w:val="97"/>
              </w:rPr>
              <w:t>the principal amount of the redeemed Notes plus accrued and unpaid interest thereon to the date of</w:t>
            </w:r>
          </w:p>
        </w:tc>
      </w:tr>
      <w:tr>
        <w:trPr>
          <w:trHeight w:val="230"/>
        </w:trPr>
        <w:tc>
          <w:tcPr>
            <w:tcW w:w="2960" w:type="dxa"/>
            <w:vAlign w:val="bottom"/>
          </w:tcPr>
          <w:p>
            <w:pPr>
              <w:spacing w:after="0"/>
              <w:rPr>
                <w:sz w:val="20"/>
                <w:szCs w:val="20"/>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redemption, and as further described in the Prospectus Supplement dated September 14, 2006.</w:t>
            </w:r>
          </w:p>
        </w:tc>
      </w:tr>
      <w:tr>
        <w:trPr>
          <w:trHeight w:val="432"/>
        </w:trPr>
        <w:tc>
          <w:tcPr>
            <w:tcW w:w="29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60" w:type="dxa"/>
            <w:vAlign w:val="bottom"/>
          </w:tcPr>
          <w:p>
            <w:pPr>
              <w:ind w:left="700"/>
              <w:spacing w:after="0"/>
              <w:rPr>
                <w:sz w:val="20"/>
                <w:szCs w:val="20"/>
                <w:color w:val="auto"/>
              </w:rPr>
            </w:pPr>
            <w:r>
              <w:rPr>
                <w:rFonts w:ascii="Arial" w:cs="Arial" w:eastAsia="Arial" w:hAnsi="Arial"/>
                <w:sz w:val="18"/>
                <w:szCs w:val="18"/>
                <w:color w:val="auto"/>
              </w:rPr>
              <w:t>The Notes need not be issued at the same time and the series may be reopened for issuance of</w:t>
            </w:r>
          </w:p>
        </w:tc>
      </w:tr>
      <w:tr>
        <w:trPr>
          <w:trHeight w:val="632"/>
        </w:trPr>
        <w:tc>
          <w:tcPr>
            <w:tcW w:w="296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w w:val="92"/>
              </w:rPr>
              <w:t>an unlimited principal amount of additional Notes under this series. Additional Notes of this series will be</w:t>
            </w:r>
          </w:p>
        </w:tc>
      </w:tr>
      <w:tr>
        <w:trPr>
          <w:trHeight w:val="216"/>
        </w:trPr>
        <w:tc>
          <w:tcPr>
            <w:tcW w:w="2380" w:type="dxa"/>
            <w:vAlign w:val="bottom"/>
          </w:tcPr>
          <w:p>
            <w:pPr>
              <w:spacing w:after="0"/>
              <w:rPr>
                <w:sz w:val="18"/>
                <w:szCs w:val="18"/>
                <w:color w:val="auto"/>
              </w:rPr>
            </w:pP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w w:val="98"/>
              </w:rPr>
              <w:t>consolidated with, and form a single series with, Notes then outstanding, including for purposes of</w:t>
            </w:r>
          </w:p>
        </w:tc>
      </w:tr>
      <w:tr>
        <w:trPr>
          <w:trHeight w:val="216"/>
        </w:trPr>
        <w:tc>
          <w:tcPr>
            <w:tcW w:w="2380" w:type="dxa"/>
            <w:vAlign w:val="bottom"/>
          </w:tcPr>
          <w:p>
            <w:pPr>
              <w:spacing w:after="0"/>
              <w:rPr>
                <w:sz w:val="18"/>
                <w:szCs w:val="18"/>
                <w:color w:val="auto"/>
              </w:rPr>
            </w:pP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w w:val="90"/>
              </w:rPr>
              <w:t>determining whether the required percentage of the holders of record has given approval or consent to an</w:t>
            </w:r>
          </w:p>
        </w:tc>
      </w:tr>
      <w:tr>
        <w:trPr>
          <w:trHeight w:val="230"/>
        </w:trPr>
        <w:tc>
          <w:tcPr>
            <w:tcW w:w="2380" w:type="dxa"/>
            <w:vAlign w:val="bottom"/>
          </w:tcPr>
          <w:p>
            <w:pPr>
              <w:spacing w:after="0"/>
              <w:rPr>
                <w:sz w:val="20"/>
                <w:szCs w:val="20"/>
                <w:color w:val="auto"/>
              </w:rPr>
            </w:pP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w w:val="94"/>
              </w:rPr>
              <w:t>amendment or waiver or joined in directing the Trustee to take certain actions on behalf of all holders.</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rPr>
              <w:t>None</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rPr>
              <w:t>None</w:t>
            </w:r>
          </w:p>
        </w:tc>
      </w:tr>
      <w:tr>
        <w:trPr>
          <w:trHeight w:val="414"/>
        </w:trPr>
        <w:tc>
          <w:tcPr>
            <w:tcW w:w="23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20" w:type="dxa"/>
            <w:vAlign w:val="bottom"/>
            <w:gridSpan w:val="3"/>
          </w:tcPr>
          <w:p>
            <w:pPr>
              <w:ind w:left="1280"/>
              <w:spacing w:after="0"/>
              <w:rPr>
                <w:sz w:val="20"/>
                <w:szCs w:val="20"/>
                <w:color w:val="auto"/>
              </w:rPr>
            </w:pPr>
            <w:r>
              <w:rPr>
                <w:rFonts w:ascii="Arial" w:cs="Arial" w:eastAsia="Arial" w:hAnsi="Arial"/>
                <w:sz w:val="18"/>
                <w:szCs w:val="18"/>
                <w:color w:val="auto"/>
                <w:w w:val="95"/>
              </w:rPr>
              <w:t>The terms of the Notes shall include such other terms as are set forth in the form of Notes Due 2055,</w:t>
            </w:r>
          </w:p>
        </w:tc>
      </w:tr>
      <w:tr>
        <w:trPr>
          <w:trHeight w:val="194"/>
        </w:trPr>
        <w:tc>
          <w:tcPr>
            <w:tcW w:w="2380" w:type="dxa"/>
            <w:vAlign w:val="bottom"/>
          </w:tcPr>
          <w:p>
            <w:pPr>
              <w:spacing w:after="0"/>
              <w:rPr>
                <w:sz w:val="16"/>
                <w:szCs w:val="16"/>
                <w:color w:val="auto"/>
              </w:rPr>
            </w:pPr>
          </w:p>
        </w:tc>
        <w:tc>
          <w:tcPr>
            <w:tcW w:w="8920" w:type="dxa"/>
            <w:vAlign w:val="bottom"/>
            <w:gridSpan w:val="3"/>
          </w:tcPr>
          <w:p>
            <w:pPr>
              <w:ind w:left="1280"/>
              <w:spacing w:after="0" w:line="194" w:lineRule="exact"/>
              <w:rPr>
                <w:sz w:val="20"/>
                <w:szCs w:val="20"/>
                <w:color w:val="auto"/>
              </w:rPr>
            </w:pPr>
            <w:r>
              <w:rPr>
                <w:rFonts w:ascii="Arial" w:cs="Arial" w:eastAsia="Arial" w:hAnsi="Arial"/>
                <w:sz w:val="18"/>
                <w:szCs w:val="18"/>
                <w:color w:val="auto"/>
              </w:rPr>
              <w:t xml:space="preserve">Series B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IN WITNESS WHEREOF, the undersigned officers of the Company have duly executed this certificate as of September ___, 2006.</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Kenneth Mikalauskas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9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 - Finance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8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7.00% Note Due 2055, Series B</w:t>
      </w:r>
    </w:p>
    <w:p>
      <w:pPr>
        <w:sectPr>
          <w:pgSz w:w="11900" w:h="16838" w:orient="portrait"/>
          <w:cols w:equalWidth="0" w:num="1">
            <w:col w:w="11420"/>
          </w:cols>
          <w:pgMar w:left="240" w:top="931" w:right="2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color w:val="auto"/>
        </w:rPr>
        <w:t>CUSIP No.: 2003N AQ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ISN No.: US2003N AQ 3</w:t>
      </w:r>
    </w:p>
    <w:p>
      <w:pPr>
        <w:spacing w:after="0" w:line="122" w:lineRule="exact"/>
        <w:rPr>
          <w:sz w:val="20"/>
          <w:szCs w:val="20"/>
          <w:color w:val="auto"/>
        </w:rPr>
      </w:pPr>
    </w:p>
    <w:p>
      <w:pPr>
        <w:sectPr>
          <w:pgSz w:w="11900" w:h="16838" w:orient="portrait"/>
          <w:cols w:equalWidth="0" w:num="2">
            <w:col w:w="8840" w:space="720"/>
            <w:col w:w="1860"/>
          </w:cols>
          <w:pgMar w:left="240" w:top="931"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for value received promises to</w:t>
      </w:r>
    </w:p>
    <w:p>
      <w:pPr>
        <w:spacing w:after="0" w:line="50" w:lineRule="exact"/>
        <w:rPr>
          <w:sz w:val="20"/>
          <w:szCs w:val="20"/>
          <w:color w:val="auto"/>
        </w:rPr>
      </w:pPr>
    </w:p>
    <w:p>
      <w:pPr>
        <w:spacing w:after="0"/>
        <w:tabs>
          <w:tab w:leader="none" w:pos="5160" w:val="left"/>
          <w:tab w:leader="none" w:pos="5840" w:val="left"/>
        </w:tabs>
        <w:rPr>
          <w:sz w:val="20"/>
          <w:szCs w:val="20"/>
          <w:color w:val="auto"/>
        </w:rPr>
      </w:pPr>
      <w:r>
        <w:rPr>
          <w:rFonts w:ascii="Arial" w:cs="Arial" w:eastAsia="Arial" w:hAnsi="Arial"/>
          <w:sz w:val="18"/>
          <w:szCs w:val="18"/>
          <w:color w:val="auto"/>
        </w:rPr>
        <w:t>pay 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on September 15, 2055.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Payment Dates: September 15, December 15, March 15 and June 15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December 15, 2006.</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Record Dates: September 1, December 1, March 1 and June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 place.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8" w:name="page9"/>
    <w:bookmarkEnd w:id="8"/>
    <w:p>
      <w:pPr>
        <w:ind w:left="24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 seal.</w:t>
      </w:r>
    </w:p>
    <w:p>
      <w:pPr>
        <w:spacing w:after="0" w:line="24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Kenneth Mikalauskas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 Finance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30"/>
        </w:trPr>
        <w:tc>
          <w:tcPr>
            <w:tcW w:w="60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___, 2006</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THE BANK OF NEW YORK,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 Note Due 2055, Series 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September 21, 2006. The Issuer will pay interest quarterly in arrears on each Interest Payment Date, commencing December 15, 2006. Interest will be computed on the basis of a 360-day year of twelve 30-day months.</w:t>
      </w:r>
    </w:p>
    <w:p>
      <w:pPr>
        <w:spacing w:after="0" w:line="76"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Paying Agent.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Initially, The Bank of New York (the “</w:t>
      </w:r>
      <w:r>
        <w:rPr>
          <w:rFonts w:ascii="Arial" w:cs="Arial" w:eastAsia="Arial" w:hAnsi="Arial"/>
          <w:sz w:val="17"/>
          <w:szCs w:val="17"/>
          <w:b w:val="1"/>
          <w:bCs w:val="1"/>
          <w:color w:val="auto"/>
        </w:rPr>
        <w:t>Trustee</w:t>
      </w:r>
      <w:r>
        <w:rPr>
          <w:rFonts w:ascii="Arial" w:cs="Arial" w:eastAsia="Arial" w:hAnsi="Arial"/>
          <w:sz w:val="17"/>
          <w:szCs w:val="17"/>
          <w:color w:val="auto"/>
        </w:rPr>
        <w:t>”) will act as Paying Agent. The Issuer may change any Paying Agent without notice to the Holders.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4. Indenture.</w:t>
      </w:r>
    </w:p>
    <w:p>
      <w:pPr>
        <w:spacing w:after="0" w:line="11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Issuer issued the Securities under an Indenture dated as of January 7, 2003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Cable Guarantors other than Comcast MO of Delaware, LLC and The Bank of New York,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 Cable Guarantees.</w:t>
      </w:r>
    </w:p>
    <w:p>
      <w:pPr>
        <w:spacing w:after="0" w:line="117"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Securities are in registered form, without coupons, in denominations of $25.00 and multiples of $25.00.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color w:val="auto"/>
        </w:rPr>
        <w:t>9. Legal Defeasance and Covenant Defeasance.</w:t>
      </w:r>
    </w:p>
    <w:p>
      <w:pPr>
        <w:spacing w:after="0" w:line="117"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on or after September 15, 2011 and prior to their maturity, on at least 30 days, but not more than 60 days, prior notice mailed to the registered address of each Holder of the Securities, at a redemption price equal to 100% of the principal amount of such Securities plus accrued and unpaid interest thereon to the date of redemption.</w:t>
      </w:r>
    </w:p>
    <w:p>
      <w:pPr>
        <w:spacing w:after="0" w:line="3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color w:val="auto"/>
        </w:rPr>
        <w:t>13. Defaults and Remedies.</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and irrevocably appoint agent to transfer this Security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-20320</wp:posOffset>
            </wp:positionV>
            <wp:extent cx="2286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6003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(Signed exactly as name appears on the other side of this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4639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16" w:lineRule="exact"/>
        <w:rPr>
          <w:sz w:val="20"/>
          <w:szCs w:val="20"/>
          <w:color w:val="auto"/>
        </w:rPr>
      </w:pPr>
    </w:p>
    <w:p>
      <w:pPr>
        <w:ind w:left="2660" w:right="164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sectPr>
      <w:pgSz w:w="11900" w:h="16838" w:orient="portrait"/>
      <w:cols w:equalWidth="0" w:num="1">
        <w:col w:w="11320"/>
      </w:cols>
      <w:pgMar w:left="24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2019-12-12T04:12:23Z</dcterms:created>
  <dcterms:modified xsi:type="dcterms:W3CDTF">2019-12-12T04:12:23Z</dcterms:modified>
</cp:coreProperties>
</file>