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-607695</wp:posOffset>
            </wp:positionV>
            <wp:extent cx="57150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3933190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6997700" cy="61163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611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ROBERTS BRIAN L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58"/>
        </w:trPr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ONE COMCAST CENTER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7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1"/>
        </w:trPr>
        <w:tc>
          <w:tcPr>
            <w:tcW w:w="2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19103</w:t>
            </w:r>
          </w:p>
        </w:tc>
      </w:tr>
      <w:tr>
        <w:trPr>
          <w:trHeight w:val="455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03/01/2024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of Board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right="3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03/02/2024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46,743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w w:val="87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7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7,284,437.526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03/02/2024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21,430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7,263,007.526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03/04/2024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306,147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7,569,154.526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03/04/2024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147,763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7,421,391.526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286,044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16,799,517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605,905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42.8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605,905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02/28/2034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605,905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46,743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46,743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474,614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-1973580</wp:posOffset>
            </wp:positionV>
            <wp:extent cx="28575" cy="1978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7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$0.00.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Reflects performance-based restricted stock units that vested 100% on the 3rd anniversary of the grant date and were subject to the achievement of performance conditions that were attained on the transaction date.</w:t>
      </w:r>
    </w:p>
    <w:p>
      <w:pPr>
        <w:spacing w:after="0" w:line="61" w:lineRule="exact"/>
        <w:rPr>
          <w:rFonts w:ascii="Times New Roman" w:cs="Times New Roman" w:eastAsia="Times New Roman" w:hAnsi="Times New Roman"/>
          <w:sz w:val="11"/>
          <w:szCs w:val="11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date of the grant was March 1, 2024, and the stock options vest as follows: 20% vests on the 1st, 2nd, 3rd, 4th and 5th anniversaries of the date of the grant.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Elizabeth Wideman,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2024-03-05T19:05:22Z</dcterms:created>
  <dcterms:modified xsi:type="dcterms:W3CDTF">2024-03-05T19:05:22Z</dcterms:modified>
</cp:coreProperties>
</file>