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COMCAST CORP</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80" w:type="dxa"/>
            <w:vAlign w:val="bottom"/>
            <w:tcBorders>
              <w:top w:val="single" w:sz="8" w:color="0000EE"/>
              <w:bottom w:val="single" w:sz="8" w:color="9A9A9A"/>
            </w:tcBorders>
          </w:tcPr>
          <w:p>
            <w:pPr>
              <w:spacing w:after="0"/>
              <w:rPr>
                <w:sz w:val="15"/>
                <w:szCs w:val="15"/>
                <w:color w:val="auto"/>
              </w:rPr>
            </w:pPr>
          </w:p>
        </w:tc>
        <w:tc>
          <w:tcPr>
            <w:tcW w:w="15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01/31/2005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KNOT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KNOT.OB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240" w:type="dxa"/>
            <w:vAlign w:val="bottom"/>
          </w:tcPr>
          <w:p>
            <w:pPr>
              <w:ind w:left="340"/>
              <w:spacing w:after="0"/>
              <w:rPr>
                <w:sz w:val="20"/>
                <w:szCs w:val="20"/>
                <w:color w:val="auto"/>
              </w:rPr>
            </w:pPr>
            <w:r>
              <w:rPr>
                <w:rFonts w:ascii="Arial" w:cs="Arial" w:eastAsia="Arial" w:hAnsi="Arial"/>
                <w:sz w:val="14"/>
                <w:szCs w:val="14"/>
                <w:color w:val="auto"/>
              </w:rPr>
              <w:t>(First)</w:t>
            </w:r>
          </w:p>
        </w:tc>
        <w:tc>
          <w:tcPr>
            <w:tcW w:w="1220" w:type="dxa"/>
            <w:vAlign w:val="bottom"/>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color w:val="0000FF"/>
              </w:rPr>
              <w:t>1500 MARKET STREET</w:t>
            </w:r>
          </w:p>
        </w:tc>
        <w:tc>
          <w:tcPr>
            <w:tcW w:w="122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color w:val="0000FF"/>
              </w:rPr>
              <w:t>PHILADELPHIA PA</w:t>
            </w:r>
          </w:p>
        </w:tc>
        <w:tc>
          <w:tcPr>
            <w:tcW w:w="1220" w:type="dxa"/>
            <w:vAlign w:val="bottom"/>
          </w:tcPr>
          <w:p>
            <w:pPr>
              <w:jc w:val="right"/>
              <w:ind w:right="446"/>
              <w:spacing w:after="0"/>
              <w:rPr>
                <w:sz w:val="20"/>
                <w:szCs w:val="20"/>
                <w:color w:val="auto"/>
              </w:rPr>
            </w:pPr>
            <w:r>
              <w:rPr>
                <w:rFonts w:ascii="Arial" w:cs="Arial" w:eastAsia="Arial" w:hAnsi="Arial"/>
                <w:sz w:val="18"/>
                <w:szCs w:val="18"/>
                <w:color w:val="0000FF"/>
              </w:rPr>
              <w:t>19102</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240" w:type="dxa"/>
            <w:vAlign w:val="bottom"/>
          </w:tcPr>
          <w:p>
            <w:pPr>
              <w:ind w:left="340"/>
              <w:spacing w:after="0"/>
              <w:rPr>
                <w:sz w:val="20"/>
                <w:szCs w:val="20"/>
                <w:color w:val="auto"/>
              </w:rPr>
            </w:pPr>
            <w:r>
              <w:rPr>
                <w:rFonts w:ascii="Arial" w:cs="Arial" w:eastAsia="Arial" w:hAnsi="Arial"/>
                <w:sz w:val="14"/>
                <w:szCs w:val="14"/>
                <w:color w:val="auto"/>
              </w:rPr>
              <w:t>(State)</w:t>
            </w:r>
          </w:p>
        </w:tc>
        <w:tc>
          <w:tcPr>
            <w:tcW w:w="1220" w:type="dxa"/>
            <w:vAlign w:val="bottom"/>
          </w:tcPr>
          <w:p>
            <w:pPr>
              <w:ind w:left="18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6"/>
        <w:spacing w:after="0"/>
        <w:tabs>
          <w:tab w:leader="none" w:pos="1805" w:val="left"/>
          <w:tab w:leader="none" w:pos="2145"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376"/>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jc w:val="right"/>
              <w:ind w:right="347"/>
              <w:spacing w:after="0"/>
              <w:rPr>
                <w:sz w:val="20"/>
                <w:szCs w:val="20"/>
                <w:color w:val="auto"/>
              </w:rPr>
            </w:pPr>
            <w:r>
              <w:rPr>
                <w:rFonts w:ascii="Arial" w:cs="Arial" w:eastAsia="Arial" w:hAnsi="Arial"/>
                <w:sz w:val="18"/>
                <w:szCs w:val="18"/>
                <w:color w:val="0000FF"/>
              </w:rPr>
              <w:t>4,025,590</w:t>
            </w:r>
            <w:r>
              <w:rPr>
                <w:rFonts w:ascii="Arial" w:cs="Arial" w:eastAsia="Arial" w:hAnsi="Arial"/>
                <w:sz w:val="22"/>
                <w:szCs w:val="22"/>
                <w:color w:val="008000"/>
                <w:vertAlign w:val="superscript"/>
              </w:rPr>
              <w:t>(1)</w:t>
            </w:r>
          </w:p>
        </w:tc>
        <w:tc>
          <w:tcPr>
            <w:tcW w:w="1040" w:type="dxa"/>
            <w:vAlign w:val="bottom"/>
            <w:tcBorders>
              <w:bottom w:val="single" w:sz="8" w:color="2C2C2C"/>
            </w:tcBorders>
          </w:tcPr>
          <w:p>
            <w:pPr>
              <w:ind w:left="780"/>
              <w:spacing w:after="0" w:line="324" w:lineRule="exact"/>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(1)</w:t>
            </w:r>
          </w:p>
        </w:tc>
        <w:tc>
          <w:tcPr>
            <w:tcW w:w="3420" w:type="dxa"/>
            <w:vAlign w:val="bottom"/>
            <w:tcBorders>
              <w:bottom w:val="single" w:sz="8" w:color="2C2C2C"/>
            </w:tcBorders>
            <w:gridSpan w:val="4"/>
          </w:tcPr>
          <w:p>
            <w:pPr>
              <w:ind w:left="520"/>
              <w:spacing w:after="0"/>
              <w:rPr>
                <w:sz w:val="20"/>
                <w:szCs w:val="20"/>
                <w:color w:val="auto"/>
              </w:rPr>
            </w:pPr>
            <w:r>
              <w:rPr>
                <w:rFonts w:ascii="Arial" w:cs="Arial" w:eastAsia="Arial" w:hAnsi="Arial"/>
                <w:sz w:val="18"/>
                <w:szCs w:val="18"/>
                <w:color w:val="0000FF"/>
              </w:rPr>
              <w:t>By Comcast QIH, Inc.</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4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40" w:type="dxa"/>
            <w:vAlign w:val="bottom"/>
          </w:tcPr>
          <w:p>
            <w:pPr>
              <w:ind w:left="44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40" w:type="dxa"/>
            <w:vAlign w:val="bottom"/>
          </w:tcPr>
          <w:p>
            <w:pPr>
              <w:ind w:left="44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80" w:type="dxa"/>
            <w:vAlign w:val="bottom"/>
          </w:tcPr>
          <w:p>
            <w:pPr>
              <w:spacing w:after="0"/>
              <w:rPr>
                <w:sz w:val="12"/>
                <w:szCs w:val="12"/>
                <w:color w:val="auto"/>
              </w:rPr>
            </w:pPr>
          </w:p>
        </w:tc>
        <w:tc>
          <w:tcPr>
            <w:tcW w:w="1040" w:type="dxa"/>
            <w:vAlign w:val="bottom"/>
          </w:tcPr>
          <w:p>
            <w:pPr>
              <w:ind w:left="44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040" w:type="dxa"/>
            <w:vAlign w:val="bottom"/>
          </w:tcPr>
          <w:p>
            <w:pPr>
              <w:ind w:left="44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Comcast QIH, Inc. (QIH) owns directly 4,025,590 shares of common stock of the Issuer. QIH is a direct, wholly-owned subsidiary of Comcast Holdings Corporation (Holdings). Comcast Corporation owns, directly and indirectly, all the outstanding capital stock of Holdings. QIH acquired the shares of common stock of the Issuer as a distribution made by Interactive Technology Holdings, LLC (ITH) to its members in connection with the dissolution of ITH.</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Arthur R. Block Senior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405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40525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President, Comcast</w:t>
      </w:r>
      <w:r>
        <w:rPr>
          <w:sz w:val="20"/>
          <w:szCs w:val="20"/>
          <w:color w:val="auto"/>
        </w:rPr>
        <w:tab/>
      </w:r>
      <w:r>
        <w:rPr>
          <w:rFonts w:ascii="Arial" w:cs="Arial" w:eastAsia="Arial" w:hAnsi="Arial"/>
          <w:sz w:val="15"/>
          <w:szCs w:val="15"/>
          <w:color w:val="0000FF"/>
        </w:rPr>
        <w:t>02/04/2004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8610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86106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-17780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5384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3848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1" Type="http://schemas.openxmlformats.org/officeDocument/2006/relationships/hyperlink" Target="http://www.sec.gov/cgi-bin/browse-edgar?action=getcompany&amp;CIK=0001166691" TargetMode="External"/><Relationship Id="rId12" Type="http://schemas.openxmlformats.org/officeDocument/2006/relationships/hyperlink" Target="http://www.sec.gov/cgi-bin/browse-edgar?action=getcompany&amp;CIK=00010622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2019-12-15T05:12:59Z</dcterms:created>
  <dcterms:modified xsi:type="dcterms:W3CDTF">2019-12-15T05:12:59Z</dcterms:modified>
</cp:coreProperties>
</file>