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3"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3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spacing w:after="0" w:line="3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20030N101</w:t>
      </w:r>
    </w:p>
    <w:p>
      <w:pPr>
        <w:spacing w:after="0" w:line="3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2016</w:t>
      </w:r>
    </w:p>
    <w:p>
      <w:pPr>
        <w:spacing w:after="0" w:line="3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right="841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49"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30" w:lineRule="exact"/>
        <w:rPr>
          <w:rFonts w:ascii="Courier New" w:cs="Courier New" w:eastAsia="Courier New" w:hAnsi="Courier New"/>
          <w:sz w:val="18"/>
          <w:szCs w:val="18"/>
          <w:color w:val="auto"/>
        </w:rPr>
      </w:pPr>
    </w:p>
    <w:p>
      <w:pPr>
        <w:ind w:left="540" w:right="34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53"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spacing w:after="0" w:line="31" w:lineRule="exact"/>
        <w:rPr>
          <w:sz w:val="24"/>
          <w:szCs w:val="24"/>
          <w:color w:val="auto"/>
        </w:rPr>
      </w:pPr>
    </w:p>
    <w:p>
      <w:pPr>
        <w:ind w:left="540"/>
        <w:spacing w:after="0"/>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169"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31" w:lineRule="exact"/>
        <w:rPr>
          <w:sz w:val="24"/>
          <w:szCs w:val="24"/>
          <w:color w:val="auto"/>
        </w:rPr>
      </w:pPr>
    </w:p>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ind w:left="540" w:right="5899" w:hanging="427"/>
        <w:spacing w:after="0" w:line="585"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11" w:orient="portrait"/>
          <w:cols w:equalWidth="0" w:num="1">
            <w:col w:w="10219"/>
          </w:cols>
          <w:pgMar w:left="240" w:top="218" w:right="1440" w:bottom="0" w:gutter="0" w:footer="0" w:header="0"/>
        </w:sectPr>
      </w:pPr>
    </w:p>
    <w:bookmarkStart w:id="1" w:name="page2"/>
    <w:bookmarkEnd w:id="1"/>
    <w:p>
      <w:pPr>
        <w:spacing w:after="0" w:line="17" w:lineRule="exact"/>
        <w:rPr>
          <w:sz w:val="20"/>
          <w:szCs w:val="20"/>
          <w:color w:val="auto"/>
        </w:rPr>
      </w:pPr>
    </w:p>
    <w:p>
      <w:pPr>
        <w:ind w:left="1900" w:right="6639" w:hanging="523"/>
        <w:spacing w:after="0" w:line="670"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120,738,008</w:t>
      </w:r>
    </w:p>
    <w:p>
      <w:pPr>
        <w:spacing w:after="0" w:line="1"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8"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120,738,008</w:t>
      </w:r>
    </w:p>
    <w:p>
      <w:pPr>
        <w:ind w:left="320"/>
        <w:spacing w:after="0" w:line="238"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900" w:right="5899" w:hanging="523"/>
        <w:spacing w:after="0" w:line="458"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120,738,008</w:t>
      </w:r>
      <w:r>
        <w:rPr>
          <w:rFonts w:ascii="Courier New" w:cs="Courier New" w:eastAsia="Courier New" w:hAnsi="Courier New"/>
          <w:sz w:val="16"/>
          <w:szCs w:val="16"/>
          <w:color w:val="auto"/>
        </w:rPr>
        <w:t>Beneficial ownership disclaimed pursuant to Rule</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372" w:lineRule="exact"/>
        <w:rPr>
          <w:sz w:val="20"/>
          <w:szCs w:val="20"/>
          <w:color w:val="auto"/>
        </w:rPr>
      </w:pPr>
    </w:p>
    <w:p>
      <w:pPr>
        <w:ind w:left="540" w:right="2519" w:hanging="427"/>
        <w:spacing w:after="0" w:line="347"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20" w:lineRule="exact"/>
        <w:rPr>
          <w:rFonts w:ascii="Courier New" w:cs="Courier New" w:eastAsia="Courier New" w:hAnsi="Courier New"/>
          <w:sz w:val="18"/>
          <w:szCs w:val="18"/>
          <w:color w:val="auto"/>
        </w:rPr>
      </w:pPr>
    </w:p>
    <w:p>
      <w:pPr>
        <w:ind w:left="540" w:right="4739" w:hanging="427"/>
        <w:spacing w:after="0" w:line="476"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w:t>
      </w:r>
    </w:p>
    <w:p>
      <w:pPr>
        <w:spacing w:after="0" w:line="1" w:lineRule="exact"/>
        <w:rPr>
          <w:rFonts w:ascii="Courier New" w:cs="Courier New" w:eastAsia="Courier New" w:hAnsi="Courier New"/>
          <w:sz w:val="18"/>
          <w:szCs w:val="18"/>
          <w:color w:val="auto"/>
        </w:rPr>
      </w:pPr>
    </w:p>
    <w:p>
      <w:pPr>
        <w:ind w:left="540" w:right="5159" w:hanging="427"/>
        <w:spacing w:after="0" w:line="476"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CUSIP: 20030N101</w:t>
            </w:r>
          </w:p>
        </w:tc>
        <w:tc>
          <w:tcPr>
            <w:tcW w:w="5260" w:type="dxa"/>
            <w:vAlign w:val="bottom"/>
          </w:tcPr>
          <w:p>
            <w:pPr>
              <w:jc w:val="right"/>
              <w:spacing w:after="0"/>
              <w:rPr>
                <w:sz w:val="20"/>
                <w:szCs w:val="20"/>
                <w:color w:val="auto"/>
              </w:rPr>
            </w:pPr>
            <w:r>
              <w:rPr>
                <w:rFonts w:ascii="Courier New" w:cs="Courier New" w:eastAsia="Courier New" w:hAnsi="Courier New"/>
                <w:sz w:val="18"/>
                <w:szCs w:val="18"/>
                <w:color w:val="auto"/>
              </w:rPr>
              <w:t>Page 2 of 4</w:t>
            </w:r>
          </w:p>
        </w:tc>
        <w:tc>
          <w:tcPr>
            <w:tcW w:w="0" w:type="dxa"/>
            <w:vAlign w:val="bottom"/>
          </w:tcPr>
          <w:p>
            <w:pPr>
              <w:spacing w:after="0"/>
              <w:rPr>
                <w:sz w:val="1"/>
                <w:szCs w:val="1"/>
                <w:color w:val="auto"/>
              </w:rPr>
            </w:pPr>
          </w:p>
        </w:tc>
      </w:tr>
      <w:tr>
        <w:trPr>
          <w:trHeight w:val="514"/>
        </w:trPr>
        <w:tc>
          <w:tcPr>
            <w:tcW w:w="1220" w:type="dxa"/>
            <w:vAlign w:val="bottom"/>
          </w:tcPr>
          <w:p>
            <w:pPr>
              <w:spacing w:after="0"/>
              <w:rPr>
                <w:sz w:val="24"/>
                <w:szCs w:val="24"/>
                <w:color w:val="auto"/>
              </w:rPr>
            </w:pPr>
          </w:p>
        </w:tc>
        <w:tc>
          <w:tcPr>
            <w:tcW w:w="6680" w:type="dxa"/>
            <w:vAlign w:val="bottom"/>
            <w:gridSpan w:val="2"/>
          </w:tcPr>
          <w:p>
            <w:pPr>
              <w:jc w:val="center"/>
              <w:ind w:right="1652"/>
              <w:spacing w:after="0"/>
              <w:rPr>
                <w:sz w:val="20"/>
                <w:szCs w:val="20"/>
                <w:color w:val="auto"/>
              </w:rPr>
            </w:pPr>
            <w:r>
              <w:rPr>
                <w:rFonts w:ascii="Courier New" w:cs="Courier New" w:eastAsia="Courier New" w:hAnsi="Courier New"/>
                <w:sz w:val="18"/>
                <w:szCs w:val="18"/>
                <w:color w:val="auto"/>
                <w:w w:val="97"/>
              </w:rPr>
              <w:t>SECURITIES AND EXCHANGE COMMISSION</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60" w:type="dxa"/>
            <w:vAlign w:val="bottom"/>
          </w:tcPr>
          <w:p>
            <w:pPr>
              <w:jc w:val="center"/>
              <w:ind w:right="3072"/>
              <w:spacing w:after="0"/>
              <w:rPr>
                <w:sz w:val="20"/>
                <w:szCs w:val="20"/>
                <w:color w:val="auto"/>
              </w:rPr>
            </w:pPr>
            <w:r>
              <w:rPr>
                <w:rFonts w:ascii="Courier New" w:cs="Courier New" w:eastAsia="Courier New" w:hAnsi="Courier New"/>
                <w:sz w:val="18"/>
                <w:szCs w:val="18"/>
                <w:color w:val="auto"/>
                <w:w w:val="97"/>
              </w:rPr>
              <w:t>Washington, DC 20549</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60" w:type="dxa"/>
            <w:vAlign w:val="bottom"/>
          </w:tcPr>
          <w:p>
            <w:pPr>
              <w:jc w:val="center"/>
              <w:ind w:right="3072"/>
              <w:spacing w:after="0"/>
              <w:rPr>
                <w:sz w:val="20"/>
                <w:szCs w:val="20"/>
                <w:color w:val="auto"/>
              </w:rPr>
            </w:pPr>
            <w:r>
              <w:rPr>
                <w:rFonts w:ascii="Courier New" w:cs="Courier New" w:eastAsia="Courier New" w:hAnsi="Courier New"/>
                <w:sz w:val="18"/>
                <w:szCs w:val="18"/>
                <w:color w:val="auto"/>
                <w:w w:val="97"/>
              </w:rPr>
              <w:t>Schedule 13G</w:t>
            </w:r>
          </w:p>
        </w:tc>
        <w:tc>
          <w:tcPr>
            <w:tcW w:w="0" w:type="dxa"/>
            <w:vAlign w:val="bottom"/>
          </w:tcPr>
          <w:p>
            <w:pPr>
              <w:spacing w:after="0"/>
              <w:rPr>
                <w:sz w:val="1"/>
                <w:szCs w:val="1"/>
                <w:color w:val="auto"/>
              </w:rPr>
            </w:pPr>
          </w:p>
        </w:tc>
      </w:tr>
      <w:tr>
        <w:trPr>
          <w:trHeight w:val="296"/>
        </w:trPr>
        <w:tc>
          <w:tcPr>
            <w:tcW w:w="1220" w:type="dxa"/>
            <w:vAlign w:val="bottom"/>
          </w:tcPr>
          <w:p>
            <w:pPr>
              <w:spacing w:after="0"/>
              <w:rPr>
                <w:sz w:val="24"/>
                <w:szCs w:val="24"/>
                <w:color w:val="auto"/>
              </w:rPr>
            </w:pPr>
          </w:p>
        </w:tc>
        <w:tc>
          <w:tcPr>
            <w:tcW w:w="6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Under the Securities Exchange Act of 1934</w:t>
            </w:r>
          </w:p>
        </w:tc>
        <w:tc>
          <w:tcPr>
            <w:tcW w:w="0" w:type="dxa"/>
            <w:vAlign w:val="bottom"/>
          </w:tcPr>
          <w:p>
            <w:pPr>
              <w:spacing w:after="0"/>
              <w:rPr>
                <w:sz w:val="1"/>
                <w:szCs w:val="1"/>
                <w:color w:val="auto"/>
              </w:rPr>
            </w:pPr>
          </w:p>
        </w:tc>
      </w:tr>
      <w:tr>
        <w:trPr>
          <w:trHeight w:val="405"/>
        </w:trPr>
        <w:tc>
          <w:tcPr>
            <w:tcW w:w="2640" w:type="dxa"/>
            <w:vAlign w:val="bottom"/>
            <w:gridSpan w:val="2"/>
          </w:tcPr>
          <w:p>
            <w:pPr>
              <w:spacing w:after="0"/>
              <w:rPr>
                <w:sz w:val="20"/>
                <w:szCs w:val="20"/>
                <w:color w:val="auto"/>
              </w:rPr>
            </w:pPr>
            <w:r>
              <w:rPr>
                <w:rFonts w:ascii="Courier New" w:cs="Courier New" w:eastAsia="Courier New" w:hAnsi="Courier New"/>
                <w:sz w:val="18"/>
                <w:szCs w:val="18"/>
                <w:color w:val="auto"/>
              </w:rPr>
              <w:t>Amendment No. 2</w:t>
            </w:r>
          </w:p>
        </w:tc>
        <w:tc>
          <w:tcPr>
            <w:tcW w:w="5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c>
          <w:tcPr>
            <w:tcW w:w="0" w:type="dxa"/>
            <w:vAlign w:val="bottom"/>
          </w:tcPr>
          <w:p>
            <w:pPr>
              <w:spacing w:after="0"/>
              <w:rPr>
                <w:sz w:val="1"/>
                <w:szCs w:val="1"/>
                <w:color w:val="auto"/>
              </w:rPr>
            </w:pPr>
          </w:p>
        </w:tc>
      </w:tr>
      <w:tr>
        <w:trPr>
          <w:trHeight w:val="296"/>
        </w:trPr>
        <w:tc>
          <w:tcPr>
            <w:tcW w:w="7900" w:type="dxa"/>
            <w:vAlign w:val="bottom"/>
            <w:gridSpan w:val="3"/>
          </w:tcPr>
          <w:p>
            <w:pPr>
              <w:ind w:left="740"/>
              <w:spacing w:after="0"/>
              <w:rPr>
                <w:sz w:val="20"/>
                <w:szCs w:val="20"/>
                <w:color w:val="auto"/>
              </w:rPr>
            </w:pPr>
            <w:r>
              <w:rPr>
                <w:rFonts w:ascii="Courier New" w:cs="Courier New" w:eastAsia="Courier New" w:hAnsi="Courier New"/>
                <w:sz w:val="18"/>
                <w:szCs w:val="18"/>
                <w:color w:val="auto"/>
              </w:rPr>
              <w:t>Comcast Corporation</w:t>
            </w:r>
          </w:p>
        </w:tc>
        <w:tc>
          <w:tcPr>
            <w:tcW w:w="0" w:type="dxa"/>
            <w:vAlign w:val="bottom"/>
          </w:tcPr>
          <w:p>
            <w:pPr>
              <w:spacing w:after="0"/>
              <w:rPr>
                <w:sz w:val="1"/>
                <w:szCs w:val="1"/>
                <w:color w:val="auto"/>
              </w:rPr>
            </w:pPr>
          </w:p>
        </w:tc>
      </w:tr>
      <w:tr>
        <w:trPr>
          <w:trHeight w:val="311"/>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0" w:type="dxa"/>
            <w:vAlign w:val="bottom"/>
          </w:tcPr>
          <w:p>
            <w:pPr>
              <w:spacing w:after="0"/>
              <w:rPr>
                <w:sz w:val="1"/>
                <w:szCs w:val="1"/>
                <w:color w:val="auto"/>
              </w:rPr>
            </w:pPr>
          </w:p>
        </w:tc>
      </w:tr>
      <w:tr>
        <w:trPr>
          <w:trHeight w:val="203"/>
        </w:trPr>
        <w:tc>
          <w:tcPr>
            <w:tcW w:w="26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One Comcast Center</w:t>
            </w:r>
          </w:p>
        </w:tc>
        <w:tc>
          <w:tcPr>
            <w:tcW w:w="5260" w:type="dxa"/>
            <w:vAlign w:val="bottom"/>
            <w:vMerge w:val="restart"/>
          </w:tcPr>
          <w:p>
            <w:pPr>
              <w:jc w:val="right"/>
              <w:ind w:right="4112"/>
              <w:spacing w:after="0"/>
              <w:rPr>
                <w:sz w:val="20"/>
                <w:szCs w:val="20"/>
                <w:color w:val="auto"/>
              </w:rPr>
            </w:pPr>
            <w:r>
              <w:rPr>
                <w:rFonts w:ascii="Courier New" w:cs="Courier New" w:eastAsia="Courier New" w:hAnsi="Courier New"/>
                <w:sz w:val="18"/>
                <w:szCs w:val="18"/>
                <w:color w:val="auto"/>
                <w:w w:val="96"/>
              </w:rPr>
              <w:t>19103-2838</w:t>
            </w:r>
          </w:p>
        </w:tc>
        <w:tc>
          <w:tcPr>
            <w:tcW w:w="0" w:type="dxa"/>
            <w:vAlign w:val="bottom"/>
          </w:tcPr>
          <w:p>
            <w:pPr>
              <w:spacing w:after="0"/>
              <w:rPr>
                <w:sz w:val="1"/>
                <w:szCs w:val="1"/>
                <w:color w:val="auto"/>
              </w:rPr>
            </w:pPr>
          </w:p>
        </w:tc>
      </w:tr>
      <w:tr>
        <w:trPr>
          <w:trHeight w:val="296"/>
        </w:trPr>
        <w:tc>
          <w:tcPr>
            <w:tcW w:w="26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Philadelphia, PA</w:t>
            </w:r>
          </w:p>
        </w:tc>
        <w:tc>
          <w:tcPr>
            <w:tcW w:w="52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22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66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Person(s) Filing:</w:t>
            </w:r>
          </w:p>
        </w:tc>
        <w:tc>
          <w:tcPr>
            <w:tcW w:w="0" w:type="dxa"/>
            <w:vAlign w:val="bottom"/>
          </w:tcPr>
          <w:p>
            <w:pPr>
              <w:spacing w:after="0"/>
              <w:rPr>
                <w:sz w:val="1"/>
                <w:szCs w:val="1"/>
                <w:color w:val="auto"/>
              </w:rPr>
            </w:pPr>
          </w:p>
        </w:tc>
      </w:tr>
    </w:tbl>
    <w:p>
      <w:pPr>
        <w:ind w:left="740"/>
        <w:spacing w:after="0"/>
        <w:rPr>
          <w:sz w:val="20"/>
          <w:szCs w:val="20"/>
          <w:color w:val="auto"/>
        </w:rPr>
      </w:pPr>
      <w:r>
        <w:rPr>
          <w:rFonts w:ascii="Courier New" w:cs="Courier New" w:eastAsia="Courier New" w:hAnsi="Courier New"/>
          <w:sz w:val="18"/>
          <w:szCs w:val="18"/>
          <w:color w:val="auto"/>
        </w:rPr>
        <w:t>Capital World Investors</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Residence: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rPr>
          <w:sz w:val="20"/>
          <w:szCs w:val="20"/>
          <w:color w:val="auto"/>
        </w:rPr>
      </w:pPr>
      <w:r>
        <w:rPr>
          <w:rFonts w:ascii="Courier New" w:cs="Courier New" w:eastAsia="Courier New" w:hAnsi="Courier New"/>
          <w:sz w:val="18"/>
          <w:szCs w:val="18"/>
          <w:color w:val="auto"/>
        </w:rPr>
        <w:t>Los Angeles, CA 90071</w:t>
      </w:r>
    </w:p>
    <w:p>
      <w:pPr>
        <w:sectPr>
          <w:pgSz w:w="11900" w:h="16856" w:orient="portrait"/>
          <w:cols w:equalWidth="0" w:num="1">
            <w:col w:w="10219"/>
          </w:cols>
          <w:pgMar w:left="240" w:top="110" w:right="1440" w:bottom="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56" w:orient="portrait"/>
          <w:cols w:equalWidth="0" w:num="3">
            <w:col w:w="960" w:space="520"/>
            <w:col w:w="1260" w:space="320"/>
            <w:col w:w="7159"/>
          </w:cols>
          <w:pgMar w:left="240" w:top="110" w:right="1440" w:bottom="0" w:gutter="0" w:footer="0" w:header="0"/>
          <w:type w:val="continuous"/>
        </w:sectPr>
      </w:pPr>
    </w:p>
    <w:p>
      <w:pPr>
        <w:spacing w:after="0" w:line="2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Class A Common Stock</w:t>
      </w:r>
    </w:p>
    <w:p>
      <w:pPr>
        <w:spacing w:after="0" w:line="169"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20030N101</w:t>
      </w:r>
    </w:p>
    <w:p>
      <w:pPr>
        <w:sectPr>
          <w:pgSz w:w="11900" w:h="16856" w:orient="portrait"/>
          <w:cols w:equalWidth="0" w:num="1">
            <w:col w:w="10219"/>
          </w:cols>
          <w:pgMar w:left="240" w:top="110" w:right="1440" w:bottom="0" w:gutter="0" w:footer="0" w:header="0"/>
          <w:type w:val="continuous"/>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2739" w:firstLine="421"/>
        <w:spacing w:after="0" w:line="292"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56" w:orient="portrait"/>
          <w:cols w:equalWidth="0" w:num="2">
            <w:col w:w="640" w:space="100"/>
            <w:col w:w="9479"/>
          </w:cols>
          <w:pgMar w:left="240" w:top="110"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939"/>
        <w:spacing w:after="0" w:line="292"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69"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30" w:lineRule="exact"/>
        <w:rPr>
          <w:rFonts w:ascii="Courier New" w:cs="Courier New" w:eastAsia="Courier New" w:hAnsi="Courier New"/>
          <w:sz w:val="18"/>
          <w:szCs w:val="18"/>
          <w:color w:val="auto"/>
        </w:rPr>
      </w:pP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16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right="2839"/>
        <w:spacing w:after="0" w:line="265" w:lineRule="auto"/>
        <w:rPr>
          <w:sz w:val="20"/>
          <w:szCs w:val="20"/>
          <w:color w:val="auto"/>
        </w:rPr>
      </w:pPr>
      <w:r>
        <w:rPr>
          <w:rFonts w:ascii="Courier New" w:cs="Courier New" w:eastAsia="Courier New" w:hAnsi="Courier New"/>
          <w:sz w:val="18"/>
          <w:szCs w:val="18"/>
          <w:color w:val="auto"/>
        </w:rPr>
        <w:t>Capital World Investors is deemed to be the beneficial owner of 120,738,008 shares or 5% of the 2,383,388,019 shares believed to be outstanding as a result of CRMC acting as investment adviser to various investment companies registered under Section 8 of the Investment Company Act of 1940.</w:t>
      </w:r>
    </w:p>
    <w:p>
      <w:pPr>
        <w:spacing w:after="0" w:line="29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3 of 4</w:t>
      </w:r>
    </w:p>
    <w:p>
      <w:pPr>
        <w:spacing w:after="0" w:line="201" w:lineRule="exact"/>
        <w:rPr>
          <w:sz w:val="20"/>
          <w:szCs w:val="20"/>
          <w:color w:val="auto"/>
        </w:rPr>
      </w:pPr>
    </w:p>
    <w:p>
      <w:pPr>
        <w:ind w:left="740" w:right="2839" w:hanging="736"/>
        <w:spacing w:after="0" w:line="265"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90" w:lineRule="exact"/>
        <w:rPr>
          <w:sz w:val="20"/>
          <w:szCs w:val="20"/>
          <w:color w:val="auto"/>
        </w:rPr>
      </w:pPr>
    </w:p>
    <w:p>
      <w:pPr>
        <w:ind w:left="740" w:right="3159" w:hanging="736"/>
        <w:spacing w:after="0" w:line="34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18" w:lineRule="exact"/>
        <w:rPr>
          <w:sz w:val="20"/>
          <w:szCs w:val="20"/>
          <w:color w:val="auto"/>
        </w:rPr>
      </w:pPr>
    </w:p>
    <w:p>
      <w:pPr>
        <w:jc w:val="both"/>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6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839"/>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tbl>
      <w:tblPr>
        <w:tblLayout w:type="fixed"/>
        <w:tblInd w:w="860" w:type="dxa"/>
        <w:tblCellMar>
          <w:top w:w="0" w:type="dxa"/>
          <w:left w:w="0" w:type="dxa"/>
          <w:bottom w:w="0" w:type="dxa"/>
          <w:right w:w="0" w:type="dxa"/>
        </w:tblCellMar>
      </w:tblPr>
      <w:tr>
        <w:trPr>
          <w:trHeight w:val="296"/>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2017</w:t>
            </w:r>
          </w:p>
        </w:tc>
      </w:tr>
      <w:tr>
        <w:trPr>
          <w:trHeight w:val="311"/>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N. 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 Berro - Partner</w:t>
            </w:r>
          </w:p>
        </w:tc>
      </w:tr>
      <w:tr>
        <w:trPr>
          <w:trHeight w:val="296"/>
        </w:trPr>
        <w:tc>
          <w:tcPr>
            <w:tcW w:w="1360" w:type="dxa"/>
            <w:vAlign w:val="bottom"/>
          </w:tcPr>
          <w:p>
            <w:pPr>
              <w:spacing w:after="0"/>
              <w:rPr>
                <w:sz w:val="24"/>
                <w:szCs w:val="24"/>
                <w:color w:val="auto"/>
              </w:rPr>
            </w:pPr>
          </w:p>
        </w:tc>
        <w:tc>
          <w:tcPr>
            <w:tcW w:w="264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Donald H. Rolfe</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Donald H. Rolfe</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060" w:right="2739"/>
        <w:spacing w:after="0" w:line="265" w:lineRule="auto"/>
        <w:rPr>
          <w:sz w:val="20"/>
          <w:szCs w:val="20"/>
          <w:color w:val="auto"/>
        </w:rPr>
      </w:pPr>
      <w:r>
        <w:rPr>
          <w:rFonts w:ascii="Courier New" w:cs="Courier New" w:eastAsia="Courier New" w:hAnsi="Courier New"/>
          <w:sz w:val="18"/>
          <w:szCs w:val="18"/>
          <w:color w:val="auto"/>
        </w:rPr>
        <w:t>Signed pursuant to a Power of Attorney dated January 4, 2017 included as an Exhibit to Schedule 13G filed with the Securities and Exchange Commission by Capital World Investors on February 10, 2017 with respect to ITT Educational Services, Inc.</w:t>
      </w:r>
    </w:p>
    <w:p>
      <w:pPr>
        <w:sectPr>
          <w:pgSz w:w="11900" w:h="16838" w:orient="portrait"/>
          <w:cols w:equalWidth="0" w:num="1">
            <w:col w:w="10219"/>
          </w:cols>
          <w:pgMar w:left="240" w:top="110" w:right="1440" w:bottom="0" w:gutter="0" w:footer="0" w:header="0"/>
        </w:sectPr>
      </w:pPr>
    </w:p>
    <w:bookmarkStart w:id="3" w:name="page4"/>
    <w:bookmarkEnd w:id="3"/>
    <w:p>
      <w:pPr>
        <w:spacing w:after="0" w:line="88"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20030N101</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2019-12-06T18:18:15Z</dcterms:created>
  <dcterms:modified xsi:type="dcterms:W3CDTF">2019-12-06T18:18:15Z</dcterms:modified>
</cp:coreProperties>
</file>