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194192_sd.htm"/>
      <w:bookmarkStart w:id="1" w:name="ksdp194192_sd"/>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SPECIALIZED DISCLOSURE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COMCAST CORPORATION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the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tbl>
      <w:tblPr>
        <w:tblW w:w="5340" w:type="dxa"/>
        <w:jc w:val="left"/>
        <w:tblInd w:w="0" w:type="dxa"/>
        <w:tblLayout w:type="fixed"/>
        <w:tblCellMar>
          <w:top w:w="0" w:type="dxa"/>
          <w:left w:w="0" w:type="dxa"/>
          <w:bottom w:w="0" w:type="dxa"/>
          <w:right w:w="0" w:type="dxa"/>
        </w:tblCellMar>
      </w:tblPr>
      <w:tblGrid>
        <w:gridCol w:w="2705"/>
        <w:gridCol w:w="1100"/>
        <w:gridCol w:w="1535"/>
      </w:tblGrid>
      <w:tr>
        <w:trPr/>
        <w:tc>
          <w:tcPr>
            <w:tcW w:w="27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Pennsylvania</w:t>
            </w:r>
          </w:p>
        </w:tc>
        <w:tc>
          <w:tcPr>
            <w:tcW w:w="11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001-32871</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27-0000798</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4255" w:type="dxa"/>
        <w:jc w:val="left"/>
        <w:tblInd w:w="0" w:type="dxa"/>
        <w:tblLayout w:type="fixed"/>
        <w:tblCellMar>
          <w:top w:w="0" w:type="dxa"/>
          <w:left w:w="0" w:type="dxa"/>
          <w:bottom w:w="0" w:type="dxa"/>
          <w:right w:w="0" w:type="dxa"/>
        </w:tblCellMar>
      </w:tblPr>
      <w:tblGrid>
        <w:gridCol w:w="3215"/>
        <w:gridCol w:w="104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Comcast Center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w:t>
            </w:r>
          </w:p>
        </w:tc>
        <w:tc>
          <w:tcPr>
            <w:tcW w:w="10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19103-2838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J. Reid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 and Secretary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 286-1700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including area code,</w:t>
        <w:br/>
        <w:t>of the person to contact in connection with this report.)</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305"/>
        <w:gridCol w:w="9900"/>
      </w:tblGrid>
      <w:tr>
        <w:trPr/>
        <w:tc>
          <w:tcPr>
            <w:tcW w:w="305"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13p-1 under the Securities Exchange Act (17 CFR 240.13p-1) for the reporting period from January 1 to December 31, 2022.</w:t>
            </w:r>
          </w:p>
        </w:tc>
      </w:tr>
      <w:tr>
        <w:trPr/>
        <w:tc>
          <w:tcPr>
            <w:tcW w:w="30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13q-1 under the Securities Exchange Act (17 CFR 240.13q-1) for the fiscal year ended _____________.</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Comcast Corporation (“Comcast”) has issued a Conflict Minerals Report for the period from January 1, 2022 to December 31, 2022. A copy of the Conflict Minerals Report is filed as Exhibit 1.01 hereto and is available at </w:t>
      </w:r>
      <w:r>
        <w:rPr>
          <w:rFonts w:ascii="Times New Roman;Times;Serif" w:hAnsi="Times New Roman;Times;Serif"/>
          <w:b w:val="false"/>
          <w:i/>
          <w:caps w:val="false"/>
          <w:smallCaps w:val="false"/>
          <w:sz w:val="20"/>
        </w:rPr>
        <w:t>https://www.cmcsa.com/esg-reporting</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Resource Extraction Issuer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Resource Extraction Issuer Disclosure and Report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Exhibits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 – Conflict Minerals Report as required by Items 1.01 and 1.02 of this Form.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115" w:type="dxa"/>
        <w:jc w:val="left"/>
        <w:tblInd w:w="0" w:type="dxa"/>
        <w:tblLayout w:type="fixed"/>
        <w:tblCellMar>
          <w:top w:w="30" w:type="dxa"/>
          <w:left w:w="30" w:type="dxa"/>
          <w:bottom w:w="30" w:type="dxa"/>
          <w:right w:w="30" w:type="dxa"/>
        </w:tblCellMar>
      </w:tblPr>
      <w:tblGrid>
        <w:gridCol w:w="1715"/>
        <w:gridCol w:w="605"/>
        <w:gridCol w:w="2795"/>
      </w:tblGrid>
      <w:tr>
        <w:trPr/>
        <w:tc>
          <w:tcPr>
            <w:tcW w:w="171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COMCAST CORPORATION</w:t>
            </w:r>
          </w:p>
        </w:tc>
      </w:tr>
      <w:tr>
        <w:trPr/>
        <w:tc>
          <w:tcPr>
            <w:tcW w:w="171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26, 2023</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9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J. Reid</w:t>
            </w:r>
          </w:p>
        </w:tc>
      </w:tr>
      <w:tr>
        <w:trPr/>
        <w:tc>
          <w:tcPr>
            <w:tcW w:w="171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J. Reid</w:t>
            </w:r>
          </w:p>
        </w:tc>
      </w:tr>
      <w:tr>
        <w:trPr/>
        <w:tc>
          <w:tcPr>
            <w:tcW w:w="171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Secretary</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ind w:left="0" w:right="0" w:hanging="0"/>
        <w:jc w:val="left"/>
        <w:rPr/>
      </w:pPr>
      <w:bookmarkStart w:id="2" w:name="dp194192_ex0101.htm"/>
      <w:bookmarkStart w:id="3" w:name="ksdp194192_ex0101"/>
      <w:bookmarkEnd w:id="2"/>
      <w:bookmarkEnd w:id="3"/>
      <w:r>
        <w:rPr/>
        <w:t> </w:t>
      </w:r>
      <w:r>
        <w:br w:type="page"/>
      </w:r>
    </w:p>
    <w:p>
      <w:pPr>
        <w:pStyle w:val="TextBody"/>
        <w:bidi w:val="0"/>
        <w:jc w:val="right"/>
        <w:rPr>
          <w:b/>
          <w:sz w:val="20"/>
        </w:rPr>
      </w:pPr>
      <w:r>
        <w:rPr>
          <w:b/>
          <w:sz w:val="20"/>
        </w:rPr>
        <w:t>Exhibit 1.01</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(this “Report”) of Comcast Corporation ( “Comcast”, the “Company,” “we,” “us,” or “our”) for calendar year 2022 has been prepared in accordance with Rule 13p-1 under the Securities Exchange Act of 1934 (“Rule 13p-1”), as modified by guidance of the Securities and Exchange Commission (the “Conflict Minerals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 Minerals Rule requires issuers to annually file a Form SD with the U.S. Securities and Exchange Commission (“SEC”) to disclose information regarding the use and origin of “Conflict Minerals” necessary for the functionality or production of products manufactured or contracted to be manufactured by such issuer. Under the Conflict Minerals Rule, “Conflict Minerals” currently include columbite-tantalite (coltan), cassiterite, gold, wolframite, and also their derivatives tantalum, tin and tungsten. We refer to gold, tantalum, tin and tungsten collectively as “3TG.” The purpose of the Conflict Minerals Rule is to discover if covered issuers’ use of 3TG may have directly or indirectly financed or benefitted armed groups in the Democratic Republic of Congo and its adjoining countries (the “Covered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describes the Company’s compliance program for products covered by the Conflict Minerals Rule, as well as steps taken to implement the compliance program, conduct in good faith an investigation as to the country of origin of the minerals used in the products that are within the scope of the Conflict Minerals Rule and perform due diligence on the source and chain of custody of such minerals (see “Product Description and Determination” below).</w:t>
      </w:r>
    </w:p>
    <w:p>
      <w:pPr>
        <w:pStyle w:val="TextBody"/>
        <w:bidi w:val="0"/>
        <w:spacing w:before="0" w:after="0"/>
        <w:ind w:left="376" w:right="376" w:hanging="0"/>
        <w:jc w:val="both"/>
        <w:rPr>
          <w:caps w:val="false"/>
          <w:smallCaps w:val="false"/>
        </w:rPr>
      </w:pPr>
      <w:r>
        <w:rPr>
          <w:caps w:val="false"/>
          <w:smallCaps w:val="false"/>
        </w:rPr>
        <w:t> </w:t>
      </w:r>
    </w:p>
    <w:p>
      <w:pPr>
        <w:pStyle w:val="TextBody"/>
        <w:bidi w:val="0"/>
        <w:spacing w:before="0" w:after="0"/>
        <w:ind w:left="376" w:right="37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based on information available at the time of filing. This Report may contain forward-looking statements regarding steps to be taken in the future, and those statements are subject to risks and uncertainties. References to any website in this Form SD or Report do not incorporate information from that website into this filing.</w:t>
      </w:r>
    </w:p>
    <w:p>
      <w:pPr>
        <w:pStyle w:val="TextBody"/>
        <w:bidi w:val="0"/>
        <w:spacing w:before="0" w:after="0"/>
        <w:ind w:left="141" w:right="141" w:hanging="0"/>
        <w:jc w:val="left"/>
        <w:rPr>
          <w:caps w:val="false"/>
          <w:smallCaps w:val="false"/>
        </w:rPr>
      </w:pPr>
      <w:r>
        <w:rPr>
          <w:caps w:val="false"/>
          <w:smallCaps w:val="false"/>
        </w:rPr>
        <w:t> </w:t>
      </w:r>
    </w:p>
    <w:p>
      <w:pPr>
        <w:pStyle w:val="TextBody"/>
        <w:bidi w:val="0"/>
        <w:spacing w:before="0" w:after="0"/>
        <w:ind w:left="141" w:right="1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that could cause actual actions or performance to differ materially from those expressed in the forward-looking statements. These risks and uncertainties include, but are not limited to, (1) the implementation of satisfactory traceability and other compliance measures by our direct and indirect suppliers on a timely basis or at all, (2) whether smelters and refiners and other market participants responsibly source conflict minerals, (3) internal and external resource constraints and (4) political and regulatory developments, whether in the Covered Countries, the United States or elsewhere. You are cautioned not to place undue reliance on these forward-looking statements, which speak only as of the date of filing of this Report. We do not intend, and undertake no obligation, to publish revised forward-looking statements to reflect events or circumstances after the date of filing of this Report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Description and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diligence measures set forth below were undertaken with respect to suppliers of the following products that the Company contracts to manufacture: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436"/>
        <w:gridCol w:w="9595"/>
      </w:tblGrid>
      <w:tr>
        <w:trPr/>
        <w:tc>
          <w:tcPr>
            <w:tcW w:w="17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 Glass television; and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25"/>
        <w:gridCol w:w="10030"/>
      </w:tblGrid>
      <w:tr>
        <w:trPr/>
        <w:tc>
          <w:tcPr>
            <w:tcW w:w="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lighting fixtures assembled by Cineo Lighting (collectively, the “Covered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taking the due diligence measures described below, we are not able to determine whether the 3TG smelter/refiner facilities used in our supply chain sourced 3TG from the Covered Countries and, if so, whether that 3TG was sourced from recycled, scrap or other conflict-free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Reasonable Country of Origin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Conflict Minerals Rule, our compliance process includes a Reasonable Country of Origin Inquiry (“RCOI”) seeking the location of the smelter/refiner facilities used to refine or process the 3TG used in the Covered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smelters and refiners that produce 3TG metals, and the mines from which the minerals are originally sourced, are many steps away from the Company in the supply chain, we rely on our suppliers to provide information to support our due diligence efforts. We have requested that the direct suppliers involved in our Covered Products conduct due diligence to identify the origin of the 3TG metals in the components or products they sell to us in seeking to ensure that the 3TG metals are sourced responsibly.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RCOI based on the smelter information received from these suppliers. We then compared this information with the RCOI database compiled by the Responsible Minerals Initiative (“RMI”), an industry initiative we are a member of. The RMI supports the collection of information, increased transparency, and smelter audits for due diligence over the mineral supply chain. Their RCOI database contains aggregated data on the origins of 3TG metals from smelters that conform with the RMI’s Responsible Minerals Assurance Process (“RMAP”). In some cases, information provided by our direct suppliers is incomplete, and suppliers are unable to confirm the country of origin information for 3TG metals. Based on data collected from the suppliers for the year ended December 31, 2022, we have reason to believe that 3TG metals contained in the Covered Products may have originated from one or more of the Covered Countries and were not from recycled or scrap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Annex 1 for a list of the identified smelters included in the Conflict Minerals Reporting Templates (“CMRT”) submitted by suppliers for the Covered Products and the smelter’s geographic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Comcast’s Due Diligence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designed our due diligence measures with respect to the source and chain of custody of conflict minerals in the Covered Products to conform, in all material respects, with the internationally recognized five-step framework recommended by the Organization for Economic Cooperation and Development (“OECD”) in its </w:t>
      </w:r>
      <w:r>
        <w:rPr>
          <w:rFonts w:ascii="Times New Roman;Times;Serif" w:hAnsi="Times New Roman;Times;Serif"/>
          <w:b w:val="false"/>
          <w:i/>
          <w:caps w:val="false"/>
          <w:smallCaps w:val="false"/>
          <w:sz w:val="20"/>
        </w:rPr>
        <w:t>Due Diligence Guidance for Responsible Supply Chains of Minerals from Conflict-Affected and High-Risk Areas</w:t>
      </w:r>
      <w:r>
        <w:rPr>
          <w:rFonts w:ascii="Times New Roman;Times;Serif" w:hAnsi="Times New Roman;Times;Serif"/>
          <w:b w:val="false"/>
          <w:i w:val="false"/>
          <w:caps w:val="false"/>
          <w:smallCaps w:val="false"/>
          <w:sz w:val="20"/>
        </w:rPr>
        <w:t>, Third Edition (OECD, 2016) (the “OECD Framework”). These five steps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OECD Step 1: Establish Strong Company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taken the following steps to strengthen our company management systems with respect to Conflicts Minerals matters: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Instituted a Conflicts Minerals Policy</w:t>
            </w:r>
            <w:r>
              <w:rPr>
                <w:rFonts w:ascii="Times New Roman;Times;Serif" w:hAnsi="Times New Roman;Times;Serif"/>
                <w:sz w:val="20"/>
              </w:rPr>
              <w:t xml:space="preserve">. We maintain a Conflict Minerals Policy (the “Conflict Minerals Policy”) with respect to Covered Products that sets forth (i) our support for sourcing conflict-free materials from the Covered Countries in accordance with the OECD Framework, and (ii) our expectations of suppliers in support of our compliance activities. The Conflict Minerals Policy is publicly available at </w:t>
            </w:r>
            <w:r>
              <w:rPr>
                <w:rFonts w:ascii="Times New Roman;Times;Serif" w:hAnsi="Times New Roman;Times;Serif"/>
                <w:i/>
                <w:sz w:val="20"/>
              </w:rPr>
              <w:t>https://www.cmcsa.com/esg-reporting</w:t>
            </w:r>
            <w:r>
              <w:rPr>
                <w:rFonts w:ascii="Times New Roman;Times;Serif" w:hAnsi="Times New Roman;Times;Serif"/>
                <w:sz w:val="20"/>
              </w:rPr>
              <w:t>.</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Created a Cross-Functional Working Group to Support Conflict Minerals Due Diligence</w:t>
            </w:r>
            <w:r>
              <w:rPr>
                <w:rFonts w:ascii="Times New Roman;Times;Serif" w:hAnsi="Times New Roman;Times;Serif"/>
                <w:sz w:val="20"/>
              </w:rPr>
              <w:t>. The implementation of our RCOI, conducting due diligence on the source and chain of custody of conflict minerals in the Covered Products and identifying Covered Products are managed by a cross-functional working group that includes representatives across our primary business units from procurement, compliance, sustainability, accounting and legal departments (the “Conflict Minerals Working Group”). We have in the past also worked with specialist consultancy service providers to assist in tracking data, assessing risks and preparing our reporting information.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Established a Conflict Minerals Supply Chain Due Diligence Process</w:t>
            </w:r>
            <w:r>
              <w:rPr>
                <w:rFonts w:ascii="Times New Roman;Times;Serif" w:hAnsi="Times New Roman;Times;Serif"/>
                <w:sz w:val="20"/>
              </w:rPr>
              <w:t>. We have requested that the direct suppliers involved in our Covered Products conduct due diligence to identify the origin of the 3TG metals in the components or products they sell to us in seeking to ensure that the 3TG metals are sourced responsibly. These suppliers are expected to extend a similar identification process to their own suppliers and cascade them down the supply chain until the origin of 3TG metals contained in the products supplied to us can be identified. These suppliers report their progress through the RMI’s CMRT. The CMRT is designed to identify the smelters from which any 3TG metals in each of the Covered Products are sourced.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Provided a Company-level Grievance Mechanism for Reporting Concerns</w:t>
            </w:r>
            <w:r>
              <w:rPr>
                <w:rFonts w:ascii="Times New Roman;Times;Serif" w:hAnsi="Times New Roman;Times;Serif"/>
                <w:sz w:val="20"/>
              </w:rPr>
              <w:t xml:space="preserve">. Our Comcast NBCUniversal Listens and Sky Listens programs outlined in our Code of Conduct (available at </w:t>
            </w:r>
            <w:r>
              <w:rPr>
                <w:rFonts w:ascii="Times New Roman;Times;Serif" w:hAnsi="Times New Roman;Times;Serif"/>
                <w:i/>
                <w:sz w:val="20"/>
              </w:rPr>
              <w:t>https://corporate.comcast.com/impact/values-integrity/integrity/code-of-conduct</w:t>
            </w:r>
            <w:r>
              <w:rPr>
                <w:rFonts w:ascii="Times New Roman;Times;Serif" w:hAnsi="Times New Roman;Times;Serif"/>
                <w:sz w:val="20"/>
              </w:rPr>
              <w:t xml:space="preserve">) provides a company-level grievance mechanism for reporting any concerns related to allegations of illegal or unethical conduct or violations of Comcast’s Code of Conduct and policies, including those related to conflict minerals. It can be used by employees, contractors, suppliers’ employees or contractors, business partners or any other individual or organization to report concerns, anonymously if they prefer. Information on our Code of Conduct for Suppliers and Business Partners is available on our website at </w:t>
            </w:r>
            <w:r>
              <w:rPr>
                <w:rFonts w:ascii="Times New Roman;Times;Serif" w:hAnsi="Times New Roman;Times;Serif"/>
                <w:i/>
                <w:sz w:val="20"/>
              </w:rPr>
              <w:t>https://corporate.comcast.com/impact/values-integrity/integrity/our-suppliers-and-business-partners</w:t>
            </w:r>
            <w:r>
              <w:rPr>
                <w:rFonts w:ascii="Times New Roman;Times;Serif" w:hAnsi="Times New Roman;Times;Serif"/>
                <w:sz w:val="20"/>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Collaboration with industry coalitions in support of our due diligence efforts</w:t>
            </w:r>
            <w:r>
              <w:rPr>
                <w:rFonts w:ascii="Times New Roman;Times;Serif" w:hAnsi="Times New Roman;Times;Serif"/>
                <w:sz w:val="20"/>
              </w:rPr>
              <w:t>. Comcast is a member of the Responsible Business Alliance (“RBA”) and the RMI and engages with these organizations to better understand best practices and help improve due diligence.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OECD Step 2: Identify and Assess Risks in the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identify and assess conflict minerals risks in our supply chain, we requested that the suppliers of Covered Products complete the CMRT. We then analyzed their responses, and if we identified disclosure-related risks, we followed up with such supplier to further assess.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individuals within the Conflict Minerals Working Group managed the collection of information reported on the CMRT, coordinated follow-up communications with suppliers as needed, and evaluated information collected as well as additional information that may be available from other sources for potential red flags and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compared the smelters identified in our supplier responses with the RMI List of All Operational 3TG Smelters, the RMI Smelter Revision History List, the RMI List of Conformant Smelters and the RMI List of Active Smelters. These lists are maintained online by the RMI and are frequently updated to reflect changes in the reporting status of various smelters.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Annex 1 for a list of the identified smelters included in the CMRT submitted by suppliers for the Covered Products and the smelter’s geographic location.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OECD Step 3: Design and Implement a Strategy to Respond to Identified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respond to material identified risks in the supply chain includes a range of measures that form part of our due diligence process.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review supplier responses to the CMRT and follow up with suppliers to request clarification or more complete responses where necessary.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potentially material risks are identified, we have communication processes to notify relevant management and engage with suppliers and request their commitment to corrective actions to manage these risks, including to improve data quality.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ask that, when suppliers of Covered Products identify smelters within the supply chain that are RMAP Non-Conformant, suppliers encourage the smelters to participate in the RMAP process or consider alternate sourcing arrangements.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OECD Step 4: Carry Out Independent Third-Party Audit of Smelter/Refiner’s Due Diligence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downstream consumer of 3TG and are many steps removed from the smelters that provide minerals and ores. Because we do not have a direct relationship with any smelter/refiner facilities for minerals contained in the Covered Products, we are unable to conduct audits of these entities. Instead, as recommended by the OECD Framework, we participate in industry initiatives for the development and implementation of a smelter/refiner audit program through our membership with the RMI, which administers the Responsible Minerals Assurance Process, which includes an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OECD Step 5: Report Annually on Supply Chain Due Diligence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Report and the related Form SD are publicly available online at </w:t>
      </w:r>
      <w:r>
        <w:rPr>
          <w:rFonts w:ascii="Times New Roman;Times;Serif" w:hAnsi="Times New Roman;Times;Serif"/>
          <w:b w:val="false"/>
          <w:i/>
          <w:caps w:val="false"/>
          <w:smallCaps w:val="false"/>
          <w:sz w:val="20"/>
        </w:rPr>
        <w:t>https://www.cmcsa.com/financials/sec-filings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Diligence Performed and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2022 calendar year reporting period, we performed the following due diligence measures with respect to Covered Products: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sz w:val="20"/>
              </w:rPr>
            </w:pPr>
            <w:r>
              <w:rPr>
                <w:sz w:val="20"/>
              </w:rPr>
              <w:t>Collected information through the CMRT from suppliers on the smelters and refiners of conflict minerals that were reported to be in the supply chain during 2022;</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sz w:val="20"/>
              </w:rPr>
            </w:pPr>
            <w:r>
              <w:rPr>
                <w:sz w:val="20"/>
              </w:rPr>
              <w:t>Compared the reported smelters and refiners to the list of smelters and refiners found by RMI to be conformant (or actively pursuing conformity) with the RMAP standards;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sz w:val="20"/>
              </w:rPr>
            </w:pPr>
            <w:r>
              <w:rPr>
                <w:sz w:val="20"/>
              </w:rPr>
              <w:t>Reviewed available information from certain additional resources on the sourcing and due diligence practices of the reported smelters and refiners;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sz w:val="20"/>
              </w:rPr>
            </w:pPr>
            <w:r>
              <w:rPr>
                <w:sz w:val="20"/>
              </w:rPr>
              <w:t>Supported the RMI’s programs and initiatives, such as the RMAP, and attended RMI working group meetings and the RMI annual conference.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determine the mine or location of origin consisted of the due diligence measures described in this Report. As a downstream consumer of 3TG, we do not have a direct relationship with any of the reported smelters and refiners, and we relied upon our suppliers and third-party organizations such as RMI to review upstream information, including the mine or location of origin of necessary conflict minerals. We believe that seeking information about 3TG smelter/refiner facilities in our supply chain and otherwise participating in the RMI’s assessment program as described above represents a reasonable effort to determine the mines or locations of origin of 3TG in our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responses from 100% of the suppliers surveyed. The survey included 48 suppliers identified as potentially incorporating 3TG into Covered Products supplied to the Company. The relevant suppliers declared a total of 270 unique smelter names as the source of 3TG in the Covered Products. Of those smelters, 217 were designated as conformant or active under the RMAP as of December 31, 2022. However, we are unable to link specific smelters to our applicable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1 contains a list of the unique smelter names disclosed to us by suppliers of the Covered Products and the smelter’s geographic location. Based on the information provided by the suppliers, from the RMAP and from other sources, we believe that the countries of origin of the conflict minerals contained in some of our Covered Products might include Covered Countries, as well as recycled and scrap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2 contains the aggregated list of countries of origin of the conflict minerals used by the smelter facilities listed in Annex 1 based on input from RMI and our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Continuous Improvement Efforts to Mitigate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efforts to reduce violence associated with conflict minerals are ongoing and require us to adapt to changing situations. We are committed to improving our compliance processes and engaging with suppliers of Covered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improve our compliance processes including, but not limited to, taking the following steps for the 2023 reporting year with respect to Covered Products: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We will continue to engage with our in-scope suppliers to gain better visibility of the country of origin and chain of custody of the 3TG used in our in-scope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We will use and encourage our in-scope suppliers to use publicly available tools from the RMI and to source from conflict-free smelters that are listed as conformant by the RMI.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We will continue to work with our in-scope suppliers and engage with our supply chain to increase the quality of the data provided to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35"/>
        <w:gridCol w:w="10017"/>
      </w:tblGrid>
      <w:tr>
        <w:trPr/>
        <w:tc>
          <w:tcPr>
            <w:tcW w:w="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7" w:type="dxa"/>
            <w:tcBorders/>
            <w:vAlign w:val="center"/>
          </w:tcPr>
          <w:p>
            <w:pPr>
              <w:pStyle w:val="TableContents"/>
              <w:bidi w:val="0"/>
              <w:spacing w:before="0" w:after="283"/>
              <w:jc w:val="both"/>
              <w:rPr>
                <w:sz w:val="20"/>
              </w:rPr>
            </w:pPr>
            <w:r>
              <w:rPr>
                <w:sz w:val="20"/>
              </w:rPr>
              <w:t>We will continue to be a member of the RMI and contribute to their various initiatives.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We will continue to require our in-scope suppliers to adhere to applicable laws and regulations and support our due diligence efforts if their products do contain conflict minerals.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Identified Smelters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270 identified Smelters, 217 were RMAP “Active” or “Conformant” as of December 31, 2022)</w:t>
      </w:r>
    </w:p>
    <w:p>
      <w:pPr>
        <w:pStyle w:val="TextBody"/>
        <w:bidi w:val="0"/>
        <w:spacing w:before="0" w:after="0"/>
        <w:ind w:left="0" w:right="0" w:hanging="0"/>
        <w:jc w:val="center"/>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6360" w:type="dxa"/>
        <w:jc w:val="left"/>
        <w:tblInd w:w="-10" w:type="dxa"/>
        <w:tblLayout w:type="fixed"/>
        <w:tblCellMar>
          <w:top w:w="0" w:type="dxa"/>
          <w:left w:w="100" w:type="dxa"/>
          <w:bottom w:w="28" w:type="dxa"/>
          <w:right w:w="28" w:type="dxa"/>
        </w:tblCellMar>
      </w:tblPr>
      <w:tblGrid>
        <w:gridCol w:w="905"/>
        <w:gridCol w:w="5090"/>
        <w:gridCol w:w="365"/>
      </w:tblGrid>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8853 S.p.A.</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Advanced Chemical Company</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Aida Chemical Industries Co.,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 Etihad Gold Refinery DMCC</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Allgemeine Gold-und Silberscheideanstalt A.G.</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Almalyk Mining and Metallurgical Complex (AMMC)</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AngloGold Ashanti Corrego do Sitio Mineracao</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Argor-Heraeus S.A.</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Pretec Corp.</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Canada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USA Inc.</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Asaka Riken Co.,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 Traders and Refiners</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AG</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Bangalore Refinery</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Bangko Sentral ng Pilipinas (Central Bank of the Philippines)</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Boliden AB</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Hafner GmbH + Co. KG</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 Metales Procesados Industriales SAS</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CCR Refinery - Glencore Canada Corporation</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Cendres + Metaux S.A.</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Chimet S.p.A.</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Chugai Mining</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Daye Non-Ferrous Metals Mining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DODUCO Contacts and Refining GmbH</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 PRETECH Co.,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DSC (Do Sung Corporation)</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North Plant</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West Plant</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Emirates Gold DMCC</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GCC Gujrat Gold Centre Pvt.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Geib Refining Corporation</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Refinery of Zijin Mining Group Co., Ltd.</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50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Great Wall Precious Metals Co., Ltd. of CBPM</w:t>
            </w:r>
          </w:p>
        </w:tc>
        <w:tc>
          <w:tcPr>
            <w:tcW w:w="3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7980" w:type="dxa"/>
        <w:jc w:val="left"/>
        <w:tblInd w:w="-10" w:type="dxa"/>
        <w:tblLayout w:type="fixed"/>
        <w:tblCellMar>
          <w:top w:w="0" w:type="dxa"/>
          <w:left w:w="100" w:type="dxa"/>
          <w:bottom w:w="28" w:type="dxa"/>
          <w:right w:w="28" w:type="dxa"/>
        </w:tblCellMar>
      </w:tblPr>
      <w:tblGrid>
        <w:gridCol w:w="905"/>
        <w:gridCol w:w="6665"/>
        <w:gridCol w:w="410"/>
      </w:tblGrid>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HeeSung Metal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Heimerle + Meule GmbH</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Metals Hong Kong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Precious Metals GmbH &amp; Co. KG</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Inner Mongolia Qiankun Gold and Silver Refinery Share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Ishifuku Metal Industry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Istanbul Gold Refinery</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Italpreziosi</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Mint</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Copper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Uralelectromed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JX Nippon Mining &amp; Metals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Kazzinc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KZ</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Kennecott Utah Copper LLC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KGHM Polska Miedz Spolka Akcyjna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Kojima Chemicals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Zinc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Kyrgyzaltyn JSC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L'Orfebre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LS-NIKKO Copper Inc.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Marsam Metals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Matsuda Sangyo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 Concentrators SA (Pty)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(Hong Kong)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(Singapore) Pte.,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SG</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(Suzhou)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USA Refining Corporation</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Metalurgica Met-Mex Penoles S.A. De C.V.</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MX</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MMTC-PAMP India Pvt.,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Moscow Special Alloys Processing Plant</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Nadir Metal Rafineri San. Ve Tic. A.S.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Navoi Mining and Metallurgical Combinat</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NH Recytech Company</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Nihon Material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Ogussa Osterreichische Gold- und Silber-Scheideanstalt GmbH</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Ohura Precious Metal Industry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9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666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OJSC “The Gulidov Krasnoyarsk Non-Ferrous Metals Plant” (OJSC Krastsvetmet)</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 </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6315" w:type="dxa"/>
        <w:jc w:val="left"/>
        <w:tblInd w:w="-10" w:type="dxa"/>
        <w:tblLayout w:type="fixed"/>
        <w:tblCellMar>
          <w:top w:w="0" w:type="dxa"/>
          <w:left w:w="100" w:type="dxa"/>
          <w:bottom w:w="28" w:type="dxa"/>
          <w:right w:w="28" w:type="dxa"/>
        </w:tblCellMar>
      </w:tblPr>
      <w:tblGrid>
        <w:gridCol w:w="1250"/>
        <w:gridCol w:w="4670"/>
        <w:gridCol w:w="395"/>
      </w:tblGrid>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OJSC Novosibirsk Refinery</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PAMP 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Planta Recuperadora de Metales SpA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Prioksky Plant of Non-Ferrous Metals</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Aneka Tambang (Persero) Tbk</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PX Precinox 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 Refinery (Pty)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REMONDIS PMR B.V.</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NL</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Canadian Mint</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SAAMP</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Safimet S.p.A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SAFINA A.S.</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CZ</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Samduck Precious Metals</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SAXONIA Edelmetalle GmbH</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SEMPSA Joyeria Plateria 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Zhaojin Gold &amp; Silver Refinery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Sichuan Tianze Precious Metals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Singway Technology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SOE Shyolkovsky Factory of Secondary Precious Metals</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Applied Materials Technology Corp.</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Sumitomo Metal Mining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SungEel HiMetal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T.C.A S.p.A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Tanaka Kikinzoku Kogyo K.K.</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Refinery of Shandong Gold Mining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Tokuriki Honten Co., Ltd.</w:t>
            </w:r>
          </w:p>
        </w:tc>
        <w:tc>
          <w:tcPr>
            <w:tcW w:w="395"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 Tau-Ken-Altyn</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KZ</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Torecom</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Brasil Ltda.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Precious Metals Thailand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S.A. Business Unit Precious Metals Refining</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Precious Metal Refining, Inc.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Valcambi 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Western Australian Mint (T/a The Perth Mint)</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WIELAND Edelmetalle GmbH</w:t>
            </w:r>
          </w:p>
        </w:tc>
        <w:tc>
          <w:tcPr>
            <w:tcW w:w="395"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Yamakin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Yokohama Metal Co., Ltd.</w:t>
            </w:r>
          </w:p>
        </w:tc>
        <w:tc>
          <w:tcPr>
            <w:tcW w:w="395"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(Au)</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Zhongyuan Gold Smelter of Zhongjin Gold Corporation</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Asaka Riken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Changsha South Tantalum Niobium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Block Metals, LLC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46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Exotech Inc.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 </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8490" w:type="dxa"/>
        <w:jc w:val="left"/>
        <w:tblInd w:w="-10" w:type="dxa"/>
        <w:tblLayout w:type="fixed"/>
        <w:tblCellMar>
          <w:top w:w="0" w:type="dxa"/>
          <w:left w:w="100" w:type="dxa"/>
          <w:bottom w:w="28" w:type="dxa"/>
          <w:right w:w="28" w:type="dxa"/>
        </w:tblCellMar>
      </w:tblPr>
      <w:tblGrid>
        <w:gridCol w:w="1250"/>
        <w:gridCol w:w="6830"/>
        <w:gridCol w:w="410"/>
      </w:tblGrid>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F&amp;X Electro-Materials Ltd.</w:t>
            </w:r>
          </w:p>
        </w:tc>
        <w:tc>
          <w:tcPr>
            <w:tcW w:w="41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 Metals &amp; Resource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Aizu</w:t>
            </w:r>
          </w:p>
        </w:tc>
        <w:tc>
          <w:tcPr>
            <w:tcW w:w="41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Boyertown</w:t>
            </w:r>
          </w:p>
        </w:tc>
        <w:tc>
          <w:tcPr>
            <w:tcW w:w="41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Rising Rare Metals-EO Materials Ltd.</w:t>
            </w:r>
          </w:p>
        </w:tc>
        <w:tc>
          <w:tcPr>
            <w:tcW w:w="41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Zhiyuan New Material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Hermsdorf GmbH</w:t>
            </w:r>
          </w:p>
        </w:tc>
        <w:tc>
          <w:tcPr>
            <w:tcW w:w="41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Inc.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Smelting GmbH &amp; Co. KG</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Tantalum and Niobium GmbH</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Hengyang King Xing Lifeng New Materials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Dinghai Tantalum &amp; Niobium Co., Ltd.</w:t>
            </w:r>
          </w:p>
        </w:tc>
        <w:tc>
          <w:tcPr>
            <w:tcW w:w="410" w:type="dxa"/>
            <w:tcBorders>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Tuohong New Raw Material</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JinXin Nonferrous Metals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Tanbre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Zhongao Tantalum &amp; Niobium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KEMET Blue Metals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MX</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KEMET Blue Powder</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LSM Brasil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Metallurgical Products India Pvt.,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Mineracao Taboca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Ningxia Orient Tantalum Industry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NPM Silmet AS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EE</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Resources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MK</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QuantumClean</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Industria e Comercio Ltda.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RFH Tantalum Smeltery Co., Ltd./Yanling Jincheng Tantalum &amp; Niobium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Solikamsk Magnesium Works OAO</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 Chemical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Telex Metals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Ulba Metallurgical Plant JSC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KZ</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 (Ta)</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XinXing HaoRong Electronic Material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Alpha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Chenzhou Yunxiang Mining and Metallurgy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Chifeng Dajingzi Tin Industry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Tin Group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Synergies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w:t>
            </w:r>
          </w:p>
        </w:tc>
      </w:tr>
      <w:tr>
        <w:trPr/>
        <w:tc>
          <w:tcPr>
            <w:tcW w:w="12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68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Venus Inti Perkasa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 </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5895" w:type="dxa"/>
        <w:jc w:val="left"/>
        <w:tblInd w:w="-10" w:type="dxa"/>
        <w:tblLayout w:type="fixed"/>
        <w:tblCellMar>
          <w:top w:w="0" w:type="dxa"/>
          <w:left w:w="100" w:type="dxa"/>
          <w:bottom w:w="28" w:type="dxa"/>
          <w:right w:w="28" w:type="dxa"/>
        </w:tblCellMar>
      </w:tblPr>
      <w:tblGrid>
        <w:gridCol w:w="755"/>
        <w:gridCol w:w="4730"/>
        <w:gridCol w:w="410"/>
      </w:tblGrid>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Dongguan CiEXPO Environmental Engineering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 Vinto</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Estanho de Rondonia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Fenix Metals</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Fengming Metallurgy Chemical Plant</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Kai Meng Industry and Trade LLC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Non-Ferrous Metal Processing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Yunxin Nonferrous Electrolysis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Zili Mining And Metallurgy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Hanhe Non-Ferrous Metal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Guanyang Guida Nonferrous Metal Smelting Plant</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HuiChang Hill Tin Industry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Huichang Jinshunda Tin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New Nanshan Technology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Luna Smelter,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Ma'anshan Weitai Tin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Magnu's Minerais Metais e Ligas Ltda.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 Smelting Corporation (MSC)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Melt Metais e Ligas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Metallic Resources, Inc.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Metallo Belgium N.V.</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Metallo Spain S.L.U.</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Mineracao Taboca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Minsur</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Modeltech Sdn Bhd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Novosibirsk Processing Plant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(Thailand) Co., Ltd.</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Philippines, Inc.</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Operaciones Metalurgicas 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Artha Cipta Langgeng</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ATD Makmur Mandiri Jaya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Babel Inti Perkasa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Babel Surya Alam Lestari</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Bangka Serumpun</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Bukit Timah</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Lautan Harmonis Sejahtera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Menara Cipta Mulia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Stania Prima</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75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73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Sukses Globalindo</w:t>
            </w:r>
          </w:p>
        </w:tc>
        <w:tc>
          <w:tcPr>
            <w:tcW w:w="41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 </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6495" w:type="dxa"/>
        <w:jc w:val="left"/>
        <w:tblInd w:w="-10" w:type="dxa"/>
        <w:tblLayout w:type="fixed"/>
        <w:tblCellMar>
          <w:top w:w="0" w:type="dxa"/>
          <w:left w:w="100" w:type="dxa"/>
          <w:bottom w:w="28" w:type="dxa"/>
          <w:right w:w="28" w:type="dxa"/>
        </w:tblCellMar>
      </w:tblPr>
      <w:tblGrid>
        <w:gridCol w:w="1205"/>
        <w:gridCol w:w="4895"/>
        <w:gridCol w:w="395"/>
      </w:tblGrid>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Prima Timah Utama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Rajawali Rimba Perkasa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Rajehan Ariq</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Refined Bangka Tin</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Sariwiguna Binasentosa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Stanindo Inti Perkasa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Sukses Inti Makmur</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Nusantara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Kundur</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Mentok</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Tinindo Inter Nusa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Industria e Comercio Ltda.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Da Hung</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 Metais Ltda.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Ligas</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 Nguyen Mining and Metallurgy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Thaisarco</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Technology &amp; Refining</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 Solder Metalurgia e Mineracao Ltda.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Chengfeng Non-ferrous Metals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Tin Company Limited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(Sn)</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Yunfan Non-ferrous Metals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A.L.M.T. Corp.</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ACL Metais Eireli</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Albasteel Industria e Comercio de Ligas Para Fundicao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Asia Tungsten Products Vietnam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Chenzhou Diamond Tungsten Products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Molybdenum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Chongyi Zhangyuan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Cronimet Brasil Ltda</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Ganmin RareMetal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Jinxin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Haichuang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Huaxing Tungsten Products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Jiangwu Ferrotungsten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Seadragon W &amp; Mo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Tungsten &amp; Powders Corp.</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Xianglu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Smelting GmbH &amp; Co. KG</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Tungsten GmbH</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Chenzhou Mining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48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Chuangda Vanadium Tungsten Co., Ltd. Wuji</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 </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10" w:type="dxa"/>
        <w:tblLayout w:type="fixed"/>
        <w:tblCellMar>
          <w:top w:w="28" w:type="dxa"/>
          <w:left w:w="100" w:type="dxa"/>
          <w:bottom w:w="28" w:type="dxa"/>
          <w:right w:w="28" w:type="dxa"/>
        </w:tblCellMar>
      </w:tblPr>
      <w:tblGrid>
        <w:gridCol w:w="590"/>
        <w:gridCol w:w="1280"/>
        <w:gridCol w:w="800"/>
      </w:tblGrid>
      <w:tr>
        <w:trPr/>
        <w:tc>
          <w:tcPr>
            <w:tcW w:w="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Metal</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Smelter Name</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FFFFFF"/>
                <w:sz w:val="20"/>
              </w:rPr>
            </w:pPr>
            <w:r>
              <w:rPr>
                <w:rFonts w:ascii="Times New Roman;Times;Serif" w:hAnsi="Times New Roman;Times;Serif"/>
                <w:b/>
                <w:color w:val="FFFFFF"/>
                <w:sz w:val="20"/>
              </w:rPr>
              <w:t>Country</w:t>
            </w:r>
          </w:p>
        </w:tc>
      </w:tr>
    </w:tbl>
    <w:tbl>
      <w:tblPr>
        <w:tblW w:w="6990" w:type="dxa"/>
        <w:jc w:val="left"/>
        <w:tblInd w:w="-10" w:type="dxa"/>
        <w:tblLayout w:type="fixed"/>
        <w:tblCellMar>
          <w:top w:w="0" w:type="dxa"/>
          <w:left w:w="100" w:type="dxa"/>
          <w:bottom w:w="28" w:type="dxa"/>
          <w:right w:w="28" w:type="dxa"/>
        </w:tblCellMar>
      </w:tblPr>
      <w:tblGrid>
        <w:gridCol w:w="1205"/>
        <w:gridCol w:w="5390"/>
        <w:gridCol w:w="395"/>
      </w:tblGrid>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Chunchang Nonferrous Metals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Litian Tungsten Industry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Hydrometallurg, JSC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New Metals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Jiangwu H.C. Starck Tungsten Products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Gan Bei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Tonggu Non-ferrous Metallurgical &amp; Chemical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Xinsheng Tungsten Industry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Yaosheng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"Kirovgrad Hard Alloys Plant"</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Fallon</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Huntsville</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KGETS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Lianyou Metals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Malipo Haiyu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Masan Tungsten Chemical LLC (MTC)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Moliren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Niagara Refining LLC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Chuangxin Industrial Co., Inc.</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Tejing (Vietnam)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Unecha Refractory metals plant</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Wolfram Bergbau und Hutten AG</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Woltech Korea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(H.C.)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Xinfeng Huarui Tungsten &amp; Molybdenum New Material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r>
        <w:trPr/>
        <w:tc>
          <w:tcPr>
            <w:tcW w:w="120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(W)</w:t>
            </w:r>
          </w:p>
        </w:tc>
        <w:tc>
          <w:tcPr>
            <w:tcW w:w="53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Xinhai Rendan Shaoguan Tungsten Co., Ltd.</w:t>
            </w:r>
          </w:p>
        </w:tc>
        <w:tc>
          <w:tcPr>
            <w:tcW w:w="395"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Countries of Origin of 3TG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Based on RMI March 31, 2023, Data</w:t>
      </w:r>
    </w:p>
    <w:p>
      <w:pPr>
        <w:pStyle w:val="TextBody"/>
        <w:bidi w:val="0"/>
        <w:spacing w:before="0" w:after="0"/>
        <w:ind w:left="0" w:right="0" w:hanging="0"/>
        <w:jc w:val="center"/>
        <w:rPr>
          <w:caps w:val="false"/>
          <w:smallCaps w:val="false"/>
        </w:rPr>
      </w:pPr>
      <w:r>
        <w:rPr>
          <w:caps w:val="false"/>
          <w:smallCaps w:val="false"/>
        </w:rPr>
        <w:t> </w:t>
      </w:r>
    </w:p>
    <w:tbl>
      <w:tblPr>
        <w:tblW w:w="9000" w:type="dxa"/>
        <w:jc w:val="left"/>
        <w:tblInd w:w="-10" w:type="dxa"/>
        <w:tblLayout w:type="fixed"/>
        <w:tblCellMar>
          <w:top w:w="28" w:type="dxa"/>
          <w:left w:w="100" w:type="dxa"/>
          <w:bottom w:w="28" w:type="dxa"/>
          <w:right w:w="28" w:type="dxa"/>
        </w:tblCellMar>
      </w:tblPr>
      <w:tblGrid>
        <w:gridCol w:w="3020"/>
        <w:gridCol w:w="1550"/>
        <w:gridCol w:w="4430"/>
      </w:tblGrid>
      <w:tr>
        <w:trPr/>
        <w:tc>
          <w:tcPr>
            <w:tcW w:w="30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Argentina</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Guinea</w:t>
            </w:r>
          </w:p>
        </w:tc>
        <w:tc>
          <w:tcPr>
            <w:tcW w:w="4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Guyana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Honduras</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Azerbaijan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Russian Federation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Benin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Ivory Coast</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Saudi Arabia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Botswana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Senegal</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Serbia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Burkina Faso</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Kenya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Sierra Leone</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Burundi*</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Kyrgyzstan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Cambodia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Laos</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Liberia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Sudan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Suriname</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Mauritania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Swaziland</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Congo, Democratic Republic of the*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Sweden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Dominican Republic</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Mongolia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Ecuador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Morocco</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Tanzania*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Egypt</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Mozambique</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Eritrea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Myanmar</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Ethiopia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Namibia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Uganda*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Fiji</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Zealand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 of Great Britain and Northern Ireland</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Finland</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Nicaragua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Niger</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French Guiana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Nigeria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Venezuela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Oman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Vietnam</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Ghana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Panama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Zambia*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Guatemala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Papua New Guinea</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Zimbabwe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4910</Words>
  <Characters>26160</Characters>
  <CharactersWithSpaces>30156</CharactersWithSpaces>
  <Paragraphs>1182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