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14a-101)</w:t>
      </w:r>
    </w:p>
    <w:p>
      <w:pPr>
        <w:spacing w:after="0" w:line="219"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52"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52" w:lineRule="exact"/>
        <w:rPr>
          <w:sz w:val="24"/>
          <w:szCs w:val="24"/>
          <w:color w:val="auto"/>
        </w:rPr>
      </w:pPr>
    </w:p>
    <w:p>
      <w:pPr>
        <w:ind w:left="2980"/>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21"/>
          <w:szCs w:val="21"/>
          <w:b w:val="1"/>
          <w:bCs w:val="1"/>
          <w:color w:val="auto"/>
        </w:rPr>
        <w:t>Exchange Act of 1934 (Amendment No.</w:t>
      </w:r>
      <w:r>
        <w:rPr>
          <w:sz w:val="20"/>
          <w:szCs w:val="20"/>
          <w:color w:val="auto"/>
        </w:rPr>
        <w:tab/>
      </w:r>
      <w:r>
        <w:rPr>
          <w:rFonts w:ascii="Arial" w:cs="Arial" w:eastAsia="Arial" w:hAnsi="Arial"/>
          <w:sz w:val="22"/>
          <w:szCs w:val="22"/>
          <w:b w:val="1"/>
          <w:bCs w:val="1"/>
          <w:color w:val="auto"/>
        </w:rPr>
        <w:t>)</w:t>
      </w:r>
    </w:p>
    <w:p>
      <w:pPr>
        <w:spacing w:after="0" w:line="12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p>
    <w:p>
      <w:pPr>
        <w:spacing w:after="0" w:line="2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69"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93" w:lineRule="exact"/>
        <w:rPr>
          <w:rFonts w:ascii="MS PGothic" w:cs="MS PGothic" w:eastAsia="MS PGothic" w:hAnsi="MS PGothic"/>
          <w:sz w:val="14"/>
          <w:szCs w:val="14"/>
          <w:color w:val="auto"/>
        </w:rPr>
      </w:pPr>
    </w:p>
    <w:p>
      <w:pPr>
        <w:ind w:left="580" w:hanging="572"/>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97" w:lineRule="exact"/>
        <w:rPr>
          <w:rFonts w:ascii="MS PGothic" w:cs="MS PGothic" w:eastAsia="MS PGothic" w:hAnsi="MS PGothic"/>
          <w:sz w:val="14"/>
          <w:szCs w:val="14"/>
          <w:color w:val="auto"/>
        </w:rPr>
      </w:pPr>
    </w:p>
    <w:p>
      <w:pPr>
        <w:ind w:left="580" w:hanging="572"/>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96"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96"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 240.14a-12</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COMCAST CORPORATION</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8"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204"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204"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203" w:lineRule="exact"/>
        <w:rPr>
          <w:rFonts w:ascii="MS PGothic" w:cs="MS PGothic" w:eastAsia="MS PGothic" w:hAnsi="MS PGothic"/>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176" w:lineRule="exact"/>
        <w:rPr>
          <w:rFonts w:ascii="Arial" w:cs="Arial" w:eastAsia="Arial" w:hAnsi="Arial"/>
          <w:sz w:val="14"/>
          <w:szCs w:val="14"/>
          <w:color w:val="auto"/>
        </w:rPr>
      </w:pPr>
    </w:p>
    <w:p>
      <w:pPr>
        <w:ind w:left="1160" w:right="540" w:hanging="571"/>
        <w:spacing w:after="0" w:line="239" w:lineRule="auto"/>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65"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352" w:lineRule="exact"/>
        <w:rPr>
          <w:rFonts w:ascii="Arial" w:cs="Arial" w:eastAsia="Arial" w:hAnsi="Arial"/>
          <w:sz w:val="14"/>
          <w:szCs w:val="14"/>
          <w:color w:val="auto"/>
        </w:rPr>
      </w:pPr>
    </w:p>
    <w:p>
      <w:pPr>
        <w:ind w:left="580" w:hanging="572"/>
        <w:spacing w:after="0"/>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95" w:lineRule="exact"/>
        <w:rPr>
          <w:rFonts w:ascii="MS PGothic" w:cs="MS PGothic" w:eastAsia="MS PGothic" w:hAnsi="MS PGothic"/>
          <w:sz w:val="14"/>
          <w:szCs w:val="14"/>
          <w:color w:val="auto"/>
        </w:rPr>
      </w:pPr>
    </w:p>
    <w:p>
      <w:pPr>
        <w:ind w:left="580" w:hanging="572"/>
        <w:spacing w:after="0" w:line="239" w:lineRule="auto"/>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4" w:lineRule="exact"/>
        <w:rPr>
          <w:rFonts w:ascii="MS PGothic" w:cs="MS PGothic" w:eastAsia="MS PGothic" w:hAnsi="MS PGothic"/>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-2239010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-2024380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-1715770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-1501140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-1235075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-540385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-326390</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-111760</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101600</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 w:name="page2"/>
    <w:bookmarkEnd w:id="1"/>
    <w:p>
      <w:pPr>
        <w:jc w:val="center"/>
        <w:ind w:righ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18"/>
          <w:szCs w:val="18"/>
          <w:b w:val="1"/>
          <w:bCs w:val="1"/>
          <w:i w:val="1"/>
          <w:iCs w:val="1"/>
          <w:color w:val="auto"/>
        </w:rPr>
        <w:t>Right</w:t>
      </w:r>
      <w:r>
        <w:rPr>
          <w:rFonts w:ascii="Arial" w:cs="Arial" w:eastAsia="Arial" w:hAnsi="Arial"/>
          <w:sz w:val="18"/>
          <w:szCs w:val="18"/>
          <w:b w:val="1"/>
          <w:bCs w:val="1"/>
          <w:color w:val="auto"/>
        </w:rPr>
        <w:t xml:space="preserve"> to Vote ***</w:t>
      </w:r>
    </w:p>
    <w:p>
      <w:pPr>
        <w:spacing w:after="0" w:line="21"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Annual Meeting of Shareholders to Be Held on May 11, 2011.</w:t>
      </w:r>
    </w:p>
    <w:p>
      <w:pPr>
        <w:spacing w:after="0" w:line="194" w:lineRule="exact"/>
        <w:rPr>
          <w:sz w:val="20"/>
          <w:szCs w:val="20"/>
          <w:color w:val="auto"/>
        </w:rPr>
      </w:pPr>
    </w:p>
    <w:tbl>
      <w:tblPr>
        <w:tblLayout w:type="fixed"/>
        <w:tblInd w:w="1340" w:type="dxa"/>
        <w:tblCellMar>
          <w:top w:w="0" w:type="dxa"/>
          <w:left w:w="0" w:type="dxa"/>
          <w:bottom w:w="0" w:type="dxa"/>
          <w:right w:w="0" w:type="dxa"/>
        </w:tblCellMar>
      </w:tblPr>
      <w:tr>
        <w:trPr>
          <w:trHeight w:val="189"/>
        </w:trPr>
        <w:tc>
          <w:tcPr>
            <w:tcW w:w="4160" w:type="dxa"/>
            <w:vAlign w:val="bottom"/>
          </w:tcPr>
          <w:p>
            <w:pPr>
              <w:spacing w:after="0"/>
              <w:rPr>
                <w:sz w:val="16"/>
                <w:szCs w:val="16"/>
                <w:color w:val="auto"/>
              </w:rPr>
            </w:pPr>
          </w:p>
        </w:tc>
        <w:tc>
          <w:tcPr>
            <w:tcW w:w="160" w:type="dxa"/>
            <w:vAlign w:val="bottom"/>
            <w:tcBorders>
              <w:top w:val="single" w:sz="8" w:color="B2B2B2"/>
              <w:bottom w:val="single" w:sz="8" w:color="B2B2B2"/>
              <w:right w:val="single" w:sz="8" w:color="auto"/>
            </w:tcBorders>
            <w:shd w:val="clear" w:color="auto" w:fill="B2B2B2"/>
          </w:tcPr>
          <w:p>
            <w:pPr>
              <w:spacing w:after="0"/>
              <w:rPr>
                <w:sz w:val="16"/>
                <w:szCs w:val="16"/>
                <w:color w:val="auto"/>
              </w:rPr>
            </w:pPr>
          </w:p>
        </w:tc>
        <w:tc>
          <w:tcPr>
            <w:tcW w:w="1580" w:type="dxa"/>
            <w:vAlign w:val="bottom"/>
            <w:tcBorders>
              <w:top w:val="single" w:sz="8" w:color="auto"/>
              <w:bottom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Meeting Type:</w:t>
            </w:r>
          </w:p>
        </w:tc>
        <w:tc>
          <w:tcPr>
            <w:tcW w:w="200" w:type="dxa"/>
            <w:vAlign w:val="bottom"/>
            <w:tcBorders>
              <w:top w:val="single" w:sz="8" w:color="auto"/>
            </w:tcBorders>
          </w:tcPr>
          <w:p>
            <w:pPr>
              <w:spacing w:after="0"/>
              <w:rPr>
                <w:sz w:val="16"/>
                <w:szCs w:val="16"/>
                <w:color w:val="auto"/>
              </w:rPr>
            </w:pPr>
          </w:p>
        </w:tc>
        <w:tc>
          <w:tcPr>
            <w:tcW w:w="1580" w:type="dxa"/>
            <w:vAlign w:val="bottom"/>
            <w:tcBorders>
              <w:top w:val="single" w:sz="8" w:color="auto"/>
              <w:bottom w:val="single" w:sz="8" w:color="auto"/>
            </w:tcBorders>
          </w:tcPr>
          <w:p>
            <w:pPr>
              <w:spacing w:after="0" w:line="189" w:lineRule="exact"/>
              <w:rPr>
                <w:sz w:val="20"/>
                <w:szCs w:val="20"/>
                <w:color w:val="auto"/>
              </w:rPr>
            </w:pPr>
            <w:r>
              <w:rPr>
                <w:rFonts w:ascii="Arial" w:cs="Arial" w:eastAsia="Arial" w:hAnsi="Arial"/>
                <w:sz w:val="18"/>
                <w:szCs w:val="18"/>
                <w:b w:val="1"/>
                <w:bCs w:val="1"/>
                <w:color w:val="auto"/>
                <w:w w:val="90"/>
              </w:rPr>
              <w:t>Meeting Information</w:t>
            </w:r>
          </w:p>
        </w:tc>
        <w:tc>
          <w:tcPr>
            <w:tcW w:w="1960" w:type="dxa"/>
            <w:vAlign w:val="bottom"/>
            <w:tcBorders>
              <w:top w:val="single" w:sz="8" w:color="auto"/>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160" w:type="dxa"/>
            <w:vAlign w:val="bottom"/>
          </w:tcPr>
          <w:p>
            <w:pPr>
              <w:spacing w:after="0"/>
              <w:rPr>
                <w:sz w:val="19"/>
                <w:szCs w:val="19"/>
                <w:color w:val="auto"/>
              </w:rPr>
            </w:pPr>
          </w:p>
        </w:tc>
        <w:tc>
          <w:tcPr>
            <w:tcW w:w="160" w:type="dxa"/>
            <w:vAlign w:val="bottom"/>
            <w:tcBorders>
              <w:right w:val="single" w:sz="8" w:color="auto"/>
            </w:tcBorders>
            <w:shd w:val="clear" w:color="auto" w:fill="B2B2B2"/>
          </w:tcPr>
          <w:p>
            <w:pPr>
              <w:spacing w:after="0"/>
              <w:rPr>
                <w:sz w:val="19"/>
                <w:szCs w:val="19"/>
                <w:color w:val="auto"/>
              </w:rPr>
            </w:pPr>
          </w:p>
        </w:tc>
        <w:tc>
          <w:tcPr>
            <w:tcW w:w="1580" w:type="dxa"/>
            <w:vAlign w:val="bottom"/>
            <w:vMerge w:val="continue"/>
          </w:tcPr>
          <w:p>
            <w:pPr>
              <w:spacing w:after="0"/>
              <w:rPr>
                <w:sz w:val="19"/>
                <w:szCs w:val="19"/>
                <w:color w:val="auto"/>
              </w:rPr>
            </w:pPr>
          </w:p>
        </w:tc>
        <w:tc>
          <w:tcPr>
            <w:tcW w:w="374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Annual Meeting of Shareholders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b w:val="1"/>
                <w:bCs w:val="1"/>
                <w:color w:val="auto"/>
              </w:rPr>
              <w:t>COMCAST CORPORATION</w:t>
            </w:r>
          </w:p>
        </w:tc>
        <w:tc>
          <w:tcPr>
            <w:tcW w:w="160" w:type="dxa"/>
            <w:vAlign w:val="bottom"/>
            <w:tcBorders>
              <w:right w:val="single" w:sz="8" w:color="auto"/>
            </w:tcBorders>
            <w:shd w:val="clear" w:color="auto" w:fill="B2B2B2"/>
          </w:tcPr>
          <w:p>
            <w:pPr>
              <w:spacing w:after="0"/>
              <w:rPr>
                <w:sz w:val="18"/>
                <w:szCs w:val="18"/>
                <w:color w:val="auto"/>
              </w:rPr>
            </w:pPr>
          </w:p>
        </w:tc>
        <w:tc>
          <w:tcPr>
            <w:tcW w:w="1580" w:type="dxa"/>
            <w:vAlign w:val="bottom"/>
          </w:tcPr>
          <w:p>
            <w:pPr>
              <w:ind w:left="180"/>
              <w:spacing w:after="0"/>
              <w:rPr>
                <w:sz w:val="20"/>
                <w:szCs w:val="20"/>
                <w:color w:val="auto"/>
              </w:rPr>
            </w:pPr>
            <w:r>
              <w:rPr>
                <w:rFonts w:ascii="Arial" w:cs="Arial" w:eastAsia="Arial" w:hAnsi="Arial"/>
                <w:sz w:val="18"/>
                <w:szCs w:val="18"/>
                <w:b w:val="1"/>
                <w:bCs w:val="1"/>
                <w:color w:val="auto"/>
                <w:w w:val="90"/>
              </w:rPr>
              <w:t>For holders as of:</w:t>
            </w:r>
          </w:p>
        </w:tc>
        <w:tc>
          <w:tcPr>
            <w:tcW w:w="37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March 8, 2011</w:t>
            </w:r>
          </w:p>
        </w:tc>
        <w:tc>
          <w:tcPr>
            <w:tcW w:w="0" w:type="dxa"/>
            <w:vAlign w:val="bottom"/>
          </w:tcPr>
          <w:p>
            <w:pPr>
              <w:spacing w:after="0"/>
              <w:rPr>
                <w:sz w:val="1"/>
                <w:szCs w:val="1"/>
                <w:color w:val="auto"/>
              </w:rPr>
            </w:pPr>
          </w:p>
        </w:tc>
      </w:tr>
      <w:tr>
        <w:trPr>
          <w:trHeight w:val="222"/>
        </w:trPr>
        <w:tc>
          <w:tcPr>
            <w:tcW w:w="4160" w:type="dxa"/>
            <w:vAlign w:val="bottom"/>
          </w:tcPr>
          <w:p>
            <w:pPr>
              <w:spacing w:after="0"/>
              <w:rPr>
                <w:sz w:val="19"/>
                <w:szCs w:val="19"/>
                <w:color w:val="auto"/>
              </w:rPr>
            </w:pPr>
          </w:p>
        </w:tc>
        <w:tc>
          <w:tcPr>
            <w:tcW w:w="160" w:type="dxa"/>
            <w:vAlign w:val="bottom"/>
            <w:tcBorders>
              <w:right w:val="single" w:sz="8" w:color="auto"/>
            </w:tcBorders>
            <w:shd w:val="clear" w:color="auto" w:fill="B2B2B2"/>
          </w:tcPr>
          <w:p>
            <w:pPr>
              <w:spacing w:after="0"/>
              <w:rPr>
                <w:sz w:val="19"/>
                <w:szCs w:val="19"/>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b w:val="1"/>
                <w:bCs w:val="1"/>
                <w:color w:val="auto"/>
                <w:w w:val="96"/>
              </w:rPr>
              <w:t xml:space="preserve">Date:  </w:t>
            </w:r>
            <w:r>
              <w:rPr>
                <w:rFonts w:ascii="Arial" w:cs="Arial" w:eastAsia="Arial" w:hAnsi="Arial"/>
                <w:sz w:val="18"/>
                <w:szCs w:val="18"/>
                <w:color w:val="auto"/>
                <w:w w:val="96"/>
              </w:rPr>
              <w:t>May 11, 2011</w:t>
            </w:r>
          </w:p>
        </w:tc>
        <w:tc>
          <w:tcPr>
            <w:tcW w:w="3540" w:type="dxa"/>
            <w:vAlign w:val="bottom"/>
            <w:tcBorders>
              <w:right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9:00 a.m. EDT</w:t>
            </w: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160" w:type="dxa"/>
            <w:vAlign w:val="bottom"/>
            <w:tcBorders>
              <w:right w:val="single" w:sz="8" w:color="auto"/>
            </w:tcBorders>
            <w:shd w:val="clear" w:color="auto" w:fill="B2B2B2"/>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40" w:type="dxa"/>
            <w:vAlign w:val="bottom"/>
            <w:tcBorders>
              <w:right w:val="single" w:sz="8" w:color="auto"/>
            </w:tcBorders>
            <w:gridSpan w:val="3"/>
          </w:tcPr>
          <w:p>
            <w:pPr>
              <w:ind w:left="320"/>
              <w:spacing w:after="0"/>
              <w:rPr>
                <w:sz w:val="20"/>
                <w:szCs w:val="20"/>
                <w:color w:val="auto"/>
              </w:rPr>
            </w:pPr>
            <w:r>
              <w:rPr>
                <w:rFonts w:ascii="Arial" w:cs="Arial" w:eastAsia="Arial" w:hAnsi="Arial"/>
                <w:sz w:val="18"/>
                <w:szCs w:val="18"/>
                <w:color w:val="auto"/>
              </w:rPr>
              <w:t>(Doors Open at 8:00 a.m.)</w:t>
            </w:r>
          </w:p>
        </w:tc>
        <w:tc>
          <w:tcPr>
            <w:tcW w:w="0" w:type="dxa"/>
            <w:vAlign w:val="bottom"/>
          </w:tcPr>
          <w:p>
            <w:pPr>
              <w:spacing w:after="0"/>
              <w:rPr>
                <w:sz w:val="1"/>
                <w:szCs w:val="1"/>
                <w:color w:val="auto"/>
              </w:rPr>
            </w:pPr>
          </w:p>
        </w:tc>
      </w:tr>
      <w:tr>
        <w:trPr>
          <w:trHeight w:val="222"/>
        </w:trPr>
        <w:tc>
          <w:tcPr>
            <w:tcW w:w="4160" w:type="dxa"/>
            <w:vAlign w:val="bottom"/>
          </w:tcPr>
          <w:p>
            <w:pPr>
              <w:spacing w:after="0"/>
              <w:rPr>
                <w:sz w:val="19"/>
                <w:szCs w:val="19"/>
                <w:color w:val="auto"/>
              </w:rPr>
            </w:pPr>
          </w:p>
        </w:tc>
        <w:tc>
          <w:tcPr>
            <w:tcW w:w="160" w:type="dxa"/>
            <w:vAlign w:val="bottom"/>
            <w:tcBorders>
              <w:right w:val="single" w:sz="8" w:color="auto"/>
            </w:tcBorders>
            <w:shd w:val="clear" w:color="auto" w:fill="B2B2B2"/>
          </w:tcPr>
          <w:p>
            <w:pPr>
              <w:spacing w:after="0"/>
              <w:rPr>
                <w:sz w:val="19"/>
                <w:szCs w:val="19"/>
                <w:color w:val="auto"/>
              </w:rPr>
            </w:pPr>
          </w:p>
        </w:tc>
        <w:tc>
          <w:tcPr>
            <w:tcW w:w="532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Pennsylvania Convention Center</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60" w:type="dxa"/>
            <w:vAlign w:val="bottom"/>
            <w:tcBorders>
              <w:right w:val="single" w:sz="8" w:color="auto"/>
            </w:tcBorders>
            <w:shd w:val="clear" w:color="auto" w:fill="B2B2B2"/>
          </w:tcPr>
          <w:p>
            <w:pPr>
              <w:spacing w:after="0"/>
              <w:rPr>
                <w:sz w:val="18"/>
                <w:szCs w:val="18"/>
                <w:color w:val="auto"/>
              </w:rPr>
            </w:pPr>
          </w:p>
        </w:tc>
        <w:tc>
          <w:tcPr>
            <w:tcW w:w="5320" w:type="dxa"/>
            <w:vAlign w:val="bottom"/>
            <w:tcBorders>
              <w:right w:val="single" w:sz="8" w:color="auto"/>
            </w:tcBorders>
            <w:gridSpan w:val="5"/>
          </w:tcPr>
          <w:p>
            <w:pPr>
              <w:ind w:left="1040"/>
              <w:spacing w:after="0"/>
              <w:rPr>
                <w:sz w:val="20"/>
                <w:szCs w:val="20"/>
                <w:color w:val="auto"/>
              </w:rPr>
            </w:pPr>
            <w:r>
              <w:rPr>
                <w:rFonts w:ascii="Arial" w:cs="Arial" w:eastAsia="Arial" w:hAnsi="Arial"/>
                <w:sz w:val="18"/>
                <w:szCs w:val="18"/>
                <w:color w:val="auto"/>
              </w:rPr>
              <w:t>One Convention Center Place</w:t>
            </w: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160" w:type="dxa"/>
            <w:vAlign w:val="bottom"/>
            <w:tcBorders>
              <w:right w:val="single" w:sz="8" w:color="auto"/>
            </w:tcBorders>
            <w:shd w:val="clear" w:color="auto" w:fill="B2B2B2"/>
          </w:tcPr>
          <w:p>
            <w:pPr>
              <w:spacing w:after="0"/>
              <w:rPr>
                <w:sz w:val="18"/>
                <w:szCs w:val="18"/>
                <w:color w:val="auto"/>
              </w:rPr>
            </w:pPr>
          </w:p>
        </w:tc>
        <w:tc>
          <w:tcPr>
            <w:tcW w:w="5320" w:type="dxa"/>
            <w:vAlign w:val="bottom"/>
            <w:tcBorders>
              <w:right w:val="single" w:sz="8" w:color="auto"/>
            </w:tcBorders>
            <w:gridSpan w:val="5"/>
          </w:tcPr>
          <w:p>
            <w:pPr>
              <w:ind w:left="1040"/>
              <w:spacing w:after="0"/>
              <w:rPr>
                <w:sz w:val="20"/>
                <w:szCs w:val="20"/>
                <w:color w:val="auto"/>
              </w:rPr>
            </w:pPr>
            <w:r>
              <w:rPr>
                <w:rFonts w:ascii="Arial" w:cs="Arial" w:eastAsia="Arial" w:hAnsi="Arial"/>
                <w:sz w:val="18"/>
                <w:szCs w:val="18"/>
                <w:color w:val="auto"/>
              </w:rPr>
              <w:t>Philadelphia, PA 19107</w:t>
            </w:r>
          </w:p>
        </w:tc>
        <w:tc>
          <w:tcPr>
            <w:tcW w:w="0" w:type="dxa"/>
            <w:vAlign w:val="bottom"/>
          </w:tcPr>
          <w:p>
            <w:pPr>
              <w:spacing w:after="0"/>
              <w:rPr>
                <w:sz w:val="1"/>
                <w:szCs w:val="1"/>
                <w:color w:val="auto"/>
              </w:rPr>
            </w:pPr>
          </w:p>
        </w:tc>
      </w:tr>
      <w:tr>
        <w:trPr>
          <w:trHeight w:val="222"/>
        </w:trPr>
        <w:tc>
          <w:tcPr>
            <w:tcW w:w="4160" w:type="dxa"/>
            <w:vAlign w:val="bottom"/>
          </w:tcPr>
          <w:p>
            <w:pPr>
              <w:spacing w:after="0"/>
              <w:rPr>
                <w:sz w:val="19"/>
                <w:szCs w:val="19"/>
                <w:color w:val="auto"/>
              </w:rPr>
            </w:pPr>
          </w:p>
        </w:tc>
        <w:tc>
          <w:tcPr>
            <w:tcW w:w="160" w:type="dxa"/>
            <w:vAlign w:val="bottom"/>
            <w:tcBorders>
              <w:right w:val="single" w:sz="8" w:color="auto"/>
            </w:tcBorders>
            <w:shd w:val="clear" w:color="auto" w:fill="B2B2B2"/>
          </w:tcPr>
          <w:p>
            <w:pPr>
              <w:spacing w:after="0"/>
              <w:rPr>
                <w:sz w:val="19"/>
                <w:szCs w:val="19"/>
                <w:color w:val="auto"/>
              </w:rPr>
            </w:pPr>
          </w:p>
        </w:tc>
        <w:tc>
          <w:tcPr>
            <w:tcW w:w="532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b w:val="1"/>
                <w:bCs w:val="1"/>
                <w:color w:val="auto"/>
              </w:rPr>
              <w:t>For Meeting Directions:</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160" w:type="dxa"/>
            <w:vAlign w:val="bottom"/>
            <w:tcBorders>
              <w:bottom w:val="single" w:sz="8" w:color="B2B2B2"/>
              <w:right w:val="single" w:sz="8" w:color="auto"/>
            </w:tcBorders>
            <w:shd w:val="clear" w:color="auto" w:fill="B2B2B2"/>
          </w:tcPr>
          <w:p>
            <w:pPr>
              <w:spacing w:after="0"/>
              <w:rPr>
                <w:sz w:val="19"/>
                <w:szCs w:val="19"/>
                <w:color w:val="auto"/>
              </w:rPr>
            </w:pPr>
          </w:p>
        </w:tc>
        <w:tc>
          <w:tcPr>
            <w:tcW w:w="532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 xml:space="preserve">Please visit: </w:t>
            </w:r>
            <w:r>
              <w:rPr>
                <w:rFonts w:ascii="Arial" w:cs="Arial" w:eastAsia="Arial" w:hAnsi="Arial"/>
                <w:sz w:val="18"/>
                <w:szCs w:val="18"/>
                <w:i w:val="1"/>
                <w:iCs w:val="1"/>
                <w:color w:val="auto"/>
              </w:rPr>
              <w:t>www.cmcsa.com/annual-proxy.cfm</w:t>
            </w:r>
          </w:p>
        </w:tc>
        <w:tc>
          <w:tcPr>
            <w:tcW w:w="0" w:type="dxa"/>
            <w:vAlign w:val="bottom"/>
          </w:tcPr>
          <w:p>
            <w:pPr>
              <w:spacing w:after="0"/>
              <w:rPr>
                <w:sz w:val="1"/>
                <w:szCs w:val="1"/>
                <w:color w:val="auto"/>
              </w:rPr>
            </w:pPr>
          </w:p>
        </w:tc>
      </w:tr>
      <w:tr>
        <w:trPr>
          <w:trHeight w:val="76"/>
        </w:trPr>
        <w:tc>
          <w:tcPr>
            <w:tcW w:w="4160" w:type="dxa"/>
            <w:vAlign w:val="bottom"/>
          </w:tcPr>
          <w:p>
            <w:pPr>
              <w:spacing w:after="0"/>
              <w:rPr>
                <w:sz w:val="6"/>
                <w:szCs w:val="6"/>
                <w:color w:val="auto"/>
              </w:rPr>
            </w:pPr>
          </w:p>
        </w:tc>
        <w:tc>
          <w:tcPr>
            <w:tcW w:w="160" w:type="dxa"/>
            <w:vAlign w:val="bottom"/>
            <w:tcBorders>
              <w:right w:val="single" w:sz="8" w:color="B2B2B2"/>
            </w:tcBorders>
            <w:shd w:val="clear" w:color="auto" w:fill="B2B2B2"/>
          </w:tcPr>
          <w:p>
            <w:pPr>
              <w:spacing w:after="0"/>
              <w:rPr>
                <w:sz w:val="6"/>
                <w:szCs w:val="6"/>
                <w:color w:val="auto"/>
              </w:rPr>
            </w:pPr>
          </w:p>
        </w:tc>
        <w:tc>
          <w:tcPr>
            <w:tcW w:w="1580" w:type="dxa"/>
            <w:vAlign w:val="bottom"/>
            <w:shd w:val="clear" w:color="auto" w:fill="B2B2B2"/>
          </w:tcPr>
          <w:p>
            <w:pPr>
              <w:spacing w:after="0"/>
              <w:rPr>
                <w:sz w:val="6"/>
                <w:szCs w:val="6"/>
                <w:color w:val="auto"/>
              </w:rPr>
            </w:pPr>
          </w:p>
        </w:tc>
        <w:tc>
          <w:tcPr>
            <w:tcW w:w="200" w:type="dxa"/>
            <w:vAlign w:val="bottom"/>
            <w:shd w:val="clear" w:color="auto" w:fill="B2B2B2"/>
          </w:tcPr>
          <w:p>
            <w:pPr>
              <w:spacing w:after="0"/>
              <w:rPr>
                <w:sz w:val="6"/>
                <w:szCs w:val="6"/>
                <w:color w:val="auto"/>
              </w:rPr>
            </w:pPr>
          </w:p>
        </w:tc>
        <w:tc>
          <w:tcPr>
            <w:tcW w:w="1580" w:type="dxa"/>
            <w:vAlign w:val="bottom"/>
            <w:shd w:val="clear" w:color="auto" w:fill="B2B2B2"/>
          </w:tcPr>
          <w:p>
            <w:pPr>
              <w:spacing w:after="0"/>
              <w:rPr>
                <w:sz w:val="6"/>
                <w:szCs w:val="6"/>
                <w:color w:val="auto"/>
              </w:rPr>
            </w:pPr>
          </w:p>
        </w:tc>
        <w:tc>
          <w:tcPr>
            <w:tcW w:w="1680" w:type="dxa"/>
            <w:vAlign w:val="bottom"/>
            <w:shd w:val="clear" w:color="auto" w:fill="B2B2B2"/>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-334010</wp:posOffset>
            </wp:positionV>
            <wp:extent cx="1414780" cy="386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4780" cy="386080"/>
                    </a:xfrm>
                    <a:prstGeom prst="rect">
                      <a:avLst/>
                    </a:prstGeom>
                    <a:noFill/>
                  </pic:spPr>
                </pic:pic>
              </a:graphicData>
            </a:graphic>
          </wp:anchor>
        </w:drawing>
      </w:r>
    </w:p>
    <w:p>
      <w:pPr>
        <w:sectPr>
          <w:pgSz w:w="11900" w:h="16838" w:orient="portrait"/>
          <w:cols w:equalWidth="0" w:num="1">
            <w:col w:w="10980"/>
          </w:cols>
          <w:pgMar w:left="680" w:top="274" w:right="2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ONE COMCAST CENTER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PHILADELPHIA, PA 19103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973455</wp:posOffset>
            </wp:positionV>
            <wp:extent cx="60325" cy="651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651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You are receiving this communication because you hold Class A common stock in the above-named company, which entitles you to vote at the annual meeting, and the proxy materials you should review are now available.</w:t>
      </w:r>
    </w:p>
    <w:p>
      <w:pPr>
        <w:spacing w:after="0" w:line="76" w:lineRule="exact"/>
        <w:rPr>
          <w:sz w:val="20"/>
          <w:szCs w:val="20"/>
          <w:color w:val="auto"/>
        </w:rPr>
      </w:pPr>
    </w:p>
    <w:p>
      <w:pPr>
        <w:ind w:right="180"/>
        <w:spacing w:after="0" w:line="318" w:lineRule="auto"/>
        <w:rPr>
          <w:sz w:val="20"/>
          <w:szCs w:val="20"/>
          <w:color w:val="auto"/>
        </w:rPr>
      </w:pPr>
      <w:r>
        <w:rPr>
          <w:rFonts w:ascii="Arial" w:cs="Arial" w:eastAsia="Arial" w:hAnsi="Arial"/>
          <w:sz w:val="15"/>
          <w:szCs w:val="15"/>
          <w:color w:val="auto"/>
        </w:rPr>
        <w:t xml:space="preserve">This is not a ballot. You cannot use this notice to vote these shares. This communication presents only an overview of the more complete proxy materials that contain important information and are available to you on the Internet or by mail. You may view the proxy materials online at </w:t>
      </w:r>
      <w:r>
        <w:rPr>
          <w:rFonts w:ascii="Arial" w:cs="Arial" w:eastAsia="Arial" w:hAnsi="Arial"/>
          <w:sz w:val="15"/>
          <w:szCs w:val="15"/>
          <w:i w:val="1"/>
          <w:iCs w:val="1"/>
          <w:color w:val="auto"/>
        </w:rPr>
        <w:t xml:space="preserve">www.proxyvote.com </w:t>
      </w:r>
      <w:r>
        <w:rPr>
          <w:rFonts w:ascii="Arial" w:cs="Arial" w:eastAsia="Arial" w:hAnsi="Arial"/>
          <w:sz w:val="15"/>
          <w:szCs w:val="15"/>
          <w:color w:val="auto"/>
        </w:rPr>
        <w:t>or easily request a paper copy (see reverse side).</w:t>
      </w:r>
    </w:p>
    <w:p>
      <w:pPr>
        <w:spacing w:after="0" w:line="3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2"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-291465</wp:posOffset>
            </wp:positionV>
            <wp:extent cx="3387725"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87725" cy="274320"/>
                    </a:xfrm>
                    <a:prstGeom prst="rect">
                      <a:avLst/>
                    </a:prstGeom>
                    <a:noFill/>
                  </pic:spPr>
                </pic:pic>
              </a:graphicData>
            </a:graphic>
          </wp:anchor>
        </w:drawing>
      </w:r>
    </w:p>
    <w:p>
      <w:pPr>
        <w:sectPr>
          <w:pgSz w:w="11900" w:h="16838" w:orient="portrait"/>
          <w:cols w:equalWidth="0" w:num="2">
            <w:col w:w="5040" w:space="720"/>
            <w:col w:w="5220"/>
          </w:cols>
          <w:pgMar w:left="680" w:top="274"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1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500" w:type="dxa"/>
            <w:vAlign w:val="bottom"/>
          </w:tcPr>
          <w:p>
            <w:pPr>
              <w:jc w:val="center"/>
              <w:ind w:right="2512"/>
              <w:spacing w:after="0"/>
              <w:rPr>
                <w:sz w:val="20"/>
                <w:szCs w:val="20"/>
                <w:color w:val="auto"/>
              </w:rPr>
            </w:pPr>
            <w:r>
              <w:rPr>
                <w:rFonts w:ascii="Arial" w:cs="Arial" w:eastAsia="Arial" w:hAnsi="Arial"/>
                <w:sz w:val="18"/>
                <w:szCs w:val="18"/>
                <w:b w:val="1"/>
                <w:bCs w:val="1"/>
                <w:color w:val="auto"/>
                <w:w w:val="89"/>
              </w:rPr>
              <w:t>— Before You Vote —</w:t>
            </w:r>
          </w:p>
        </w:tc>
      </w:tr>
      <w:tr>
        <w:trPr>
          <w:trHeight w:val="231"/>
        </w:trPr>
        <w:tc>
          <w:tcPr>
            <w:tcW w:w="140" w:type="dxa"/>
            <w:vAlign w:val="bottom"/>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8500" w:type="dxa"/>
            <w:vAlign w:val="bottom"/>
            <w:tcBorders>
              <w:bottom w:val="single" w:sz="8" w:color="auto"/>
            </w:tcBorders>
          </w:tcPr>
          <w:p>
            <w:pPr>
              <w:jc w:val="center"/>
              <w:ind w:right="2512"/>
              <w:spacing w:after="0"/>
              <w:rPr>
                <w:sz w:val="20"/>
                <w:szCs w:val="20"/>
                <w:color w:val="auto"/>
              </w:rPr>
            </w:pPr>
            <w:r>
              <w:rPr>
                <w:rFonts w:ascii="Arial" w:cs="Arial" w:eastAsia="Arial" w:hAnsi="Arial"/>
                <w:sz w:val="18"/>
                <w:szCs w:val="18"/>
                <w:color w:val="auto"/>
                <w:w w:val="89"/>
              </w:rPr>
              <w:t>How to Access the Proxy Materials</w:t>
            </w:r>
          </w:p>
        </w:tc>
      </w:tr>
      <w:tr>
        <w:trPr>
          <w:trHeight w:val="216"/>
        </w:trPr>
        <w:tc>
          <w:tcPr>
            <w:tcW w:w="140" w:type="dxa"/>
            <w:vAlign w:val="bottom"/>
          </w:tcPr>
          <w:p>
            <w:pPr>
              <w:spacing w:after="0"/>
              <w:rPr>
                <w:sz w:val="18"/>
                <w:szCs w:val="18"/>
                <w:color w:val="auto"/>
              </w:rPr>
            </w:pPr>
          </w:p>
        </w:tc>
        <w:tc>
          <w:tcPr>
            <w:tcW w:w="10940" w:type="dxa"/>
            <w:vAlign w:val="bottom"/>
            <w:gridSpan w:val="2"/>
          </w:tcPr>
          <w:p>
            <w:pPr>
              <w:ind w:left="100"/>
              <w:spacing w:after="0"/>
              <w:rPr>
                <w:sz w:val="20"/>
                <w:szCs w:val="20"/>
                <w:color w:val="auto"/>
              </w:rPr>
            </w:pPr>
            <w:r>
              <w:rPr>
                <w:rFonts w:ascii="Arial" w:cs="Arial" w:eastAsia="Arial" w:hAnsi="Arial"/>
                <w:sz w:val="18"/>
                <w:szCs w:val="18"/>
                <w:b w:val="1"/>
                <w:bCs w:val="1"/>
                <w:color w:val="auto"/>
              </w:rPr>
              <w:t>Proxy Materials Available to VIEW or RECEIVE:</w:t>
            </w:r>
          </w:p>
        </w:tc>
      </w:tr>
      <w:tr>
        <w:trPr>
          <w:trHeight w:val="216"/>
        </w:trPr>
        <w:tc>
          <w:tcPr>
            <w:tcW w:w="140" w:type="dxa"/>
            <w:vAlign w:val="bottom"/>
            <w:shd w:val="clear" w:color="auto" w:fill="B2B2B2"/>
          </w:tcPr>
          <w:p>
            <w:pPr>
              <w:spacing w:after="0"/>
              <w:rPr>
                <w:sz w:val="18"/>
                <w:szCs w:val="18"/>
                <w:color w:val="auto"/>
              </w:rPr>
            </w:pPr>
          </w:p>
        </w:tc>
        <w:tc>
          <w:tcPr>
            <w:tcW w:w="2440" w:type="dxa"/>
            <w:vAlign w:val="bottom"/>
          </w:tcPr>
          <w:p>
            <w:pPr>
              <w:ind w:left="100"/>
              <w:spacing w:after="0"/>
              <w:rPr>
                <w:sz w:val="20"/>
                <w:szCs w:val="20"/>
                <w:color w:val="auto"/>
              </w:rPr>
            </w:pPr>
            <w:r>
              <w:rPr>
                <w:rFonts w:ascii="Arial" w:cs="Arial" w:eastAsia="Arial" w:hAnsi="Arial"/>
                <w:sz w:val="18"/>
                <w:szCs w:val="18"/>
                <w:color w:val="auto"/>
              </w:rPr>
              <w:t>PROXY STATEMENT</w:t>
            </w:r>
          </w:p>
        </w:tc>
        <w:tc>
          <w:tcPr>
            <w:tcW w:w="8500" w:type="dxa"/>
            <w:vAlign w:val="bottom"/>
          </w:tcPr>
          <w:p>
            <w:pPr>
              <w:ind w:left="700"/>
              <w:spacing w:after="0"/>
              <w:rPr>
                <w:sz w:val="20"/>
                <w:szCs w:val="20"/>
                <w:color w:val="auto"/>
              </w:rPr>
            </w:pPr>
            <w:r>
              <w:rPr>
                <w:rFonts w:ascii="Arial" w:cs="Arial" w:eastAsia="Arial" w:hAnsi="Arial"/>
                <w:sz w:val="18"/>
                <w:szCs w:val="18"/>
                <w:color w:val="auto"/>
              </w:rPr>
              <w:t>ANNUAL REPORT ON FORM 10-K</w:t>
            </w:r>
          </w:p>
        </w:tc>
      </w:tr>
      <w:tr>
        <w:trPr>
          <w:trHeight w:val="216"/>
        </w:trPr>
        <w:tc>
          <w:tcPr>
            <w:tcW w:w="140" w:type="dxa"/>
            <w:vAlign w:val="bottom"/>
          </w:tcPr>
          <w:p>
            <w:pPr>
              <w:spacing w:after="0"/>
              <w:rPr>
                <w:sz w:val="18"/>
                <w:szCs w:val="18"/>
                <w:color w:val="auto"/>
              </w:rPr>
            </w:pPr>
          </w:p>
        </w:tc>
        <w:tc>
          <w:tcPr>
            <w:tcW w:w="2440" w:type="dxa"/>
            <w:vAlign w:val="bottom"/>
          </w:tcPr>
          <w:p>
            <w:pPr>
              <w:ind w:left="100"/>
              <w:spacing w:after="0"/>
              <w:rPr>
                <w:sz w:val="20"/>
                <w:szCs w:val="20"/>
                <w:color w:val="auto"/>
              </w:rPr>
            </w:pPr>
            <w:r>
              <w:rPr>
                <w:rFonts w:ascii="Arial" w:cs="Arial" w:eastAsia="Arial" w:hAnsi="Arial"/>
                <w:sz w:val="18"/>
                <w:szCs w:val="18"/>
                <w:b w:val="1"/>
                <w:bCs w:val="1"/>
                <w:color w:val="auto"/>
              </w:rPr>
              <w:t>How to View Online:</w:t>
            </w:r>
          </w:p>
        </w:tc>
        <w:tc>
          <w:tcPr>
            <w:tcW w:w="85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-419735</wp:posOffset>
            </wp:positionV>
            <wp:extent cx="7040880" cy="22726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40880" cy="227266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color w:val="auto"/>
        </w:rPr>
        <w:t xml:space="preserve">Have the information that is printed in the box marked by the arrow g </w:t>
      </w:r>
      <w:r>
        <w:rPr>
          <w:sz w:val="1"/>
          <w:szCs w:val="1"/>
          <w:color w:val="auto"/>
        </w:rPr>
        <w:drawing>
          <wp:inline distT="0" distB="0" distL="0" distR="0">
            <wp:extent cx="848995" cy="1028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48995" cy="10287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and visit:</w:t>
      </w:r>
    </w:p>
    <w:p>
      <w:pPr>
        <w:spacing w:after="0" w:line="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www.proxyvote.com.</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9" w:lineRule="exact"/>
        <w:rPr>
          <w:sz w:val="20"/>
          <w:szCs w:val="20"/>
          <w:color w:val="auto"/>
        </w:rPr>
      </w:pPr>
    </w:p>
    <w:p>
      <w:pPr>
        <w:ind w:left="240" w:right="340"/>
        <w:spacing w:after="0" w:line="250"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1" w:lineRule="exact"/>
        <w:rPr>
          <w:sz w:val="20"/>
          <w:szCs w:val="20"/>
          <w:color w:val="auto"/>
        </w:rPr>
      </w:pPr>
    </w:p>
    <w:tbl>
      <w:tblPr>
        <w:tblLayout w:type="fixed"/>
        <w:tblInd w:w="1120" w:type="dxa"/>
        <w:tblCellMar>
          <w:top w:w="0" w:type="dxa"/>
          <w:left w:w="0" w:type="dxa"/>
          <w:bottom w:w="0" w:type="dxa"/>
          <w:right w:w="0" w:type="dxa"/>
        </w:tblCellMar>
      </w:tblPr>
      <w:tr>
        <w:trPr>
          <w:trHeight w:val="210"/>
        </w:trPr>
        <w:tc>
          <w:tcPr>
            <w:tcW w:w="160" w:type="dxa"/>
            <w:vAlign w:val="bottom"/>
          </w:tcPr>
          <w:p>
            <w:pPr>
              <w:jc w:val="right"/>
              <w:spacing w:after="0"/>
              <w:rPr>
                <w:sz w:val="20"/>
                <w:szCs w:val="20"/>
                <w:color w:val="auto"/>
              </w:rPr>
            </w:pPr>
            <w:r>
              <w:rPr>
                <w:rFonts w:ascii="Arial" w:cs="Arial" w:eastAsia="Arial" w:hAnsi="Arial"/>
                <w:sz w:val="18"/>
                <w:szCs w:val="18"/>
                <w:color w:val="auto"/>
                <w:w w:val="74"/>
              </w:rPr>
              <w:t>1)</w:t>
            </w:r>
          </w:p>
        </w:tc>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460" w:type="dxa"/>
            <w:vAlign w:val="bottom"/>
          </w:tcPr>
          <w:p>
            <w:pPr>
              <w:ind w:left="340"/>
              <w:spacing w:after="0"/>
              <w:rPr>
                <w:sz w:val="20"/>
                <w:szCs w:val="20"/>
                <w:color w:val="auto"/>
              </w:rPr>
            </w:pPr>
            <w:r>
              <w:rPr>
                <w:rFonts w:ascii="Arial" w:cs="Arial" w:eastAsia="Arial" w:hAnsi="Arial"/>
                <w:sz w:val="18"/>
                <w:szCs w:val="18"/>
                <w:color w:val="auto"/>
              </w:rPr>
              <w:t>www.proxyvote.com</w:t>
            </w:r>
          </w:p>
        </w:tc>
      </w:tr>
      <w:tr>
        <w:trPr>
          <w:trHeight w:val="216"/>
        </w:trPr>
        <w:tc>
          <w:tcPr>
            <w:tcW w:w="160" w:type="dxa"/>
            <w:vAlign w:val="bottom"/>
          </w:tcPr>
          <w:p>
            <w:pPr>
              <w:jc w:val="right"/>
              <w:spacing w:after="0"/>
              <w:rPr>
                <w:sz w:val="20"/>
                <w:szCs w:val="20"/>
                <w:color w:val="auto"/>
              </w:rPr>
            </w:pPr>
            <w:r>
              <w:rPr>
                <w:rFonts w:ascii="Arial" w:cs="Arial" w:eastAsia="Arial" w:hAnsi="Arial"/>
                <w:sz w:val="18"/>
                <w:szCs w:val="18"/>
                <w:color w:val="auto"/>
                <w:w w:val="74"/>
              </w:rPr>
              <w:t>2)</w:t>
            </w:r>
          </w:p>
        </w:tc>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460" w:type="dxa"/>
            <w:vAlign w:val="bottom"/>
          </w:tcPr>
          <w:p>
            <w:pPr>
              <w:ind w:left="340"/>
              <w:spacing w:after="0"/>
              <w:rPr>
                <w:sz w:val="20"/>
                <w:szCs w:val="20"/>
                <w:color w:val="auto"/>
              </w:rPr>
            </w:pPr>
            <w:r>
              <w:rPr>
                <w:rFonts w:ascii="Arial" w:cs="Arial" w:eastAsia="Arial" w:hAnsi="Arial"/>
                <w:sz w:val="18"/>
                <w:szCs w:val="18"/>
                <w:color w:val="auto"/>
              </w:rPr>
              <w:t>1-800-579-1639</w:t>
            </w:r>
          </w:p>
        </w:tc>
      </w:tr>
      <w:tr>
        <w:trPr>
          <w:trHeight w:val="222"/>
        </w:trPr>
        <w:tc>
          <w:tcPr>
            <w:tcW w:w="160" w:type="dxa"/>
            <w:vAlign w:val="bottom"/>
          </w:tcPr>
          <w:p>
            <w:pPr>
              <w:jc w:val="right"/>
              <w:spacing w:after="0"/>
              <w:rPr>
                <w:sz w:val="20"/>
                <w:szCs w:val="20"/>
                <w:color w:val="auto"/>
              </w:rPr>
            </w:pPr>
            <w:r>
              <w:rPr>
                <w:rFonts w:ascii="Arial" w:cs="Arial" w:eastAsia="Arial" w:hAnsi="Arial"/>
                <w:sz w:val="18"/>
                <w:szCs w:val="18"/>
                <w:color w:val="auto"/>
                <w:w w:val="74"/>
              </w:rPr>
              <w:t>3)</w:t>
            </w:r>
          </w:p>
        </w:tc>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460" w:type="dxa"/>
            <w:vAlign w:val="bottom"/>
          </w:tcPr>
          <w:p>
            <w:pPr>
              <w:ind w:left="340"/>
              <w:spacing w:after="0"/>
              <w:rPr>
                <w:sz w:val="20"/>
                <w:szCs w:val="20"/>
                <w:color w:val="auto"/>
              </w:rPr>
            </w:pPr>
            <w:r>
              <w:rPr>
                <w:rFonts w:ascii="Arial" w:cs="Arial" w:eastAsia="Arial" w:hAnsi="Arial"/>
                <w:sz w:val="18"/>
                <w:szCs w:val="18"/>
                <w:color w:val="auto"/>
                <w:w w:val="88"/>
              </w:rPr>
              <w:t>sendmaterial@proxyvote.com</w:t>
            </w:r>
          </w:p>
        </w:tc>
      </w:tr>
    </w:tbl>
    <w:p>
      <w:pPr>
        <w:ind w:left="240" w:right="1420"/>
        <w:spacing w:after="0" w:line="250" w:lineRule="auto"/>
        <w:rPr>
          <w:sz w:val="20"/>
          <w:szCs w:val="20"/>
          <w:color w:val="auto"/>
        </w:rPr>
      </w:pPr>
      <w:r>
        <w:rPr>
          <w:rFonts w:ascii="Arial" w:cs="Arial" w:eastAsia="Arial" w:hAnsi="Arial"/>
          <w:sz w:val="18"/>
          <w:szCs w:val="18"/>
          <w:color w:val="auto"/>
        </w:rPr>
        <w:t xml:space="preserve">* If requesting materials by e-mail, please send a blank e-mail with the information that is printed in the box marked by the arrow g </w:t>
      </w:r>
      <w:r>
        <w:rPr>
          <w:sz w:val="1"/>
          <w:szCs w:val="1"/>
          <w:color w:val="auto"/>
        </w:rPr>
        <w:drawing>
          <wp:inline distT="0" distB="0" distL="0" distR="0">
            <wp:extent cx="788670" cy="1028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88670" cy="10287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1" w:lineRule="exact"/>
        <w:rPr>
          <w:sz w:val="20"/>
          <w:szCs w:val="20"/>
          <w:color w:val="auto"/>
        </w:rPr>
      </w:pPr>
    </w:p>
    <w:p>
      <w:pPr>
        <w:ind w:left="240" w:right="500"/>
        <w:spacing w:after="0" w:line="261"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April 27, 2011 to facilitate timely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101600</wp:posOffset>
            </wp:positionV>
            <wp:extent cx="6774815" cy="94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74815"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How To Vote —</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7040880" cy="174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40880" cy="1741170"/>
                    </a:xfrm>
                    <a:prstGeom prst="rect">
                      <a:avLst/>
                    </a:prstGeom>
                    <a:noFill/>
                  </pic:spPr>
                </pic:pic>
              </a:graphicData>
            </a:graphic>
          </wp:anchor>
        </w:drawing>
      </w:r>
    </w:p>
    <w:p>
      <w:pPr>
        <w:spacing w:after="0" w:line="294" w:lineRule="exact"/>
        <w:rPr>
          <w:sz w:val="20"/>
          <w:szCs w:val="20"/>
          <w:color w:val="auto"/>
        </w:rPr>
      </w:pPr>
    </w:p>
    <w:p>
      <w:pPr>
        <w:ind w:left="240" w:right="420"/>
        <w:spacing w:after="0" w:line="296" w:lineRule="auto"/>
        <w:rPr>
          <w:sz w:val="20"/>
          <w:szCs w:val="20"/>
          <w:color w:val="auto"/>
        </w:rPr>
      </w:pPr>
      <w:r>
        <w:rPr>
          <w:rFonts w:ascii="Arial" w:cs="Arial" w:eastAsia="Arial" w:hAnsi="Arial"/>
          <w:sz w:val="16"/>
          <w:szCs w:val="16"/>
          <w:b w:val="1"/>
          <w:bCs w:val="1"/>
          <w:color w:val="auto"/>
        </w:rPr>
        <w:t xml:space="preserve">Vote In Person: </w:t>
      </w:r>
      <w:r>
        <w:rPr>
          <w:rFonts w:ascii="Arial" w:cs="Arial" w:eastAsia="Arial" w:hAnsi="Arial"/>
          <w:sz w:val="16"/>
          <w:szCs w:val="16"/>
          <w:color w:val="auto"/>
        </w:rPr>
        <w:t>This notice serves as your admission ticket. All shareholders must bring an admission ticket to the annual meeting. Without an</w:t>
      </w:r>
      <w:r>
        <w:rPr>
          <w:rFonts w:ascii="Arial" w:cs="Arial" w:eastAsia="Arial" w:hAnsi="Arial"/>
          <w:sz w:val="16"/>
          <w:szCs w:val="16"/>
          <w:b w:val="1"/>
          <w:bCs w:val="1"/>
          <w:color w:val="auto"/>
        </w:rPr>
        <w:t xml:space="preserve"> </w:t>
      </w:r>
      <w:r>
        <w:rPr>
          <w:rFonts w:ascii="Arial" w:cs="Arial" w:eastAsia="Arial" w:hAnsi="Arial"/>
          <w:sz w:val="16"/>
          <w:szCs w:val="16"/>
          <w:color w:val="auto"/>
        </w:rPr>
        <w:t>admission ticket, shareholders will be admitted only upon verification of ownership. At the annual meeting, you will need to request a ballot to vote these shares. You may be asked to present a valid government-issued photo identification before entering the annual meeting. Video and audio recording devices will not be permitted at the annual meeting, and attendees will be subject to security inspections. Please check the proxy materials for additional requirements for, and information on, annual meeting admission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-710565</wp:posOffset>
            </wp:positionV>
            <wp:extent cx="60325" cy="651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651510"/>
                    </a:xfrm>
                    <a:prstGeom prst="rect">
                      <a:avLst/>
                    </a:prstGeom>
                    <a:noFill/>
                  </pic:spPr>
                </pic:pic>
              </a:graphicData>
            </a:graphic>
          </wp:anchor>
        </w:drawing>
      </w:r>
    </w:p>
    <w:p>
      <w:pPr>
        <w:spacing w:after="0" w:line="74" w:lineRule="exact"/>
        <w:rPr>
          <w:sz w:val="20"/>
          <w:szCs w:val="20"/>
          <w:color w:val="auto"/>
        </w:rPr>
      </w:pPr>
    </w:p>
    <w:p>
      <w:pPr>
        <w:ind w:left="240" w:right="420"/>
        <w:spacing w:after="0" w:line="262"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 arrow g</w:t>
      </w:r>
      <w:r>
        <w:rPr>
          <w:rFonts w:ascii="Arial" w:cs="Arial" w:eastAsia="Arial" w:hAnsi="Arial"/>
          <w:sz w:val="18"/>
          <w:szCs w:val="18"/>
          <w:b w:val="1"/>
          <w:bCs w:val="1"/>
          <w:color w:val="auto"/>
        </w:rPr>
        <w:t xml:space="preserve"> </w:t>
      </w:r>
      <w:r>
        <w:rPr>
          <w:sz w:val="1"/>
          <w:szCs w:val="1"/>
          <w:color w:val="auto"/>
        </w:rPr>
        <w:drawing>
          <wp:inline distT="0" distB="0" distL="0" distR="0">
            <wp:extent cx="746125" cy="1028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46125" cy="102870"/>
                    </a:xfrm>
                    <a:prstGeom prst="rect">
                      <a:avLst/>
                    </a:prstGeom>
                    <a:noFill/>
                    <a:ln>
                      <a:noFill/>
                    </a:ln>
                  </pic:spPr>
                </pic:pic>
              </a:graphicData>
            </a:graphic>
          </wp:inline>
        </w:drawing>
      </w:r>
      <w:r>
        <w:rPr>
          <w:rFonts w:ascii="Arial" w:cs="Arial" w:eastAsia="Arial" w:hAnsi="Arial"/>
          <w:sz w:val="18"/>
          <w:szCs w:val="18"/>
          <w:color w:val="auto"/>
        </w:rPr>
        <w:t xml:space="preserve"> available and follow the instructions. Proxies submitted by Internet must be received by 11:59 p.m. Eastern Daylight Time on May 10, 2011.</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1080"/>
          </w:cols>
          <w:pgMar w:left="580" w:top="274" w:right="239" w:bottom="1440" w:gutter="0" w:footer="0" w:header="0"/>
        </w:sectPr>
      </w:pPr>
    </w:p>
    <w:bookmarkStart w:id="3" w:name="page4"/>
    <w:bookmarkEnd w:id="3"/>
    <w:p>
      <w:pPr>
        <w:ind w:lef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451485</wp:posOffset>
            </wp:positionH>
            <wp:positionV relativeFrom="page">
              <wp:posOffset>185420</wp:posOffset>
            </wp:positionV>
            <wp:extent cx="1950720" cy="167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50720" cy="167005"/>
                    </a:xfrm>
                    <a:prstGeom prst="rect">
                      <a:avLst/>
                    </a:prstGeom>
                    <a:noFill/>
                  </pic:spPr>
                </pic:pic>
              </a:graphicData>
            </a:graphic>
          </wp:anchor>
        </w:drawing>
        <w:t>Voting Items</w:t>
      </w:r>
    </w:p>
    <w:p>
      <w:pPr>
        <w:spacing w:after="0" w:line="212" w:lineRule="exact"/>
        <w:rPr>
          <w:sz w:val="20"/>
          <w:szCs w:val="20"/>
          <w:color w:val="auto"/>
        </w:rPr>
      </w:pPr>
    </w:p>
    <w:p>
      <w:pPr>
        <w:ind w:left="380" w:right="1020" w:hanging="294"/>
        <w:spacing w:after="0" w:line="262" w:lineRule="auto"/>
        <w:tabs>
          <w:tab w:leader="none" w:pos="380" w:val="left"/>
        </w:tabs>
        <w:numPr>
          <w:ilvl w:val="1"/>
          <w:numId w:val="6"/>
        </w:numPr>
        <w:rPr>
          <w:rFonts w:ascii="Arial" w:cs="Arial" w:eastAsia="Arial" w:hAnsi="Arial"/>
          <w:sz w:val="18"/>
          <w:szCs w:val="18"/>
          <w:b w:val="1"/>
          <w:bCs w:val="1"/>
          <w:color w:val="FFFFFF"/>
          <w:highlight w:val="black"/>
        </w:rPr>
      </w:pPr>
      <w:r>
        <w:rPr>
          <w:rFonts w:ascii="Arial" w:cs="Arial" w:eastAsia="Arial" w:hAnsi="Arial"/>
          <w:sz w:val="18"/>
          <w:szCs w:val="18"/>
          <w:b w:val="1"/>
          <w:bCs w:val="1"/>
          <w:color w:val="auto"/>
        </w:rPr>
        <w:t>Company Proposals — The Board of Directors recommends a vote “FOR” all the nominees listed in Proposal 1:</w:t>
      </w:r>
    </w:p>
    <w:p>
      <w:pPr>
        <w:spacing w:after="0" w:line="138" w:lineRule="exact"/>
        <w:rPr>
          <w:rFonts w:ascii="Arial" w:cs="Arial" w:eastAsia="Arial" w:hAnsi="Arial"/>
          <w:sz w:val="18"/>
          <w:szCs w:val="18"/>
          <w:b w:val="1"/>
          <w:bCs w:val="1"/>
          <w:color w:val="FFFFFF"/>
          <w:highlight w:val="black"/>
        </w:rPr>
      </w:pPr>
    </w:p>
    <w:p>
      <w:pPr>
        <w:ind w:left="380" w:hanging="37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77"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w w:val="83"/>
              </w:rPr>
              <w:t>01 -</w:t>
            </w:r>
          </w:p>
        </w:tc>
        <w:tc>
          <w:tcPr>
            <w:tcW w:w="1820" w:type="dxa"/>
            <w:vAlign w:val="bottom"/>
          </w:tcPr>
          <w:p>
            <w:pPr>
              <w:ind w:left="60"/>
              <w:spacing w:after="0"/>
              <w:rPr>
                <w:sz w:val="20"/>
                <w:szCs w:val="20"/>
                <w:color w:val="auto"/>
              </w:rPr>
            </w:pPr>
            <w:r>
              <w:rPr>
                <w:rFonts w:ascii="Arial" w:cs="Arial" w:eastAsia="Arial" w:hAnsi="Arial"/>
                <w:sz w:val="18"/>
                <w:szCs w:val="18"/>
                <w:color w:val="auto"/>
              </w:rPr>
              <w:t>S. Decker Anstrom</w:t>
            </w:r>
          </w:p>
        </w:tc>
        <w:tc>
          <w:tcPr>
            <w:tcW w:w="600" w:type="dxa"/>
            <w:vAlign w:val="bottom"/>
          </w:tcPr>
          <w:p>
            <w:pPr>
              <w:jc w:val="right"/>
              <w:spacing w:after="0"/>
              <w:rPr>
                <w:sz w:val="20"/>
                <w:szCs w:val="20"/>
                <w:color w:val="auto"/>
              </w:rPr>
            </w:pPr>
            <w:r>
              <w:rPr>
                <w:rFonts w:ascii="Arial" w:cs="Arial" w:eastAsia="Arial" w:hAnsi="Arial"/>
                <w:sz w:val="18"/>
                <w:szCs w:val="18"/>
                <w:color w:val="auto"/>
              </w:rPr>
              <w:t>07 -</w:t>
            </w:r>
          </w:p>
        </w:tc>
        <w:tc>
          <w:tcPr>
            <w:tcW w:w="1620" w:type="dxa"/>
            <w:vAlign w:val="bottom"/>
          </w:tcPr>
          <w:p>
            <w:pPr>
              <w:ind w:left="60"/>
              <w:spacing w:after="0"/>
              <w:rPr>
                <w:sz w:val="20"/>
                <w:szCs w:val="20"/>
                <w:color w:val="auto"/>
              </w:rPr>
            </w:pPr>
            <w:r>
              <w:rPr>
                <w:rFonts w:ascii="Arial" w:cs="Arial" w:eastAsia="Arial" w:hAnsi="Arial"/>
                <w:sz w:val="18"/>
                <w:szCs w:val="18"/>
                <w:color w:val="auto"/>
              </w:rPr>
              <w:t>Gerald L. Hassell</w:t>
            </w: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w w:val="83"/>
              </w:rPr>
              <w:t>02 -</w:t>
            </w:r>
          </w:p>
        </w:tc>
        <w:tc>
          <w:tcPr>
            <w:tcW w:w="1820" w:type="dxa"/>
            <w:vAlign w:val="bottom"/>
          </w:tcPr>
          <w:p>
            <w:pPr>
              <w:ind w:left="60"/>
              <w:spacing w:after="0"/>
              <w:rPr>
                <w:sz w:val="20"/>
                <w:szCs w:val="20"/>
                <w:color w:val="auto"/>
              </w:rPr>
            </w:pPr>
            <w:r>
              <w:rPr>
                <w:rFonts w:ascii="Arial" w:cs="Arial" w:eastAsia="Arial" w:hAnsi="Arial"/>
                <w:sz w:val="18"/>
                <w:szCs w:val="18"/>
                <w:color w:val="auto"/>
              </w:rPr>
              <w:t>Kenneth J. Bacon</w:t>
            </w:r>
          </w:p>
        </w:tc>
        <w:tc>
          <w:tcPr>
            <w:tcW w:w="600" w:type="dxa"/>
            <w:vAlign w:val="bottom"/>
          </w:tcPr>
          <w:p>
            <w:pPr>
              <w:jc w:val="right"/>
              <w:spacing w:after="0"/>
              <w:rPr>
                <w:sz w:val="20"/>
                <w:szCs w:val="20"/>
                <w:color w:val="auto"/>
              </w:rPr>
            </w:pPr>
            <w:r>
              <w:rPr>
                <w:rFonts w:ascii="Arial" w:cs="Arial" w:eastAsia="Arial" w:hAnsi="Arial"/>
                <w:sz w:val="18"/>
                <w:szCs w:val="18"/>
                <w:color w:val="auto"/>
              </w:rPr>
              <w:t>08 -</w:t>
            </w:r>
          </w:p>
        </w:tc>
        <w:tc>
          <w:tcPr>
            <w:tcW w:w="1620" w:type="dxa"/>
            <w:vAlign w:val="bottom"/>
          </w:tcPr>
          <w:p>
            <w:pPr>
              <w:ind w:left="60"/>
              <w:spacing w:after="0"/>
              <w:rPr>
                <w:sz w:val="20"/>
                <w:szCs w:val="20"/>
                <w:color w:val="auto"/>
              </w:rPr>
            </w:pPr>
            <w:r>
              <w:rPr>
                <w:rFonts w:ascii="Arial" w:cs="Arial" w:eastAsia="Arial" w:hAnsi="Arial"/>
                <w:sz w:val="18"/>
                <w:szCs w:val="18"/>
                <w:color w:val="auto"/>
                <w:w w:val="90"/>
              </w:rPr>
              <w:t>Jeffrey A. Honickman</w:t>
            </w: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w w:val="83"/>
              </w:rPr>
              <w:t>03 -</w:t>
            </w:r>
          </w:p>
        </w:tc>
        <w:tc>
          <w:tcPr>
            <w:tcW w:w="1820" w:type="dxa"/>
            <w:vAlign w:val="bottom"/>
          </w:tcPr>
          <w:p>
            <w:pPr>
              <w:ind w:left="60"/>
              <w:spacing w:after="0"/>
              <w:rPr>
                <w:sz w:val="20"/>
                <w:szCs w:val="20"/>
                <w:color w:val="auto"/>
              </w:rPr>
            </w:pPr>
            <w:r>
              <w:rPr>
                <w:rFonts w:ascii="Arial" w:cs="Arial" w:eastAsia="Arial" w:hAnsi="Arial"/>
                <w:sz w:val="18"/>
                <w:szCs w:val="18"/>
                <w:color w:val="auto"/>
              </w:rPr>
              <w:t>Sheldon M. Bonovitz</w:t>
            </w:r>
          </w:p>
        </w:tc>
        <w:tc>
          <w:tcPr>
            <w:tcW w:w="600" w:type="dxa"/>
            <w:vAlign w:val="bottom"/>
          </w:tcPr>
          <w:p>
            <w:pPr>
              <w:jc w:val="right"/>
              <w:spacing w:after="0"/>
              <w:rPr>
                <w:sz w:val="20"/>
                <w:szCs w:val="20"/>
                <w:color w:val="auto"/>
              </w:rPr>
            </w:pPr>
            <w:r>
              <w:rPr>
                <w:rFonts w:ascii="Arial" w:cs="Arial" w:eastAsia="Arial" w:hAnsi="Arial"/>
                <w:sz w:val="18"/>
                <w:szCs w:val="18"/>
                <w:color w:val="auto"/>
              </w:rPr>
              <w:t>09 -</w:t>
            </w:r>
          </w:p>
        </w:tc>
        <w:tc>
          <w:tcPr>
            <w:tcW w:w="1620" w:type="dxa"/>
            <w:vAlign w:val="bottom"/>
          </w:tcPr>
          <w:p>
            <w:pPr>
              <w:ind w:left="60"/>
              <w:spacing w:after="0"/>
              <w:rPr>
                <w:sz w:val="20"/>
                <w:szCs w:val="20"/>
                <w:color w:val="auto"/>
              </w:rPr>
            </w:pPr>
            <w:r>
              <w:rPr>
                <w:rFonts w:ascii="Arial" w:cs="Arial" w:eastAsia="Arial" w:hAnsi="Arial"/>
                <w:sz w:val="18"/>
                <w:szCs w:val="18"/>
                <w:color w:val="auto"/>
              </w:rPr>
              <w:t>Eduardo G. Mestre</w:t>
            </w: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w w:val="83"/>
              </w:rPr>
              <w:t>04 -</w:t>
            </w:r>
          </w:p>
        </w:tc>
        <w:tc>
          <w:tcPr>
            <w:tcW w:w="1820" w:type="dxa"/>
            <w:vAlign w:val="bottom"/>
          </w:tcPr>
          <w:p>
            <w:pPr>
              <w:ind w:left="60"/>
              <w:spacing w:after="0"/>
              <w:rPr>
                <w:sz w:val="20"/>
                <w:szCs w:val="20"/>
                <w:color w:val="auto"/>
              </w:rPr>
            </w:pPr>
            <w:r>
              <w:rPr>
                <w:rFonts w:ascii="Arial" w:cs="Arial" w:eastAsia="Arial" w:hAnsi="Arial"/>
                <w:sz w:val="18"/>
                <w:szCs w:val="18"/>
                <w:color w:val="auto"/>
              </w:rPr>
              <w:t>Edward D. Breen</w:t>
            </w:r>
          </w:p>
        </w:tc>
        <w:tc>
          <w:tcPr>
            <w:tcW w:w="600" w:type="dxa"/>
            <w:vAlign w:val="bottom"/>
          </w:tcPr>
          <w:p>
            <w:pPr>
              <w:jc w:val="right"/>
              <w:spacing w:after="0"/>
              <w:rPr>
                <w:sz w:val="20"/>
                <w:szCs w:val="20"/>
                <w:color w:val="auto"/>
              </w:rPr>
            </w:pPr>
            <w:r>
              <w:rPr>
                <w:rFonts w:ascii="Arial" w:cs="Arial" w:eastAsia="Arial" w:hAnsi="Arial"/>
                <w:sz w:val="18"/>
                <w:szCs w:val="18"/>
                <w:color w:val="auto"/>
              </w:rPr>
              <w:t>10 -</w:t>
            </w:r>
          </w:p>
        </w:tc>
        <w:tc>
          <w:tcPr>
            <w:tcW w:w="1620" w:type="dxa"/>
            <w:vAlign w:val="bottom"/>
          </w:tcPr>
          <w:p>
            <w:pPr>
              <w:ind w:left="60"/>
              <w:spacing w:after="0"/>
              <w:rPr>
                <w:sz w:val="20"/>
                <w:szCs w:val="20"/>
                <w:color w:val="auto"/>
              </w:rPr>
            </w:pPr>
            <w:r>
              <w:rPr>
                <w:rFonts w:ascii="Arial" w:cs="Arial" w:eastAsia="Arial" w:hAnsi="Arial"/>
                <w:sz w:val="18"/>
                <w:szCs w:val="18"/>
                <w:color w:val="auto"/>
              </w:rPr>
              <w:t>Brian L. Roberts</w:t>
            </w: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w w:val="83"/>
              </w:rPr>
              <w:t>05 -</w:t>
            </w:r>
          </w:p>
        </w:tc>
        <w:tc>
          <w:tcPr>
            <w:tcW w:w="1820" w:type="dxa"/>
            <w:vAlign w:val="bottom"/>
          </w:tcPr>
          <w:p>
            <w:pPr>
              <w:ind w:left="60"/>
              <w:spacing w:after="0"/>
              <w:rPr>
                <w:sz w:val="20"/>
                <w:szCs w:val="20"/>
                <w:color w:val="auto"/>
              </w:rPr>
            </w:pPr>
            <w:r>
              <w:rPr>
                <w:rFonts w:ascii="Arial" w:cs="Arial" w:eastAsia="Arial" w:hAnsi="Arial"/>
                <w:sz w:val="18"/>
                <w:szCs w:val="18"/>
                <w:color w:val="auto"/>
              </w:rPr>
              <w:t>Joseph J. Collins</w:t>
            </w:r>
          </w:p>
        </w:tc>
        <w:tc>
          <w:tcPr>
            <w:tcW w:w="600" w:type="dxa"/>
            <w:vAlign w:val="bottom"/>
          </w:tcPr>
          <w:p>
            <w:pPr>
              <w:jc w:val="right"/>
              <w:spacing w:after="0"/>
              <w:rPr>
                <w:sz w:val="20"/>
                <w:szCs w:val="20"/>
                <w:color w:val="auto"/>
              </w:rPr>
            </w:pPr>
            <w:r>
              <w:rPr>
                <w:rFonts w:ascii="Arial" w:cs="Arial" w:eastAsia="Arial" w:hAnsi="Arial"/>
                <w:sz w:val="18"/>
                <w:szCs w:val="18"/>
                <w:color w:val="auto"/>
              </w:rPr>
              <w:t>11 -</w:t>
            </w:r>
          </w:p>
        </w:tc>
        <w:tc>
          <w:tcPr>
            <w:tcW w:w="1620" w:type="dxa"/>
            <w:vAlign w:val="bottom"/>
          </w:tcPr>
          <w:p>
            <w:pPr>
              <w:ind w:left="60"/>
              <w:spacing w:after="0"/>
              <w:rPr>
                <w:sz w:val="20"/>
                <w:szCs w:val="20"/>
                <w:color w:val="auto"/>
              </w:rPr>
            </w:pPr>
            <w:r>
              <w:rPr>
                <w:rFonts w:ascii="Arial" w:cs="Arial" w:eastAsia="Arial" w:hAnsi="Arial"/>
                <w:sz w:val="18"/>
                <w:szCs w:val="18"/>
                <w:color w:val="auto"/>
              </w:rPr>
              <w:t>Ralph J. Roberts</w:t>
            </w:r>
          </w:p>
        </w:tc>
      </w:tr>
      <w:tr>
        <w:trPr>
          <w:trHeight w:val="222"/>
        </w:trPr>
        <w:tc>
          <w:tcPr>
            <w:tcW w:w="340" w:type="dxa"/>
            <w:vAlign w:val="bottom"/>
          </w:tcPr>
          <w:p>
            <w:pPr>
              <w:jc w:val="right"/>
              <w:spacing w:after="0"/>
              <w:rPr>
                <w:sz w:val="20"/>
                <w:szCs w:val="20"/>
                <w:color w:val="auto"/>
              </w:rPr>
            </w:pPr>
            <w:r>
              <w:rPr>
                <w:rFonts w:ascii="Arial" w:cs="Arial" w:eastAsia="Arial" w:hAnsi="Arial"/>
                <w:sz w:val="18"/>
                <w:szCs w:val="18"/>
                <w:color w:val="auto"/>
                <w:w w:val="83"/>
              </w:rPr>
              <w:t>06 -</w:t>
            </w:r>
          </w:p>
        </w:tc>
        <w:tc>
          <w:tcPr>
            <w:tcW w:w="1820" w:type="dxa"/>
            <w:vAlign w:val="bottom"/>
          </w:tcPr>
          <w:p>
            <w:pPr>
              <w:ind w:left="60"/>
              <w:spacing w:after="0"/>
              <w:rPr>
                <w:sz w:val="20"/>
                <w:szCs w:val="20"/>
                <w:color w:val="auto"/>
              </w:rPr>
            </w:pPr>
            <w:r>
              <w:rPr>
                <w:rFonts w:ascii="Arial" w:cs="Arial" w:eastAsia="Arial" w:hAnsi="Arial"/>
                <w:sz w:val="18"/>
                <w:szCs w:val="18"/>
                <w:color w:val="auto"/>
              </w:rPr>
              <w:t>J. Michael Cook</w:t>
            </w:r>
          </w:p>
        </w:tc>
        <w:tc>
          <w:tcPr>
            <w:tcW w:w="600" w:type="dxa"/>
            <w:vAlign w:val="bottom"/>
          </w:tcPr>
          <w:p>
            <w:pPr>
              <w:jc w:val="right"/>
              <w:spacing w:after="0"/>
              <w:rPr>
                <w:sz w:val="20"/>
                <w:szCs w:val="20"/>
                <w:color w:val="auto"/>
              </w:rPr>
            </w:pPr>
            <w:r>
              <w:rPr>
                <w:rFonts w:ascii="Arial" w:cs="Arial" w:eastAsia="Arial" w:hAnsi="Arial"/>
                <w:sz w:val="18"/>
                <w:szCs w:val="18"/>
                <w:color w:val="auto"/>
              </w:rPr>
              <w:t>12 -</w:t>
            </w:r>
          </w:p>
        </w:tc>
        <w:tc>
          <w:tcPr>
            <w:tcW w:w="1620" w:type="dxa"/>
            <w:vAlign w:val="bottom"/>
          </w:tcPr>
          <w:p>
            <w:pPr>
              <w:ind w:left="60"/>
              <w:spacing w:after="0"/>
              <w:rPr>
                <w:sz w:val="20"/>
                <w:szCs w:val="20"/>
                <w:color w:val="auto"/>
              </w:rPr>
            </w:pPr>
            <w:r>
              <w:rPr>
                <w:rFonts w:ascii="Arial" w:cs="Arial" w:eastAsia="Arial" w:hAnsi="Arial"/>
                <w:sz w:val="18"/>
                <w:szCs w:val="18"/>
                <w:color w:val="auto"/>
              </w:rPr>
              <w:t>Dr. Judith Rodin</w:t>
            </w: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Board of Directors recommends a vote “FOR” Proposals 2 - 6:</w:t>
      </w:r>
    </w:p>
    <w:p>
      <w:pPr>
        <w:spacing w:after="0" w:line="252" w:lineRule="exact"/>
        <w:rPr>
          <w:sz w:val="20"/>
          <w:szCs w:val="20"/>
          <w:color w:val="auto"/>
        </w:rPr>
      </w:pPr>
    </w:p>
    <w:p>
      <w:pPr>
        <w:ind w:left="380" w:hanging="373"/>
        <w:spacing w:after="0"/>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Ratification of the appointment of our independent auditors</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380" w:right="300" w:hanging="373"/>
        <w:spacing w:after="0" w:line="268"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of the Comcast-NBCUniversal 2011 Employee Stock Purchase Plan</w:t>
      </w:r>
    </w:p>
    <w:p>
      <w:pPr>
        <w:spacing w:after="0" w:line="185" w:lineRule="exact"/>
        <w:rPr>
          <w:rFonts w:ascii="Arial" w:cs="Arial" w:eastAsia="Arial" w:hAnsi="Arial"/>
          <w:sz w:val="18"/>
          <w:szCs w:val="18"/>
          <w:color w:val="auto"/>
        </w:rPr>
      </w:pPr>
    </w:p>
    <w:p>
      <w:pPr>
        <w:ind w:left="380" w:right="100" w:hanging="373"/>
        <w:spacing w:after="0" w:line="268"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of the Comcast Corporation 2002 Restricted Stock Plan, as amended and restated</w:t>
      </w:r>
    </w:p>
    <w:p>
      <w:pPr>
        <w:spacing w:after="0" w:line="185" w:lineRule="exact"/>
        <w:rPr>
          <w:rFonts w:ascii="Arial" w:cs="Arial" w:eastAsia="Arial" w:hAnsi="Arial"/>
          <w:sz w:val="18"/>
          <w:szCs w:val="18"/>
          <w:color w:val="auto"/>
        </w:rPr>
      </w:pPr>
    </w:p>
    <w:p>
      <w:pPr>
        <w:ind w:left="380" w:right="140" w:hanging="373"/>
        <w:spacing w:after="0" w:line="268"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of the Comcast Corporation 2003 Stock Option Plan, as amended and restated</w:t>
      </w:r>
    </w:p>
    <w:p>
      <w:pPr>
        <w:spacing w:after="0" w:line="185" w:lineRule="exact"/>
        <w:rPr>
          <w:rFonts w:ascii="Arial" w:cs="Arial" w:eastAsia="Arial" w:hAnsi="Arial"/>
          <w:sz w:val="18"/>
          <w:szCs w:val="18"/>
          <w:color w:val="auto"/>
        </w:rPr>
      </w:pPr>
    </w:p>
    <w:p>
      <w:pPr>
        <w:ind w:left="380" w:hanging="373"/>
        <w:spacing w:after="0"/>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Approval, on an advisory basis, of our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137160</wp:posOffset>
            </wp:positionV>
            <wp:extent cx="60325" cy="651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651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ind w:left="1460"/>
        <w:spacing w:after="0"/>
        <w:rPr>
          <w:sz w:val="20"/>
          <w:szCs w:val="20"/>
          <w:color w:val="auto"/>
        </w:rPr>
      </w:pPr>
      <w:r>
        <w:rPr>
          <w:rFonts w:ascii="Arial" w:cs="Arial" w:eastAsia="Arial" w:hAnsi="Arial"/>
          <w:sz w:val="18"/>
          <w:szCs w:val="18"/>
          <w:b w:val="1"/>
          <w:bCs w:val="1"/>
          <w:i w:val="1"/>
          <w:iCs w:val="1"/>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-142875</wp:posOffset>
            </wp:positionV>
            <wp:extent cx="411480" cy="3346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11480" cy="334645"/>
                    </a:xfrm>
                    <a:prstGeom prst="rect">
                      <a:avLst/>
                    </a:prstGeom>
                    <a:noFill/>
                  </pic:spPr>
                </pic:pic>
              </a:graphicData>
            </a:graphic>
          </wp:anchor>
        </w:drawing>
      </w:r>
    </w:p>
    <w:p>
      <w:pPr>
        <w:spacing w:after="0" w:line="273" w:lineRule="exact"/>
        <w:rPr>
          <w:sz w:val="20"/>
          <w:szCs w:val="20"/>
          <w:color w:val="auto"/>
        </w:rPr>
      </w:pPr>
    </w:p>
    <w:p>
      <w:pPr>
        <w:jc w:val="both"/>
        <w:ind w:right="240"/>
        <w:spacing w:after="0" w:line="370" w:lineRule="auto"/>
        <w:rPr>
          <w:sz w:val="20"/>
          <w:szCs w:val="20"/>
          <w:color w:val="auto"/>
        </w:rPr>
      </w:pPr>
      <w:r>
        <w:rPr>
          <w:rFonts w:ascii="Arial" w:cs="Arial" w:eastAsia="Arial" w:hAnsi="Arial"/>
          <w:sz w:val="15"/>
          <w:szCs w:val="15"/>
          <w:color w:val="auto"/>
        </w:rPr>
        <w:t>Please do not submit this card. Please refer to the “How To Vote” section of this notice to view the voting instructions.</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 recommends that you vote “3</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on Proposal 7:</w:t>
      </w:r>
    </w:p>
    <w:p>
      <w:pPr>
        <w:spacing w:after="0" w:line="219" w:lineRule="exact"/>
        <w:rPr>
          <w:sz w:val="20"/>
          <w:szCs w:val="20"/>
          <w:color w:val="auto"/>
        </w:rPr>
      </w:pPr>
    </w:p>
    <w:p>
      <w:pPr>
        <w:ind w:left="380" w:right="80" w:hanging="372"/>
        <w:spacing w:after="0" w:line="268"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Advisory vote on the frequency of the vote on executive compensation</w:t>
      </w:r>
    </w:p>
    <w:p>
      <w:pPr>
        <w:spacing w:after="0" w:line="112" w:lineRule="exact"/>
        <w:rPr>
          <w:sz w:val="20"/>
          <w:szCs w:val="20"/>
          <w:color w:val="auto"/>
        </w:rPr>
      </w:pPr>
    </w:p>
    <w:p>
      <w:pPr>
        <w:ind w:left="380" w:hanging="324"/>
        <w:spacing w:after="0"/>
        <w:tabs>
          <w:tab w:leader="none" w:pos="380" w:val="left"/>
        </w:tabs>
        <w:numPr>
          <w:ilvl w:val="1"/>
          <w:numId w:val="9"/>
        </w:numPr>
        <w:rPr>
          <w:rFonts w:ascii="Arial" w:cs="Arial" w:eastAsia="Arial" w:hAnsi="Arial"/>
          <w:sz w:val="18"/>
          <w:szCs w:val="18"/>
          <w:b w:val="1"/>
          <w:bCs w:val="1"/>
          <w:color w:val="FFFFFF"/>
        </w:rPr>
      </w:pPr>
      <w:r>
        <w:rPr>
          <w:rFonts w:ascii="Arial" w:cs="Arial" w:eastAsia="Arial" w:hAnsi="Arial"/>
          <w:sz w:val="18"/>
          <w:szCs w:val="18"/>
          <w:b w:val="1"/>
          <w:bCs w:val="1"/>
          <w:color w:val="auto"/>
        </w:rPr>
        <w:t>Shareholder Proposals — The Board of</w:t>
      </w:r>
    </w:p>
    <w:p>
      <w:pPr>
        <w:spacing w:after="0" w:line="21" w:lineRule="exact"/>
        <w:rPr>
          <w:rFonts w:ascii="Arial" w:cs="Arial" w:eastAsia="Arial" w:hAnsi="Arial"/>
          <w:sz w:val="18"/>
          <w:szCs w:val="18"/>
          <w:b w:val="1"/>
          <w:bCs w:val="1"/>
          <w:color w:val="FFFFFF"/>
        </w:rPr>
      </w:pPr>
    </w:p>
    <w:p>
      <w:pPr>
        <w:ind w:left="380"/>
        <w:spacing w:after="0"/>
        <w:rPr>
          <w:rFonts w:ascii="Arial" w:cs="Arial" w:eastAsia="Arial" w:hAnsi="Arial"/>
          <w:sz w:val="18"/>
          <w:szCs w:val="18"/>
          <w:b w:val="1"/>
          <w:bCs w:val="1"/>
          <w:color w:val="FFFFFF"/>
        </w:rPr>
      </w:pPr>
      <w:r>
        <w:rPr>
          <w:rFonts w:ascii="Arial" w:cs="Arial" w:eastAsia="Arial" w:hAnsi="Arial"/>
          <w:sz w:val="16"/>
          <w:szCs w:val="16"/>
          <w:b w:val="1"/>
          <w:bCs w:val="1"/>
          <w:color w:val="auto"/>
        </w:rPr>
        <w:t>Directors recommends a vote “AGAINST” Proposals</w:t>
      </w:r>
    </w:p>
    <w:p>
      <w:pPr>
        <w:spacing w:after="0" w:line="32" w:lineRule="exact"/>
        <w:rPr>
          <w:rFonts w:ascii="Arial" w:cs="Arial" w:eastAsia="Arial" w:hAnsi="Arial"/>
          <w:sz w:val="18"/>
          <w:szCs w:val="18"/>
          <w:b w:val="1"/>
          <w:bCs w:val="1"/>
          <w:color w:val="FFFFFF"/>
        </w:rPr>
      </w:pPr>
    </w:p>
    <w:p>
      <w:pPr>
        <w:ind w:left="380"/>
        <w:spacing w:after="0"/>
        <w:rPr>
          <w:rFonts w:ascii="Arial" w:cs="Arial" w:eastAsia="Arial" w:hAnsi="Arial"/>
          <w:sz w:val="18"/>
          <w:szCs w:val="18"/>
          <w:b w:val="1"/>
          <w:bCs w:val="1"/>
          <w:color w:val="FFFFFF"/>
        </w:rPr>
      </w:pPr>
      <w:r>
        <w:rPr>
          <w:rFonts w:ascii="Arial" w:cs="Arial" w:eastAsia="Arial" w:hAnsi="Arial"/>
          <w:sz w:val="16"/>
          <w:szCs w:val="16"/>
          <w:b w:val="1"/>
          <w:bCs w:val="1"/>
          <w:color w:val="auto"/>
        </w:rPr>
        <w:t>8 and 9, if properly presented at the annual meeting:</w:t>
      </w:r>
    </w:p>
    <w:p>
      <w:pPr>
        <w:spacing w:after="0" w:line="228" w:lineRule="exact"/>
        <w:rPr>
          <w:rFonts w:ascii="Arial" w:cs="Arial" w:eastAsia="Arial" w:hAnsi="Arial"/>
          <w:sz w:val="18"/>
          <w:szCs w:val="18"/>
          <w:b w:val="1"/>
          <w:bCs w:val="1"/>
          <w:color w:val="FFFFFF"/>
        </w:rPr>
      </w:pPr>
    </w:p>
    <w:p>
      <w:pPr>
        <w:ind w:left="380" w:right="460" w:hanging="372"/>
        <w:spacing w:after="0" w:line="268"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provide for cumulative voting in the election of directors</w:t>
      </w:r>
    </w:p>
    <w:p>
      <w:pPr>
        <w:spacing w:after="0" w:line="185" w:lineRule="exact"/>
        <w:rPr>
          <w:rFonts w:ascii="Arial" w:cs="Arial" w:eastAsia="Arial" w:hAnsi="Arial"/>
          <w:sz w:val="18"/>
          <w:szCs w:val="18"/>
          <w:color w:val="auto"/>
        </w:rPr>
      </w:pPr>
    </w:p>
    <w:p>
      <w:pPr>
        <w:ind w:left="380" w:hanging="372"/>
        <w:spacing w:after="0" w:line="268"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require that the chairman of the board not be a current or former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-1239520</wp:posOffset>
            </wp:positionV>
            <wp:extent cx="23177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ectPr>
          <w:pgSz w:w="11900" w:h="16838" w:orient="portrait"/>
          <w:cols w:equalWidth="0" w:num="2">
            <w:col w:w="5140" w:space="720"/>
            <w:col w:w="4400"/>
          </w:cols>
          <w:pgMar w:left="700" w:top="301" w:right="9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6983730</wp:posOffset>
            </wp:positionH>
            <wp:positionV relativeFrom="page">
              <wp:posOffset>183515</wp:posOffset>
            </wp:positionV>
            <wp:extent cx="283210" cy="266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3210" cy="266065"/>
                    </a:xfrm>
                    <a:prstGeom prst="rect">
                      <a:avLst/>
                    </a:prstGeom>
                    <a:noFill/>
                  </pic:spPr>
                </pic:pic>
              </a:graphicData>
            </a:graphic>
          </wp:anchor>
        </w:drawing>
        <w:drawing>
          <wp:anchor simplePos="0" relativeHeight="251657728" behindDoc="1" locked="0" layoutInCell="0" allowOverlap="1">
            <wp:simplePos x="0" y="0"/>
            <wp:positionH relativeFrom="page">
              <wp:posOffset>303530</wp:posOffset>
            </wp:positionH>
            <wp:positionV relativeFrom="page">
              <wp:posOffset>1564005</wp:posOffset>
            </wp:positionV>
            <wp:extent cx="667194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71945" cy="26035"/>
                    </a:xfrm>
                    <a:prstGeom prst="rect">
                      <a:avLst/>
                    </a:prstGeom>
                    <a:noFill/>
                  </pic:spPr>
                </pic:pic>
              </a:graphicData>
            </a:graphic>
          </wp:anchor>
        </w:drawing>
        <w:drawing>
          <wp:anchor simplePos="0" relativeHeight="251657728" behindDoc="1" locked="0" layoutInCell="0" allowOverlap="1">
            <wp:simplePos x="0" y="0"/>
            <wp:positionH relativeFrom="page">
              <wp:posOffset>303530</wp:posOffset>
            </wp:positionH>
            <wp:positionV relativeFrom="page">
              <wp:posOffset>1598295</wp:posOffset>
            </wp:positionV>
            <wp:extent cx="66719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2232660</wp:posOffset>
            </wp:positionV>
            <wp:extent cx="60325" cy="651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0325" cy="6515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1."/>
      <w:numFmt w:val="decimal"/>
    </w:lvl>
    <w:lvl w:ilvl="1">
      <w:lvlJc w:val="left"/>
      <w:lvlText w:val="A"/>
      <w:numFmt w:val="bullet"/>
      <w:start w:val="1"/>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1."/>
      <w:numFmt w:val="decimal"/>
      <w:start w:val="7"/>
    </w:lvl>
  </w:abstractNum>
  <w:abstractNum w:abstractNumId="8">
    <w:nsid w:val="5BD062C2"/>
    <w:multiLevelType w:val="hybridMultilevel"/>
    <w:lvl w:ilvl="0">
      <w:lvlJc w:val="left"/>
      <w:lvlText w:val="%1."/>
      <w:numFmt w:val="decimal"/>
      <w:start w:val="7"/>
    </w:lvl>
    <w:lvl w:ilvl="1">
      <w:lvlJc w:val="left"/>
      <w:lvlText w:val="B"/>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2019-12-10T22:35:44Z</dcterms:created>
  <dcterms:modified xsi:type="dcterms:W3CDTF">2019-12-10T22:35:44Z</dcterms:modified>
</cp:coreProperties>
</file>