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16"/>
        </w:trPr>
        <w:tc>
          <w:tcPr>
            <w:tcW w:w="796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89"/>
              </w:rPr>
              <w:t>Proposed</w:t>
            </w:r>
          </w:p>
        </w:tc>
        <w:tc>
          <w:tcPr>
            <w:tcW w:w="1520" w:type="dxa"/>
            <w:vAlign w:val="bottom"/>
          </w:tcPr>
          <w:p>
            <w:pPr>
              <w:spacing w:after="0"/>
              <w:rPr>
                <w:sz w:val="10"/>
                <w:szCs w:val="10"/>
                <w:color w:val="auto"/>
              </w:rPr>
            </w:pPr>
          </w:p>
        </w:tc>
      </w:tr>
      <w:tr>
        <w:trPr>
          <w:trHeight w:val="149"/>
        </w:trPr>
        <w:tc>
          <w:tcPr>
            <w:tcW w:w="79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1520" w:type="dxa"/>
            <w:vAlign w:val="bottom"/>
          </w:tcPr>
          <w:p>
            <w:pPr>
              <w:spacing w:after="0"/>
              <w:rPr>
                <w:sz w:val="12"/>
                <w:szCs w:val="12"/>
                <w:color w:val="auto"/>
              </w:rPr>
            </w:pPr>
          </w:p>
        </w:tc>
      </w:tr>
      <w:tr>
        <w:trPr>
          <w:trHeight w:val="148"/>
        </w:trPr>
        <w:tc>
          <w:tcPr>
            <w:tcW w:w="79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Aggregate</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175"/>
        </w:trPr>
        <w:tc>
          <w:tcPr>
            <w:tcW w:w="7960" w:type="dxa"/>
            <w:vAlign w:val="bottom"/>
            <w:tcBorders>
              <w:bottom w:val="single" w:sz="8" w:color="auto"/>
              <w:right w:val="single" w:sz="8" w:color="auto"/>
            </w:tcBorders>
          </w:tcPr>
          <w:p>
            <w:pPr>
              <w:ind w:left="258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Registration Fee (1)</w:t>
            </w: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3.100% Notes due 2025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$103,840</w:t>
            </w:r>
          </w:p>
        </w:tc>
      </w:tr>
      <w:tr>
        <w:trPr>
          <w:trHeight w:val="210"/>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3.300% Notes due 2027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$103,840</w:t>
            </w: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3.400% Notes due 2030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$207,680</w:t>
            </w: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3.750% Notes due 2040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$103,840</w:t>
            </w:r>
          </w:p>
        </w:tc>
      </w:tr>
      <w:tr>
        <w:trPr>
          <w:trHeight w:val="210"/>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$4,000,000,000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$519,200</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8"/>
        </w:trPr>
        <w:tc>
          <w:tcPr>
            <w:tcW w:w="7960" w:type="dxa"/>
            <w:vAlign w:val="bottom"/>
          </w:tcPr>
          <w:p>
            <w:pPr>
              <w:spacing w:after="0"/>
              <w:rPr>
                <w:sz w:val="20"/>
                <w:szCs w:val="20"/>
                <w:color w:val="auto"/>
              </w:rPr>
            </w:pPr>
            <w:r>
              <w:rPr>
                <w:rFonts w:ascii="Arial" w:cs="Arial" w:eastAsia="Arial" w:hAnsi="Arial"/>
                <w:sz w:val="18"/>
                <w:szCs w:val="18"/>
                <w:color w:val="auto"/>
              </w:rPr>
              <w:t>(1)   Calculated in accordance with Rule 457(r) under the Securities Act of 1933, as amended.</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Filed Pursuant to Rule 424(b)(2)</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Number:333-232941</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 prospectus dated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83185</wp:posOffset>
            </wp:positionV>
            <wp:extent cx="139700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$800,000,000 3.100% Notes due 2025</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$800,000,000 3.300% Notes due 2027</w:t>
      </w:r>
    </w:p>
    <w:p>
      <w:pPr>
        <w:jc w:val="center"/>
        <w:ind w:right="-159"/>
        <w:spacing w:after="0" w:line="230" w:lineRule="auto"/>
        <w:rPr>
          <w:sz w:val="20"/>
          <w:szCs w:val="20"/>
          <w:color w:val="auto"/>
        </w:rPr>
      </w:pPr>
      <w:r>
        <w:rPr>
          <w:rFonts w:ascii="Arial" w:cs="Arial" w:eastAsia="Arial" w:hAnsi="Arial"/>
          <w:sz w:val="22"/>
          <w:szCs w:val="22"/>
          <w:b w:val="1"/>
          <w:bCs w:val="1"/>
          <w:color w:val="auto"/>
        </w:rPr>
        <w:t>$1,600,000,000 3.400% Notes due 2030</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$800,000,000 3.750% Notes due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175895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0"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The Notes due 2025 (the “Notes due 2025”) will bear interest at a rate of 3.100% per year and will mature on April 1, 2025, the Notes due 2027 (the “Notes due 2027”) will bear interest at a rate of 3.300% per year and will mature on April 1, 2027, the Notes due 2030 (the “Notes due 2030”) will bear interest at a rate of 3.400% per year and will mature on April 1, 2030 and the Notes due 2040 (the “Notes due 2040”) will bear interest at a rate of</w:t>
      </w:r>
    </w:p>
    <w:p>
      <w:pPr>
        <w:spacing w:after="0" w:line="2" w:lineRule="exact"/>
        <w:rPr>
          <w:sz w:val="20"/>
          <w:szCs w:val="20"/>
          <w:color w:val="auto"/>
        </w:rPr>
      </w:pPr>
    </w:p>
    <w:p>
      <w:pPr>
        <w:ind w:left="120" w:right="120"/>
        <w:spacing w:after="0" w:line="302" w:lineRule="auto"/>
        <w:rPr>
          <w:sz w:val="20"/>
          <w:szCs w:val="20"/>
          <w:color w:val="auto"/>
        </w:rPr>
      </w:pPr>
      <w:r>
        <w:rPr>
          <w:rFonts w:ascii="Arial" w:cs="Arial" w:eastAsia="Arial" w:hAnsi="Arial"/>
          <w:sz w:val="16"/>
          <w:szCs w:val="16"/>
          <w:color w:val="auto"/>
        </w:rPr>
        <w:t>3.750% per year and will mature on April 1, 2040. We refer to the Notes due 2025, the Notes due 2027, the Notes due 2030 and the Notes due 2040 collectively as the “notes.” We will pay interest on the notes on April 1 and October 1 of each year, beginning on October 1, 2020. We may redeem any of the notes at any time by paying the applicable Redemption Price described under the heading “Description of the Notes-Optional Redemption.”</w:t>
      </w:r>
    </w:p>
    <w:p>
      <w:pPr>
        <w:spacing w:after="0" w:line="115"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2" w:lineRule="exact"/>
        <w:rPr>
          <w:sz w:val="20"/>
          <w:szCs w:val="20"/>
          <w:color w:val="auto"/>
        </w:rPr>
      </w:pPr>
    </w:p>
    <w:p>
      <w:pPr>
        <w:ind w:left="120" w:right="300"/>
        <w:spacing w:after="0" w:line="312" w:lineRule="auto"/>
        <w:rPr>
          <w:sz w:val="20"/>
          <w:szCs w:val="20"/>
          <w:color w:val="auto"/>
        </w:rPr>
      </w:pPr>
      <w:r>
        <w:rPr>
          <w:rFonts w:ascii="Arial" w:cs="Arial" w:eastAsia="Arial" w:hAnsi="Arial"/>
          <w:sz w:val="17"/>
          <w:szCs w:val="17"/>
          <w:b w:val="1"/>
          <w:bCs w:val="1"/>
          <w:color w:val="auto"/>
        </w:rPr>
        <w:t>Investing in these securities involves certain risks. See “Item 1A-Risk Factors” beginning on page 20 of Comcast Corporation’s (“Comcast”) Annual Report on Form 10-K for the year ended December 31, 2019, which is incorporated by reference herein.</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Price to</w:t>
            </w:r>
          </w:p>
        </w:tc>
        <w:tc>
          <w:tcPr>
            <w:tcW w:w="16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Underwriters’</w:t>
            </w:r>
          </w:p>
        </w:tc>
        <w:tc>
          <w:tcPr>
            <w:tcW w:w="580" w:type="dxa"/>
            <w:vAlign w:val="bottom"/>
          </w:tcPr>
          <w:p>
            <w:pPr>
              <w:spacing w:after="0"/>
              <w:rPr>
                <w:sz w:val="14"/>
                <w:szCs w:val="1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314"/>
              <w:spacing w:after="0"/>
              <w:rPr>
                <w:sz w:val="20"/>
                <w:szCs w:val="20"/>
                <w:color w:val="auto"/>
              </w:rPr>
            </w:pPr>
            <w:r>
              <w:rPr>
                <w:rFonts w:ascii="Arial" w:cs="Arial" w:eastAsia="Arial" w:hAnsi="Arial"/>
                <w:sz w:val="14"/>
                <w:szCs w:val="14"/>
                <w:b w:val="1"/>
                <w:bCs w:val="1"/>
                <w:color w:val="auto"/>
              </w:rPr>
              <w:t>Investors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b w:val="1"/>
                <w:bCs w:val="1"/>
                <w:color w:val="auto"/>
                <w:w w:val="93"/>
              </w:rPr>
              <w:t>Discount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209"/>
        </w:trPr>
        <w:tc>
          <w:tcPr>
            <w:tcW w:w="3060" w:type="dxa"/>
            <w:vAlign w:val="bottom"/>
            <w:tcBorders>
              <w:top w:val="single" w:sz="8" w:color="D1FCFC"/>
            </w:tcBorders>
            <w:shd w:val="clear" w:color="auto" w:fill="D1FCFC"/>
          </w:tcPr>
          <w:p>
            <w:pPr>
              <w:spacing w:after="0"/>
              <w:rPr>
                <w:sz w:val="20"/>
                <w:szCs w:val="20"/>
                <w:color w:val="auto"/>
              </w:rPr>
            </w:pPr>
            <w:r>
              <w:rPr>
                <w:rFonts w:ascii="Arial" w:cs="Arial" w:eastAsia="Arial" w:hAnsi="Arial"/>
                <w:sz w:val="18"/>
                <w:szCs w:val="18"/>
                <w:color w:val="auto"/>
              </w:rPr>
              <w:t>Per note due 2025</w:t>
            </w:r>
            <w:r>
              <w:rPr>
                <w:rFonts w:ascii="Arial" w:cs="Arial" w:eastAsia="Arial" w:hAnsi="Arial"/>
                <w:sz w:val="15"/>
                <w:szCs w:val="15"/>
                <w:color w:val="auto"/>
              </w:rPr>
              <w:t>(1)</w:t>
            </w:r>
          </w:p>
        </w:tc>
        <w:tc>
          <w:tcPr>
            <w:tcW w:w="1580" w:type="dxa"/>
            <w:vAlign w:val="bottom"/>
            <w:tcBorders>
              <w:top w:val="single" w:sz="8" w:color="D1FCFC"/>
            </w:tcBorders>
            <w:shd w:val="clear" w:color="auto" w:fill="D1FCFC"/>
          </w:tcPr>
          <w:p>
            <w:pPr>
              <w:spacing w:after="0"/>
              <w:rPr>
                <w:sz w:val="18"/>
                <w:szCs w:val="18"/>
                <w:color w:val="auto"/>
              </w:rPr>
            </w:pPr>
          </w:p>
        </w:tc>
        <w:tc>
          <w:tcPr>
            <w:tcW w:w="80" w:type="dxa"/>
            <w:vAlign w:val="bottom"/>
            <w:tcBorders>
              <w:top w:val="single" w:sz="8" w:color="auto"/>
            </w:tcBorders>
            <w:shd w:val="clear" w:color="auto" w:fill="D1FCFC"/>
          </w:tcPr>
          <w:p>
            <w:pPr>
              <w:spacing w:after="0"/>
              <w:rPr>
                <w:sz w:val="18"/>
                <w:szCs w:val="18"/>
                <w:color w:val="auto"/>
              </w:rPr>
            </w:pPr>
          </w:p>
        </w:tc>
        <w:tc>
          <w:tcPr>
            <w:tcW w:w="106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8"/>
                <w:szCs w:val="18"/>
                <w:color w:val="auto"/>
              </w:rPr>
              <w:t>99.949%</w:t>
            </w:r>
          </w:p>
        </w:tc>
        <w:tc>
          <w:tcPr>
            <w:tcW w:w="580" w:type="dxa"/>
            <w:vAlign w:val="bottom"/>
            <w:tcBorders>
              <w:top w:val="single" w:sz="8" w:color="D1FCFC"/>
            </w:tcBorders>
            <w:shd w:val="clear" w:color="auto" w:fill="D1FCFC"/>
          </w:tcPr>
          <w:p>
            <w:pPr>
              <w:spacing w:after="0"/>
              <w:rPr>
                <w:sz w:val="18"/>
                <w:szCs w:val="18"/>
                <w:color w:val="auto"/>
              </w:rPr>
            </w:pPr>
          </w:p>
        </w:tc>
        <w:tc>
          <w:tcPr>
            <w:tcW w:w="120" w:type="dxa"/>
            <w:vAlign w:val="bottom"/>
            <w:tcBorders>
              <w:top w:val="single" w:sz="8" w:color="auto"/>
            </w:tcBorders>
            <w:shd w:val="clear" w:color="auto" w:fill="D1FCFC"/>
          </w:tcPr>
          <w:p>
            <w:pPr>
              <w:spacing w:after="0"/>
              <w:rPr>
                <w:sz w:val="18"/>
                <w:szCs w:val="18"/>
                <w:color w:val="auto"/>
              </w:rPr>
            </w:pPr>
          </w:p>
        </w:tc>
        <w:tc>
          <w:tcPr>
            <w:tcW w:w="96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8"/>
                <w:szCs w:val="18"/>
                <w:color w:val="auto"/>
              </w:rPr>
              <w:t>0.250%</w:t>
            </w:r>
          </w:p>
        </w:tc>
        <w:tc>
          <w:tcPr>
            <w:tcW w:w="580" w:type="dxa"/>
            <w:vAlign w:val="bottom"/>
            <w:tcBorders>
              <w:top w:val="single" w:sz="8" w:color="D1FCFC"/>
            </w:tcBorders>
            <w:shd w:val="clear" w:color="auto" w:fill="D1FCFC"/>
          </w:tcPr>
          <w:p>
            <w:pPr>
              <w:spacing w:after="0"/>
              <w:rPr>
                <w:sz w:val="18"/>
                <w:szCs w:val="18"/>
                <w:color w:val="auto"/>
              </w:rPr>
            </w:pPr>
          </w:p>
        </w:tc>
        <w:tc>
          <w:tcPr>
            <w:tcW w:w="100" w:type="dxa"/>
            <w:vAlign w:val="bottom"/>
            <w:tcBorders>
              <w:top w:val="single" w:sz="8" w:color="auto"/>
            </w:tcBorders>
            <w:shd w:val="clear" w:color="auto" w:fill="D1FCFC"/>
          </w:tcPr>
          <w:p>
            <w:pPr>
              <w:spacing w:after="0"/>
              <w:rPr>
                <w:sz w:val="18"/>
                <w:szCs w:val="18"/>
                <w:color w:val="auto"/>
              </w:rPr>
            </w:pPr>
          </w:p>
        </w:tc>
        <w:tc>
          <w:tcPr>
            <w:tcW w:w="108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8"/>
                <w:szCs w:val="18"/>
                <w:color w:val="auto"/>
              </w:rPr>
              <w:t>99.699%</w:t>
            </w:r>
          </w:p>
        </w:tc>
        <w:tc>
          <w:tcPr>
            <w:tcW w:w="60" w:type="dxa"/>
            <w:vAlign w:val="bottom"/>
            <w:tcBorders>
              <w:top w:val="single" w:sz="8" w:color="D1FCFC"/>
            </w:tcBorders>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799,592,000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797,592,000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D1FCFC"/>
          </w:tcPr>
          <w:p>
            <w:pPr>
              <w:spacing w:after="0"/>
              <w:rPr>
                <w:sz w:val="20"/>
                <w:szCs w:val="20"/>
                <w:color w:val="auto"/>
              </w:rPr>
            </w:pPr>
            <w:r>
              <w:rPr>
                <w:rFonts w:ascii="Arial" w:cs="Arial" w:eastAsia="Arial" w:hAnsi="Arial"/>
                <w:sz w:val="18"/>
                <w:szCs w:val="18"/>
                <w:color w:val="auto"/>
              </w:rPr>
              <w:t>Per note due 2027</w:t>
            </w:r>
            <w:r>
              <w:rPr>
                <w:rFonts w:ascii="Arial" w:cs="Arial" w:eastAsia="Arial" w:hAnsi="Arial"/>
                <w:sz w:val="15"/>
                <w:szCs w:val="15"/>
                <w:color w:val="auto"/>
              </w:rPr>
              <w:t>(1)</w:t>
            </w:r>
          </w:p>
        </w:tc>
        <w:tc>
          <w:tcPr>
            <w:tcW w:w="1580" w:type="dxa"/>
            <w:vAlign w:val="bottom"/>
            <w:shd w:val="clear" w:color="auto" w:fill="D1FCFC"/>
          </w:tcPr>
          <w:p>
            <w:pPr>
              <w:spacing w:after="0"/>
              <w:rPr>
                <w:sz w:val="18"/>
                <w:szCs w:val="18"/>
                <w:color w:val="auto"/>
              </w:rPr>
            </w:pPr>
          </w:p>
        </w:tc>
        <w:tc>
          <w:tcPr>
            <w:tcW w:w="80" w:type="dxa"/>
            <w:vAlign w:val="bottom"/>
            <w:shd w:val="clear" w:color="auto" w:fill="D1FCFC"/>
          </w:tcPr>
          <w:p>
            <w:pPr>
              <w:spacing w:after="0"/>
              <w:rPr>
                <w:sz w:val="18"/>
                <w:szCs w:val="18"/>
                <w:color w:val="auto"/>
              </w:rPr>
            </w:pPr>
          </w:p>
        </w:tc>
        <w:tc>
          <w:tcPr>
            <w:tcW w:w="1060" w:type="dxa"/>
            <w:vAlign w:val="bottom"/>
            <w:shd w:val="clear" w:color="auto" w:fill="D1FCFC"/>
          </w:tcPr>
          <w:p>
            <w:pPr>
              <w:jc w:val="right"/>
              <w:spacing w:after="0"/>
              <w:rPr>
                <w:sz w:val="20"/>
                <w:szCs w:val="20"/>
                <w:color w:val="auto"/>
              </w:rPr>
            </w:pPr>
            <w:r>
              <w:rPr>
                <w:rFonts w:ascii="Arial" w:cs="Arial" w:eastAsia="Arial" w:hAnsi="Arial"/>
                <w:sz w:val="18"/>
                <w:szCs w:val="18"/>
                <w:color w:val="auto"/>
              </w:rPr>
              <w:t>99.733%</w:t>
            </w:r>
          </w:p>
        </w:tc>
        <w:tc>
          <w:tcPr>
            <w:tcW w:w="580" w:type="dxa"/>
            <w:vAlign w:val="bottom"/>
            <w:shd w:val="clear" w:color="auto" w:fill="D1FCFC"/>
          </w:tcPr>
          <w:p>
            <w:pPr>
              <w:spacing w:after="0"/>
              <w:rPr>
                <w:sz w:val="18"/>
                <w:szCs w:val="18"/>
                <w:color w:val="auto"/>
              </w:rPr>
            </w:pPr>
          </w:p>
        </w:tc>
        <w:tc>
          <w:tcPr>
            <w:tcW w:w="120" w:type="dxa"/>
            <w:vAlign w:val="bottom"/>
            <w:shd w:val="clear" w:color="auto" w:fill="D1FCFC"/>
          </w:tcPr>
          <w:p>
            <w:pPr>
              <w:spacing w:after="0"/>
              <w:rPr>
                <w:sz w:val="18"/>
                <w:szCs w:val="18"/>
                <w:color w:val="auto"/>
              </w:rPr>
            </w:pPr>
          </w:p>
        </w:tc>
        <w:tc>
          <w:tcPr>
            <w:tcW w:w="960" w:type="dxa"/>
            <w:vAlign w:val="bottom"/>
            <w:shd w:val="clear" w:color="auto" w:fill="D1FCFC"/>
          </w:tcPr>
          <w:p>
            <w:pPr>
              <w:jc w:val="right"/>
              <w:spacing w:after="0"/>
              <w:rPr>
                <w:sz w:val="20"/>
                <w:szCs w:val="20"/>
                <w:color w:val="auto"/>
              </w:rPr>
            </w:pPr>
            <w:r>
              <w:rPr>
                <w:rFonts w:ascii="Arial" w:cs="Arial" w:eastAsia="Arial" w:hAnsi="Arial"/>
                <w:sz w:val="18"/>
                <w:szCs w:val="18"/>
                <w:color w:val="auto"/>
              </w:rPr>
              <w:t>0.350%</w:t>
            </w:r>
          </w:p>
        </w:tc>
        <w:tc>
          <w:tcPr>
            <w:tcW w:w="580" w:type="dxa"/>
            <w:vAlign w:val="bottom"/>
            <w:shd w:val="clear" w:color="auto" w:fill="D1FCFC"/>
          </w:tcPr>
          <w:p>
            <w:pPr>
              <w:spacing w:after="0"/>
              <w:rPr>
                <w:sz w:val="18"/>
                <w:szCs w:val="18"/>
                <w:color w:val="auto"/>
              </w:rPr>
            </w:pPr>
          </w:p>
        </w:tc>
        <w:tc>
          <w:tcPr>
            <w:tcW w:w="100" w:type="dxa"/>
            <w:vAlign w:val="bottom"/>
            <w:shd w:val="clear" w:color="auto" w:fill="D1FCFC"/>
          </w:tcPr>
          <w:p>
            <w:pPr>
              <w:spacing w:after="0"/>
              <w:rPr>
                <w:sz w:val="18"/>
                <w:szCs w:val="18"/>
                <w:color w:val="auto"/>
              </w:rPr>
            </w:pPr>
          </w:p>
        </w:tc>
        <w:tc>
          <w:tcPr>
            <w:tcW w:w="1080" w:type="dxa"/>
            <w:vAlign w:val="bottom"/>
            <w:shd w:val="clear" w:color="auto" w:fill="D1FCFC"/>
          </w:tcPr>
          <w:p>
            <w:pPr>
              <w:jc w:val="right"/>
              <w:spacing w:after="0"/>
              <w:rPr>
                <w:sz w:val="20"/>
                <w:szCs w:val="20"/>
                <w:color w:val="auto"/>
              </w:rPr>
            </w:pPr>
            <w:r>
              <w:rPr>
                <w:rFonts w:ascii="Arial" w:cs="Arial" w:eastAsia="Arial" w:hAnsi="Arial"/>
                <w:sz w:val="18"/>
                <w:szCs w:val="18"/>
                <w:color w:val="auto"/>
              </w:rPr>
              <w:t>99.383%</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797,864,000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795,064,000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D1FCFC"/>
          </w:tcPr>
          <w:p>
            <w:pPr>
              <w:spacing w:after="0"/>
              <w:rPr>
                <w:sz w:val="20"/>
                <w:szCs w:val="20"/>
                <w:color w:val="auto"/>
              </w:rPr>
            </w:pPr>
            <w:r>
              <w:rPr>
                <w:rFonts w:ascii="Arial" w:cs="Arial" w:eastAsia="Arial" w:hAnsi="Arial"/>
                <w:sz w:val="18"/>
                <w:szCs w:val="18"/>
                <w:color w:val="auto"/>
              </w:rPr>
              <w:t>Per note due 2030</w:t>
            </w:r>
            <w:r>
              <w:rPr>
                <w:rFonts w:ascii="Arial" w:cs="Arial" w:eastAsia="Arial" w:hAnsi="Arial"/>
                <w:sz w:val="15"/>
                <w:szCs w:val="15"/>
                <w:color w:val="auto"/>
              </w:rPr>
              <w:t>(1)</w:t>
            </w:r>
          </w:p>
        </w:tc>
        <w:tc>
          <w:tcPr>
            <w:tcW w:w="1580" w:type="dxa"/>
            <w:vAlign w:val="bottom"/>
            <w:shd w:val="clear" w:color="auto" w:fill="D1FCFC"/>
          </w:tcPr>
          <w:p>
            <w:pPr>
              <w:spacing w:after="0"/>
              <w:rPr>
                <w:sz w:val="18"/>
                <w:szCs w:val="18"/>
                <w:color w:val="auto"/>
              </w:rPr>
            </w:pPr>
          </w:p>
        </w:tc>
        <w:tc>
          <w:tcPr>
            <w:tcW w:w="80" w:type="dxa"/>
            <w:vAlign w:val="bottom"/>
            <w:shd w:val="clear" w:color="auto" w:fill="D1FCFC"/>
          </w:tcPr>
          <w:p>
            <w:pPr>
              <w:spacing w:after="0"/>
              <w:rPr>
                <w:sz w:val="18"/>
                <w:szCs w:val="18"/>
                <w:color w:val="auto"/>
              </w:rPr>
            </w:pPr>
          </w:p>
        </w:tc>
        <w:tc>
          <w:tcPr>
            <w:tcW w:w="1060" w:type="dxa"/>
            <w:vAlign w:val="bottom"/>
            <w:shd w:val="clear" w:color="auto" w:fill="D1FCFC"/>
          </w:tcPr>
          <w:p>
            <w:pPr>
              <w:jc w:val="right"/>
              <w:spacing w:after="0"/>
              <w:rPr>
                <w:sz w:val="20"/>
                <w:szCs w:val="20"/>
                <w:color w:val="auto"/>
              </w:rPr>
            </w:pPr>
            <w:r>
              <w:rPr>
                <w:rFonts w:ascii="Arial" w:cs="Arial" w:eastAsia="Arial" w:hAnsi="Arial"/>
                <w:sz w:val="18"/>
                <w:szCs w:val="18"/>
                <w:color w:val="auto"/>
              </w:rPr>
              <w:t>99.823%</w:t>
            </w:r>
          </w:p>
        </w:tc>
        <w:tc>
          <w:tcPr>
            <w:tcW w:w="580" w:type="dxa"/>
            <w:vAlign w:val="bottom"/>
            <w:shd w:val="clear" w:color="auto" w:fill="D1FCFC"/>
          </w:tcPr>
          <w:p>
            <w:pPr>
              <w:spacing w:after="0"/>
              <w:rPr>
                <w:sz w:val="18"/>
                <w:szCs w:val="18"/>
                <w:color w:val="auto"/>
              </w:rPr>
            </w:pPr>
          </w:p>
        </w:tc>
        <w:tc>
          <w:tcPr>
            <w:tcW w:w="120" w:type="dxa"/>
            <w:vAlign w:val="bottom"/>
            <w:shd w:val="clear" w:color="auto" w:fill="D1FCFC"/>
          </w:tcPr>
          <w:p>
            <w:pPr>
              <w:spacing w:after="0"/>
              <w:rPr>
                <w:sz w:val="18"/>
                <w:szCs w:val="18"/>
                <w:color w:val="auto"/>
              </w:rPr>
            </w:pPr>
          </w:p>
        </w:tc>
        <w:tc>
          <w:tcPr>
            <w:tcW w:w="960" w:type="dxa"/>
            <w:vAlign w:val="bottom"/>
            <w:shd w:val="clear" w:color="auto" w:fill="D1FCFC"/>
          </w:tcPr>
          <w:p>
            <w:pPr>
              <w:jc w:val="right"/>
              <w:spacing w:after="0"/>
              <w:rPr>
                <w:sz w:val="20"/>
                <w:szCs w:val="20"/>
                <w:color w:val="auto"/>
              </w:rPr>
            </w:pPr>
            <w:r>
              <w:rPr>
                <w:rFonts w:ascii="Arial" w:cs="Arial" w:eastAsia="Arial" w:hAnsi="Arial"/>
                <w:sz w:val="18"/>
                <w:szCs w:val="18"/>
                <w:color w:val="auto"/>
              </w:rPr>
              <w:t>0.400%</w:t>
            </w:r>
          </w:p>
        </w:tc>
        <w:tc>
          <w:tcPr>
            <w:tcW w:w="580" w:type="dxa"/>
            <w:vAlign w:val="bottom"/>
            <w:shd w:val="clear" w:color="auto" w:fill="D1FCFC"/>
          </w:tcPr>
          <w:p>
            <w:pPr>
              <w:spacing w:after="0"/>
              <w:rPr>
                <w:sz w:val="18"/>
                <w:szCs w:val="18"/>
                <w:color w:val="auto"/>
              </w:rPr>
            </w:pPr>
          </w:p>
        </w:tc>
        <w:tc>
          <w:tcPr>
            <w:tcW w:w="100" w:type="dxa"/>
            <w:vAlign w:val="bottom"/>
            <w:shd w:val="clear" w:color="auto" w:fill="D1FCFC"/>
          </w:tcPr>
          <w:p>
            <w:pPr>
              <w:spacing w:after="0"/>
              <w:rPr>
                <w:sz w:val="18"/>
                <w:szCs w:val="18"/>
                <w:color w:val="auto"/>
              </w:rPr>
            </w:pPr>
          </w:p>
        </w:tc>
        <w:tc>
          <w:tcPr>
            <w:tcW w:w="1080" w:type="dxa"/>
            <w:vAlign w:val="bottom"/>
            <w:shd w:val="clear" w:color="auto" w:fill="D1FCFC"/>
          </w:tcPr>
          <w:p>
            <w:pPr>
              <w:jc w:val="right"/>
              <w:spacing w:after="0"/>
              <w:rPr>
                <w:sz w:val="20"/>
                <w:szCs w:val="20"/>
                <w:color w:val="auto"/>
              </w:rPr>
            </w:pPr>
            <w:r>
              <w:rPr>
                <w:rFonts w:ascii="Arial" w:cs="Arial" w:eastAsia="Arial" w:hAnsi="Arial"/>
                <w:sz w:val="18"/>
                <w:szCs w:val="18"/>
                <w:color w:val="auto"/>
              </w:rPr>
              <w:t>99.423%</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1,597,168,000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6,400,000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86"/>
              </w:rPr>
              <w:t>1,590,768,000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D1FCFC"/>
          </w:tcPr>
          <w:p>
            <w:pPr>
              <w:spacing w:after="0"/>
              <w:rPr>
                <w:sz w:val="20"/>
                <w:szCs w:val="20"/>
                <w:color w:val="auto"/>
              </w:rPr>
            </w:pPr>
            <w:r>
              <w:rPr>
                <w:rFonts w:ascii="Arial" w:cs="Arial" w:eastAsia="Arial" w:hAnsi="Arial"/>
                <w:sz w:val="18"/>
                <w:szCs w:val="18"/>
                <w:color w:val="auto"/>
              </w:rPr>
              <w:t>Per note due 2040</w:t>
            </w:r>
            <w:r>
              <w:rPr>
                <w:rFonts w:ascii="Arial" w:cs="Arial" w:eastAsia="Arial" w:hAnsi="Arial"/>
                <w:sz w:val="15"/>
                <w:szCs w:val="15"/>
                <w:color w:val="auto"/>
              </w:rPr>
              <w:t>(1)</w:t>
            </w:r>
          </w:p>
        </w:tc>
        <w:tc>
          <w:tcPr>
            <w:tcW w:w="1580" w:type="dxa"/>
            <w:vAlign w:val="bottom"/>
            <w:shd w:val="clear" w:color="auto" w:fill="D1FCFC"/>
          </w:tcPr>
          <w:p>
            <w:pPr>
              <w:spacing w:after="0"/>
              <w:rPr>
                <w:sz w:val="18"/>
                <w:szCs w:val="18"/>
                <w:color w:val="auto"/>
              </w:rPr>
            </w:pPr>
          </w:p>
        </w:tc>
        <w:tc>
          <w:tcPr>
            <w:tcW w:w="80" w:type="dxa"/>
            <w:vAlign w:val="bottom"/>
            <w:shd w:val="clear" w:color="auto" w:fill="D1FCFC"/>
          </w:tcPr>
          <w:p>
            <w:pPr>
              <w:spacing w:after="0"/>
              <w:rPr>
                <w:sz w:val="18"/>
                <w:szCs w:val="18"/>
                <w:color w:val="auto"/>
              </w:rPr>
            </w:pPr>
          </w:p>
        </w:tc>
        <w:tc>
          <w:tcPr>
            <w:tcW w:w="1060" w:type="dxa"/>
            <w:vAlign w:val="bottom"/>
            <w:shd w:val="clear" w:color="auto" w:fill="D1FCFC"/>
          </w:tcPr>
          <w:p>
            <w:pPr>
              <w:jc w:val="right"/>
              <w:spacing w:after="0"/>
              <w:rPr>
                <w:sz w:val="20"/>
                <w:szCs w:val="20"/>
                <w:color w:val="auto"/>
              </w:rPr>
            </w:pPr>
            <w:r>
              <w:rPr>
                <w:rFonts w:ascii="Arial" w:cs="Arial" w:eastAsia="Arial" w:hAnsi="Arial"/>
                <w:sz w:val="18"/>
                <w:szCs w:val="18"/>
                <w:color w:val="auto"/>
              </w:rPr>
              <w:t>99.456%</w:t>
            </w:r>
          </w:p>
        </w:tc>
        <w:tc>
          <w:tcPr>
            <w:tcW w:w="580" w:type="dxa"/>
            <w:vAlign w:val="bottom"/>
            <w:shd w:val="clear" w:color="auto" w:fill="D1FCFC"/>
          </w:tcPr>
          <w:p>
            <w:pPr>
              <w:spacing w:after="0"/>
              <w:rPr>
                <w:sz w:val="18"/>
                <w:szCs w:val="18"/>
                <w:color w:val="auto"/>
              </w:rPr>
            </w:pPr>
          </w:p>
        </w:tc>
        <w:tc>
          <w:tcPr>
            <w:tcW w:w="120" w:type="dxa"/>
            <w:vAlign w:val="bottom"/>
            <w:shd w:val="clear" w:color="auto" w:fill="D1FCFC"/>
          </w:tcPr>
          <w:p>
            <w:pPr>
              <w:spacing w:after="0"/>
              <w:rPr>
                <w:sz w:val="18"/>
                <w:szCs w:val="18"/>
                <w:color w:val="auto"/>
              </w:rPr>
            </w:pPr>
          </w:p>
        </w:tc>
        <w:tc>
          <w:tcPr>
            <w:tcW w:w="960" w:type="dxa"/>
            <w:vAlign w:val="bottom"/>
            <w:shd w:val="clear" w:color="auto" w:fill="D1FCFC"/>
          </w:tcPr>
          <w:p>
            <w:pPr>
              <w:jc w:val="right"/>
              <w:spacing w:after="0"/>
              <w:rPr>
                <w:sz w:val="20"/>
                <w:szCs w:val="20"/>
                <w:color w:val="auto"/>
              </w:rPr>
            </w:pPr>
            <w:r>
              <w:rPr>
                <w:rFonts w:ascii="Arial" w:cs="Arial" w:eastAsia="Arial" w:hAnsi="Arial"/>
                <w:sz w:val="18"/>
                <w:szCs w:val="18"/>
                <w:color w:val="auto"/>
              </w:rPr>
              <w:t>0.600%</w:t>
            </w:r>
          </w:p>
        </w:tc>
        <w:tc>
          <w:tcPr>
            <w:tcW w:w="580" w:type="dxa"/>
            <w:vAlign w:val="bottom"/>
            <w:shd w:val="clear" w:color="auto" w:fill="D1FCFC"/>
          </w:tcPr>
          <w:p>
            <w:pPr>
              <w:spacing w:after="0"/>
              <w:rPr>
                <w:sz w:val="18"/>
                <w:szCs w:val="18"/>
                <w:color w:val="auto"/>
              </w:rPr>
            </w:pPr>
          </w:p>
        </w:tc>
        <w:tc>
          <w:tcPr>
            <w:tcW w:w="100" w:type="dxa"/>
            <w:vAlign w:val="bottom"/>
            <w:shd w:val="clear" w:color="auto" w:fill="D1FCFC"/>
          </w:tcPr>
          <w:p>
            <w:pPr>
              <w:spacing w:after="0"/>
              <w:rPr>
                <w:sz w:val="18"/>
                <w:szCs w:val="18"/>
                <w:color w:val="auto"/>
              </w:rPr>
            </w:pPr>
          </w:p>
        </w:tc>
        <w:tc>
          <w:tcPr>
            <w:tcW w:w="1080" w:type="dxa"/>
            <w:vAlign w:val="bottom"/>
            <w:shd w:val="clear" w:color="auto" w:fill="D1FCFC"/>
          </w:tcPr>
          <w:p>
            <w:pPr>
              <w:jc w:val="right"/>
              <w:spacing w:after="0"/>
              <w:rPr>
                <w:sz w:val="20"/>
                <w:szCs w:val="20"/>
                <w:color w:val="auto"/>
              </w:rPr>
            </w:pPr>
            <w:r>
              <w:rPr>
                <w:rFonts w:ascii="Arial" w:cs="Arial" w:eastAsia="Arial" w:hAnsi="Arial"/>
                <w:sz w:val="18"/>
                <w:szCs w:val="18"/>
                <w:color w:val="auto"/>
              </w:rPr>
              <w:t>98.856%</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795,648,000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790,848,000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March 27, 2020, if settlement occurs after that date.</w:t>
      </w:r>
    </w:p>
    <w:p>
      <w:pPr>
        <w:spacing w:after="0" w:line="181"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March 27, 2020, which is the third business day following the date of this prospectus supplement. See “Underwriting.”</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BofA Securities</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660"/>
        <w:spacing w:after="0"/>
        <w:rPr>
          <w:sz w:val="20"/>
          <w:szCs w:val="20"/>
          <w:color w:val="auto"/>
        </w:rPr>
      </w:pPr>
      <w:r>
        <w:rPr>
          <w:rFonts w:ascii="Arial" w:cs="Arial" w:eastAsia="Arial" w:hAnsi="Arial"/>
          <w:sz w:val="19"/>
          <w:szCs w:val="19"/>
          <w:b w:val="1"/>
          <w:bCs w:val="1"/>
          <w:color w:val="auto"/>
        </w:rPr>
        <w:t>J.P. Morgan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Wells Fargo Securities</w:t>
      </w:r>
    </w:p>
    <w:p>
      <w:pPr>
        <w:spacing w:after="0" w:line="151" w:lineRule="exact"/>
        <w:rPr>
          <w:sz w:val="20"/>
          <w:szCs w:val="20"/>
          <w:color w:val="auto"/>
        </w:rPr>
      </w:pPr>
    </w:p>
    <w:p>
      <w:pPr>
        <w:sectPr>
          <w:pgSz w:w="11900" w:h="16838" w:orient="portrait"/>
          <w:cols w:equalWidth="0" w:num="3">
            <w:col w:w="4520" w:space="720"/>
            <w:col w:w="2380" w:space="720"/>
            <w:col w:w="28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The date of this prospectus supplement is March 24, 2020.</w:t>
      </w:r>
    </w:p>
    <w:p>
      <w:pPr>
        <w:sectPr>
          <w:pgSz w:w="11900" w:h="16838" w:orient="portrait"/>
          <w:cols w:equalWidth="0" w:num="1">
            <w:col w:w="11140"/>
          </w:cols>
          <w:pgMar w:left="32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gridSpan w:val="2"/>
          </w:tcPr>
          <w:p>
            <w:pPr>
              <w:jc w:val="center"/>
              <w:ind w:right="3160"/>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1056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20" w:type="dxa"/>
            <w:vAlign w:val="bottom"/>
          </w:tcPr>
          <w:p>
            <w:pPr>
              <w:spacing w:after="0"/>
              <w:rPr>
                <w:sz w:val="24"/>
                <w:szCs w:val="24"/>
                <w:color w:val="auto"/>
              </w:rPr>
            </w:pPr>
          </w:p>
        </w:tc>
        <w:tc>
          <w:tcPr>
            <w:tcW w:w="400" w:type="dxa"/>
            <w:vAlign w:val="bottom"/>
            <w:gridSpan w:val="3"/>
          </w:tcPr>
          <w:p>
            <w:pP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
        </w:trPr>
        <w:tc>
          <w:tcPr>
            <w:tcW w:w="120" w:type="dxa"/>
            <w:vAlign w:val="bottom"/>
            <w:vMerge w:val="restart"/>
          </w:tcPr>
          <w:p>
            <w:pPr>
              <w:spacing w:after="0" w:line="20" w:lineRule="exact"/>
              <w:rPr>
                <w:sz w:val="1"/>
                <w:szCs w:val="1"/>
                <w:color w:val="auto"/>
              </w:rPr>
            </w:pPr>
          </w:p>
        </w:tc>
        <w:tc>
          <w:tcPr>
            <w:tcW w:w="10560" w:type="dxa"/>
            <w:vAlign w:val="bottom"/>
            <w:gridSpan w:val="16"/>
            <w:vMerge w:val="continue"/>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0560" w:type="dxa"/>
            <w:vAlign w:val="bottom"/>
            <w:gridSpan w:val="16"/>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77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8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Description of the Notes</w:t>
              </w:r>
            </w:hyperlink>
          </w:p>
        </w:tc>
        <w:tc>
          <w:tcPr>
            <w:tcW w:w="88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Material U.S. Federal Income Tax Consequences For Non-U.S. Holders</w:t>
              </w:r>
            </w:hyperlink>
          </w:p>
        </w:tc>
        <w:tc>
          <w:tcPr>
            <w:tcW w:w="20" w:type="dxa"/>
            <w:vAlign w:val="bottom"/>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Underwriting</w:t>
              </w:r>
            </w:hyperlink>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20" w:type="dxa"/>
            <w:vAlign w:val="bottom"/>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95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601"/>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gridSpan w:val="2"/>
          </w:tcPr>
          <w:p>
            <w:pPr>
              <w:jc w:val="center"/>
              <w:ind w:right="3160"/>
              <w:spacing w:after="0"/>
              <w:rPr>
                <w:sz w:val="20"/>
                <w:szCs w:val="20"/>
                <w:color w:val="auto"/>
              </w:rPr>
            </w:pPr>
            <w:r>
              <w:rPr>
                <w:rFonts w:ascii="Arial" w:cs="Arial" w:eastAsia="Arial" w:hAnsi="Arial"/>
                <w:sz w:val="18"/>
                <w:szCs w:val="18"/>
                <w:b w:val="1"/>
                <w:bCs w:val="1"/>
                <w:color w:val="auto"/>
                <w:w w:val="85"/>
              </w:rPr>
              <w:t>Prospectus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160" w:type="dxa"/>
            <w:vAlign w:val="bottom"/>
            <w:gridSpan w:val="4"/>
            <w:vMerge w:val="restart"/>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The Companies</w:t>
              </w:r>
            </w:hyperlink>
          </w:p>
        </w:tc>
        <w:tc>
          <w:tcPr>
            <w:tcW w:w="9400" w:type="dxa"/>
            <w:vAlign w:val="bottom"/>
            <w:gridSpan w:val="12"/>
            <w:vMerge w:val="restart"/>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1160" w:type="dxa"/>
            <w:vAlign w:val="bottom"/>
            <w:tcBorders>
              <w:bottom w:val="single" w:sz="8" w:color="0000EE"/>
            </w:tcBorders>
            <w:gridSpan w:val="4"/>
            <w:vMerge w:val="continue"/>
          </w:tcPr>
          <w:p>
            <w:pPr>
              <w:spacing w:after="0"/>
              <w:rPr>
                <w:sz w:val="13"/>
                <w:szCs w:val="13"/>
                <w:color w:val="auto"/>
              </w:rPr>
            </w:pPr>
          </w:p>
        </w:tc>
        <w:tc>
          <w:tcPr>
            <w:tcW w:w="9400" w:type="dxa"/>
            <w:vAlign w:val="bottom"/>
            <w:gridSpan w:val="12"/>
            <w:vMerge w:val="continue"/>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56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Caution Concerning Forward-Looking Statements</w:t>
              </w:r>
            </w:hyperlink>
          </w:p>
        </w:tc>
        <w:tc>
          <w:tcPr>
            <w:tcW w:w="4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6960" w:type="dxa"/>
            <w:vAlign w:val="bottom"/>
            <w:gridSpan w:val="2"/>
          </w:tcPr>
          <w:p>
            <w:pPr>
              <w:spacing w:after="0"/>
              <w:rPr>
                <w:sz w:val="17"/>
                <w:szCs w:val="17"/>
                <w:color w:val="auto"/>
              </w:rPr>
            </w:pPr>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Dividend Policy</w:t>
              </w:r>
            </w:hyperlink>
          </w:p>
        </w:tc>
        <w:tc>
          <w:tcPr>
            <w:tcW w:w="9380" w:type="dxa"/>
            <w:vAlign w:val="bottom"/>
            <w:gridSpan w:val="11"/>
          </w:tcPr>
          <w:p>
            <w:pPr>
              <w:spacing w:after="0"/>
              <w:rPr>
                <w:sz w:val="17"/>
                <w:szCs w:val="17"/>
                <w:color w:val="auto"/>
              </w:rPr>
            </w:pPr>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Debt Securities and Guarantees</w:t>
              </w:r>
            </w:hyperlink>
          </w:p>
        </w:tc>
        <w:tc>
          <w:tcPr>
            <w:tcW w:w="7220" w:type="dxa"/>
            <w:vAlign w:val="bottom"/>
            <w:gridSpan w:val="3"/>
          </w:tcPr>
          <w:p>
            <w:pPr>
              <w:spacing w:after="0"/>
              <w:rPr>
                <w:sz w:val="17"/>
                <w:szCs w:val="17"/>
                <w:color w:val="auto"/>
              </w:rPr>
            </w:pPr>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Global Securities</w:t>
              </w:r>
            </w:hyperlink>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Capital Stock</w:t>
              </w:r>
            </w:hyperlink>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8520" w:type="dxa"/>
            <w:vAlign w:val="bottom"/>
            <w:gridSpan w:val="6"/>
          </w:tcPr>
          <w:p>
            <w:pPr>
              <w:spacing w:after="0"/>
              <w:rPr>
                <w:sz w:val="17"/>
                <w:szCs w:val="17"/>
                <w:color w:val="auto"/>
              </w:rPr>
            </w:pPr>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9140" w:type="dxa"/>
            <w:vAlign w:val="bottom"/>
            <w:gridSpan w:val="9"/>
          </w:tcPr>
          <w:p>
            <w:pPr>
              <w:spacing w:after="0"/>
              <w:rPr>
                <w:sz w:val="17"/>
                <w:szCs w:val="17"/>
                <w:color w:val="auto"/>
              </w:rPr>
            </w:pPr>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9560" w:type="dxa"/>
            <w:vAlign w:val="bottom"/>
            <w:gridSpan w:val="13"/>
          </w:tcPr>
          <w:p>
            <w:pPr>
              <w:spacing w:after="0"/>
              <w:rPr>
                <w:sz w:val="17"/>
                <w:szCs w:val="17"/>
                <w:color w:val="auto"/>
              </w:rPr>
            </w:pPr>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Available Information</w:t>
              </w:r>
            </w:hyperlink>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60" w:type="dxa"/>
            <w:vAlign w:val="bottom"/>
            <w:gridSpan w:val="1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Incorporation of Certain Documents by Reference</w:t>
              </w:r>
            </w:hyperlink>
          </w:p>
        </w:tc>
        <w:tc>
          <w:tcPr>
            <w:tcW w:w="4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refer to Comcast Corporation in this prospectus supplement as “Comcast,” and Comcast and its consolidated subsidiaries as “we,” “us,” “our” or comparable terms and Sky Limited (formerly Sky plc) and its consolidated subsidiaries as “Sky.” We refer to Comcast Cable Communications, LLC and its consolidated subsidiaries as “Comcast Cable,” NBCUniversal Media, LLC and its consolidated subsidiaries as “NBCUniversal,” and both of them collectively as the “guarantors.”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set forth below that we or NBCUniversal have previously filed with the SEC:</w:t>
      </w:r>
    </w:p>
    <w:p>
      <w:pPr>
        <w:spacing w:after="0" w:line="170" w:lineRule="exact"/>
        <w:rPr>
          <w:sz w:val="20"/>
          <w:szCs w:val="20"/>
          <w:color w:val="auto"/>
        </w:rPr>
      </w:pPr>
    </w:p>
    <w:p>
      <w:pPr>
        <w:ind w:left="980" w:hanging="432"/>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15">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2019, filed on January 30, 2020.</w:t>
      </w:r>
    </w:p>
    <w:p>
      <w:pPr>
        <w:spacing w:after="0" w:line="248" w:lineRule="exact"/>
        <w:rPr>
          <w:rFonts w:ascii="Arial" w:cs="Arial" w:eastAsia="Arial" w:hAnsi="Arial"/>
          <w:sz w:val="16"/>
          <w:szCs w:val="16"/>
          <w:color w:val="auto"/>
        </w:rPr>
      </w:pPr>
    </w:p>
    <w:p>
      <w:pPr>
        <w:ind w:left="980" w:hanging="43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16">
        <w:r>
          <w:rPr>
            <w:rFonts w:ascii="Arial" w:cs="Arial" w:eastAsia="Arial" w:hAnsi="Arial"/>
            <w:sz w:val="18"/>
            <w:szCs w:val="18"/>
            <w:u w:val="single" w:color="auto"/>
            <w:color w:val="0000EE"/>
          </w:rPr>
          <w:t>February 20,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7">
        <w:r>
          <w:rPr>
            <w:rFonts w:ascii="Arial" w:cs="Arial" w:eastAsia="Arial" w:hAnsi="Arial"/>
            <w:sz w:val="18"/>
            <w:szCs w:val="18"/>
            <w:u w:val="single" w:color="auto"/>
            <w:color w:val="0000EE"/>
          </w:rPr>
          <w:t>March 24, 2020</w:t>
        </w:r>
      </w:hyperlink>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20"/>
        <w:spacing w:after="0" w:line="284"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4"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286-1700.</w:t>
      </w:r>
    </w:p>
    <w:p>
      <w:pPr>
        <w:spacing w:after="0" w:line="143"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7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Companies</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Comcast Corporation</w:t>
      </w:r>
    </w:p>
    <w:p>
      <w:pPr>
        <w:spacing w:after="0" w:line="189" w:lineRule="exact"/>
        <w:rPr>
          <w:sz w:val="20"/>
          <w:szCs w:val="20"/>
          <w:color w:val="auto"/>
        </w:rPr>
      </w:pPr>
    </w:p>
    <w:p>
      <w:pPr>
        <w:ind w:left="300" w:right="20"/>
        <w:spacing w:after="0" w:line="287" w:lineRule="auto"/>
        <w:rPr>
          <w:sz w:val="20"/>
          <w:szCs w:val="20"/>
          <w:color w:val="auto"/>
        </w:rPr>
      </w:pPr>
      <w:r>
        <w:rPr>
          <w:rFonts w:ascii="Arial" w:cs="Arial" w:eastAsia="Arial" w:hAnsi="Arial"/>
          <w:sz w:val="16"/>
          <w:szCs w:val="16"/>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w:t>
      </w:r>
    </w:p>
    <w:p>
      <w:pPr>
        <w:spacing w:after="0" w:line="2" w:lineRule="exact"/>
        <w:rPr>
          <w:sz w:val="20"/>
          <w:szCs w:val="20"/>
          <w:color w:val="auto"/>
        </w:rPr>
      </w:pPr>
    </w:p>
    <w:p>
      <w:pPr>
        <w:ind w:left="560" w:hanging="26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Sky in one reportable business segment.</w:t>
      </w:r>
    </w:p>
    <w:p>
      <w:pPr>
        <w:spacing w:after="0" w:line="206" w:lineRule="exact"/>
        <w:rPr>
          <w:rFonts w:ascii="Arial" w:cs="Arial" w:eastAsia="Arial" w:hAnsi="Arial"/>
          <w:sz w:val="18"/>
          <w:szCs w:val="18"/>
          <w:color w:val="auto"/>
        </w:rPr>
      </w:pPr>
    </w:p>
    <w:p>
      <w:pPr>
        <w:ind w:left="112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a leading provider of high-speed internet, video, voice,</w:t>
      </w:r>
      <w:r>
        <w:rPr>
          <w:rFonts w:ascii="Arial" w:cs="Arial" w:eastAsia="Arial" w:hAnsi="Arial"/>
          <w:sz w:val="18"/>
          <w:szCs w:val="18"/>
          <w:b w:val="1"/>
          <w:bCs w:val="1"/>
          <w:color w:val="auto"/>
        </w:rPr>
        <w:t xml:space="preserve"> </w:t>
      </w:r>
      <w:r>
        <w:rPr>
          <w:rFonts w:ascii="Arial" w:cs="Arial" w:eastAsia="Arial" w:hAnsi="Arial"/>
          <w:sz w:val="18"/>
          <w:szCs w:val="18"/>
          <w:color w:val="auto"/>
        </w:rPr>
        <w:t>wireless, and security and automation services to residential customers in the United States under the Xfinity brand; we also provide these and other services to business customers and sell advertising.</w:t>
      </w:r>
    </w:p>
    <w:p>
      <w:pPr>
        <w:spacing w:after="0" w:line="175" w:lineRule="exact"/>
        <w:rPr>
          <w:rFonts w:ascii="Arial" w:cs="Arial" w:eastAsia="Arial" w:hAnsi="Arial"/>
          <w:sz w:val="18"/>
          <w:szCs w:val="18"/>
          <w:color w:val="auto"/>
        </w:rPr>
      </w:pPr>
    </w:p>
    <w:p>
      <w:pPr>
        <w:ind w:left="1120" w:right="8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175" w:lineRule="exact"/>
        <w:rPr>
          <w:rFonts w:ascii="Arial" w:cs="Arial" w:eastAsia="Arial" w:hAnsi="Arial"/>
          <w:sz w:val="18"/>
          <w:szCs w:val="18"/>
          <w:color w:val="auto"/>
        </w:rPr>
      </w:pPr>
    </w:p>
    <w:p>
      <w:pPr>
        <w:ind w:left="1120" w:right="38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our broadcast television studio production operations, and various digital properties.</w:t>
      </w:r>
    </w:p>
    <w:p>
      <w:pPr>
        <w:spacing w:after="0" w:line="175" w:lineRule="exact"/>
        <w:rPr>
          <w:rFonts w:ascii="Arial" w:cs="Arial" w:eastAsia="Arial" w:hAnsi="Arial"/>
          <w:sz w:val="18"/>
          <w:szCs w:val="18"/>
          <w:color w:val="auto"/>
        </w:rPr>
      </w:pPr>
    </w:p>
    <w:p>
      <w:pPr>
        <w:ind w:left="1120" w:right="16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 our films are also produced under the Illumination, DreamWorks Animation and Focus Features names.</w:t>
      </w:r>
    </w:p>
    <w:p>
      <w:pPr>
        <w:spacing w:after="0" w:line="175" w:lineRule="exact"/>
        <w:rPr>
          <w:rFonts w:ascii="Arial" w:cs="Arial" w:eastAsia="Arial" w:hAnsi="Arial"/>
          <w:sz w:val="18"/>
          <w:szCs w:val="18"/>
          <w:color w:val="auto"/>
        </w:rPr>
      </w:pPr>
    </w:p>
    <w:p>
      <w:pPr>
        <w:ind w:left="1120" w:right="44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we are developing a theme park in Beijing, China along with a consortium of Chinese state-owned companies, and an additional theme park in Orlando, Florida.</w:t>
      </w:r>
    </w:p>
    <w:p>
      <w:pPr>
        <w:spacing w:after="0" w:line="175" w:lineRule="exact"/>
        <w:rPr>
          <w:rFonts w:ascii="Arial" w:cs="Arial" w:eastAsia="Arial" w:hAnsi="Arial"/>
          <w:sz w:val="18"/>
          <w:szCs w:val="18"/>
          <w:color w:val="auto"/>
        </w:rPr>
      </w:pPr>
    </w:p>
    <w:p>
      <w:pPr>
        <w:ind w:left="1120" w:hanging="403"/>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Sky</w:t>
      </w:r>
      <w:r>
        <w:rPr>
          <w:rFonts w:ascii="Arial" w:cs="Arial" w:eastAsia="Arial" w:hAnsi="Arial"/>
          <w:sz w:val="18"/>
          <w:szCs w:val="18"/>
          <w:color w:val="auto"/>
        </w:rPr>
        <w:t>: Consists of the operations of Sky, one of Europe’s leading entertainment companies, which primarily includes</w:t>
      </w:r>
    </w:p>
    <w:p>
      <w:pPr>
        <w:spacing w:after="0" w:line="27" w:lineRule="exact"/>
        <w:rPr>
          <w:rFonts w:ascii="Arial" w:cs="Arial" w:eastAsia="Arial" w:hAnsi="Arial"/>
          <w:sz w:val="18"/>
          <w:szCs w:val="18"/>
          <w:color w:val="auto"/>
        </w:rPr>
      </w:pPr>
    </w:p>
    <w:p>
      <w:pPr>
        <w:ind w:left="1120" w:right="640"/>
        <w:spacing w:after="0" w:line="260" w:lineRule="auto"/>
        <w:rPr>
          <w:rFonts w:ascii="Arial" w:cs="Arial" w:eastAsia="Arial" w:hAnsi="Arial"/>
          <w:sz w:val="18"/>
          <w:szCs w:val="18"/>
          <w:color w:val="auto"/>
        </w:rPr>
      </w:pPr>
      <w:r>
        <w:rPr>
          <w:rFonts w:ascii="Arial" w:cs="Arial" w:eastAsia="Arial" w:hAnsi="Arial"/>
          <w:sz w:val="18"/>
          <w:szCs w:val="18"/>
          <w:color w:val="auto"/>
        </w:rPr>
        <w:t>a direct-to-consumer business, providing video, high-speed internet, voice and wireless phone services, and a content business, operating entertainment networks, the Sky News broadcast network and Sky Sports networks.</w:t>
      </w:r>
    </w:p>
    <w:p>
      <w:pPr>
        <w:spacing w:after="0" w:line="145" w:lineRule="exact"/>
        <w:rPr>
          <w:sz w:val="20"/>
          <w:szCs w:val="20"/>
          <w:color w:val="auto"/>
        </w:rPr>
      </w:pPr>
    </w:p>
    <w:p>
      <w:pPr>
        <w:ind w:left="300" w:right="140"/>
        <w:spacing w:after="0" w:line="263"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the development of Peacock, our direct-to-consumer streaming service that will feature NBCUniversal content.</w:t>
      </w:r>
    </w:p>
    <w:p>
      <w:pPr>
        <w:spacing w:after="0" w:line="184"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84"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Comcast’s principal executive offices are located at One Comcast Center, Philadelphia, Pennsylvania 19103- 2838. Comcast’s telephone number is (215) 286-1700. The address of our website 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70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6998970" cy="2670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980"/>
        <w:spacing w:after="0" w:line="277" w:lineRule="auto"/>
        <w:rPr>
          <w:sz w:val="20"/>
          <w:szCs w:val="20"/>
          <w:color w:val="auto"/>
        </w:rPr>
      </w:pPr>
      <w:r>
        <w:rPr>
          <w:rFonts w:ascii="Arial" w:cs="Arial" w:eastAsia="Arial" w:hAnsi="Arial"/>
          <w:sz w:val="18"/>
          <w:szCs w:val="18"/>
          <w:color w:val="auto"/>
        </w:rPr>
        <w:t>www.comcastcorporation.com. The information on, or accessible through, our website is not part of this prospectus supplement or the accompanying prospectus.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Guarantors</w:t>
      </w:r>
    </w:p>
    <w:p>
      <w:pPr>
        <w:spacing w:after="0" w:line="202"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25" w:lineRule="exact"/>
        <w:rPr>
          <w:sz w:val="20"/>
          <w:szCs w:val="20"/>
          <w:color w:val="auto"/>
        </w:rPr>
      </w:pPr>
    </w:p>
    <w:p>
      <w:pPr>
        <w:ind w:left="1120" w:right="160" w:hanging="403"/>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1120" w:hanging="403"/>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08"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Comcast Cable’s principal place of business is One Comcast Center, Philadelphia, Pennsylvania 19103-2838. NBCUniversal’s principal executive offices are located at 30 Rockefeller Plaza, New York, New York 10112- 0015.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Corporation.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$800,000,000 aggregate principal amount of 3.100% Notes due 2025.</w:t>
            </w:r>
          </w:p>
        </w:tc>
      </w:tr>
      <w:tr>
        <w:trPr>
          <w:trHeight w:val="446"/>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$800,000,000 aggregate principal amount of 3.300% Notes due 2027.</w:t>
            </w:r>
          </w:p>
        </w:tc>
      </w:tr>
      <w:tr>
        <w:trPr>
          <w:trHeight w:val="432"/>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$1,600,000,000 aggregate principal amount of 3.400% Notes due 2030.</w:t>
            </w:r>
          </w:p>
        </w:tc>
      </w:tr>
      <w:tr>
        <w:trPr>
          <w:trHeight w:val="648"/>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$800,000,000 aggregate principal amount of 3.750% Notes due 2040.</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2025 will mature on April 1, 2025.</w:t>
            </w:r>
          </w:p>
        </w:tc>
      </w:tr>
      <w:tr>
        <w:trPr>
          <w:trHeight w:val="446"/>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2027 will mature on April 1, 2027.</w:t>
            </w:r>
          </w:p>
        </w:tc>
      </w:tr>
      <w:tr>
        <w:trPr>
          <w:trHeight w:val="432"/>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2030 will mature on April 1, 2030.</w:t>
            </w:r>
          </w:p>
        </w:tc>
      </w:tr>
      <w:tr>
        <w:trPr>
          <w:trHeight w:val="432"/>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2040 will mature on April 1, 2040.</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2025 will accrue at the rate of 3.100% per year, payable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semiannually in cash in arrears on April 1 and October 1, beginning October 1, 2020.</w:t>
            </w:r>
          </w:p>
        </w:tc>
      </w:tr>
      <w:tr>
        <w:trPr>
          <w:trHeight w:val="418"/>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2027 will accrue at the rate of 3.300% per year, payable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semiannually in cash in arrears on April 1 and October 1, beginning October 1, 2020.</w:t>
            </w:r>
          </w:p>
        </w:tc>
      </w:tr>
      <w:tr>
        <w:trPr>
          <w:trHeight w:val="418"/>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2030 will accrue at the rate of 3.400% per year, payable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semiannually in cash in arrears on April 1 and October 1, beginning October 1, 2020.</w:t>
            </w:r>
          </w:p>
        </w:tc>
      </w:tr>
      <w:tr>
        <w:trPr>
          <w:trHeight w:val="418"/>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2040 will accrue at the rate of 3.750% per year, payable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semiannually in cash in arrears on April 1 and October 1, beginning October 1, 2020.</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unsecured and unsubordinated indebtedness.</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Cable and NBCUniversal.</w:t>
            </w:r>
          </w:p>
        </w:tc>
      </w:tr>
      <w:tr>
        <w:trPr>
          <w:trHeight w:val="431"/>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We may, at our option, redeem any series of notes, in whole or in part,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applicable Redemption Price determined as set forth under the heading “Description of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Notes-Optional Redemption.”</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We intend to use the net proceeds from the offering, after deducting underwriters’ discount</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and expenses, for general corporate purposes.</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40" w:type="dxa"/>
            <w:vAlign w:val="bottom"/>
            <w:tcBorders>
              <w:bottom w:val="single" w:sz="8" w:color="auto"/>
              <w:right w:val="single" w:sz="8" w:color="auto"/>
            </w:tcBorders>
          </w:tcPr>
          <w:p>
            <w:pPr>
              <w:spacing w:after="0"/>
              <w:rPr>
                <w:sz w:val="20"/>
                <w:szCs w:val="20"/>
                <w:color w:val="auto"/>
              </w:rPr>
            </w:pPr>
          </w:p>
        </w:tc>
      </w:tr>
      <w:tr>
        <w:trPr>
          <w:trHeight w:val="604"/>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6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8400" w:type="dxa"/>
            <w:vAlign w:val="bottom"/>
            <w:tcBorders>
              <w:top w:val="single" w:sz="8" w:color="auto"/>
              <w:right w:val="single" w:sz="8" w:color="auto"/>
            </w:tcBorders>
          </w:tcPr>
          <w:p>
            <w:pPr>
              <w:ind w:left="160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6"/>
              </w:rPr>
              <w:t>deposited with, or on behalf of, DTC and registered in the name of DTC or its nominees.</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4"/>
              </w:rPr>
              <w:t>Beneficial interests in any of the notes will be shown on, and transfers will be effected only</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4"/>
              </w:rPr>
              <w:t>through, records maintained by DTC or its nominee or indirectly through organizations that</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have accounts with DTC, including Euroclear and Clearstream, and these beneficial</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3"/>
              </w:rPr>
              <w:t>interests may not be exchanged for certificated notes, except in limited circumstances. See</w:t>
            </w:r>
          </w:p>
        </w:tc>
      </w:tr>
      <w:tr>
        <w:trPr>
          <w:trHeight w:val="230"/>
        </w:trPr>
        <w:tc>
          <w:tcPr>
            <w:tcW w:w="262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“Description of the Notes-Book-Entry System” in this prospectus supplement.</w:t>
            </w:r>
          </w:p>
        </w:tc>
      </w:tr>
      <w:tr>
        <w:trPr>
          <w:trHeight w:val="240"/>
        </w:trPr>
        <w:tc>
          <w:tcPr>
            <w:tcW w:w="2620" w:type="dxa"/>
            <w:vAlign w:val="bottom"/>
            <w:tcBorders>
              <w:left w:val="single" w:sz="8" w:color="auto"/>
              <w:bottom w:val="single" w:sz="8" w:color="auto"/>
            </w:tcBorders>
          </w:tcPr>
          <w:p>
            <w:pPr>
              <w:spacing w:after="0"/>
              <w:rPr>
                <w:sz w:val="20"/>
                <w:szCs w:val="20"/>
                <w:color w:val="auto"/>
              </w:rPr>
            </w:pPr>
          </w:p>
        </w:tc>
        <w:tc>
          <w:tcPr>
            <w:tcW w:w="8400" w:type="dxa"/>
            <w:vAlign w:val="bottom"/>
            <w:tcBorders>
              <w:bottom w:val="single" w:sz="8" w:color="auto"/>
              <w:right w:val="single" w:sz="8" w:color="auto"/>
            </w:tcBorders>
          </w:tcPr>
          <w:p>
            <w:pPr>
              <w:spacing w:after="0"/>
              <w:rPr>
                <w:sz w:val="20"/>
                <w:szCs w:val="20"/>
                <w:color w:val="auto"/>
              </w:rPr>
            </w:pPr>
          </w:p>
        </w:tc>
      </w:tr>
      <w:tr>
        <w:trPr>
          <w:trHeight w:val="604"/>
        </w:trPr>
        <w:tc>
          <w:tcPr>
            <w:tcW w:w="2620" w:type="dxa"/>
            <w:vAlign w:val="bottom"/>
          </w:tcPr>
          <w:p>
            <w:pPr>
              <w:spacing w:after="0"/>
              <w:rPr>
                <w:sz w:val="24"/>
                <w:szCs w:val="24"/>
                <w:color w:val="auto"/>
              </w:rPr>
            </w:pPr>
          </w:p>
        </w:tc>
        <w:tc>
          <w:tcPr>
            <w:tcW w:w="8400" w:type="dxa"/>
            <w:vAlign w:val="bottom"/>
          </w:tcPr>
          <w:p>
            <w:pPr>
              <w:ind w:left="27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use the net proceeds from the offering, after deducting underwriters’ discount and expenses, for general corporate purposes.</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139"/>
          </w:cols>
          <w:pgMar w:left="32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THE NOTES</w:t>
      </w:r>
    </w:p>
    <w:p>
      <w:pPr>
        <w:spacing w:after="0" w:line="20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i w:val="1"/>
          <w:iCs w:val="1"/>
          <w:color w:val="auto"/>
        </w:rPr>
        <w:t>We are offering $800,000,000 aggregate principal amount of our 3.100% Notes due 2025, $800,000,000 aggregate principal amount of our 3.300% Notes due 2027, $1,600,000,000 aggregate principal amount of our 3.400% Notes due 2030 and $800,000,000 aggregate principal amount of our 3.750% Notes due 2040. The Notes due 2025, the Notes due 2027, the Notes due 2030 and the Notes due 2040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4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Terms of the Notes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980" w:right="28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170"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$4,000,000,000 comprised as follows:</w:t>
      </w:r>
    </w:p>
    <w:p>
      <w:pPr>
        <w:spacing w:after="0" w:line="225" w:lineRule="exact"/>
        <w:rPr>
          <w:rFonts w:ascii="Arial" w:cs="Arial" w:eastAsia="Arial" w:hAnsi="Arial"/>
          <w:sz w:val="18"/>
          <w:szCs w:val="18"/>
          <w:color w:val="auto"/>
        </w:rPr>
      </w:pPr>
    </w:p>
    <w:p>
      <w:pPr>
        <w:jc w:val="both"/>
        <w:ind w:left="1420" w:right="640" w:hanging="427"/>
        <w:spacing w:after="0" w:line="263"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$800,000,000 initial aggregate principal amount of 3.100% Notes due 2025, maturing on April 1, 2025, with interest payable semiannually on each April 1 and October 1, beginning October 1, 2020, to holders of record on the preceding March 15 and September 15;</w:t>
      </w:r>
    </w:p>
    <w:p>
      <w:pPr>
        <w:spacing w:after="0" w:line="183" w:lineRule="exact"/>
        <w:rPr>
          <w:rFonts w:ascii="Arial" w:cs="Arial" w:eastAsia="Arial" w:hAnsi="Arial"/>
          <w:sz w:val="18"/>
          <w:szCs w:val="18"/>
          <w:color w:val="auto"/>
        </w:rPr>
      </w:pPr>
    </w:p>
    <w:p>
      <w:pPr>
        <w:jc w:val="both"/>
        <w:ind w:left="1420" w:right="640" w:hanging="427"/>
        <w:spacing w:after="0" w:line="263"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$800,000,000 initial aggregate principal amount of 3.300% Notes due 2027, maturing on April 1, 2027, with interest payable semiannually on each April 1 and October 1, beginning October 1, 2020, to holders of record on the preceding March 15 and September 15;</w:t>
      </w:r>
    </w:p>
    <w:p>
      <w:pPr>
        <w:spacing w:after="0" w:line="89" w:lineRule="exact"/>
        <w:rPr>
          <w:rFonts w:ascii="Arial" w:cs="Arial" w:eastAsia="Arial" w:hAnsi="Arial"/>
          <w:sz w:val="18"/>
          <w:szCs w:val="18"/>
          <w:color w:val="auto"/>
        </w:rPr>
      </w:pPr>
    </w:p>
    <w:p>
      <w:pPr>
        <w:ind w:left="1420" w:right="500" w:hanging="427"/>
        <w:spacing w:after="0" w:line="263"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$1,600,000,000 initial aggregate principal amount of 3.400% Notes due 2030, maturing on April 1, 2030, with interest payable semiannually on each April 1 and October 1, beginning October 1, 2020, to holders of record on the preceding March 15 and September 15;</w:t>
      </w:r>
    </w:p>
    <w:p>
      <w:pPr>
        <w:spacing w:after="0" w:line="183" w:lineRule="exact"/>
        <w:rPr>
          <w:rFonts w:ascii="Arial" w:cs="Arial" w:eastAsia="Arial" w:hAnsi="Arial"/>
          <w:sz w:val="18"/>
          <w:szCs w:val="18"/>
          <w:color w:val="auto"/>
        </w:rPr>
      </w:pPr>
    </w:p>
    <w:p>
      <w:pPr>
        <w:jc w:val="both"/>
        <w:ind w:left="1420" w:right="640" w:hanging="427"/>
        <w:spacing w:after="0" w:line="263"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$800,000,000 initial aggregate principal amount of 3.750% Notes due 2040, maturing on April 1, 2040, with interest payable semiannually on each April 1 and October 1, beginning October 1, 2020, to holders of record on the preceding March 15 and September 15; and</w:t>
      </w:r>
    </w:p>
    <w:p>
      <w:pPr>
        <w:spacing w:after="0" w:line="183"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Payments</w:t>
      </w:r>
    </w:p>
    <w:p>
      <w:pPr>
        <w:spacing w:after="0" w:line="20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March 27, 2020 and the date of original issuance or (ii) from the most recent interest payment date to which interest has been paid, and will be payable semiannually on interest payment dates described for each year.</w:t>
      </w:r>
    </w:p>
    <w:p>
      <w:pPr>
        <w:spacing w:after="0" w:line="143"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8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8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will have the right at our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We will calculate the Redemption Price in connection with any redemption hereunder.</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Price” means:</w:t>
      </w:r>
    </w:p>
    <w:p>
      <w:pPr>
        <w:spacing w:after="0" w:line="198" w:lineRule="exact"/>
        <w:rPr>
          <w:sz w:val="20"/>
          <w:szCs w:val="20"/>
          <w:color w:val="auto"/>
        </w:rPr>
      </w:pPr>
    </w:p>
    <w:p>
      <w:pPr>
        <w:ind w:left="120" w:hanging="4"/>
        <w:spacing w:after="0" w:line="255"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the Notes due 2025, at any time prior to March 1, 2025 (one (1) month prior to the maturity of the Notes due 2025) (the “2025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2025 Par Call Date, in each case discounted to the redemption date on a semiannual basis (assuming a 360-day year consisting of twelve 30-day months) at the Treasury Rate plus 40 basis points; provided that, if the Notes due 2025 are redeemed on or after the 2025 Par Call Date, the Redemption Price will equal 100% of the principal amount of such notes;</w:t>
      </w:r>
    </w:p>
    <w:p>
      <w:pPr>
        <w:spacing w:after="0" w:line="151" w:lineRule="exact"/>
        <w:rPr>
          <w:rFonts w:ascii="Arial" w:cs="Arial" w:eastAsia="Arial" w:hAnsi="Arial"/>
          <w:sz w:val="18"/>
          <w:szCs w:val="18"/>
          <w:color w:val="auto"/>
        </w:rPr>
      </w:pPr>
    </w:p>
    <w:p>
      <w:pPr>
        <w:ind w:left="120" w:right="20" w:hanging="4"/>
        <w:spacing w:after="0" w:line="255" w:lineRule="auto"/>
        <w:tabs>
          <w:tab w:leader="none" w:pos="51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the Notes due 2027, at any time prior to February 1, 2027 (two (2) months prior to the maturity of the Notes due 2027)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 semiannual basis (assuming a 360-day year consisting of twelve 30-day months) at the Treasury Rate plus 40 basis points; provided that, if the Notes due 2027 are redeemed on or after the 2027 Par Call Date, the Redemption Price will equal 100% of the principal amount of such notes; and</w:t>
      </w:r>
    </w:p>
    <w:p>
      <w:pPr>
        <w:spacing w:after="0" w:line="151" w:lineRule="exact"/>
        <w:rPr>
          <w:rFonts w:ascii="Arial" w:cs="Arial" w:eastAsia="Arial" w:hAnsi="Arial"/>
          <w:sz w:val="18"/>
          <w:szCs w:val="18"/>
          <w:color w:val="auto"/>
        </w:rPr>
      </w:pPr>
    </w:p>
    <w:p>
      <w:pPr>
        <w:ind w:left="120" w:right="20" w:hanging="4"/>
        <w:spacing w:after="0" w:line="31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the Notes due 2030, at any time prior to January 1, 2030 (three (3) months prior to the maturity of the Notes due 2030) (the “2030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2030 Par Call Date, in each case discounted to the redemption date on a semiannual basis (assuming a 360-day year consisting of twelve 30-day months) at the Treasury Rate plus 40 basis points; provided that, if the Notes due 2030 are redeemed on or after the 2030 Par Call Date, the Redemption Price will equal 100% of the principal amount of such notes;</w:t>
      </w:r>
    </w:p>
    <w:p>
      <w:pPr>
        <w:spacing w:after="0" w:line="157" w:lineRule="exact"/>
        <w:rPr>
          <w:sz w:val="20"/>
          <w:szCs w:val="20"/>
          <w:color w:val="auto"/>
        </w:rPr>
      </w:pPr>
    </w:p>
    <w:p>
      <w:pPr>
        <w:ind w:left="120" w:hanging="4"/>
        <w:spacing w:after="0" w:line="255" w:lineRule="auto"/>
        <w:tabs>
          <w:tab w:leader="none" w:pos="51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the Notes due 2040, at any time prior to October 1, 2039 (six (6) months prior to the maturity of the Notes due 2040) (the “2040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 semiannual basis (assuming a 360-day year consisting of twelve 30-day months) at the Treasury Rate plus 40 basis points; provided that, if the Notes due 2040 are redeemed on or after the 2040 Par Call Date, the Redemption Price will equal 100% of the principal amount of such notes;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each case, accrued and unpaid interest thereon to the date of redemption.</w:t>
      </w:r>
    </w:p>
    <w:p>
      <w:pPr>
        <w:spacing w:after="0" w:line="18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5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“Comparable Treasury Issue” means the United States Treasury security or securities selected by an Independent Investment Banker as having an actual or interpolated maturity comparable to the remaining term of the notes to be redeemed calculated as if the maturity date of such series of notes were the applicable Par Call Date (the “Remaining Life”) that would be utilized, at the time of selection and in accordance with customary financial practice, in pricing new issues of corporate debt securities of comparable maturity to the Remaining Life of such notes.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8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5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“Reference Treasury Dealer” means each of BofA Securities, Inc., Citigroup Global Markets Inc., J.P. Morgan Securities LLC, Morgan Stanley &amp; Co.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Debt</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18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6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Holders may hold interests in the notes outside the United States through Euroclear or Clearstream if they are participants in those systems, or indirectly through organizations which are participants in those systems.</w:t>
      </w:r>
    </w:p>
    <w:p>
      <w:pPr>
        <w:spacing w:after="0" w:line="13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9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38"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5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30"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54"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8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130" w:lineRule="exact"/>
        <w:rPr>
          <w:sz w:val="20"/>
          <w:szCs w:val="20"/>
          <w:color w:val="auto"/>
        </w:rPr>
      </w:pPr>
    </w:p>
    <w:p>
      <w:pPr>
        <w:ind w:left="120" w:right="480" w:hanging="4"/>
        <w:spacing w:after="0" w:line="277" w:lineRule="auto"/>
        <w:tabs>
          <w:tab w:leader="none" w:pos="510" w:val="left"/>
        </w:tabs>
        <w:numPr>
          <w:ilvl w:val="0"/>
          <w:numId w:val="8"/>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43" w:lineRule="exact"/>
        <w:rPr>
          <w:rFonts w:ascii="Arial" w:cs="Arial" w:eastAsia="Arial" w:hAnsi="Arial"/>
          <w:sz w:val="18"/>
          <w:szCs w:val="18"/>
          <w:color w:val="auto"/>
        </w:rPr>
      </w:pPr>
    </w:p>
    <w:p>
      <w:pPr>
        <w:ind w:left="500" w:hanging="384"/>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8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3"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0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170" w:lineRule="exact"/>
        <w:rPr>
          <w:sz w:val="20"/>
          <w:szCs w:val="20"/>
          <w:color w:val="auto"/>
        </w:rPr>
      </w:pPr>
    </w:p>
    <w:p>
      <w:pPr>
        <w:ind w:left="980" w:right="220" w:hanging="432"/>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w:t>
      </w:r>
    </w:p>
    <w:p>
      <w:pPr>
        <w:spacing w:after="0" w:line="165" w:lineRule="exact"/>
        <w:rPr>
          <w:rFonts w:ascii="Arial" w:cs="Arial" w:eastAsia="Arial" w:hAnsi="Arial"/>
          <w:sz w:val="17"/>
          <w:szCs w:val="17"/>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8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170" w:lineRule="exact"/>
        <w:rPr>
          <w:sz w:val="20"/>
          <w:szCs w:val="20"/>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225" w:lineRule="exact"/>
        <w:rPr>
          <w:rFonts w:ascii="Arial" w:cs="Arial" w:eastAsia="Arial" w:hAnsi="Arial"/>
          <w:sz w:val="18"/>
          <w:szCs w:val="18"/>
          <w:color w:val="auto"/>
        </w:rPr>
      </w:pPr>
    </w:p>
    <w:p>
      <w:pPr>
        <w:ind w:left="980" w:right="160" w:hanging="43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United States Internal Revenue Code of 1986, as amended (the “Code”).</w:t>
      </w:r>
    </w:p>
    <w:p>
      <w:pPr>
        <w:spacing w:after="0" w:line="13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her or its tax advisor.</w:t>
      </w:r>
    </w:p>
    <w:p>
      <w:pPr>
        <w:spacing w:after="0" w:line="15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225" w:lineRule="exact"/>
        <w:rPr>
          <w:sz w:val="20"/>
          <w:szCs w:val="20"/>
          <w:color w:val="auto"/>
        </w:rPr>
      </w:pPr>
    </w:p>
    <w:p>
      <w:pPr>
        <w:ind w:left="5460" w:right="1860" w:hanging="4912"/>
        <w:spacing w:after="0" w:line="449" w:lineRule="auto"/>
        <w:tabs>
          <w:tab w:leader="none" w:pos="9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 S-12</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9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or a former citizen or former resident of the United States. Such a holder is urged to consult his or her tax advisor regarding the U.S. federal income tax consequences of the sale, exchange or other disposition of a note.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a Note</w:t>
      </w:r>
    </w:p>
    <w:p>
      <w:pPr>
        <w:spacing w:after="0" w:line="18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184" w:lineRule="exact"/>
        <w:rPr>
          <w:sz w:val="20"/>
          <w:szCs w:val="20"/>
          <w:color w:val="auto"/>
        </w:rPr>
      </w:pPr>
    </w:p>
    <w:p>
      <w:pPr>
        <w:ind w:left="980" w:right="20" w:hanging="432"/>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146" w:lineRule="exact"/>
        <w:rPr>
          <w:rFonts w:ascii="Arial" w:cs="Arial" w:eastAsia="Arial" w:hAnsi="Arial"/>
          <w:sz w:val="17"/>
          <w:szCs w:val="17"/>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98"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83"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20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3"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0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 Legislation</w:t>
      </w:r>
    </w:p>
    <w:p>
      <w:pPr>
        <w:spacing w:after="0" w:line="18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56"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The U.S. Treasury Department recently released proposed regulations which, if finalized in their present form, would eliminate FATCA withholding on the gross proceeds of a sale, exchange, redemption or other disposition of a note. In the preamble to the proposed regulations, the U.S. Treasury Department indicated that taxpayers may rely on the proposed regulations until final regulations are issued.</w:t>
      </w:r>
    </w:p>
    <w:p>
      <w:pPr>
        <w:spacing w:after="0" w:line="13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Amount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Amount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Notes Due 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Notes Due 2027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Notes Due 2030</w:t>
            </w: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Notes Due 2040</w:t>
            </w:r>
          </w:p>
        </w:tc>
        <w:tc>
          <w:tcPr>
            <w:tcW w:w="0" w:type="dxa"/>
            <w:vAlign w:val="bottom"/>
          </w:tcPr>
          <w:p>
            <w:pPr>
              <w:spacing w:after="0"/>
              <w:rPr>
                <w:sz w:val="1"/>
                <w:szCs w:val="1"/>
                <w:color w:val="auto"/>
              </w:rPr>
            </w:pPr>
          </w:p>
        </w:tc>
      </w:tr>
      <w:tr>
        <w:trPr>
          <w:trHeight w:val="148"/>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To Be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To Be</w:t>
            </w: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To Be</w:t>
            </w:r>
          </w:p>
        </w:tc>
        <w:tc>
          <w:tcPr>
            <w:tcW w:w="0" w:type="dxa"/>
            <w:vAlign w:val="bottom"/>
          </w:tcPr>
          <w:p>
            <w:pPr>
              <w:spacing w:after="0"/>
              <w:rPr>
                <w:sz w:val="1"/>
                <w:szCs w:val="1"/>
                <w:color w:val="auto"/>
              </w:rPr>
            </w:pPr>
          </w:p>
        </w:tc>
      </w:tr>
      <w:tr>
        <w:trPr>
          <w:trHeight w:val="171"/>
        </w:trPr>
        <w:tc>
          <w:tcPr>
            <w:tcW w:w="5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160,000,000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160,000,000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320,000,000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7"/>
              </w:rPr>
              <w:t>160,000,000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160,000,000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160,000,000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320,000,000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w w:val="95"/>
              </w:rPr>
              <w:t>160,000,000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160,000,000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160,000,000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160,000,000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160,000,000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320,000,000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w w:val="95"/>
              </w:rPr>
              <w:t>160,000,000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160,000,000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160,000,000</w:t>
            </w:r>
          </w:p>
        </w:tc>
        <w:tc>
          <w:tcPr>
            <w:tcW w:w="0" w:type="dxa"/>
            <w:vAlign w:val="bottom"/>
          </w:tcPr>
          <w:p>
            <w:pPr>
              <w:spacing w:after="0"/>
              <w:rPr>
                <w:sz w:val="1"/>
                <w:szCs w:val="1"/>
                <w:color w:val="auto"/>
              </w:rPr>
            </w:pPr>
          </w:p>
        </w:tc>
      </w:tr>
      <w:tr>
        <w:trPr>
          <w:trHeight w:val="224"/>
        </w:trPr>
        <w:tc>
          <w:tcPr>
            <w:tcW w:w="506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7"/>
              </w:rPr>
              <w:t>800,000,000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7"/>
              </w:rPr>
              <w:t>800,000,000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1,600,000,000</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7"/>
              </w:rPr>
              <w:t>800,000,000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4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March 27, 2020, which is the third business day following the date hereof (such settlement cycle being referred to as “T+3”).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0.150%, 0.200%, 0.250% and 0.350% of the principal amount of the Notes due 2025, the Notes due 2027, the Notes due 2030 and the Notes due 2040, respectively. The underwriters may allow, and the dealers may reallow, a discount not in excess of 0.100%, 0.150%, 0.150% and 0.250% of the principal amount of the Notes due 2025, the Notes due 2027, the Notes due 2030 and the Notes due 2040, respectively, to other dealers. After the initial public offering, the public offering prices, concessions and discounts may be changed.</w:t>
      </w:r>
    </w:p>
    <w:p>
      <w:pPr>
        <w:spacing w:after="0" w:line="15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expenses of the offering, not including the underwriting discount, are estimated to be $2,000,000. The underwriters have agreed to reimburse us for these expenses.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Issue of Notes</w:t>
      </w:r>
    </w:p>
    <w:p>
      <w:pPr>
        <w:spacing w:after="0" w:line="20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8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50"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8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3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85"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3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8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in the United Kingdom. For these purposes, a retail investor means a person who is one (or more) of: (i) a retail client as defined in point (11) of Article 4(1) of Directive 2014/65/EU (as amended, “MiFID II”); or (ii) a customer within the meaning of Directive 2016/97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Issuer or the guarantors; and it has complied with and will comply with all applicable provisions of the FSMA with respect to anything done by it in relation to the notes in, from or otherwise involving the United Kingdom.</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8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9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8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8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146" w:lineRule="exact"/>
        <w:rPr>
          <w:sz w:val="20"/>
          <w:szCs w:val="20"/>
          <w:color w:val="auto"/>
        </w:rPr>
      </w:pPr>
    </w:p>
    <w:p>
      <w:pPr>
        <w:ind w:left="460" w:hanging="344"/>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98" w:lineRule="exact"/>
        <w:rPr>
          <w:rFonts w:ascii="Arial" w:cs="Arial" w:eastAsia="Arial" w:hAnsi="Arial"/>
          <w:sz w:val="18"/>
          <w:szCs w:val="18"/>
          <w:color w:val="auto"/>
        </w:rPr>
      </w:pPr>
    </w:p>
    <w:p>
      <w:pPr>
        <w:ind w:left="520" w:hanging="404"/>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60" w:hanging="4"/>
        <w:spacing w:after="0" w:line="488" w:lineRule="auto"/>
        <w:tabs>
          <w:tab w:leader="none" w:pos="57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otherwise pursuant to, and in accordance with the conditions of, any other applicable provision of the SFA. Whether the notes are subscribed or purchased under Section 275 by a relevant person that is:</w:t>
      </w:r>
    </w:p>
    <w:p>
      <w:pPr>
        <w:spacing w:after="0" w:line="2" w:lineRule="exact"/>
        <w:rPr>
          <w:sz w:val="20"/>
          <w:szCs w:val="20"/>
          <w:color w:val="auto"/>
        </w:rPr>
      </w:pPr>
    </w:p>
    <w:p>
      <w:pPr>
        <w:ind w:left="120" w:right="100" w:hanging="4"/>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29" w:lineRule="exact"/>
        <w:rPr>
          <w:rFonts w:ascii="Arial" w:cs="Arial" w:eastAsia="Arial" w:hAnsi="Arial"/>
          <w:sz w:val="18"/>
          <w:szCs w:val="18"/>
          <w:color w:val="auto"/>
        </w:rPr>
      </w:pPr>
    </w:p>
    <w:p>
      <w:pPr>
        <w:ind w:left="120" w:right="60" w:hanging="4"/>
        <w:spacing w:after="0" w:line="259" w:lineRule="auto"/>
        <w:tabs>
          <w:tab w:leader="none" w:pos="5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60" w:lineRule="exact"/>
        <w:rPr>
          <w:sz w:val="20"/>
          <w:szCs w:val="20"/>
          <w:color w:val="auto"/>
        </w:rPr>
      </w:pPr>
    </w:p>
    <w:p>
      <w:pPr>
        <w:ind w:left="120" w:right="160" w:hanging="4"/>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29" w:lineRule="exact"/>
        <w:rPr>
          <w:rFonts w:ascii="Arial" w:cs="Arial" w:eastAsia="Arial" w:hAnsi="Arial"/>
          <w:sz w:val="18"/>
          <w:szCs w:val="18"/>
          <w:color w:val="auto"/>
        </w:rPr>
      </w:pPr>
    </w:p>
    <w:p>
      <w:pPr>
        <w:ind w:left="500" w:hanging="384"/>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500" w:hanging="384"/>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9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Singapore Securities and Futures Act Product Classification—Solely for the purposes of our obligations pursuant to Sections 309(B)(1)(a) and 309(B) (1)(c)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8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98"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125" w:lineRule="exact"/>
        <w:rPr>
          <w:sz w:val="20"/>
          <w:szCs w:val="20"/>
          <w:color w:val="auto"/>
        </w:rPr>
      </w:pPr>
    </w:p>
    <w:p>
      <w:pPr>
        <w:ind w:left="500" w:hanging="384"/>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who meet the criteria of a “Qualified Investor” as defined in the SCA Board of Directors Decision No. 3 R.M. of 2017 (but excluding subparagraph</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1(d) in the “Qualified Investor” definition relating to natural persons);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hanging="4"/>
        <w:spacing w:after="0" w:line="277" w:lineRule="auto"/>
        <w:tabs>
          <w:tab w:leader="none" w:pos="5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43" w:lineRule="exact"/>
        <w:rPr>
          <w:rFonts w:ascii="Arial" w:cs="Arial" w:eastAsia="Arial" w:hAnsi="Arial"/>
          <w:sz w:val="18"/>
          <w:szCs w:val="18"/>
          <w:color w:val="auto"/>
        </w:rPr>
      </w:pPr>
    </w:p>
    <w:p>
      <w:pPr>
        <w:ind w:left="120" w:right="160" w:hanging="4"/>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Investors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purchaser and holder of the notes (or any interest therein) will be deemed to have represented by its purchase or holding of the notes that either</w:t>
      </w:r>
    </w:p>
    <w:p>
      <w:pPr>
        <w:spacing w:after="0" w:line="46" w:lineRule="exact"/>
        <w:rPr>
          <w:sz w:val="20"/>
          <w:szCs w:val="20"/>
          <w:color w:val="auto"/>
        </w:rPr>
      </w:pPr>
    </w:p>
    <w:p>
      <w:pPr>
        <w:ind w:left="120" w:hanging="4"/>
        <w:spacing w:after="0" w:line="269" w:lineRule="auto"/>
        <w:tabs>
          <w:tab w:leader="none" w:pos="3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Various legal matters relating to the offering will be passed upon for us by Elizabeth Wideman, Esquire, Vice President, Senior Deputy General Counsel and Assistant Secretary, Francis M. Buono, Esquire, Senior Vice President, Legal Regulatory Affairs and Senior Deputy General Counsel of Comcast Corporation, and by Davis Polk &amp; Wardwell LLP, New York, New York, Cahill Gordon &amp; Reindel LLP, New York, New York, is representing the underwriters.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Comcast Corporation and subsidiaries (for purposes of this paragraph only, “Comcast Corporation”), incorporated herein by reference from Comcast Corporation’s Annual Report on Form 10-K for the year ended December 31, 2019,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herein by reference from NBCUniversal Media, LLC’s Annual Report on Form 10-K for the year ended December 31, 2019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194945</wp:posOffset>
            </wp:positionV>
            <wp:extent cx="1397000" cy="488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2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56" w:lineRule="exact"/>
        <w:rPr>
          <w:sz w:val="20"/>
          <w:szCs w:val="20"/>
          <w:color w:val="auto"/>
        </w:rPr>
      </w:pPr>
    </w:p>
    <w:p>
      <w:pPr>
        <w:ind w:left="120" w:right="440" w:firstLine="440"/>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31, 2019, the reported last sale price on the Nasdaq Global Select Market for our Class A common stock was $43.17.</w:t>
      </w:r>
    </w:p>
    <w:p>
      <w:pPr>
        <w:spacing w:after="0" w:line="132"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60"/>
              <w:spacing w:after="0"/>
              <w:rPr>
                <w:sz w:val="20"/>
                <w:szCs w:val="20"/>
                <w:color w:val="auto"/>
              </w:rPr>
            </w:pPr>
            <w:r>
              <w:rPr>
                <w:rFonts w:ascii="Arial" w:cs="Arial" w:eastAsia="Arial" w:hAnsi="Arial"/>
                <w:sz w:val="18"/>
                <w:szCs w:val="18"/>
                <w:color w:val="auto"/>
                <w:w w:val="90"/>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20" w:right="380" w:firstLine="440"/>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21 of Comcast’s and NBCUniversal’s combined annual report on Form 10-K for the year ended December 31, 2018, which is incorporated by reference herein.</w:t>
      </w:r>
    </w:p>
    <w:p>
      <w:pPr>
        <w:spacing w:after="0" w:line="7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August 1, 2019</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940" w:type="dxa"/>
            <w:vAlign w:val="bottom"/>
            <w:gridSpan w:val="3"/>
          </w:tcPr>
          <w:p>
            <w:pPr>
              <w:ind w:left="5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040" w:type="dxa"/>
            <w:vAlign w:val="bottom"/>
            <w:gridSpan w:val="11"/>
            <w:vMerge w:val="restart"/>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The Companies</w:t>
              </w:r>
            </w:hyperlink>
          </w:p>
        </w:tc>
        <w:tc>
          <w:tcPr>
            <w:tcW w:w="66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55"/>
        </w:trPr>
        <w:tc>
          <w:tcPr>
            <w:tcW w:w="4040" w:type="dxa"/>
            <w:vAlign w:val="bottom"/>
            <w:gridSpan w:val="11"/>
            <w:vMerge w:val="continue"/>
          </w:tcPr>
          <w:p>
            <w:pPr>
              <w:spacing w:after="0"/>
              <w:rPr>
                <w:sz w:val="13"/>
                <w:szCs w:val="13"/>
                <w:color w:val="auto"/>
              </w:rPr>
            </w:pPr>
          </w:p>
        </w:tc>
        <w:tc>
          <w:tcPr>
            <w:tcW w:w="660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Caution Concerning Forward-Looking Statements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32">
              <w:r>
                <w:rPr>
                  <w:rFonts w:ascii="Arial" w:cs="Arial" w:eastAsia="Arial" w:hAnsi="Arial"/>
                  <w:sz w:val="18"/>
                  <w:szCs w:val="18"/>
                  <w:color w:val="0000EE"/>
                  <w:w w:val="84"/>
                </w:rPr>
                <w:t>Use of Proceeds</w:t>
              </w:r>
            </w:hyperlink>
          </w:p>
        </w:tc>
        <w:tc>
          <w:tcPr>
            <w:tcW w:w="2380" w:type="dxa"/>
            <w:vAlign w:val="bottom"/>
            <w:tcBorders>
              <w:top w:val="single" w:sz="8" w:color="0000EE"/>
            </w:tcBorders>
            <w:gridSpan w:val="6"/>
          </w:tcPr>
          <w:p>
            <w:pPr>
              <w:spacing w:after="0"/>
              <w:rPr>
                <w:sz w:val="17"/>
                <w:szCs w:val="17"/>
                <w:color w:val="auto"/>
              </w:rPr>
            </w:pPr>
          </w:p>
        </w:tc>
        <w:tc>
          <w:tcPr>
            <w:tcW w:w="520" w:type="dxa"/>
            <w:vAlign w:val="bottom"/>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40" w:type="dxa"/>
            <w:vAlign w:val="bottom"/>
            <w:gridSpan w:val="1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Dividend Policy</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Description of Debt Securities and Guarantees</w:t>
              </w:r>
            </w:hyperlink>
          </w:p>
        </w:tc>
        <w:tc>
          <w:tcPr>
            <w:tcW w:w="780" w:type="dxa"/>
            <w:vAlign w:val="bottom"/>
            <w:gridSpan w:val="2"/>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040" w:type="dxa"/>
            <w:vAlign w:val="bottom"/>
            <w:gridSpan w:val="1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Global Securities</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Description of Capital Stock</w:t>
              </w:r>
            </w:hyperlink>
          </w:p>
        </w:tc>
        <w:tc>
          <w:tcPr>
            <w:tcW w:w="2040" w:type="dxa"/>
            <w:vAlign w:val="bottom"/>
            <w:gridSpan w:val="3"/>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Plan of Distribution</w:t>
              </w:r>
            </w:hyperlink>
          </w:p>
        </w:tc>
        <w:tc>
          <w:tcPr>
            <w:tcW w:w="2640" w:type="dxa"/>
            <w:vAlign w:val="bottom"/>
            <w:gridSpan w:val="5"/>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Legal Matters</w:t>
              </w:r>
            </w:hyperlink>
          </w:p>
        </w:tc>
        <w:tc>
          <w:tcPr>
            <w:tcW w:w="3060" w:type="dxa"/>
            <w:vAlign w:val="bottom"/>
            <w:gridSpan w:val="9"/>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Experts</w:t>
              </w:r>
            </w:hyperlink>
          </w:p>
        </w:tc>
        <w:tc>
          <w:tcPr>
            <w:tcW w:w="3500" w:type="dxa"/>
            <w:vAlign w:val="bottom"/>
            <w:gridSpan w:val="10"/>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040" w:type="dxa"/>
            <w:vAlign w:val="bottom"/>
            <w:gridSpan w:val="1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Available Information</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540" w:type="dxa"/>
            <w:vAlign w:val="bottom"/>
            <w:gridSpan w:val="7"/>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Incorporation of Certain Documents by Reference</w:t>
              </w:r>
            </w:hyperlink>
          </w:p>
        </w:tc>
        <w:tc>
          <w:tcPr>
            <w:tcW w:w="520" w:type="dxa"/>
            <w:vAlign w:val="bottom"/>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for</w:t>
      </w:r>
    </w:p>
    <w:p>
      <w:pPr>
        <w:spacing w:after="0" w:line="50" w:lineRule="exact"/>
        <w:rPr>
          <w:sz w:val="20"/>
          <w:szCs w:val="20"/>
          <w:color w:val="auto"/>
        </w:rPr>
      </w:pPr>
    </w:p>
    <w:p>
      <w:pPr>
        <w:ind w:left="120" w:right="60" w:hanging="4"/>
        <w:spacing w:after="0" w:line="255" w:lineRule="auto"/>
        <w:tabs>
          <w:tab w:leader="none" w:pos="3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56" w:lineRule="exact"/>
        <w:rPr>
          <w:rFonts w:ascii="Arial" w:cs="Arial" w:eastAsia="Arial" w:hAnsi="Arial"/>
          <w:sz w:val="18"/>
          <w:szCs w:val="18"/>
          <w:color w:val="auto"/>
        </w:rPr>
      </w:pPr>
    </w:p>
    <w:p>
      <w:pPr>
        <w:ind w:left="1080" w:right="180" w:hanging="424"/>
        <w:spacing w:after="0" w:line="262"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video, voice, wireless, and security and automation services (“cable services”) to residential customers under the XFINITY brand; we also provide these and other services to business customers and sell advertising.</w:t>
      </w:r>
    </w:p>
    <w:p>
      <w:pPr>
        <w:spacing w:after="0" w:line="51" w:lineRule="exact"/>
        <w:rPr>
          <w:rFonts w:ascii="Arial" w:cs="Arial" w:eastAsia="Arial" w:hAnsi="Arial"/>
          <w:sz w:val="18"/>
          <w:szCs w:val="18"/>
          <w:color w:val="auto"/>
        </w:rPr>
      </w:pPr>
    </w:p>
    <w:p>
      <w:pPr>
        <w:ind w:left="1080" w:right="100" w:hanging="424"/>
        <w:spacing w:after="0" w:line="262"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51" w:lineRule="exact"/>
        <w:rPr>
          <w:rFonts w:ascii="Arial" w:cs="Arial" w:eastAsia="Arial" w:hAnsi="Arial"/>
          <w:sz w:val="18"/>
          <w:szCs w:val="18"/>
          <w:color w:val="auto"/>
        </w:rPr>
      </w:pPr>
    </w:p>
    <w:p>
      <w:pPr>
        <w:ind w:left="1080" w:right="240" w:hanging="424"/>
        <w:spacing w:after="0" w:line="262"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51" w:lineRule="exact"/>
        <w:rPr>
          <w:rFonts w:ascii="Arial" w:cs="Arial" w:eastAsia="Arial" w:hAnsi="Arial"/>
          <w:sz w:val="18"/>
          <w:szCs w:val="18"/>
          <w:color w:val="auto"/>
        </w:rPr>
      </w:pPr>
    </w:p>
    <w:p>
      <w:pPr>
        <w:ind w:left="1080" w:right="140" w:hanging="424"/>
        <w:spacing w:after="0" w:line="334" w:lineRule="auto"/>
        <w:tabs>
          <w:tab w:leader="none" w:pos="1080"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ind w:left="1080" w:right="260" w:hanging="424"/>
        <w:spacing w:after="0" w:line="334" w:lineRule="auto"/>
        <w:tabs>
          <w:tab w:leader="none" w:pos="1080"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Hollywood, California; and Osaka, Japan.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with a consortium of Chinese state-owned companies, we are developing a Universal theme park and resort in Beijing, China.</w:t>
      </w:r>
    </w:p>
    <w:p>
      <w:pPr>
        <w:ind w:left="1080" w:right="180" w:hanging="424"/>
        <w:spacing w:after="0" w:line="262"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high-speed internet, voice and wireless phone services, and a content business, operating entertainment networks, the Sky News broadcast network and Sky Sports networks.</w:t>
      </w:r>
    </w:p>
    <w:p>
      <w:pPr>
        <w:spacing w:after="0" w:line="13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2"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hanging="424"/>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2018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080" w:right="22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113" w:lineRule="exact"/>
        <w:rPr>
          <w:rFonts w:ascii="Arial" w:cs="Arial" w:eastAsia="Arial" w:hAnsi="Arial"/>
          <w:sz w:val="16"/>
          <w:szCs w:val="16"/>
          <w:color w:val="auto"/>
        </w:rPr>
      </w:pPr>
    </w:p>
    <w:p>
      <w:pPr>
        <w:ind w:left="1080" w:right="48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and Sky’s video businesses;</w:t>
      </w:r>
    </w:p>
    <w:p>
      <w:pPr>
        <w:spacing w:after="0" w:line="50" w:lineRule="exact"/>
        <w:rPr>
          <w:rFonts w:ascii="Arial" w:cs="Arial" w:eastAsia="Arial" w:hAnsi="Arial"/>
          <w:sz w:val="18"/>
          <w:szCs w:val="18"/>
          <w:color w:val="auto"/>
        </w:rPr>
      </w:pPr>
    </w:p>
    <w:p>
      <w:pPr>
        <w:ind w:left="1080" w:right="180" w:hanging="424"/>
        <w:spacing w:after="0" w:line="33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 w:lineRule="exact"/>
        <w:rPr>
          <w:rFonts w:ascii="Arial" w:cs="Arial" w:eastAsia="Arial" w:hAnsi="Arial"/>
          <w:sz w:val="16"/>
          <w:szCs w:val="16"/>
          <w:color w:val="auto"/>
        </w:rPr>
      </w:pPr>
    </w:p>
    <w:p>
      <w:pPr>
        <w:ind w:left="108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loss of Sky’s wholesale distribution agreements with traditional multichannel video providers could adversely affect Sky’s businesses;</w:t>
      </w:r>
    </w:p>
    <w:p>
      <w:pPr>
        <w:spacing w:after="0" w:line="113" w:lineRule="exact"/>
        <w:rPr>
          <w:rFonts w:ascii="Arial" w:cs="Arial" w:eastAsia="Arial" w:hAnsi="Arial"/>
          <w:sz w:val="16"/>
          <w:szCs w:val="16"/>
          <w:color w:val="auto"/>
        </w:rPr>
      </w:pPr>
    </w:p>
    <w:p>
      <w:pPr>
        <w:ind w:left="1080" w:right="54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080" w:right="44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080" w:right="36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50"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loss of key management personnel or popular on-air and creative talent could have an adverse effect on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080" w:hanging="424"/>
        <w:spacing w:after="0" w:line="33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320" w:top="459" w:right="7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Our Board of Directors retains the right to change our dividend policy at any time.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13" w:lineRule="exact"/>
        <w:rPr>
          <w:rFonts w:ascii="Arial" w:cs="Arial" w:eastAsia="Arial" w:hAnsi="Arial"/>
          <w:sz w:val="16"/>
          <w:szCs w:val="16"/>
          <w:color w:val="auto"/>
        </w:rPr>
      </w:pPr>
    </w:p>
    <w:p>
      <w:pPr>
        <w:ind w:left="1080" w:right="100" w:hanging="424"/>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8"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32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080" w:right="20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080" w:right="38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080" w:right="52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080" w:right="10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90" w:lineRule="exact"/>
        <w:rPr>
          <w:sz w:val="20"/>
          <w:szCs w:val="20"/>
          <w:color w:val="auto"/>
        </w:rPr>
      </w:pPr>
    </w:p>
    <w:p>
      <w:pPr>
        <w:ind w:left="120" w:right="160" w:firstLine="436"/>
        <w:spacing w:after="0" w:line="268" w:lineRule="auto"/>
        <w:tabs>
          <w:tab w:leader="none" w:pos="7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firstLine="436"/>
        <w:spacing w:after="0" w:line="268" w:lineRule="auto"/>
        <w:tabs>
          <w:tab w:leader="none" w:pos="8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90" w:lineRule="exact"/>
        <w:rPr>
          <w:sz w:val="20"/>
          <w:szCs w:val="20"/>
          <w:color w:val="auto"/>
        </w:rPr>
      </w:pPr>
    </w:p>
    <w:p>
      <w:pPr>
        <w:ind w:left="120" w:right="80" w:firstLine="436"/>
        <w:spacing w:after="0" w:line="268" w:lineRule="auto"/>
        <w:tabs>
          <w:tab w:leader="none" w:pos="7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120" w:right="380" w:firstLine="436"/>
        <w:spacing w:after="0" w:line="306" w:lineRule="auto"/>
        <w:tabs>
          <w:tab w:leader="none" w:pos="8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6" w:lineRule="exact"/>
        <w:rPr>
          <w:sz w:val="20"/>
          <w:szCs w:val="20"/>
          <w:color w:val="auto"/>
        </w:rPr>
      </w:pPr>
    </w:p>
    <w:p>
      <w:pPr>
        <w:jc w:val="both"/>
        <w:ind w:left="120" w:firstLine="440"/>
        <w:spacing w:after="0" w:line="306"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0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32" w:lineRule="exact"/>
        <w:rPr>
          <w:sz w:val="20"/>
          <w:szCs w:val="20"/>
          <w:color w:val="auto"/>
        </w:rPr>
      </w:pPr>
    </w:p>
    <w:p>
      <w:pPr>
        <w:ind w:left="120" w:right="180" w:firstLine="440"/>
        <w:spacing w:after="0" w:line="303"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1" w:lineRule="exact"/>
        <w:rPr>
          <w:sz w:val="20"/>
          <w:szCs w:val="20"/>
          <w:color w:val="auto"/>
        </w:rPr>
      </w:pPr>
    </w:p>
    <w:p>
      <w:pPr>
        <w:ind w:left="120" w:hanging="4"/>
        <w:spacing w:after="0" w:line="260" w:lineRule="auto"/>
        <w:tabs>
          <w:tab w:leader="none" w:pos="3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of the senior indenture, for purposes of the definition of “Capital Lease” and (ii) the date of determination, for all other purposes under the senior indenture.</w:t>
      </w:r>
    </w:p>
    <w:p>
      <w:pPr>
        <w:spacing w:after="0" w:line="13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9" w:lineRule="exact"/>
        <w:rPr>
          <w:sz w:val="20"/>
          <w:szCs w:val="20"/>
          <w:color w:val="auto"/>
        </w:rPr>
      </w:pPr>
    </w:p>
    <w:p>
      <w:pPr>
        <w:ind w:left="120" w:right="240" w:firstLine="440"/>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5"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“Obligor” means us and the Guarantors.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“Permitted Liens” means, with respect to an Obligor:</w:t>
      </w:r>
    </w:p>
    <w:p>
      <w:pPr>
        <w:spacing w:after="0" w:line="90" w:lineRule="exact"/>
        <w:rPr>
          <w:sz w:val="20"/>
          <w:szCs w:val="20"/>
          <w:color w:val="auto"/>
        </w:rPr>
      </w:pPr>
    </w:p>
    <w:p>
      <w:pPr>
        <w:jc w:val="both"/>
        <w:ind w:left="120" w:right="180" w:firstLine="436"/>
        <w:spacing w:after="0" w:line="259" w:lineRule="auto"/>
        <w:tabs>
          <w:tab w:leader="none" w:pos="7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39" w:lineRule="exact"/>
        <w:rPr>
          <w:rFonts w:ascii="Arial" w:cs="Arial" w:eastAsia="Arial" w:hAnsi="Arial"/>
          <w:sz w:val="18"/>
          <w:szCs w:val="18"/>
          <w:color w:val="auto"/>
        </w:rPr>
      </w:pPr>
    </w:p>
    <w:p>
      <w:pPr>
        <w:ind w:left="120" w:right="40" w:firstLine="436"/>
        <w:spacing w:after="0" w:line="291" w:lineRule="auto"/>
        <w:tabs>
          <w:tab w:leader="none" w:pos="80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19" w:lineRule="exact"/>
        <w:rPr>
          <w:rFonts w:ascii="Arial" w:cs="Arial" w:eastAsia="Arial" w:hAnsi="Arial"/>
          <w:sz w:val="16"/>
          <w:szCs w:val="16"/>
          <w:color w:val="auto"/>
        </w:rPr>
      </w:pPr>
    </w:p>
    <w:p>
      <w:pPr>
        <w:ind w:left="120" w:right="840" w:firstLine="436"/>
        <w:spacing w:after="0" w:line="268" w:lineRule="auto"/>
        <w:tabs>
          <w:tab w:leader="none" w:pos="7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120" w:right="460" w:firstLine="436"/>
        <w:spacing w:after="0" w:line="268" w:lineRule="auto"/>
        <w:tabs>
          <w:tab w:leader="none" w:pos="8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120" w:right="200" w:firstLine="436"/>
        <w:spacing w:after="0" w:line="268" w:lineRule="auto"/>
        <w:tabs>
          <w:tab w:leader="none" w:pos="7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120" w:right="400" w:firstLine="436"/>
        <w:spacing w:after="0" w:line="306"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800" w:hanging="24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120" w:right="140" w:firstLine="436"/>
        <w:spacing w:after="0" w:line="259" w:lineRule="auto"/>
        <w:tabs>
          <w:tab w:leader="none" w:pos="8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39" w:lineRule="exact"/>
        <w:rPr>
          <w:rFonts w:ascii="Arial" w:cs="Arial" w:eastAsia="Arial" w:hAnsi="Arial"/>
          <w:sz w:val="18"/>
          <w:szCs w:val="18"/>
          <w:color w:val="auto"/>
        </w:rPr>
      </w:pPr>
    </w:p>
    <w:p>
      <w:pPr>
        <w:ind w:left="120" w:right="120" w:firstLine="436"/>
        <w:spacing w:after="0" w:line="268" w:lineRule="auto"/>
        <w:tabs>
          <w:tab w:leader="none" w:pos="7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120" w:firstLine="436"/>
        <w:spacing w:after="0" w:line="268" w:lineRule="auto"/>
        <w:tabs>
          <w:tab w:leader="none" w:pos="7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120" w:right="20" w:firstLine="436"/>
        <w:spacing w:after="0" w:line="259" w:lineRule="auto"/>
        <w:tabs>
          <w:tab w:leader="none" w:pos="8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39" w:lineRule="exact"/>
        <w:rPr>
          <w:rFonts w:ascii="Arial" w:cs="Arial" w:eastAsia="Arial" w:hAnsi="Arial"/>
          <w:sz w:val="18"/>
          <w:szCs w:val="18"/>
          <w:color w:val="auto"/>
        </w:rPr>
      </w:pPr>
    </w:p>
    <w:p>
      <w:pPr>
        <w:ind w:left="760" w:hanging="20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36"/>
        <w:spacing w:after="0" w:line="268" w:lineRule="auto"/>
        <w:tabs>
          <w:tab w:leader="none" w:pos="8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800" w:hanging="24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120" w:right="160" w:firstLine="436"/>
        <w:spacing w:after="0" w:line="268" w:lineRule="auto"/>
        <w:tabs>
          <w:tab w:leader="none" w:pos="8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120" w:right="260" w:firstLine="436"/>
        <w:spacing w:after="0" w:line="268" w:lineRule="auto"/>
        <w:tabs>
          <w:tab w:leader="none" w:pos="8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120" w:right="200" w:firstLine="436"/>
        <w:spacing w:after="0" w:line="369" w:lineRule="auto"/>
        <w:tabs>
          <w:tab w:leader="none" w:pos="809" w:val="left"/>
        </w:tabs>
        <w:numPr>
          <w:ilvl w:val="0"/>
          <w:numId w:val="32"/>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3" w:lineRule="exact"/>
        <w:rPr>
          <w:rFonts w:ascii="Arial" w:cs="Arial" w:eastAsia="Arial" w:hAnsi="Arial"/>
          <w:sz w:val="15"/>
          <w:szCs w:val="15"/>
          <w:color w:val="auto"/>
        </w:rPr>
      </w:pPr>
    </w:p>
    <w:p>
      <w:pPr>
        <w:ind w:left="120" w:right="220" w:firstLine="436"/>
        <w:spacing w:after="0" w:line="306"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780" w:hanging="224"/>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left="120" w:right="980" w:firstLine="440"/>
        <w:spacing w:after="0" w:line="331" w:lineRule="auto"/>
        <w:rPr>
          <w:sz w:val="20"/>
          <w:szCs w:val="20"/>
          <w:color w:val="auto"/>
        </w:rPr>
      </w:pPr>
      <w:r>
        <w:rPr>
          <w:rFonts w:ascii="Arial" w:cs="Arial" w:eastAsia="Arial" w:hAnsi="Arial"/>
          <w:sz w:val="16"/>
          <w:szCs w:val="16"/>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87" w:lineRule="exact"/>
        <w:rPr>
          <w:sz w:val="20"/>
          <w:szCs w:val="20"/>
          <w:color w:val="auto"/>
        </w:rPr>
      </w:pPr>
    </w:p>
    <w:p>
      <w:pPr>
        <w:ind w:left="120" w:right="400" w:firstLine="440"/>
        <w:spacing w:after="0" w:line="268"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32" w:lineRule="exact"/>
        <w:rPr>
          <w:sz w:val="20"/>
          <w:szCs w:val="20"/>
          <w:color w:val="auto"/>
        </w:rPr>
      </w:pPr>
    </w:p>
    <w:p>
      <w:pPr>
        <w:ind w:left="120" w:right="340" w:firstLine="440"/>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120" w:right="120" w:firstLine="440"/>
        <w:spacing w:after="0" w:line="369"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right="100" w:hanging="424"/>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color w:val="auto"/>
        </w:rPr>
        <w:t>Limitation on Liens Securing Indebtedness. 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080" w:right="160" w:hanging="424"/>
        <w:spacing w:after="0" w:line="254"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120" w:firstLine="440"/>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Limitation on Sale and Lease-Back Transactions. 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140" w:hanging="424"/>
        <w:spacing w:after="0" w:line="306"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25" w:lineRule="exact"/>
        <w:rPr>
          <w:rFonts w:ascii="Arial" w:cs="Arial" w:eastAsia="Arial" w:hAnsi="Arial"/>
          <w:sz w:val="16"/>
          <w:szCs w:val="16"/>
          <w:color w:val="auto"/>
        </w:rPr>
      </w:pPr>
    </w:p>
    <w:p>
      <w:pPr>
        <w:ind w:left="1080" w:right="120" w:hanging="424"/>
        <w:spacing w:after="0" w:line="25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7" w:lineRule="exact"/>
        <w:rPr>
          <w:sz w:val="20"/>
          <w:szCs w:val="20"/>
          <w:color w:val="auto"/>
        </w:rPr>
      </w:pPr>
    </w:p>
    <w:p>
      <w:pPr>
        <w:ind w:left="120" w:right="400" w:firstLine="440"/>
        <w:spacing w:after="0" w:line="306"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5" w:lineRule="exact"/>
        <w:rPr>
          <w:sz w:val="20"/>
          <w:szCs w:val="20"/>
          <w:color w:val="auto"/>
        </w:rPr>
      </w:pPr>
    </w:p>
    <w:p>
      <w:pPr>
        <w:ind w:left="1080" w:right="10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8"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50" w:lineRule="exact"/>
        <w:rPr>
          <w:rFonts w:ascii="Arial" w:cs="Arial" w:eastAsia="Arial" w:hAnsi="Arial"/>
          <w:sz w:val="18"/>
          <w:szCs w:val="18"/>
          <w:color w:val="auto"/>
        </w:rPr>
      </w:pPr>
    </w:p>
    <w:p>
      <w:pPr>
        <w:jc w:val="both"/>
        <w:ind w:left="1080" w:right="12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080" w:right="340" w:hanging="424"/>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20"/>
        <w:spacing w:after="0" w:line="331"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7" w:lineRule="exact"/>
        <w:rPr>
          <w:sz w:val="20"/>
          <w:szCs w:val="20"/>
          <w:color w:val="auto"/>
        </w:rPr>
      </w:pPr>
    </w:p>
    <w:p>
      <w:pPr>
        <w:ind w:left="120" w:right="80" w:firstLine="440"/>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“—Consolidation, Merger and Sale of Assets,”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800" w:hanging="24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120" w:right="260" w:firstLine="436"/>
        <w:spacing w:after="0" w:line="298" w:lineRule="auto"/>
        <w:tabs>
          <w:tab w:leader="none" w:pos="799"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800" w:hanging="244"/>
        <w:spacing w:after="0"/>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00" w:hanging="24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2" w:lineRule="exact"/>
        <w:rPr>
          <w:sz w:val="20"/>
          <w:szCs w:val="20"/>
          <w:color w:val="auto"/>
        </w:rPr>
      </w:pPr>
    </w:p>
    <w:p>
      <w:pPr>
        <w:jc w:val="both"/>
        <w:ind w:left="120" w:right="180" w:firstLine="440"/>
        <w:spacing w:after="0" w:line="369"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94" w:lineRule="auto"/>
        <w:rPr>
          <w:sz w:val="20"/>
          <w:szCs w:val="20"/>
          <w:color w:val="auto"/>
        </w:rPr>
      </w:pPr>
      <w:r>
        <w:rPr>
          <w:rFonts w:ascii="Arial" w:cs="Arial" w:eastAsia="Arial" w:hAnsi="Arial"/>
          <w:sz w:val="16"/>
          <w:szCs w:val="16"/>
          <w:color w:val="auto"/>
        </w:rPr>
        <w:t>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15" w:lineRule="exact"/>
        <w:rPr>
          <w:sz w:val="20"/>
          <w:szCs w:val="20"/>
          <w:color w:val="auto"/>
        </w:rPr>
      </w:pPr>
    </w:p>
    <w:p>
      <w:pPr>
        <w:ind w:left="120" w:right="440" w:firstLine="440"/>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24" w:lineRule="exact"/>
        <w:rPr>
          <w:sz w:val="20"/>
          <w:szCs w:val="20"/>
          <w:color w:val="auto"/>
        </w:rPr>
      </w:pPr>
    </w:p>
    <w:p>
      <w:pPr>
        <w:jc w:val="both"/>
        <w:ind w:left="120" w:right="40" w:firstLine="440"/>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080" w:right="540" w:hanging="424"/>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080" w:right="60" w:hanging="424"/>
        <w:spacing w:after="0" w:line="294"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1080" w:right="280" w:hanging="424"/>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080" w:hanging="424"/>
        <w:spacing w:after="0" w:line="369" w:lineRule="auto"/>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4"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5"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080" w:right="380" w:hanging="424"/>
        <w:spacing w:after="0" w:line="30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080" w:right="100" w:hanging="424"/>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 Events of Default” will no longer constitute an event of default for that series.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080" w:right="240" w:hanging="424"/>
        <w:spacing w:after="0" w:line="356" w:lineRule="auto"/>
        <w:tabs>
          <w:tab w:leader="none" w:pos="10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1" w:lineRule="exact"/>
        <w:rPr>
          <w:rFonts w:ascii="Arial" w:cs="Arial" w:eastAsia="Arial" w:hAnsi="Arial"/>
          <w:sz w:val="15"/>
          <w:szCs w:val="15"/>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100" w:right="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080" w:right="100" w:hanging="424"/>
        <w:spacing w:after="0" w:line="298"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1080" w:right="100" w:hanging="424"/>
        <w:spacing w:after="0" w:line="256"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1" w:lineRule="exact"/>
        <w:rPr>
          <w:rFonts w:ascii="Arial" w:cs="Arial" w:eastAsia="Arial" w:hAnsi="Arial"/>
          <w:sz w:val="18"/>
          <w:szCs w:val="18"/>
          <w:color w:val="auto"/>
        </w:rPr>
      </w:pPr>
    </w:p>
    <w:p>
      <w:pPr>
        <w:ind w:left="1080" w:right="40" w:hanging="424"/>
        <w:spacing w:after="0" w:line="25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5" w:lineRule="exact"/>
        <w:rPr>
          <w:rFonts w:ascii="Arial" w:cs="Arial" w:eastAsia="Arial" w:hAnsi="Arial"/>
          <w:sz w:val="18"/>
          <w:szCs w:val="18"/>
          <w:color w:val="auto"/>
        </w:rPr>
      </w:pPr>
    </w:p>
    <w:p>
      <w:pPr>
        <w:ind w:left="1080" w:right="160" w:hanging="424"/>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8" w:lineRule="exact"/>
        <w:rPr>
          <w:rFonts w:ascii="Arial" w:cs="Arial" w:eastAsia="Arial" w:hAnsi="Arial"/>
          <w:sz w:val="18"/>
          <w:szCs w:val="18"/>
          <w:color w:val="auto"/>
        </w:rPr>
      </w:pPr>
    </w:p>
    <w:p>
      <w:pPr>
        <w:jc w:val="both"/>
        <w:ind w:left="1080" w:right="24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8"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120" w:right="540" w:firstLine="440"/>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080" w:right="260" w:hanging="424"/>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080" w:right="720" w:hanging="424"/>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spacing w:after="0" w:line="298" w:lineRule="auto"/>
        <w:rPr>
          <w:sz w:val="20"/>
          <w:szCs w:val="20"/>
          <w:color w:val="auto"/>
        </w:rPr>
      </w:pPr>
      <w:r>
        <w:rPr>
          <w:rFonts w:ascii="Arial" w:cs="Arial" w:eastAsia="Arial" w:hAnsi="Arial"/>
          <w:sz w:val="16"/>
          <w:szCs w:val="16"/>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120" w:right="360" w:firstLine="440"/>
        <w:spacing w:after="0" w:line="369" w:lineRule="auto"/>
        <w:rPr>
          <w:sz w:val="20"/>
          <w:szCs w:val="20"/>
          <w:color w:val="auto"/>
        </w:rPr>
      </w:pPr>
      <w:r>
        <w:rPr>
          <w:rFonts w:ascii="Arial" w:cs="Arial" w:eastAsia="Arial" w:hAnsi="Arial"/>
          <w:sz w:val="15"/>
          <w:szCs w:val="15"/>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6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19" w:lineRule="exact"/>
        <w:rPr>
          <w:sz w:val="20"/>
          <w:szCs w:val="20"/>
          <w:color w:val="auto"/>
        </w:rPr>
      </w:pPr>
    </w:p>
    <w:p>
      <w:pPr>
        <w:ind w:left="120" w:firstLine="440"/>
        <w:spacing w:after="0" w:line="306"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15"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120" w:right="140" w:firstLine="440"/>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120" w:firstLine="440"/>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7"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See “Dividend Policy” above.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right="34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2019, if Mr. Roberts were to convert the Class B common stock he beneficially owns into Class A common stock, Mr. Roberts would beneficially own 43,588,528 shares of Class A common stock, which is approximately 1% of the Class A common stock that would be outstanding after the conversion.</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120" w:right="200" w:firstLine="440"/>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The transfer agent and registrar for our Class A common stock is Equiniti Trust Company D/B/A EQ Shareowner Services, P.O. Box 64854, St. Paul, Minnesota 55164-0854. Its telephone number is (888) 883-8903.</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ind w:right="442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38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120" w:right="260" w:firstLine="440"/>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6"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4" w:lineRule="exact"/>
        <w:rPr>
          <w:sz w:val="20"/>
          <w:szCs w:val="20"/>
          <w:color w:val="auto"/>
        </w:rPr>
      </w:pPr>
    </w:p>
    <w:p>
      <w:pPr>
        <w:ind w:left="120" w:right="260" w:firstLine="440"/>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As to matters governed by Pennsylvania law, Elizabeth Wideman, Esquire, Vice President, Senior Deputy General Counsel and Assistant Secretary,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(for purposes of this paragraph only, “Comcast Corporation”),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4" w:lineRule="exact"/>
        <w:rPr>
          <w:sz w:val="20"/>
          <w:szCs w:val="20"/>
          <w:color w:val="auto"/>
        </w:rPr>
      </w:pPr>
    </w:p>
    <w:p>
      <w:pPr>
        <w:ind w:left="120" w:right="220" w:firstLine="440"/>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consolidated financial statements of Sky plc as of and for the year ended June 30, 2018, incorporated by reference in this Prospectus from Comcast Corporation’s Form 8-K/A filed on December 18, 2018,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2" w:lineRule="exact"/>
        <w:rPr>
          <w:sz w:val="20"/>
          <w:szCs w:val="20"/>
          <w:color w:val="auto"/>
        </w:rPr>
      </w:pPr>
    </w:p>
    <w:p>
      <w:pPr>
        <w:jc w:val="both"/>
        <w:ind w:left="120" w:right="60" w:firstLine="440"/>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Our and NBCUniversal’s SEC filings, including the complete registration statement and all of the exhibits to it, are available through the SEC’s website at http://www.sec.gov.</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72">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113" w:lineRule="exact"/>
        <w:rPr>
          <w:rFonts w:ascii="Arial" w:cs="Arial" w:eastAsia="Arial" w:hAnsi="Arial"/>
          <w:sz w:val="16"/>
          <w:szCs w:val="16"/>
          <w:color w:val="auto"/>
        </w:rPr>
      </w:pPr>
    </w:p>
    <w:p>
      <w:pPr>
        <w:ind w:left="1080" w:right="180" w:hanging="424"/>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w:t>
      </w:r>
      <w:hyperlink r:id="rId73">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4">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xml:space="preserve">, filed on </w:t>
      </w:r>
      <w:hyperlink r:id="rId73">
        <w:r>
          <w:rPr>
            <w:rFonts w:ascii="Arial" w:cs="Arial" w:eastAsia="Arial" w:hAnsi="Arial"/>
            <w:sz w:val="18"/>
            <w:szCs w:val="18"/>
            <w:u w:val="single" w:color="auto"/>
            <w:color w:val="0000EE"/>
          </w:rPr>
          <w:t>April 25,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5">
        <w:r>
          <w:rPr>
            <w:rFonts w:ascii="Arial" w:cs="Arial" w:eastAsia="Arial" w:hAnsi="Arial"/>
            <w:sz w:val="18"/>
            <w:szCs w:val="18"/>
            <w:u w:val="single" w:color="auto"/>
            <w:color w:val="0000EE"/>
          </w:rPr>
          <w:t>July 25, 2019</w:t>
        </w:r>
      </w:hyperlink>
      <w:r>
        <w:rPr>
          <w:rFonts w:ascii="Arial" w:cs="Arial" w:eastAsia="Arial" w:hAnsi="Arial"/>
          <w:sz w:val="18"/>
          <w:szCs w:val="18"/>
          <w:color w:val="auto"/>
        </w:rPr>
        <w:t>, respectively.</w:t>
      </w:r>
    </w:p>
    <w:p>
      <w:pPr>
        <w:spacing w:after="0" w:line="5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76">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8">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79">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080" w:right="660" w:hanging="424"/>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sections of Comcast’s </w:t>
      </w:r>
      <w:hyperlink r:id="rId80">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 </w:t>
      </w:r>
      <w:hyperlink r:id="rId80">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2019 annual meeting of shareholders incorporated by reference in Comcast’s Annual Report on Form 10-K for the year ended December 31, 2018.</w:t>
      </w:r>
    </w:p>
    <w:p>
      <w:pPr>
        <w:spacing w:after="0" w:line="50" w:lineRule="exact"/>
        <w:rPr>
          <w:rFonts w:ascii="Arial" w:cs="Arial" w:eastAsia="Arial" w:hAnsi="Arial"/>
          <w:sz w:val="18"/>
          <w:szCs w:val="18"/>
          <w:color w:val="auto"/>
        </w:rPr>
      </w:pPr>
    </w:p>
    <w:p>
      <w:pPr>
        <w:ind w:left="1080" w:right="360" w:hanging="424"/>
        <w:spacing w:after="0" w:line="331"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81">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87" w:lineRule="exact"/>
        <w:rPr>
          <w:rFonts w:ascii="Arial" w:cs="Arial" w:eastAsia="Arial" w:hAnsi="Arial"/>
          <w:sz w:val="18"/>
          <w:szCs w:val="18"/>
          <w:color w:val="auto"/>
        </w:rPr>
      </w:pPr>
    </w:p>
    <w:p>
      <w:pPr>
        <w:ind w:left="120" w:firstLine="440"/>
        <w:spacing w:after="0" w:line="283"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2"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286-1700.</w:t>
      </w:r>
    </w:p>
    <w:p>
      <w:pPr>
        <w:spacing w:after="0" w:line="151"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205740</wp:posOffset>
            </wp:positionV>
            <wp:extent cx="1397000" cy="488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$800,000,000 3.100% Notes due 2025</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$800,000,000 3.300% Notes due 2027</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$1,600,000,000 3.400% Notes due 2030</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$800,000,000 3.750% Notes due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1237615</wp:posOffset>
            </wp:positionV>
            <wp:extent cx="699516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BofA Securities</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598805</wp:posOffset>
            </wp:positionV>
            <wp:extent cx="27260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1660"/>
        <w:spacing w:after="0"/>
        <w:rPr>
          <w:sz w:val="20"/>
          <w:szCs w:val="20"/>
          <w:color w:val="auto"/>
        </w:rPr>
      </w:pPr>
      <w:r>
        <w:rPr>
          <w:rFonts w:ascii="Arial" w:cs="Arial" w:eastAsia="Arial" w:hAnsi="Arial"/>
          <w:sz w:val="19"/>
          <w:szCs w:val="19"/>
          <w:b w:val="1"/>
          <w:bCs w:val="1"/>
          <w:color w:val="auto"/>
        </w:rPr>
        <w:t>J.P. Morgan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Wells Fargo Securities</w:t>
      </w:r>
    </w:p>
    <w:p>
      <w:pPr>
        <w:spacing w:after="0" w:line="200" w:lineRule="exact"/>
        <w:rPr>
          <w:sz w:val="20"/>
          <w:szCs w:val="20"/>
          <w:color w:val="auto"/>
        </w:rPr>
      </w:pPr>
    </w:p>
    <w:p>
      <w:pPr>
        <w:sectPr>
          <w:pgSz w:w="11900" w:h="16838" w:orient="portrait"/>
          <w:cols w:equalWidth="0" w:num="3">
            <w:col w:w="4520" w:space="720"/>
            <w:col w:w="2380" w:space="720"/>
            <w:col w:w="28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March 24, 2020</w:t>
      </w: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3"/>
    </w:lvl>
    <w:lvl w:ilvl="1">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
      <w:numFmt w:val="bullet"/>
      <w:start w:val="1"/>
    </w:lvl>
  </w:abstractNum>
  <w:abstractNum w:abstractNumId="5">
    <w:nsid w:val="54E49EB4"/>
    <w:multiLevelType w:val="hybridMultilevel"/>
    <w:lvl w:ilvl="0">
      <w:lvlJc w:val="left"/>
      <w:lvlText w:val="(%1)"/>
      <w:numFmt w:val="lowerLetter"/>
      <w:start w:val="1"/>
    </w:lvl>
  </w:abstractNum>
  <w:abstractNum w:abstractNumId="6">
    <w:nsid w:val="71F32454"/>
    <w:multiLevelType w:val="hybridMultilevel"/>
    <w:lvl w:ilvl="0">
      <w:lvlJc w:val="left"/>
      <w:lvlText w:val="(%1)"/>
      <w:numFmt w:val="lowerLetter"/>
      <w:start w:val="4"/>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lowerRoman"/>
      <w:start w:val="1"/>
    </w:lvl>
  </w:abstractNum>
  <w:abstractNum w:abstractNumId="14">
    <w:nsid w:val="737B8DDC"/>
    <w:multiLevelType w:val="hybridMultilevel"/>
    <w:lvl w:ilvl="0">
      <w:lvlJc w:val="left"/>
      <w:lvlText w:val="(%1)"/>
      <w:numFmt w:val="lowerRoman"/>
      <w:start w:val="3"/>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2"/>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decimal"/>
      <w:start w:val="1"/>
    </w:lvl>
    <w:lvl w:ilvl="1">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2"/>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Roman"/>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3"/>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lowerLetter"/>
      <w:start w:val="2"/>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jpe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jpe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15" Type="http://schemas.openxmlformats.org/officeDocument/2006/relationships/hyperlink" Target="http://www.sec.gov/ix?doc=/Archives/edgar/data/902739/000116669120000008/cmcsa-12312019x10k.htm" TargetMode="External"/><Relationship Id="rId16" Type="http://schemas.openxmlformats.org/officeDocument/2006/relationships/hyperlink" Target="http://www.sec.gov/ix?doc=/Archives/edgar/data/1166691/000119312520043519/d859188d8k.htm" TargetMode="External"/><Relationship Id="rId17" Type="http://schemas.openxmlformats.org/officeDocument/2006/relationships/hyperlink" Target="http://www.sec.gov/ix?doc=/Archives/edgar/data/1166691/000119312520083230/d905896d8k.htm" TargetMode="External"/><Relationship Id="rId72" Type="http://schemas.openxmlformats.org/officeDocument/2006/relationships/hyperlink" Target="http://www.sec.gov/Archives/edgar/data/902739/000116669119000005/cmcsa-12312018x10k.htm" TargetMode="External"/><Relationship Id="rId73" Type="http://schemas.openxmlformats.org/officeDocument/2006/relationships/hyperlink" Target="http://www.sec.gov/Archives/edgar/data/902739/000116669119000010/cmcsa-3312019x10q.htm" TargetMode="External"/><Relationship Id="rId74" Type="http://schemas.openxmlformats.org/officeDocument/2006/relationships/hyperlink" Target="http://www.sec.gov/ix?doc=/Archives/edgar/data/902739/000116669119000015/cmcsa-6302019x10q.htm" TargetMode="External"/><Relationship Id="rId75" Type="http://schemas.openxmlformats.org/officeDocument/2006/relationships/hyperlink" Target="http://www.sec.gov/Archives/edgar/data/902739/000116669119000015/cmcsa-6302019x10q.htm" TargetMode="External"/><Relationship Id="rId76" Type="http://schemas.openxmlformats.org/officeDocument/2006/relationships/hyperlink" Target="http://www.sec.gov/Archives/edgar/data/902739/000095010319006331/dp106765_8k.htm" TargetMode="External"/><Relationship Id="rId77" Type="http://schemas.openxmlformats.org/officeDocument/2006/relationships/hyperlink" Target="http://www.sec.gov/Archives/edgar/data/1166691/000095010319007912/dp108319_8k.htm" TargetMode="External"/><Relationship Id="rId78" Type="http://schemas.openxmlformats.org/officeDocument/2006/relationships/hyperlink" Target="http://www.sec.gov/Archives/edgar/data/902739/000095010319008213/dp108508_8k.htm" TargetMode="External"/><Relationship Id="rId79" Type="http://schemas.openxmlformats.org/officeDocument/2006/relationships/hyperlink" Target="http://www.sec.gov/Archives/edgar/data/1166691/000119312519210443/d736987d8ka.htm" TargetMode="External"/><Relationship Id="rId80" Type="http://schemas.openxmlformats.org/officeDocument/2006/relationships/hyperlink" Target="http://www.sec.gov/Archives/edgar/data/1166691/000119312519121456/d696198ddef14a.htm" TargetMode="External"/><Relationship Id="rId81"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2020-03-25T12:27:01Z</dcterms:created>
  <dcterms:modified xsi:type="dcterms:W3CDTF">2020-03-25T12:27:01Z</dcterms:modified>
</cp:coreProperties>
</file>