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433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Number 333-191239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November 23, 2015</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$1,490,000,000 4.60% NOTES DUE 2046</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Final Term Sheet</w:t>
      </w:r>
    </w:p>
    <w:p>
      <w:pPr>
        <w:sectPr>
          <w:pgSz w:w="11900" w:h="16838" w:orient="portrait"/>
          <w:cols w:equalWidth="0" w:num="1">
            <w:col w:w="11420"/>
          </w:cols>
          <w:pgMar w:left="240" w:top="225" w:right="239" w:bottom="1440" w:gutter="0" w:footer="0" w:header="0"/>
        </w:sectPr>
      </w:pPr>
    </w:p>
    <w:p>
      <w:pPr>
        <w:spacing w:after="0" w:line="36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w:t>
      </w:r>
    </w:p>
    <w:p>
      <w:pPr>
        <w:spacing w:after="0" w:line="20" w:lineRule="exact"/>
        <w:rPr>
          <w:sz w:val="24"/>
          <w:szCs w:val="24"/>
          <w:color w:val="auto"/>
        </w:rPr>
      </w:pPr>
      <w:r>
        <w:rPr>
          <w:sz w:val="24"/>
          <w:szCs w:val="24"/>
          <w:color w:val="auto"/>
        </w:rPr>
        <w:br w:type="column"/>
      </w:r>
    </w:p>
    <w:p>
      <w:pPr>
        <w:spacing w:after="0" w:line="34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Comcast 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w:t>
      </w:r>
    </w:p>
    <w:p>
      <w:pPr>
        <w:spacing w:after="0" w:line="128" w:lineRule="exact"/>
        <w:rPr>
          <w:sz w:val="24"/>
          <w:szCs w:val="24"/>
          <w:color w:val="auto"/>
        </w:rPr>
      </w:pPr>
    </w:p>
    <w:p>
      <w:pPr>
        <w:sectPr>
          <w:pgSz w:w="11900" w:h="16838" w:orient="portrait"/>
          <w:cols w:equalWidth="0" w:num="2">
            <w:col w:w="1580" w:space="720"/>
            <w:col w:w="9120"/>
          </w:cols>
          <w:pgMar w:left="240" w:top="225"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Guarantors: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Comcast Cable Communications, LLC</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NBCUniversal Media, LLC</w:t>
      </w:r>
    </w:p>
    <w:p>
      <w:pPr>
        <w:spacing w:after="0" w:line="108" w:lineRule="exact"/>
        <w:rPr>
          <w:sz w:val="24"/>
          <w:szCs w:val="24"/>
          <w:color w:val="auto"/>
        </w:rPr>
      </w:pPr>
    </w:p>
    <w:p>
      <w:pPr>
        <w:sectPr>
          <w:pgSz w:w="11900" w:h="16838" w:orient="portrait"/>
          <w:cols w:equalWidth="0" w:num="2">
            <w:col w:w="1580" w:space="720"/>
            <w:col w:w="9120"/>
          </w:cols>
          <w:pgMar w:left="240" w:top="225"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Issue of Securities: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4.60% Notes due 2046</w:t>
      </w:r>
    </w:p>
    <w:p>
      <w:pPr>
        <w:spacing w:after="0" w:line="125" w:lineRule="exact"/>
        <w:rPr>
          <w:sz w:val="24"/>
          <w:szCs w:val="24"/>
          <w:color w:val="auto"/>
        </w:rPr>
      </w:pPr>
    </w:p>
    <w:p>
      <w:pPr>
        <w:sectPr>
          <w:pgSz w:w="11900" w:h="16838" w:orient="portrait"/>
          <w:cols w:equalWidth="0" w:num="2">
            <w:col w:w="1580" w:space="720"/>
            <w:col w:w="9120"/>
          </w:cols>
          <w:pgMar w:left="240" w:top="225"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Denominations: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$100,000 and multiples of $1,000 in excess thereof</w:t>
      </w:r>
    </w:p>
    <w:p>
      <w:pPr>
        <w:spacing w:after="0" w:line="125" w:lineRule="exact"/>
        <w:rPr>
          <w:sz w:val="24"/>
          <w:szCs w:val="24"/>
          <w:color w:val="auto"/>
        </w:rPr>
      </w:pPr>
    </w:p>
    <w:p>
      <w:pPr>
        <w:sectPr>
          <w:pgSz w:w="11900" w:h="16838" w:orient="portrait"/>
          <w:cols w:equalWidth="0" w:num="2">
            <w:col w:w="1580" w:space="720"/>
            <w:col w:w="9120"/>
          </w:cols>
          <w:pgMar w:left="240" w:top="225"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 w:lineRule="exact"/>
        <w:rPr>
          <w:sz w:val="24"/>
          <w:szCs w:val="24"/>
          <w:color w:val="auto"/>
        </w:rPr>
      </w:pPr>
      <w:r>
        <w:rPr>
          <w:sz w:val="24"/>
          <w:szCs w:val="24"/>
          <w:color w:val="auto"/>
        </w:rPr>
        <w:br w:type="column"/>
      </w:r>
    </w:p>
    <w:p>
      <w:pPr>
        <w:ind w:right="220"/>
        <w:spacing w:after="0" w:line="261" w:lineRule="auto"/>
        <w:rPr>
          <w:sz w:val="20"/>
          <w:szCs w:val="20"/>
          <w:color w:val="auto"/>
        </w:rPr>
      </w:pPr>
      <w:r>
        <w:rPr>
          <w:rFonts w:ascii="Times New Roman" w:cs="Times New Roman" w:eastAsia="Times New Roman" w:hAnsi="Times New Roman"/>
          <w:sz w:val="18"/>
          <w:szCs w:val="18"/>
          <w:color w:val="auto"/>
        </w:rPr>
        <w:t>The Company intends to use the net proceeds from this offering, after deducting the selling discount and structuring fee, for working capital and general corporate purposes and repayment of a portion of its outstanding commercial paper. As of November 20, 2015, the Company’s commercial paper had a weighted average annual interest rate of approximately 0.44% and a weighted average remaining maturity of approximately 24 days.</w:t>
      </w:r>
    </w:p>
    <w:p>
      <w:pPr>
        <w:spacing w:after="0" w:line="68" w:lineRule="exact"/>
        <w:rPr>
          <w:sz w:val="24"/>
          <w:szCs w:val="24"/>
          <w:color w:val="auto"/>
        </w:rPr>
      </w:pPr>
    </w:p>
    <w:p>
      <w:pPr>
        <w:sectPr>
          <w:pgSz w:w="11900" w:h="16838" w:orient="portrait"/>
          <w:cols w:equalWidth="0" w:num="2">
            <w:col w:w="1580" w:space="720"/>
            <w:col w:w="9120"/>
          </w:cols>
          <w:pgMar w:left="240" w:top="225"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20" w:lineRule="exact"/>
        <w:rPr>
          <w:sz w:val="24"/>
          <w:szCs w:val="24"/>
          <w:color w:val="auto"/>
        </w:rPr>
      </w:pPr>
      <w:r>
        <w:rPr>
          <w:sz w:val="24"/>
          <w:szCs w:val="24"/>
          <w:color w:val="auto"/>
        </w:rPr>
        <w:br w:type="column"/>
      </w: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Indenture dated as of September 18, 2013 by and among the Company, the guarantors named therein and The Bank of New York Mellon,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as amended by the First Supplemental Indenture dated as of November 17, 2015 by and among the Company, the guarantors named therein and the Trustee.</w:t>
      </w:r>
    </w:p>
    <w:p>
      <w:pPr>
        <w:spacing w:after="0" w:line="64" w:lineRule="exact"/>
        <w:rPr>
          <w:sz w:val="24"/>
          <w:szCs w:val="24"/>
          <w:color w:val="auto"/>
        </w:rPr>
      </w:pPr>
    </w:p>
    <w:p>
      <w:pPr>
        <w:sectPr>
          <w:pgSz w:w="11900" w:h="16838" w:orient="portrait"/>
          <w:cols w:equalWidth="0" w:num="2">
            <w:col w:w="1580" w:space="720"/>
            <w:col w:w="9120"/>
          </w:cols>
          <w:pgMar w:left="240" w:top="225"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Trustee: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The Bank of New York Mellon</w:t>
      </w:r>
    </w:p>
    <w:p>
      <w:pPr>
        <w:spacing w:after="0" w:line="125" w:lineRule="exact"/>
        <w:rPr>
          <w:sz w:val="24"/>
          <w:szCs w:val="24"/>
          <w:color w:val="auto"/>
        </w:rPr>
      </w:pPr>
    </w:p>
    <w:p>
      <w:pPr>
        <w:sectPr>
          <w:pgSz w:w="11900" w:h="16838" w:orient="portrait"/>
          <w:cols w:equalWidth="0" w:num="2">
            <w:col w:w="1580" w:space="720"/>
            <w:col w:w="9120"/>
          </w:cols>
          <w:pgMar w:left="240" w:top="225"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Managers: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E.Sun Commercial Bank, Ltd.</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MasterLink Securities Corporation</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SinoPac Securities Corporation</w:t>
      </w:r>
    </w:p>
    <w:p>
      <w:pPr>
        <w:spacing w:after="0" w:line="108" w:lineRule="exact"/>
        <w:rPr>
          <w:sz w:val="24"/>
          <w:szCs w:val="24"/>
          <w:color w:val="auto"/>
        </w:rPr>
      </w:pPr>
    </w:p>
    <w:p>
      <w:pPr>
        <w:sectPr>
          <w:pgSz w:w="11900" w:h="16838" w:orient="portrait"/>
          <w:cols w:equalWidth="0" w:num="2">
            <w:col w:w="1580" w:space="720"/>
            <w:col w:w="9120"/>
          </w:cols>
          <w:pgMar w:left="240" w:top="225"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Structuring Agents: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Morgan Stanley &amp; Co. LLC</w:t>
      </w:r>
    </w:p>
    <w:p>
      <w:pPr>
        <w:spacing w:after="0" w:line="120" w:lineRule="exact"/>
        <w:rPr>
          <w:sz w:val="24"/>
          <w:szCs w:val="24"/>
          <w:color w:val="auto"/>
        </w:rPr>
      </w:pPr>
    </w:p>
    <w:p>
      <w:pPr>
        <w:sectPr>
          <w:pgSz w:w="11900" w:h="16838" w:orient="portrait"/>
          <w:cols w:equalWidth="0" w:num="2">
            <w:col w:w="1580" w:space="720"/>
            <w:col w:w="9120"/>
          </w:cols>
          <w:pgMar w:left="240" w:top="225"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Co-Structuring Agents: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BNP Paribas Securities Corp.</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Mitsubishi UFJ Securities (USA), Inc.</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Academy Securities, Inc.</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CAVU Securities, LLC</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Drexel Hamilton, LLC</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Mischler Financial Group, Inc.</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Multi-Bank Securities, Inc.</w:t>
      </w:r>
    </w:p>
    <w:p>
      <w:pPr>
        <w:spacing w:after="0" w:line="108" w:lineRule="exact"/>
        <w:rPr>
          <w:sz w:val="24"/>
          <w:szCs w:val="24"/>
          <w:color w:val="auto"/>
        </w:rPr>
      </w:pPr>
    </w:p>
    <w:p>
      <w:pPr>
        <w:sectPr>
          <w:pgSz w:w="11900" w:h="16838" w:orient="portrait"/>
          <w:cols w:equalWidth="0" w:num="2">
            <w:col w:w="1820" w:space="480"/>
            <w:col w:w="9120"/>
          </w:cols>
          <w:pgMar w:left="240" w:top="225"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Pricing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November 23, 2015</w:t>
      </w:r>
    </w:p>
    <w:p>
      <w:pPr>
        <w:spacing w:after="0" w:line="124" w:lineRule="exact"/>
        <w:rPr>
          <w:sz w:val="24"/>
          <w:szCs w:val="24"/>
          <w:color w:val="auto"/>
        </w:rPr>
      </w:pPr>
    </w:p>
    <w:p>
      <w:pPr>
        <w:sectPr>
          <w:pgSz w:w="11900" w:h="16838" w:orient="portrait"/>
          <w:cols w:equalWidth="0" w:num="2">
            <w:col w:w="1580" w:space="720"/>
            <w:col w:w="9120"/>
          </w:cols>
          <w:pgMar w:left="240" w:top="225"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Settlement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December 9, 2015 (T+11)</w:t>
      </w:r>
    </w:p>
    <w:p>
      <w:pPr>
        <w:sectPr>
          <w:pgSz w:w="11900" w:h="16838" w:orient="portrait"/>
          <w:cols w:equalWidth="0" w:num="2">
            <w:col w:w="1580" w:space="720"/>
            <w:col w:w="9120"/>
          </w:cols>
          <w:pgMar w:left="240" w:top="225" w:right="2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Aggregate Principal Amount: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Payment 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 for Tax Reasons: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Further Issuances: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ROC Selling Restrictions: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ISIN: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Offering Price: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Spread:</w:t>
      </w:r>
    </w:p>
    <w:p>
      <w:pPr>
        <w:spacing w:after="0" w:line="11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Net proceeds to Comcast, before expenses: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Structuring Agents’ Fee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$1,490,000,000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-281940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 2046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4.60% per annum, accruing from December 9, 2015 (calculated on the basis of a 360-day year consisting of twelve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30-day months)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 and August 1, commencing February 1, 2016 (short first coupon)</w:t>
      </w:r>
    </w:p>
    <w:p>
      <w:pPr>
        <w:spacing w:after="0" w:line="11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4.60% Notes due 2046 are redeemable at the option of the Company, in whole but not in part, on each February 1 on or after February 1, 2018. This redemption would be at a redemption price equal to 100% of the principal amount of the notes being redeemed plus accrued and unpaid interest to the redemption date.</w:t>
      </w:r>
    </w:p>
    <w:p>
      <w:pPr>
        <w:spacing w:after="0" w:line="6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4.60% Notes due 2046 are redeemable, in whole but not in part, in the event of certain changes in the tax laws of the United States (or any taxing authority in the United States). This redemption would be at a redemption price equal to 100% of the principal amount of the notes being redeemed plus any accrued interest and additional amounts then payable with respect to the notes to, but not including, the redemption date.</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To the extent permitted by applicable authorities in the Republic of China and subject to the receipt of all necessary regulatory and listing approvals from such authorities, including but not limited to the Taipei Exchange (“</w:t>
      </w:r>
      <w:r>
        <w:rPr>
          <w:rFonts w:ascii="Times New Roman" w:cs="Times New Roman" w:eastAsia="Times New Roman" w:hAnsi="Times New Roman"/>
          <w:sz w:val="18"/>
          <w:szCs w:val="18"/>
          <w:b w:val="1"/>
          <w:bCs w:val="1"/>
          <w:color w:val="auto"/>
        </w:rPr>
        <w:t>TPEx</w:t>
      </w:r>
      <w:r>
        <w:rPr>
          <w:rFonts w:ascii="Times New Roman" w:cs="Times New Roman" w:eastAsia="Times New Roman" w:hAnsi="Times New Roman"/>
          <w:sz w:val="18"/>
          <w:szCs w:val="18"/>
          <w:color w:val="auto"/>
        </w:rPr>
        <w:t>”) and the Taiwan Securities Association, an unlimited amount of further 4.60% Notes due 2046 may be issued. The 4.60% Notes due 2046 and any further 4.60% Notes due 2046 that may be issued may be treated as a single series for all purposes under the indenture.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Application will be made for the 4.60% Notes due 2046 to be listed on the TPEx.</w:t>
      </w:r>
    </w:p>
    <w:p>
      <w:pPr>
        <w:spacing w:after="0" w:line="11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notes have not been, and shall not be, offered, sold or re-sold, directly or indirectly, to investors other than “professional institutional investors” as defined under Item 1 of Proviso to Paragraph 1 of Article 4 of the Financial Consumer Protection Act of the Republic of China. Purchasers of the notes are not permitted to sell or otherwise dispose of the notes except by transfer to the aforementioned professional institutional investors.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XS1327147119</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100.000%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0.100%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99.900% per $1,000 principal amount of 4.60% Notes due 2046; $1,488,510,000 total</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$9,685,000</w:t>
      </w:r>
    </w:p>
    <w:p>
      <w:pPr>
        <w:spacing w:after="0" w:line="15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2">
            <w:col w:w="2480" w:space="400"/>
            <w:col w:w="8500"/>
          </w:cols>
          <w:pgMar w:left="240" w:top="374" w:right="279" w:bottom="1440" w:gutter="0" w:footer="0" w:header="0"/>
        </w:sectPr>
      </w:pPr>
    </w:p>
    <w:bookmarkStart w:id="2" w:name="page3"/>
    <w:bookmarkEnd w:id="2"/>
    <w:p>
      <w:pPr>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TPEx is not responsible for the content of this Final Term Sheet and no representation is made by the TPEx as to the accuracy or completeness of this Final Term Sheet. The TPEx expressly disclaims any and all liability for any losses arising from, or as a result of the reliance on, all or part of the contents of this Final Term Sheet. Admission to the listing and trading of the notes on the TPEx shall not be taken as an indication of the merits of us or the notes.</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It is expected that delivery of the notes will be made against payment therefor on or about December 9, 2015, which is the eleventh business day following the date hereof (such settlement cycle being referred to as “T+11”). Under Rule 15c6-1 under the Securities Exchange Act of 1934, as amended, trades in the secondary market generally are required to settle in three business days unless the parties to any such trade expressly agree otherwise. Accordingly, purchasers who wish to trade the notes prior to the third trading day prior to the settlement date will be required, by virtue of the fact that the notes initially will settle in T+11, to specify an alternative settlement cycle at the time of any such trade to prevent failed settlement and should consult their own advisors.</w:t>
      </w:r>
    </w:p>
    <w:p>
      <w:pPr>
        <w:spacing w:after="0" w:line="1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Alternatively, the issuer will arrange to send you these documents if you request them by contacting the issuer at: Comcast Corporation, Attention: Investor Relations, One Comcast Center, Philadelphia, Pennsylvania 19103-2838, (215) 286-1700.</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1380"/>
      </w:cols>
      <w:pgMar w:left="240" w:top="27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2019-12-08T00:24:19Z</dcterms:created>
  <dcterms:modified xsi:type="dcterms:W3CDTF">2019-12-08T00:24:19Z</dcterms:modified>
</cp:coreProperties>
</file>