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Title of each Class of</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2.850% Notes due 2023</w:t>
            </w:r>
          </w:p>
        </w:tc>
        <w:tc>
          <w:tcPr>
            <w:tcW w:w="160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8"/>
                <w:szCs w:val="18"/>
                <w:color w:val="auto"/>
              </w:rPr>
              <w:t>$750,000,000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$102,300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4.250% Notes due 2033</w:t>
            </w:r>
          </w:p>
        </w:tc>
        <w:tc>
          <w:tcPr>
            <w:tcW w:w="160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8"/>
                <w:szCs w:val="18"/>
                <w:color w:val="auto"/>
              </w:rPr>
              <w:t>$1,700,000,000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$231,880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4.500% Notes due 2043</w:t>
            </w:r>
          </w:p>
        </w:tc>
        <w:tc>
          <w:tcPr>
            <w:tcW w:w="160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8"/>
                <w:szCs w:val="18"/>
                <w:color w:val="auto"/>
              </w:rPr>
              <w:t>$500,000,000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$68,200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8"/>
                <w:szCs w:val="18"/>
                <w:color w:val="auto"/>
              </w:rPr>
              <w:t>$2,950,000,000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$402,380</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8"/>
        </w:trPr>
        <w:tc>
          <w:tcPr>
            <w:tcW w:w="826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333-179678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$750,000,000 2.850% Notes due 2023</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$1,700,000,000 4.250% Notes due 2033</w:t>
      </w:r>
    </w:p>
    <w:p>
      <w:pPr>
        <w:jc w:val="center"/>
        <w:ind w:right="-39"/>
        <w:spacing w:after="0"/>
        <w:rPr>
          <w:sz w:val="20"/>
          <w:szCs w:val="20"/>
          <w:color w:val="auto"/>
        </w:rPr>
      </w:pPr>
      <w:r>
        <w:rPr>
          <w:rFonts w:ascii="Arial" w:cs="Arial" w:eastAsia="Arial" w:hAnsi="Arial"/>
          <w:sz w:val="32"/>
          <w:szCs w:val="32"/>
          <w:b w:val="1"/>
          <w:bCs w:val="1"/>
          <w:color w:val="auto"/>
        </w:rPr>
        <w:t>$500,000,000 4.500%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112395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due 2023 will bear interest at a rate of 2.850% per year and will mature on January 15, 2023, the Notes due 2033 will bear interest at a rate of 4.250% per year and will mature on January 15, 2033, and the Notes due 2043 will bear interest at a rate of 4.500% per year and will mature on January 15, 2043. We will pay interest on the Notes due 2023 on January 15 and July 15 of each year, beginning July 15, 2013. We will pay interest on the Notes due 2033 on January 15 and July 15 of each year, beginning July 15, 2013. We will pay interest on the Notes due 2043 on January 15 and July 15 of each year, beginning July 15, 2013. We may redeem any of the notes at any time by paying the greater of the principal amount of such notes or a “make-whole” amount, plus, in each case, accrued and unpaid interest. See “Description of the Notes—Optional Redemption.”</w:t>
      </w:r>
    </w:p>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3" w:lineRule="exact"/>
        <w:rPr>
          <w:sz w:val="20"/>
          <w:szCs w:val="20"/>
          <w:color w:val="auto"/>
        </w:rPr>
      </w:pPr>
    </w:p>
    <w:p>
      <w:pPr>
        <w:ind w:firstLine="456"/>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2011.</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4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Underwriters’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Proceeds to Us Before</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Discount</w:t>
            </w:r>
          </w:p>
        </w:tc>
        <w:tc>
          <w:tcPr>
            <w:tcW w:w="180" w:type="dxa"/>
            <w:vAlign w:val="bottom"/>
          </w:tcPr>
          <w:p>
            <w:pPr>
              <w:spacing w:after="0"/>
              <w:rPr>
                <w:sz w:val="12"/>
                <w:szCs w:val="12"/>
                <w:color w:val="auto"/>
              </w:rPr>
            </w:pPr>
          </w:p>
        </w:tc>
        <w:tc>
          <w:tcPr>
            <w:tcW w:w="13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2023</w:t>
            </w:r>
            <w:r>
              <w:rPr>
                <w:rFonts w:ascii="Arial" w:cs="Arial" w:eastAsia="Arial" w:hAnsi="Arial"/>
                <w:sz w:val="11"/>
                <w:szCs w:val="11"/>
                <w:color w:val="auto"/>
              </w:rPr>
              <w:t>(1)</w:t>
            </w:r>
          </w:p>
        </w:tc>
        <w:tc>
          <w:tcPr>
            <w:tcW w:w="1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99.836%</w:t>
            </w: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0.450%</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99.386%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748,770,000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3,375,000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745,395,000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2033</w:t>
            </w:r>
            <w:r>
              <w:rPr>
                <w:rFonts w:ascii="Arial" w:cs="Arial" w:eastAsia="Arial" w:hAnsi="Arial"/>
                <w:sz w:val="11"/>
                <w:szCs w:val="11"/>
                <w:color w:val="auto"/>
              </w:rPr>
              <w:t>(1)</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0.650%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98.511%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1,685,737,000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11,050,000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1,674,687,000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2043</w:t>
            </w:r>
            <w:r>
              <w:rPr>
                <w:rFonts w:ascii="Arial" w:cs="Arial" w:eastAsia="Arial" w:hAnsi="Arial"/>
                <w:sz w:val="11"/>
                <w:szCs w:val="11"/>
                <w:color w:val="auto"/>
              </w:rPr>
              <w:t>(1)</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98.912%</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498,935,000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4,375,000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494,560,000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January 14, 2013, if settlement occurs after that date.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January 14,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40" w:type="dxa"/>
            <w:vAlign w:val="bottom"/>
            <w:gridSpan w:val="2"/>
          </w:tcPr>
          <w:p>
            <w:pPr>
              <w:jc w:val="right"/>
              <w:ind w:right="1172"/>
              <w:spacing w:after="0"/>
              <w:rPr>
                <w:sz w:val="20"/>
                <w:szCs w:val="20"/>
                <w:color w:val="auto"/>
              </w:rPr>
            </w:pPr>
            <w:r>
              <w:rPr>
                <w:rFonts w:ascii="Arial" w:cs="Arial" w:eastAsia="Arial" w:hAnsi="Arial"/>
                <w:sz w:val="18"/>
                <w:szCs w:val="18"/>
                <w:i w:val="1"/>
                <w:iCs w:val="1"/>
                <w:color w:val="auto"/>
                <w:w w:val="93"/>
              </w:rPr>
              <w:t>Joint Book-Running Managers</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0"/>
                <w:szCs w:val="20"/>
                <w:color w:val="auto"/>
              </w:rPr>
            </w:pPr>
            <w:r>
              <w:rPr>
                <w:rFonts w:ascii="Arial" w:cs="Arial" w:eastAsia="Arial" w:hAnsi="Arial"/>
                <w:sz w:val="24"/>
                <w:szCs w:val="24"/>
                <w:b w:val="1"/>
                <w:bCs w:val="1"/>
                <w:color w:val="auto"/>
              </w:rPr>
              <w:t>Barclays</w:t>
            </w:r>
          </w:p>
        </w:tc>
        <w:tc>
          <w:tcPr>
            <w:tcW w:w="2960" w:type="dxa"/>
            <w:vAlign w:val="bottom"/>
          </w:tcPr>
          <w:p>
            <w:pPr>
              <w:jc w:val="center"/>
              <w:ind w:left="310"/>
              <w:spacing w:after="0"/>
              <w:rPr>
                <w:sz w:val="20"/>
                <w:szCs w:val="20"/>
                <w:color w:val="auto"/>
              </w:rPr>
            </w:pPr>
            <w:r>
              <w:rPr>
                <w:rFonts w:ascii="Arial" w:cs="Arial" w:eastAsia="Arial" w:hAnsi="Arial"/>
                <w:sz w:val="24"/>
                <w:szCs w:val="24"/>
                <w:b w:val="1"/>
                <w:bCs w:val="1"/>
                <w:color w:val="auto"/>
                <w:w w:val="91"/>
              </w:rPr>
              <w:t>Goldman, Sachs &amp; Co.</w:t>
            </w:r>
          </w:p>
        </w:tc>
        <w:tc>
          <w:tcPr>
            <w:tcW w:w="42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4"/>
                <w:szCs w:val="24"/>
                <w:b w:val="1"/>
                <w:bCs w:val="1"/>
                <w:color w:val="auto"/>
                <w:w w:val="92"/>
              </w:rPr>
              <w:t>RBS Deutsche Bank Securities</w:t>
            </w:r>
          </w:p>
        </w:tc>
        <w:tc>
          <w:tcPr>
            <w:tcW w:w="3200" w:type="dxa"/>
            <w:vAlign w:val="bottom"/>
          </w:tcPr>
          <w:p>
            <w:pPr>
              <w:ind w:left="880"/>
              <w:spacing w:after="0"/>
              <w:rPr>
                <w:sz w:val="20"/>
                <w:szCs w:val="20"/>
                <w:color w:val="auto"/>
              </w:rPr>
            </w:pPr>
            <w:r>
              <w:rPr>
                <w:rFonts w:ascii="Arial" w:cs="Arial" w:eastAsia="Arial" w:hAnsi="Arial"/>
                <w:sz w:val="24"/>
                <w:szCs w:val="24"/>
                <w:b w:val="1"/>
                <w:bCs w:val="1"/>
                <w:color w:val="auto"/>
                <w:w w:val="92"/>
              </w:rPr>
              <w:t>UBS Investment Bank</w:t>
            </w:r>
          </w:p>
        </w:tc>
        <w:tc>
          <w:tcPr>
            <w:tcW w:w="0" w:type="dxa"/>
            <w:vAlign w:val="bottom"/>
          </w:tcPr>
          <w:p>
            <w:pPr>
              <w:spacing w:after="0"/>
              <w:rPr>
                <w:sz w:val="1"/>
                <w:szCs w:val="1"/>
                <w:color w:val="auto"/>
              </w:rPr>
            </w:pPr>
          </w:p>
        </w:tc>
      </w:tr>
      <w:tr>
        <w:trPr>
          <w:trHeight w:val="158"/>
        </w:trPr>
        <w:tc>
          <w:tcPr>
            <w:tcW w:w="4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4100" w:type="dxa"/>
            <w:vAlign w:val="bottom"/>
            <w:gridSpan w:val="2"/>
          </w:tcPr>
          <w:p>
            <w:pPr>
              <w:jc w:val="center"/>
              <w:ind w:right="1030"/>
              <w:spacing w:after="0"/>
              <w:rPr>
                <w:sz w:val="20"/>
                <w:szCs w:val="20"/>
                <w:color w:val="auto"/>
              </w:rPr>
            </w:pPr>
            <w:r>
              <w:rPr>
                <w:rFonts w:ascii="Arial" w:cs="Arial" w:eastAsia="Arial" w:hAnsi="Arial"/>
                <w:sz w:val="22"/>
                <w:szCs w:val="22"/>
                <w:b w:val="1"/>
                <w:bCs w:val="1"/>
                <w:color w:val="auto"/>
                <w:w w:val="93"/>
              </w:rPr>
              <w:t>BofA Merrill Lynch</w:t>
            </w:r>
          </w:p>
        </w:tc>
        <w:tc>
          <w:tcPr>
            <w:tcW w:w="420" w:type="dxa"/>
            <w:vAlign w:val="bottom"/>
          </w:tcPr>
          <w:p>
            <w:pPr>
              <w:spacing w:after="0"/>
              <w:rPr>
                <w:sz w:val="24"/>
                <w:szCs w:val="24"/>
                <w:color w:val="auto"/>
              </w:rPr>
            </w:pPr>
          </w:p>
        </w:tc>
        <w:tc>
          <w:tcPr>
            <w:tcW w:w="3540" w:type="dxa"/>
            <w:vAlign w:val="bottom"/>
            <w:gridSpan w:val="2"/>
          </w:tcPr>
          <w:p>
            <w:pPr>
              <w:jc w:val="center"/>
              <w:ind w:right="1272"/>
              <w:spacing w:after="0"/>
              <w:rPr>
                <w:sz w:val="20"/>
                <w:szCs w:val="20"/>
                <w:color w:val="auto"/>
              </w:rPr>
            </w:pPr>
            <w:r>
              <w:rPr>
                <w:rFonts w:ascii="Arial" w:cs="Arial" w:eastAsia="Arial" w:hAnsi="Arial"/>
                <w:sz w:val="22"/>
                <w:szCs w:val="22"/>
                <w:b w:val="1"/>
                <w:bCs w:val="1"/>
                <w:color w:val="auto"/>
                <w:w w:val="93"/>
              </w:rPr>
              <w:t>BNP PARIBAS</w:t>
            </w:r>
          </w:p>
        </w:tc>
        <w:tc>
          <w:tcPr>
            <w:tcW w:w="3200" w:type="dxa"/>
            <w:vAlign w:val="bottom"/>
          </w:tcPr>
          <w:p>
            <w:pPr>
              <w:jc w:val="center"/>
              <w:ind w:left="240"/>
              <w:spacing w:after="0"/>
              <w:rPr>
                <w:sz w:val="20"/>
                <w:szCs w:val="20"/>
                <w:color w:val="auto"/>
              </w:rPr>
            </w:pPr>
            <w:r>
              <w:rPr>
                <w:rFonts w:ascii="Arial" w:cs="Arial" w:eastAsia="Arial" w:hAnsi="Arial"/>
                <w:sz w:val="22"/>
                <w:szCs w:val="22"/>
                <w:b w:val="1"/>
                <w:bCs w:val="1"/>
                <w:color w:val="auto"/>
                <w:w w:val="92"/>
              </w:rPr>
              <w:t>Citigroup</w:t>
            </w:r>
          </w:p>
        </w:tc>
        <w:tc>
          <w:tcPr>
            <w:tcW w:w="0" w:type="dxa"/>
            <w:vAlign w:val="bottom"/>
          </w:tcPr>
          <w:p>
            <w:pPr>
              <w:spacing w:after="0"/>
              <w:rPr>
                <w:sz w:val="1"/>
                <w:szCs w:val="1"/>
                <w:color w:val="auto"/>
              </w:rPr>
            </w:pPr>
          </w:p>
        </w:tc>
      </w:tr>
      <w:tr>
        <w:trPr>
          <w:trHeight w:val="243"/>
        </w:trPr>
        <w:tc>
          <w:tcPr>
            <w:tcW w:w="4100" w:type="dxa"/>
            <w:vAlign w:val="bottom"/>
            <w:gridSpan w:val="2"/>
          </w:tcPr>
          <w:p>
            <w:pPr>
              <w:jc w:val="center"/>
              <w:ind w:right="1030"/>
              <w:spacing w:after="0" w:line="243" w:lineRule="exact"/>
              <w:rPr>
                <w:sz w:val="20"/>
                <w:szCs w:val="20"/>
                <w:color w:val="auto"/>
              </w:rPr>
            </w:pPr>
            <w:r>
              <w:rPr>
                <w:rFonts w:ascii="Arial" w:cs="Arial" w:eastAsia="Arial" w:hAnsi="Arial"/>
                <w:sz w:val="22"/>
                <w:szCs w:val="22"/>
                <w:b w:val="1"/>
                <w:bCs w:val="1"/>
                <w:color w:val="auto"/>
                <w:w w:val="86"/>
              </w:rPr>
              <w:t>Credit Suisse</w:t>
            </w:r>
          </w:p>
        </w:tc>
        <w:tc>
          <w:tcPr>
            <w:tcW w:w="420" w:type="dxa"/>
            <w:vAlign w:val="bottom"/>
          </w:tcPr>
          <w:p>
            <w:pPr>
              <w:spacing w:after="0"/>
              <w:rPr>
                <w:sz w:val="21"/>
                <w:szCs w:val="21"/>
                <w:color w:val="auto"/>
              </w:rPr>
            </w:pPr>
          </w:p>
        </w:tc>
        <w:tc>
          <w:tcPr>
            <w:tcW w:w="3540" w:type="dxa"/>
            <w:vAlign w:val="bottom"/>
            <w:gridSpan w:val="2"/>
          </w:tcPr>
          <w:p>
            <w:pPr>
              <w:jc w:val="center"/>
              <w:ind w:right="1272"/>
              <w:spacing w:after="0" w:line="243" w:lineRule="exact"/>
              <w:rPr>
                <w:sz w:val="20"/>
                <w:szCs w:val="20"/>
                <w:color w:val="auto"/>
              </w:rPr>
            </w:pPr>
            <w:r>
              <w:rPr>
                <w:rFonts w:ascii="Arial" w:cs="Arial" w:eastAsia="Arial" w:hAnsi="Arial"/>
                <w:sz w:val="22"/>
                <w:szCs w:val="22"/>
                <w:b w:val="1"/>
                <w:bCs w:val="1"/>
                <w:color w:val="auto"/>
                <w:w w:val="91"/>
              </w:rPr>
              <w:t>J.P. Morgan</w:t>
            </w:r>
          </w:p>
        </w:tc>
        <w:tc>
          <w:tcPr>
            <w:tcW w:w="3200" w:type="dxa"/>
            <w:vAlign w:val="bottom"/>
          </w:tcPr>
          <w:p>
            <w:pPr>
              <w:jc w:val="center"/>
              <w:ind w:left="240"/>
              <w:spacing w:after="0" w:line="243" w:lineRule="exact"/>
              <w:rPr>
                <w:sz w:val="20"/>
                <w:szCs w:val="20"/>
                <w:color w:val="auto"/>
              </w:rPr>
            </w:pPr>
            <w:r>
              <w:rPr>
                <w:rFonts w:ascii="Arial" w:cs="Arial" w:eastAsia="Arial" w:hAnsi="Arial"/>
                <w:sz w:val="22"/>
                <w:szCs w:val="22"/>
                <w:b w:val="1"/>
                <w:bCs w:val="1"/>
                <w:color w:val="auto"/>
                <w:w w:val="86"/>
              </w:rPr>
              <w:t>Lloyds Securities</w:t>
            </w:r>
          </w:p>
        </w:tc>
        <w:tc>
          <w:tcPr>
            <w:tcW w:w="0" w:type="dxa"/>
            <w:vAlign w:val="bottom"/>
          </w:tcPr>
          <w:p>
            <w:pPr>
              <w:spacing w:after="0"/>
              <w:rPr>
                <w:sz w:val="1"/>
                <w:szCs w:val="1"/>
                <w:color w:val="auto"/>
              </w:rPr>
            </w:pPr>
          </w:p>
        </w:tc>
      </w:tr>
      <w:tr>
        <w:trPr>
          <w:trHeight w:val="243"/>
        </w:trPr>
        <w:tc>
          <w:tcPr>
            <w:tcW w:w="4100" w:type="dxa"/>
            <w:vAlign w:val="bottom"/>
            <w:gridSpan w:val="2"/>
          </w:tcPr>
          <w:p>
            <w:pPr>
              <w:jc w:val="center"/>
              <w:ind w:right="1030"/>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420" w:type="dxa"/>
            <w:vAlign w:val="bottom"/>
          </w:tcPr>
          <w:p>
            <w:pPr>
              <w:spacing w:after="0"/>
              <w:rPr>
                <w:sz w:val="21"/>
                <w:szCs w:val="21"/>
                <w:color w:val="auto"/>
              </w:rPr>
            </w:pPr>
          </w:p>
        </w:tc>
        <w:tc>
          <w:tcPr>
            <w:tcW w:w="3540" w:type="dxa"/>
            <w:vAlign w:val="bottom"/>
            <w:gridSpan w:val="2"/>
          </w:tcPr>
          <w:p>
            <w:pPr>
              <w:jc w:val="center"/>
              <w:ind w:right="1252"/>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3200" w:type="dxa"/>
            <w:vAlign w:val="bottom"/>
          </w:tcPr>
          <w:p>
            <w:pPr>
              <w:jc w:val="center"/>
              <w:ind w:left="240"/>
              <w:spacing w:after="0" w:line="243" w:lineRule="exact"/>
              <w:rPr>
                <w:sz w:val="20"/>
                <w:szCs w:val="20"/>
                <w:color w:val="auto"/>
              </w:rPr>
            </w:pPr>
            <w:r>
              <w:rPr>
                <w:rFonts w:ascii="Arial" w:cs="Arial" w:eastAsia="Arial" w:hAnsi="Arial"/>
                <w:sz w:val="22"/>
                <w:szCs w:val="22"/>
                <w:b w:val="1"/>
                <w:bCs w:val="1"/>
                <w:color w:val="auto"/>
                <w:w w:val="93"/>
              </w:rPr>
              <w:t>RBC Capital Markets</w:t>
            </w:r>
          </w:p>
        </w:tc>
        <w:tc>
          <w:tcPr>
            <w:tcW w:w="0" w:type="dxa"/>
            <w:vAlign w:val="bottom"/>
          </w:tcPr>
          <w:p>
            <w:pPr>
              <w:spacing w:after="0"/>
              <w:rPr>
                <w:sz w:val="1"/>
                <w:szCs w:val="1"/>
                <w:color w:val="auto"/>
              </w:rPr>
            </w:pPr>
          </w:p>
        </w:tc>
      </w:tr>
      <w:tr>
        <w:trPr>
          <w:trHeight w:val="281"/>
        </w:trPr>
        <w:tc>
          <w:tcPr>
            <w:tcW w:w="4100" w:type="dxa"/>
            <w:vAlign w:val="bottom"/>
            <w:gridSpan w:val="2"/>
          </w:tcPr>
          <w:p>
            <w:pPr>
              <w:jc w:val="center"/>
              <w:ind w:right="1010"/>
              <w:spacing w:after="0"/>
              <w:rPr>
                <w:sz w:val="20"/>
                <w:szCs w:val="20"/>
                <w:color w:val="auto"/>
              </w:rPr>
            </w:pPr>
            <w:r>
              <w:rPr>
                <w:rFonts w:ascii="Arial" w:cs="Arial" w:eastAsia="Arial" w:hAnsi="Arial"/>
                <w:sz w:val="22"/>
                <w:szCs w:val="22"/>
                <w:b w:val="1"/>
                <w:bCs w:val="1"/>
                <w:color w:val="auto"/>
                <w:w w:val="94"/>
              </w:rPr>
              <w:t>SMBC Nikko</w:t>
            </w:r>
          </w:p>
        </w:tc>
        <w:tc>
          <w:tcPr>
            <w:tcW w:w="3960" w:type="dxa"/>
            <w:vAlign w:val="bottom"/>
            <w:gridSpan w:val="3"/>
          </w:tcPr>
          <w:p>
            <w:pPr>
              <w:jc w:val="center"/>
              <w:ind w:right="852"/>
              <w:spacing w:after="0"/>
              <w:rPr>
                <w:sz w:val="20"/>
                <w:szCs w:val="20"/>
                <w:color w:val="auto"/>
              </w:rPr>
            </w:pPr>
            <w:r>
              <w:rPr>
                <w:rFonts w:ascii="Arial" w:cs="Arial" w:eastAsia="Arial" w:hAnsi="Arial"/>
                <w:sz w:val="22"/>
                <w:szCs w:val="22"/>
                <w:b w:val="1"/>
                <w:bCs w:val="1"/>
                <w:color w:val="auto"/>
                <w:w w:val="89"/>
              </w:rPr>
              <w:t>SunTrust Robinson Humphrey</w:t>
            </w:r>
          </w:p>
        </w:tc>
        <w:tc>
          <w:tcPr>
            <w:tcW w:w="3200" w:type="dxa"/>
            <w:vAlign w:val="bottom"/>
          </w:tcPr>
          <w:p>
            <w:pPr>
              <w:jc w:val="center"/>
              <w:ind w:left="240"/>
              <w:spacing w:after="0"/>
              <w:rPr>
                <w:sz w:val="20"/>
                <w:szCs w:val="20"/>
                <w:color w:val="auto"/>
              </w:rPr>
            </w:pPr>
            <w:r>
              <w:rPr>
                <w:rFonts w:ascii="Arial" w:cs="Arial" w:eastAsia="Arial" w:hAnsi="Arial"/>
                <w:sz w:val="22"/>
                <w:szCs w:val="22"/>
                <w:b w:val="1"/>
                <w:bCs w:val="1"/>
                <w:color w:val="auto"/>
                <w:w w:val="87"/>
              </w:rPr>
              <w:t>Wells Fargo Securities</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296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Santander</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0" w:type="dxa"/>
            <w:vAlign w:val="bottom"/>
          </w:tcPr>
          <w:p>
            <w:pPr>
              <w:jc w:val="center"/>
              <w:ind w:right="2080"/>
              <w:spacing w:after="0"/>
              <w:rPr>
                <w:sz w:val="20"/>
                <w:szCs w:val="20"/>
                <w:color w:val="auto"/>
              </w:rPr>
            </w:pPr>
            <w:r>
              <w:rPr>
                <w:rFonts w:ascii="Arial" w:cs="Arial" w:eastAsia="Arial" w:hAnsi="Arial"/>
                <w:sz w:val="18"/>
                <w:szCs w:val="18"/>
                <w:b w:val="1"/>
                <w:bCs w:val="1"/>
                <w:color w:val="auto"/>
                <w:w w:val="87"/>
              </w:rPr>
              <w:t>US Bancorp</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2960" w:type="dxa"/>
            <w:vAlign w:val="bottom"/>
          </w:tcPr>
          <w:p>
            <w:pPr>
              <w:ind w:left="840"/>
              <w:spacing w:after="0"/>
              <w:rPr>
                <w:sz w:val="20"/>
                <w:szCs w:val="20"/>
                <w:color w:val="auto"/>
              </w:rPr>
            </w:pPr>
            <w:r>
              <w:rPr>
                <w:rFonts w:ascii="Arial" w:cs="Arial" w:eastAsia="Arial" w:hAnsi="Arial"/>
                <w:sz w:val="18"/>
                <w:szCs w:val="18"/>
                <w:b w:val="1"/>
                <w:bCs w:val="1"/>
                <w:color w:val="auto"/>
              </w:rPr>
              <w:t>Allen &amp; Company LLC</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tcPr>
          <w:p>
            <w:pPr>
              <w:ind w:left="900"/>
              <w:spacing w:after="0"/>
              <w:rPr>
                <w:sz w:val="20"/>
                <w:szCs w:val="20"/>
                <w:color w:val="auto"/>
              </w:rPr>
            </w:pPr>
            <w:r>
              <w:rPr>
                <w:rFonts w:ascii="Arial" w:cs="Arial" w:eastAsia="Arial" w:hAnsi="Arial"/>
                <w:sz w:val="18"/>
                <w:szCs w:val="18"/>
                <w:b w:val="1"/>
                <w:bCs w:val="1"/>
                <w:color w:val="auto"/>
              </w:rPr>
              <w:t>Gleacher &amp; Company</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29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DNB Markets</w:t>
            </w:r>
          </w:p>
        </w:tc>
        <w:tc>
          <w:tcPr>
            <w:tcW w:w="420" w:type="dxa"/>
            <w:vAlign w:val="bottom"/>
          </w:tcPr>
          <w:p>
            <w:pPr>
              <w:spacing w:after="0"/>
              <w:rPr>
                <w:sz w:val="24"/>
                <w:szCs w:val="24"/>
                <w:color w:val="auto"/>
              </w:rPr>
            </w:pPr>
          </w:p>
        </w:tc>
        <w:tc>
          <w:tcPr>
            <w:tcW w:w="3540" w:type="dxa"/>
            <w:vAlign w:val="bottom"/>
            <w:gridSpan w:val="2"/>
          </w:tcPr>
          <w:p>
            <w:pPr>
              <w:jc w:val="right"/>
              <w:ind w:right="1172"/>
              <w:spacing w:after="0"/>
              <w:rPr>
                <w:sz w:val="20"/>
                <w:szCs w:val="20"/>
                <w:color w:val="auto"/>
              </w:rPr>
            </w:pPr>
            <w:r>
              <w:rPr>
                <w:rFonts w:ascii="Arial" w:cs="Arial" w:eastAsia="Arial" w:hAnsi="Arial"/>
                <w:sz w:val="18"/>
                <w:szCs w:val="18"/>
                <w:b w:val="1"/>
                <w:bCs w:val="1"/>
                <w:color w:val="auto"/>
              </w:rPr>
              <w:t>PNC Capital Markets LLC</w:t>
            </w:r>
          </w:p>
        </w:tc>
        <w:tc>
          <w:tcPr>
            <w:tcW w:w="3200" w:type="dxa"/>
            <w:vAlign w:val="bottom"/>
          </w:tcPr>
          <w:p>
            <w:pPr>
              <w:jc w:val="center"/>
              <w:ind w:right="40"/>
              <w:spacing w:after="0"/>
              <w:rPr>
                <w:sz w:val="20"/>
                <w:szCs w:val="20"/>
                <w:color w:val="auto"/>
              </w:rPr>
            </w:pPr>
            <w:r>
              <w:rPr>
                <w:rFonts w:ascii="Arial" w:cs="Arial" w:eastAsia="Arial" w:hAnsi="Arial"/>
                <w:sz w:val="18"/>
                <w:szCs w:val="18"/>
                <w:b w:val="1"/>
                <w:bCs w:val="1"/>
                <w:color w:val="auto"/>
                <w:w w:val="88"/>
              </w:rPr>
              <w:t>TD Securities</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296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w w:val="92"/>
              </w:rPr>
              <w:t>Loop Capital Markets</w:t>
            </w:r>
          </w:p>
        </w:tc>
        <w:tc>
          <w:tcPr>
            <w:tcW w:w="4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360" w:type="dxa"/>
            <w:vAlign w:val="bottom"/>
            <w:gridSpan w:val="2"/>
            <w:vMerge w:val="restart"/>
          </w:tcPr>
          <w:p>
            <w:pPr>
              <w:jc w:val="center"/>
              <w:ind w:right="900"/>
              <w:spacing w:after="0"/>
              <w:rPr>
                <w:sz w:val="20"/>
                <w:szCs w:val="20"/>
                <w:color w:val="auto"/>
              </w:rPr>
            </w:pPr>
            <w:r>
              <w:rPr>
                <w:rFonts w:ascii="Arial" w:cs="Arial" w:eastAsia="Arial" w:hAnsi="Arial"/>
                <w:sz w:val="18"/>
                <w:szCs w:val="18"/>
                <w:b w:val="1"/>
                <w:bCs w:val="1"/>
                <w:color w:val="auto"/>
                <w:w w:val="90"/>
              </w:rPr>
              <w:t>The Williams Capital Group, L.P.</w:t>
            </w:r>
          </w:p>
        </w:tc>
        <w:tc>
          <w:tcPr>
            <w:tcW w:w="0" w:type="dxa"/>
            <w:vAlign w:val="bottom"/>
          </w:tcPr>
          <w:p>
            <w:pPr>
              <w:spacing w:after="0"/>
              <w:rPr>
                <w:sz w:val="1"/>
                <w:szCs w:val="1"/>
                <w:color w:val="auto"/>
              </w:rPr>
            </w:pPr>
          </w:p>
        </w:tc>
      </w:tr>
      <w:tr>
        <w:trPr>
          <w:trHeight w:val="316"/>
        </w:trPr>
        <w:tc>
          <w:tcPr>
            <w:tcW w:w="11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Lebenthal &amp; Co., LLC</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3"/>
              </w:rPr>
              <w:t>Ramirez &amp; Co., Inc.</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960" w:type="dxa"/>
            <w:vAlign w:val="bottom"/>
          </w:tcPr>
          <w:p>
            <w:pPr>
              <w:jc w:val="center"/>
              <w:ind w:right="1350"/>
              <w:spacing w:after="0"/>
              <w:rPr>
                <w:sz w:val="20"/>
                <w:szCs w:val="20"/>
                <w:color w:val="auto"/>
              </w:rPr>
            </w:pPr>
            <w:r>
              <w:rPr>
                <w:rFonts w:ascii="Arial" w:cs="Arial" w:eastAsia="Arial" w:hAnsi="Arial"/>
                <w:sz w:val="14"/>
                <w:szCs w:val="14"/>
                <w:b w:val="1"/>
                <w:bCs w:val="1"/>
                <w:color w:val="auto"/>
                <w:w w:val="90"/>
              </w:rPr>
              <w:t>Drexel Hamilton</w:t>
            </w:r>
          </w:p>
        </w:tc>
        <w:tc>
          <w:tcPr>
            <w:tcW w:w="420" w:type="dxa"/>
            <w:vAlign w:val="bottom"/>
          </w:tcPr>
          <w:p>
            <w:pPr>
              <w:spacing w:after="0"/>
              <w:rPr>
                <w:sz w:val="21"/>
                <w:szCs w:val="21"/>
                <w:color w:val="auto"/>
              </w:rPr>
            </w:pPr>
          </w:p>
        </w:tc>
        <w:tc>
          <w:tcPr>
            <w:tcW w:w="3540" w:type="dxa"/>
            <w:vAlign w:val="bottom"/>
            <w:gridSpan w:val="2"/>
          </w:tcPr>
          <w:p>
            <w:pPr>
              <w:ind w:left="660"/>
              <w:spacing w:after="0"/>
              <w:rPr>
                <w:sz w:val="20"/>
                <w:szCs w:val="20"/>
                <w:color w:val="auto"/>
              </w:rPr>
            </w:pPr>
            <w:r>
              <w:rPr>
                <w:rFonts w:ascii="Arial" w:cs="Arial" w:eastAsia="Arial" w:hAnsi="Arial"/>
                <w:sz w:val="14"/>
                <w:szCs w:val="14"/>
                <w:b w:val="1"/>
                <w:bCs w:val="1"/>
                <w:color w:val="auto"/>
              </w:rPr>
              <w:t>MFR Securities, Inc.</w:t>
            </w:r>
          </w:p>
        </w:tc>
        <w:tc>
          <w:tcPr>
            <w:tcW w:w="32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Mischler Financial Group,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January 8, 2013.</w:t>
      </w:r>
    </w:p>
    <w:p>
      <w:pPr>
        <w:sectPr>
          <w:pgSz w:w="11900" w:h="16838" w:orient="portrait"/>
          <w:cols w:equalWidth="0" w:num="1">
            <w:col w:w="11400"/>
          </w:cols>
          <w:pgMar w:left="240" w:top="459"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380" w:type="dxa"/>
            <w:vAlign w:val="bottom"/>
            <w:tcBorders>
              <w:bottom w:val="single" w:sz="8" w:color="0000EE"/>
            </w:tcBorders>
            <w:gridSpan w:val="13"/>
            <w:vMerge w:val="continue"/>
          </w:tcPr>
          <w:p>
            <w:pPr>
              <w:spacing w:after="0"/>
              <w:rPr>
                <w:sz w:val="13"/>
                <w:szCs w:val="13"/>
                <w:color w:val="auto"/>
              </w:rPr>
            </w:pPr>
          </w:p>
        </w:tc>
        <w:tc>
          <w:tcPr>
            <w:tcW w:w="856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Caution Concerning Forward-Looking Statements</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Global Securities</w:t>
              </w:r>
            </w:hyperlink>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leading provider of entertainment, information and communication products and services. 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that we did not already own.</w:t>
      </w:r>
    </w:p>
    <w:p>
      <w:pPr>
        <w:spacing w:after="0" w:line="14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September 30, 2012, our cable systems served 22 million video customers, 19 million high-speed Internet customers and 9.8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w:t>
      </w:r>
    </w:p>
    <w:p>
      <w:pPr>
        <w:spacing w:after="0" w:line="11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NBCUniversal is a leading media and entertainment company that develops, produces and distributes entertainment, news and information, sports and other content for global audiences. 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11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143" w:lineRule="exact"/>
        <w:rPr>
          <w:sz w:val="20"/>
          <w:szCs w:val="20"/>
          <w:color w:val="auto"/>
        </w:rPr>
      </w:pPr>
    </w:p>
    <w:p>
      <w:pPr>
        <w:jc w:val="both"/>
        <w:ind w:left="200" w:right="320" w:firstLine="443"/>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13"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facilities management services, and Ovations Food Services, which provides food services for sporting events, concerts and other events.</w:t>
      </w:r>
    </w:p>
    <w:p>
      <w:pPr>
        <w:spacing w:after="0" w:line="140" w:lineRule="exact"/>
        <w:rPr>
          <w:sz w:val="20"/>
          <w:szCs w:val="20"/>
          <w:color w:val="auto"/>
        </w:rPr>
      </w:pPr>
    </w:p>
    <w:p>
      <w:pPr>
        <w:ind w:left="200" w:right="440" w:firstLine="443"/>
        <w:spacing w:after="0" w:line="268"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(“SEC”) incorporated by reference in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3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2637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20"/>
        <w:spacing w:after="0" w:line="268" w:lineRule="auto"/>
        <w:rPr>
          <w:sz w:val="20"/>
          <w:szCs w:val="20"/>
          <w:color w:val="auto"/>
        </w:rPr>
      </w:pPr>
      <w:r>
        <w:rPr>
          <w:rFonts w:ascii="Arial" w:cs="Arial" w:eastAsia="Arial" w:hAnsi="Arial"/>
          <w:sz w:val="18"/>
          <w:szCs w:val="18"/>
          <w:color w:val="auto"/>
        </w:rPr>
        <w:t>the accompanying prospectus. For instructions on how to find copies of these and our other filings incorporated by reference in the accompanying prospectus, see “Available Information” in the accompanying prospectus.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and Comcast MO of Delaware, LLC. In this prospectus supplement, we refer to these guarantors as the cable guarantors and to these guarantees as the cable guarantees.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43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$750,000,000 aggregate principal amount of 2.850% Notes due 2023.</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$1,700,000,000 aggregate principal amount of 4.250% Notes due 2033.</w:t>
            </w:r>
          </w:p>
        </w:tc>
      </w:tr>
      <w:tr>
        <w:trPr>
          <w:trHeight w:val="419"/>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$500,000,000 aggregate principal amount of 4.500% Notes due 2043.</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2023 will mature on January 15, 2023.</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2033 will mature on January 15, 2033.</w:t>
            </w:r>
          </w:p>
        </w:tc>
      </w:tr>
      <w:tr>
        <w:trPr>
          <w:trHeight w:val="419"/>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2043 will mature on January 15, 2043.</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 on the Notes due 2023 will accrue at the rate of 2.850% per year, payable semi-annually</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 cash in arrears on January 15 and July 15, beginning July 15, 2013. Interest on the Notes due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2033 will accrue at the rate of 4.250% per year, payable semi-annually in cash in arrears on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January 15 and July 15, beginning July 15, 2013. Interest on the Notes due 2043 will accrue at</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rate of 4.500% per year, payable semi-annually in cash in arrears on January 15 and July 15,</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beginning July 15, 2013.</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Inc. and Comcast MO of Delaware, LLC.</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29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   the Make-Whole Amount, as defined in “Description of the Notes—Optional Redemption”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9"/>
              </w:rPr>
              <w:t>to the redemption date. See “Description of the Notes—Optional Redemption” in this</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capital and general corporate purposes. See “Use of Proceeds” in this 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maintained by DTC or its nominee or indirectly through organizations that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use the proceeds from this offering, after deducting fees and expenses, for working capital and general corporate purposes.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gridSpan w:val="3"/>
            <w:vMerge w:val="restart"/>
          </w:tcPr>
          <w:p>
            <w:pPr>
              <w:jc w:val="center"/>
              <w:ind w:left="482"/>
              <w:spacing w:after="0"/>
              <w:rPr>
                <w:sz w:val="20"/>
                <w:szCs w:val="20"/>
                <w:color w:val="auto"/>
              </w:rPr>
            </w:pPr>
            <w:r>
              <w:rPr>
                <w:rFonts w:ascii="Arial" w:cs="Arial" w:eastAsia="Arial" w:hAnsi="Arial"/>
                <w:sz w:val="14"/>
                <w:szCs w:val="14"/>
                <w:b w:val="1"/>
                <w:bCs w:val="1"/>
                <w:color w:val="auto"/>
                <w:w w:val="83"/>
              </w:rPr>
              <w:t>2012</w:t>
            </w:r>
          </w:p>
        </w:tc>
        <w:tc>
          <w:tcPr>
            <w:tcW w:w="2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20" w:type="dxa"/>
            <w:vAlign w:val="bottom"/>
            <w:tcBorders>
              <w:bottom w:val="single" w:sz="8" w:color="CCEEFF"/>
            </w:tcBorders>
            <w:gridSpan w:val="3"/>
            <w:vMerge w:val="continue"/>
          </w:tcPr>
          <w:p>
            <w:pPr>
              <w:spacing w:after="0"/>
              <w:rPr>
                <w:sz w:val="11"/>
                <w:szCs w:val="11"/>
                <w:color w:val="auto"/>
              </w:rPr>
            </w:pPr>
          </w:p>
        </w:tc>
        <w:tc>
          <w:tcPr>
            <w:tcW w:w="720" w:type="dxa"/>
            <w:vAlign w:val="bottom"/>
            <w:tcBorders>
              <w:bottom w:val="single" w:sz="8" w:color="CCEEFF"/>
            </w:tcBorders>
            <w:gridSpan w:val="2"/>
          </w:tcPr>
          <w:p>
            <w:pPr>
              <w:spacing w:after="0"/>
              <w:rPr>
                <w:sz w:val="11"/>
                <w:szCs w:val="11"/>
                <w:color w:val="auto"/>
              </w:rPr>
            </w:pPr>
          </w:p>
        </w:tc>
        <w:tc>
          <w:tcPr>
            <w:tcW w:w="170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22"/>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582"/>
              <w:spacing w:after="0" w:line="129"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3"/>
        </w:trPr>
        <w:tc>
          <w:tcPr>
            <w:tcW w:w="8580" w:type="dxa"/>
            <w:vAlign w:val="bottom"/>
            <w:gridSpan w:val="13"/>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4.86x</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4.04x</w:t>
            </w:r>
          </w:p>
        </w:tc>
        <w:tc>
          <w:tcPr>
            <w:tcW w:w="1320" w:type="dxa"/>
            <w:vAlign w:val="bottom"/>
          </w:tcPr>
          <w:p>
            <w:pPr>
              <w:jc w:val="center"/>
              <w:ind w:left="302"/>
              <w:spacing w:after="0"/>
              <w:rPr>
                <w:sz w:val="20"/>
                <w:szCs w:val="20"/>
                <w:color w:val="auto"/>
              </w:rPr>
            </w:pPr>
            <w:r>
              <w:rPr>
                <w:rFonts w:ascii="Arial" w:cs="Arial" w:eastAsia="Arial" w:hAnsi="Arial"/>
                <w:sz w:val="18"/>
                <w:szCs w:val="18"/>
                <w:color w:val="auto"/>
                <w:w w:val="86"/>
              </w:rPr>
              <w:t>3.57x</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3.01x</w:t>
            </w: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2.49x</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2.73x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offering $750,000,000 aggregate principal amount of our 2.850% Notes due 2023, $1,700,000,000 aggregate principal amount of our 4.250% Notes due 2033, and $500,000,000 aggregate principal amount of our 4.500% Notes due 2043. The Notes due 2023, Notes due 2033, and Notes due 2043 will each be a separate series of securities issued under an 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$2,950,000,000, comprised as follows:</w:t>
      </w:r>
    </w:p>
    <w:p>
      <w:pPr>
        <w:spacing w:after="0" w:line="90" w:lineRule="exact"/>
        <w:rPr>
          <w:rFonts w:ascii="Arial" w:cs="Arial" w:eastAsia="Arial" w:hAnsi="Arial"/>
          <w:sz w:val="18"/>
          <w:szCs w:val="18"/>
          <w:color w:val="auto"/>
        </w:rPr>
      </w:pPr>
    </w:p>
    <w:p>
      <w:pPr>
        <w:ind w:left="1480" w:right="760" w:hanging="446"/>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$750,000,000 initial aggregate principal amount of 2.850% Notes due 2023, maturing on January 15, 2023, with interest payable semiannually on each January 15 and July 15, beginning July 15, 2013, to holders of record on the preceding January 1 and July 1;</w:t>
      </w:r>
    </w:p>
    <w:p>
      <w:pPr>
        <w:jc w:val="both"/>
        <w:ind w:left="1480" w:right="760" w:hanging="446"/>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$1,700,000,000 initial aggregate principal amount of 4.250% Notes due 2033, maturing on January 15, 2033, with interest payable semiannually on each January 15 and July 15, beginning July 15, 2013, to holders of record on the preceding January 1 and July 1;</w:t>
      </w:r>
    </w:p>
    <w:p>
      <w:pPr>
        <w:ind w:left="1480" w:right="460" w:hanging="446"/>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$500,000,000 initial aggregate principal amount of 4.500% Notes due 2043, maturing on January 15, 2043, with interest payable semiannually on each January 15 and July 15, beginning July 15, 2013, to holders of record on the preceding January 1 and July 1; and</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January 14, 2013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15 basis points for the Notes due 2023 (the “2023 Make-Whole Amount”), 20 basis points for the Notes due 2033 (the “2033 Make-Whole Amount”), and 25 basis points for the Notes due 2043 (the “2043 Make-Whole Amount” and, each of the 2023 Make-Whole Amount, 2033 Make-Whole Amount, and 2043 Make-Whole Amount, a “Make-Whole Amount”), plus, in each case, accrued and unpaid interest thereon to the date of redemption.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means each of Barclays Capital Inc., Goldman, Sachs &amp; Co., RBS Securities Inc., Deutsche Bank Securities Inc. and UBS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legislation,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legislation,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Provisions commonly referred to as “FATCA” generally impose withholding of 30% on payments of U.S.-source interest and the gross proceeds from the sale, redemption or other disposition of notes to certain non-U.S. entities unless various U.S. information reporting and due diligence requirements (generally relating to ownership by U.S. persons of interests in or accounts with those entities) have been satisfied or an exemption applies. Under current guidance, withholding taxes under FATCA will be imposed on interest beginning on January 1, 2014 and on gross proceeds from dispositions beginning on January 1, 2017. Prospective investors should consult their tax advisors regarding the effects of FATCA on their investment in the notes and their potential ability to obtain a refund of any FATCA withholding.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Underwriter</w:t>
            </w:r>
          </w:p>
        </w:tc>
        <w:tc>
          <w:tcPr>
            <w:tcW w:w="2820" w:type="dxa"/>
            <w:vAlign w:val="bottom"/>
            <w:vMerge w:val="restart"/>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Principal Amount</w:t>
            </w:r>
          </w:p>
        </w:tc>
        <w:tc>
          <w:tcPr>
            <w:tcW w:w="5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Principal Amount</w:t>
            </w:r>
          </w:p>
        </w:tc>
        <w:tc>
          <w:tcPr>
            <w:tcW w:w="5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1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6"/>
              </w:rPr>
              <w:t>of Notes due 2023</w:t>
            </w:r>
          </w:p>
        </w:tc>
        <w:tc>
          <w:tcPr>
            <w:tcW w:w="500" w:type="dxa"/>
            <w:vAlign w:val="bottom"/>
          </w:tcPr>
          <w:p>
            <w:pPr>
              <w:spacing w:after="0"/>
              <w:rPr>
                <w:sz w:val="14"/>
                <w:szCs w:val="14"/>
                <w:color w:val="auto"/>
              </w:rPr>
            </w:pPr>
          </w:p>
        </w:tc>
        <w:tc>
          <w:tcPr>
            <w:tcW w:w="11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0"/>
              </w:rPr>
              <w:t>of Notes due 2033</w:t>
            </w:r>
          </w:p>
        </w:tc>
        <w:tc>
          <w:tcPr>
            <w:tcW w:w="520" w:type="dxa"/>
            <w:vAlign w:val="bottom"/>
          </w:tcPr>
          <w:p>
            <w:pPr>
              <w:spacing w:after="0"/>
              <w:rPr>
                <w:sz w:val="14"/>
                <w:szCs w:val="14"/>
                <w:color w:val="auto"/>
              </w:rPr>
            </w:pPr>
          </w:p>
        </w:tc>
        <w:tc>
          <w:tcPr>
            <w:tcW w:w="12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w w:val="96"/>
              </w:rPr>
              <w:t>of Notes due 2043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99,675,000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225,930,000</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66,450,000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Goldman, Sachs &amp; Co.</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99,675,000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225,930,000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66,450,000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99,675,000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66,450,000</w:t>
            </w: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99,675,000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225,930,000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66,450,000</w:t>
            </w:r>
          </w:p>
        </w:tc>
        <w:tc>
          <w:tcPr>
            <w:tcW w:w="0" w:type="dxa"/>
            <w:vAlign w:val="bottom"/>
          </w:tcPr>
          <w:p>
            <w:pPr>
              <w:spacing w:after="0"/>
              <w:rPr>
                <w:sz w:val="1"/>
                <w:szCs w:val="1"/>
                <w:color w:val="auto"/>
              </w:rPr>
            </w:pPr>
          </w:p>
        </w:tc>
      </w:tr>
      <w:tr>
        <w:trPr>
          <w:trHeight w:val="218"/>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99,675,000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Lloyds Securities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Mizuho Securities USA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RBC Capital Markets, LLC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SMBC Nikko Capital Markets Limited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SunTrust Robinson Humphrey,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Santander Investment Securities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Arial" w:cs="Arial" w:eastAsia="Arial" w:hAnsi="Arial"/>
                <w:sz w:val="18"/>
                <w:szCs w:val="18"/>
                <w:color w:val="auto"/>
              </w:rPr>
              <w:t>Allen &amp; Company LLC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17,000,000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2"/>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Gleacher &amp; Company Securities, Inc.</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Arial" w:cs="Arial" w:eastAsia="Arial" w:hAnsi="Arial"/>
                <w:sz w:val="18"/>
                <w:szCs w:val="18"/>
                <w:color w:val="auto"/>
              </w:rPr>
              <w:t>DNB Markets, Inc.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4,875,000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11,050,000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3,250,000</w:t>
            </w:r>
          </w:p>
        </w:tc>
        <w:tc>
          <w:tcPr>
            <w:tcW w:w="0" w:type="dxa"/>
            <w:vAlign w:val="bottom"/>
          </w:tcPr>
          <w:p>
            <w:pPr>
              <w:spacing w:after="0"/>
              <w:rPr>
                <w:sz w:val="1"/>
                <w:szCs w:val="1"/>
                <w:color w:val="auto"/>
              </w:rPr>
            </w:pPr>
          </w:p>
        </w:tc>
      </w:tr>
      <w:tr>
        <w:trPr>
          <w:trHeight w:val="232"/>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3,250,000</w:t>
            </w: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4,875,000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11,050,000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3,250,000</w:t>
            </w:r>
          </w:p>
        </w:tc>
        <w:tc>
          <w:tcPr>
            <w:tcW w:w="0" w:type="dxa"/>
            <w:vAlign w:val="bottom"/>
          </w:tcPr>
          <w:p>
            <w:pPr>
              <w:spacing w:after="0"/>
              <w:rPr>
                <w:sz w:val="1"/>
                <w:szCs w:val="1"/>
                <w:color w:val="auto"/>
              </w:rPr>
            </w:pPr>
          </w:p>
        </w:tc>
      </w:tr>
      <w:tr>
        <w:trPr>
          <w:trHeight w:val="218"/>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The Williams Capital Group, L.P.</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28"/>
        </w:trPr>
        <w:tc>
          <w:tcPr>
            <w:tcW w:w="5980" w:type="dxa"/>
            <w:vAlign w:val="bottom"/>
            <w:gridSpan w:val="3"/>
          </w:tcPr>
          <w:p>
            <w:pPr>
              <w:spacing w:after="0"/>
              <w:rPr>
                <w:sz w:val="20"/>
                <w:szCs w:val="20"/>
                <w:color w:val="auto"/>
              </w:rPr>
            </w:pPr>
            <w:r>
              <w:rPr>
                <w:rFonts w:ascii="Arial" w:cs="Arial" w:eastAsia="Arial" w:hAnsi="Arial"/>
                <w:sz w:val="18"/>
                <w:szCs w:val="18"/>
                <w:color w:val="auto"/>
              </w:rPr>
              <w:t>Samuel A. Ramirez &amp; Company, Inc.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2,250,000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5,100,000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8"/>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MFR Securities,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Mischler Financial Group, Inc.</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5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750,000,000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1,700,000,000</w:t>
            </w: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January 14, 2013,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T+4,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0.300%, 0.400%, and 0.500% of the principal amount of the Notes due 2023, Notes due 2033, and Notes due 2043, respectively. The underwriters may allow, and the dealers may reallow, a discount not in excess of 0.250%, 0.250%, and 0.250% of the principal amount of the Notes due 2023, Notes due 2033, and Notes due 2043, respectively, to other dealers. After the initial public offering, the public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$675,000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neither we nor any of the underwriters makes any representation that the underwriters will engage in these transactions or that these transactions, once commenced, will not be discontinued without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General Counsel and Secretary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supplement by reference from the Company’s Annual Report on Form 10-K for the year ended December 31, 2011,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349250</wp:posOffset>
            </wp:positionV>
            <wp:extent cx="1397635"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Unsecured senior debt securities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Unsecured subordinated debt securities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Warrants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Purchase contracts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Units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Preferred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Depositary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Class A Special common stock</w:t>
      </w:r>
    </w:p>
    <w:p>
      <w:pPr>
        <w:spacing w:after="0" w:line="415"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February 23, 2012, the reported last sale prices on the Nasdaq Global Select Market for our Class A common stock and our Class A Special common stock were $29.81 and $28.88,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Maturity</w:t>
            </w:r>
          </w:p>
        </w:tc>
        <w:tc>
          <w:tcPr>
            <w:tcW w:w="3720" w:type="dxa"/>
            <w:vAlign w:val="bottom"/>
          </w:tcPr>
          <w:p>
            <w:pPr>
              <w:ind w:left="600"/>
              <w:spacing w:after="0"/>
              <w:rPr>
                <w:sz w:val="20"/>
                <w:szCs w:val="20"/>
                <w:color w:val="auto"/>
              </w:rPr>
            </w:pPr>
            <w:r>
              <w:rPr>
                <w:rFonts w:ascii="Arial" w:cs="Arial" w:eastAsia="Arial" w:hAnsi="Arial"/>
                <w:sz w:val="18"/>
                <w:szCs w:val="18"/>
                <w:color w:val="auto"/>
              </w:rPr>
              <w:t>• Dividends</w:t>
            </w:r>
          </w:p>
        </w:tc>
        <w:tc>
          <w:tcPr>
            <w:tcW w:w="3000" w:type="dxa"/>
            <w:vAlign w:val="bottom"/>
          </w:tcPr>
          <w:p>
            <w:pPr>
              <w:ind w:left="760"/>
              <w:spacing w:after="0"/>
              <w:rPr>
                <w:sz w:val="20"/>
                <w:szCs w:val="20"/>
                <w:color w:val="auto"/>
              </w:rPr>
            </w:pPr>
            <w:r>
              <w:rPr>
                <w:rFonts w:ascii="Arial" w:cs="Arial" w:eastAsia="Arial" w:hAnsi="Arial"/>
                <w:sz w:val="18"/>
                <w:szCs w:val="18"/>
                <w:color w:val="auto"/>
                <w:w w:val="86"/>
              </w:rPr>
              <w:t>• Conversion or exchange rights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Interest rate</w:t>
            </w:r>
          </w:p>
        </w:tc>
        <w:tc>
          <w:tcPr>
            <w:tcW w:w="3720" w:type="dxa"/>
            <w:vAlign w:val="bottom"/>
          </w:tcPr>
          <w:p>
            <w:pPr>
              <w:ind w:left="600"/>
              <w:spacing w:after="0"/>
              <w:rPr>
                <w:sz w:val="20"/>
                <w:szCs w:val="20"/>
                <w:color w:val="auto"/>
              </w:rPr>
            </w:pPr>
            <w:r>
              <w:rPr>
                <w:rFonts w:ascii="Arial" w:cs="Arial" w:eastAsia="Arial" w:hAnsi="Arial"/>
                <w:sz w:val="18"/>
                <w:szCs w:val="18"/>
                <w:color w:val="auto"/>
              </w:rPr>
              <w:t>• Redemption terms</w:t>
            </w:r>
          </w:p>
        </w:tc>
        <w:tc>
          <w:tcPr>
            <w:tcW w:w="3000" w:type="dxa"/>
            <w:vAlign w:val="bottom"/>
          </w:tcPr>
          <w:p>
            <w:pPr>
              <w:ind w:left="760"/>
              <w:spacing w:after="0"/>
              <w:rPr>
                <w:sz w:val="20"/>
                <w:szCs w:val="20"/>
                <w:color w:val="auto"/>
              </w:rPr>
            </w:pPr>
            <w:r>
              <w:rPr>
                <w:rFonts w:ascii="Arial" w:cs="Arial" w:eastAsia="Arial" w:hAnsi="Arial"/>
                <w:sz w:val="18"/>
                <w:szCs w:val="18"/>
                <w:color w:val="auto"/>
              </w:rPr>
              <w:t>• Liquidation amount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Sinking fund terms</w:t>
            </w:r>
          </w:p>
        </w:tc>
        <w:tc>
          <w:tcPr>
            <w:tcW w:w="3720" w:type="dxa"/>
            <w:vAlign w:val="bottom"/>
          </w:tcPr>
          <w:p>
            <w:pPr>
              <w:ind w:left="600"/>
              <w:spacing w:after="0"/>
              <w:rPr>
                <w:sz w:val="20"/>
                <w:szCs w:val="20"/>
                <w:color w:val="auto"/>
              </w:rPr>
            </w:pPr>
            <w:r>
              <w:rPr>
                <w:rFonts w:ascii="Arial" w:cs="Arial" w:eastAsia="Arial" w:hAnsi="Arial"/>
                <w:sz w:val="18"/>
                <w:szCs w:val="18"/>
                <w:color w:val="auto"/>
              </w:rPr>
              <w:t>• Listing on a securities exchange</w:t>
            </w:r>
          </w:p>
        </w:tc>
        <w:tc>
          <w:tcPr>
            <w:tcW w:w="3000" w:type="dxa"/>
            <w:vAlign w:val="bottom"/>
          </w:tcPr>
          <w:p>
            <w:pPr>
              <w:ind w:left="760"/>
              <w:spacing w:after="0"/>
              <w:rPr>
                <w:sz w:val="20"/>
                <w:szCs w:val="20"/>
                <w:color w:val="auto"/>
              </w:rPr>
            </w:pPr>
            <w:r>
              <w:rPr>
                <w:rFonts w:ascii="Arial" w:cs="Arial" w:eastAsia="Arial" w:hAnsi="Arial"/>
                <w:sz w:val="18"/>
                <w:szCs w:val="18"/>
                <w:color w:val="auto"/>
              </w:rPr>
              <w:t>• Subsidiary guarantees</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tcPr>
          <w:p>
            <w:pPr>
              <w:ind w:left="600"/>
              <w:spacing w:after="0"/>
              <w:rPr>
                <w:sz w:val="20"/>
                <w:szCs w:val="20"/>
                <w:color w:val="auto"/>
              </w:rPr>
            </w:pPr>
            <w:r>
              <w:rPr>
                <w:rFonts w:ascii="Arial" w:cs="Arial" w:eastAsia="Arial" w:hAnsi="Arial"/>
                <w:sz w:val="18"/>
                <w:szCs w:val="18"/>
                <w:color w:val="auto"/>
              </w:rPr>
              <w:t>• Amount payable at maturity</w:t>
            </w: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28 of our annual report on Form 10-K for the year ended December 31, 2011,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24, 2012</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Caution Concerning Forward-Looking Statements</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 and Cable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Global Securities</w:t>
              </w:r>
            </w:hyperlink>
          </w:p>
        </w:tc>
        <w:tc>
          <w:tcPr>
            <w:tcW w:w="73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following the closing of our transaction on January 28, 2011, as “we,” “us,” “our” or comparable terms and to Comcast Holdings Corporation as “Comcast Holdings.” We refer to Comcast Cable Communications, LLC as “Comcast Cable,”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in which we acquired a 51% controlling interest in the businesses of NBC Universal, Inc. (now named NBCUniversal Media, LLC (“NBCUniversal”)). As a result of the NBCUniversal transaction, we report our operations as the following five reportable business segments:</w:t>
      </w:r>
    </w:p>
    <w:p>
      <w:pPr>
        <w:spacing w:after="0" w:line="11" w:lineRule="exact"/>
        <w:rPr>
          <w:sz w:val="20"/>
          <w:szCs w:val="20"/>
          <w:color w:val="auto"/>
        </w:rPr>
      </w:pPr>
    </w:p>
    <w:p>
      <w:pPr>
        <w:ind w:left="900" w:right="16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(formerly our Cable segment): Provides video, high-speed Internet and voice services (“cable services”) to residential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customers in 39 states and the District of Columbia.</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other business interests are included in Corporate and Other and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Holdings, Comcast MO Group and Comcast MO of Delaware. In this prospectus, we refer to these guarantors as the cable guarantors and to these guarantees as the cable guarantees. We have numerous other subsidiaries, including Comcast Holdings and NBCUniversal, and their respective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this prospectus and in the documents we incorporate by reference,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2011 incorporated herein by reference. Actual events or our actual results may differ materially from any of our forward-looking statements. We undertake no obligation to update any forward-looking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6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$0.65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bottom w:val="single" w:sz="8" w:color="auto"/>
            </w:tcBorders>
          </w:tcPr>
          <w:p>
            <w:pPr>
              <w:jc w:val="right"/>
              <w:ind w:right="1019"/>
              <w:spacing w:after="0" w:line="156" w:lineRule="exact"/>
              <w:rPr>
                <w:sz w:val="20"/>
                <w:szCs w:val="20"/>
                <w:color w:val="auto"/>
              </w:rPr>
            </w:pPr>
            <w:r>
              <w:rPr>
                <w:rFonts w:ascii="Arial" w:cs="Arial" w:eastAsia="Arial" w:hAnsi="Arial"/>
                <w:sz w:val="14"/>
                <w:szCs w:val="14"/>
                <w:b w:val="1"/>
                <w:bCs w:val="1"/>
                <w:color w:val="auto"/>
              </w:rPr>
              <w:t>2011</w:t>
            </w:r>
          </w:p>
        </w:tc>
        <w:tc>
          <w:tcPr>
            <w:tcW w:w="238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2010</w:t>
            </w: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2009</w:t>
            </w:r>
          </w:p>
        </w:tc>
        <w:tc>
          <w:tcPr>
            <w:tcW w:w="226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2008</w:t>
            </w:r>
          </w:p>
        </w:tc>
        <w:tc>
          <w:tcPr>
            <w:tcW w:w="2060" w:type="dxa"/>
            <w:vAlign w:val="bottom"/>
            <w:tcBorders>
              <w:top w:val="single" w:sz="8" w:color="auto"/>
              <w:bottom w:val="single" w:sz="8" w:color="auto"/>
            </w:tcBorders>
          </w:tcPr>
          <w:p>
            <w:pPr>
              <w:jc w:val="right"/>
              <w:ind w:right="762"/>
              <w:spacing w:after="0" w:line="156"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Ratio of earnings to fixed charges and ratio of earnings to combined fixed charges and preferred dividends:</w:t>
            </w: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4.04x</w:t>
            </w:r>
          </w:p>
        </w:tc>
        <w:tc>
          <w:tcPr>
            <w:tcW w:w="2380" w:type="dxa"/>
            <w:vAlign w:val="bottom"/>
          </w:tcPr>
          <w:p>
            <w:pPr>
              <w:jc w:val="center"/>
              <w:ind w:left="22"/>
              <w:spacing w:after="0"/>
              <w:rPr>
                <w:sz w:val="20"/>
                <w:szCs w:val="20"/>
                <w:color w:val="auto"/>
              </w:rPr>
            </w:pPr>
            <w:r>
              <w:rPr>
                <w:rFonts w:ascii="Arial" w:cs="Arial" w:eastAsia="Arial" w:hAnsi="Arial"/>
                <w:sz w:val="18"/>
                <w:szCs w:val="18"/>
                <w:color w:val="auto"/>
                <w:w w:val="90"/>
              </w:rPr>
              <w:t>3.57x</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3.01x</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2.73x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17"/>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supplemental indentures dated March 25, 2003 and August 31, 2009, entered into among us, the cable guarantors and The Bank of New York Mellon, formerly known as The Bank of New York, as trustee; and</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 including Comcast Holdings and NBCUniversal, and their respective subsidiaries.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as amended,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Holdings, Comcast MO Group and Comcast MO of Delaware, in each case excluding such entity’s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$0.65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As of December 31, 2011,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2011,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The Class B common stock is convertible on a share-for-share basis into Class A common stock or Class A Special common stock. As of January 31, 2012, if Mr. Roberts were to convert the Class B common stock he beneficially owns into Class A common stock, Mr. Roberts would beneficially own 15,492,431 shares of Class A common stock, which is less than 1% of the Class A common stock that would be outstanding after the conversion.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description of the material terms of a rights agreement, as amended, with respect to a shareholder rights plan is qualified by reference to the terms of the rights agreement and amendment, which are included as exhibits to the registration statement of which this prospectus is a part.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A total of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2011 annual meeting of stockholders incorporated by reference in the Annual Report on Form 10-K for the year ended December 31, 2010.</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994410</wp:posOffset>
            </wp:positionV>
            <wp:extent cx="1397635" cy="488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$750,000,000 2.850% Notes due 2023</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$1,700,000,000 4.250% Notes due 2033</w:t>
      </w:r>
    </w:p>
    <w:p>
      <w:pPr>
        <w:jc w:val="center"/>
        <w:ind w:right="-159"/>
        <w:spacing w:after="0"/>
        <w:rPr>
          <w:sz w:val="20"/>
          <w:szCs w:val="20"/>
          <w:color w:val="auto"/>
        </w:rPr>
      </w:pPr>
      <w:r>
        <w:rPr>
          <w:rFonts w:ascii="Arial" w:cs="Arial" w:eastAsia="Arial" w:hAnsi="Arial"/>
          <w:sz w:val="32"/>
          <w:szCs w:val="32"/>
          <w:b w:val="1"/>
          <w:bCs w:val="1"/>
          <w:color w:val="auto"/>
        </w:rPr>
        <w:t>$500,000,000 4.500%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644525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3960" w:type="dxa"/>
            <w:vAlign w:val="bottom"/>
            <w:gridSpan w:val="3"/>
          </w:tcPr>
          <w:p>
            <w:pPr>
              <w:ind w:left="280"/>
              <w:spacing w:after="0"/>
              <w:rPr>
                <w:sz w:val="20"/>
                <w:szCs w:val="20"/>
                <w:color w:val="auto"/>
              </w:rPr>
            </w:pPr>
            <w:r>
              <w:rPr>
                <w:rFonts w:ascii="Arial" w:cs="Arial" w:eastAsia="Arial" w:hAnsi="Arial"/>
                <w:sz w:val="22"/>
                <w:szCs w:val="22"/>
                <w:i w:val="1"/>
                <w:iCs w:val="1"/>
                <w:color w:val="auto"/>
              </w:rPr>
              <w:t>Joint Book-Running Managers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0"/>
                <w:szCs w:val="20"/>
                <w:color w:val="auto"/>
              </w:rPr>
            </w:pPr>
            <w:r>
              <w:rPr>
                <w:rFonts w:ascii="Arial" w:cs="Arial" w:eastAsia="Arial" w:hAnsi="Arial"/>
                <w:sz w:val="24"/>
                <w:szCs w:val="24"/>
                <w:b w:val="1"/>
                <w:bCs w:val="1"/>
                <w:color w:val="auto"/>
              </w:rPr>
              <w:t>Barclays</w:t>
            </w:r>
          </w:p>
        </w:tc>
        <w:tc>
          <w:tcPr>
            <w:tcW w:w="2960" w:type="dxa"/>
            <w:vAlign w:val="bottom"/>
          </w:tcPr>
          <w:p>
            <w:pPr>
              <w:jc w:val="center"/>
              <w:ind w:left="310"/>
              <w:spacing w:after="0"/>
              <w:rPr>
                <w:sz w:val="20"/>
                <w:szCs w:val="20"/>
                <w:color w:val="auto"/>
              </w:rPr>
            </w:pPr>
            <w:r>
              <w:rPr>
                <w:rFonts w:ascii="Arial" w:cs="Arial" w:eastAsia="Arial" w:hAnsi="Arial"/>
                <w:sz w:val="24"/>
                <w:szCs w:val="24"/>
                <w:b w:val="1"/>
                <w:bCs w:val="1"/>
                <w:color w:val="auto"/>
                <w:w w:val="91"/>
              </w:rPr>
              <w:t>Goldman, Sachs &amp; Co.</w:t>
            </w:r>
          </w:p>
        </w:tc>
        <w:tc>
          <w:tcPr>
            <w:tcW w:w="420" w:type="dxa"/>
            <w:vAlign w:val="bottom"/>
          </w:tcPr>
          <w:p>
            <w:pPr>
              <w:spacing w:after="0"/>
              <w:rPr>
                <w:sz w:val="24"/>
                <w:szCs w:val="24"/>
                <w:color w:val="auto"/>
              </w:rPr>
            </w:pPr>
          </w:p>
        </w:tc>
        <w:tc>
          <w:tcPr>
            <w:tcW w:w="3540" w:type="dxa"/>
            <w:vAlign w:val="bottom"/>
            <w:gridSpan w:val="2"/>
          </w:tcPr>
          <w:p>
            <w:pPr>
              <w:ind w:left="260"/>
              <w:spacing w:after="0"/>
              <w:rPr>
                <w:sz w:val="20"/>
                <w:szCs w:val="20"/>
                <w:color w:val="auto"/>
              </w:rPr>
            </w:pPr>
            <w:r>
              <w:rPr>
                <w:rFonts w:ascii="Arial" w:cs="Arial" w:eastAsia="Arial" w:hAnsi="Arial"/>
                <w:sz w:val="24"/>
                <w:szCs w:val="24"/>
                <w:b w:val="1"/>
                <w:bCs w:val="1"/>
                <w:color w:val="auto"/>
                <w:w w:val="92"/>
              </w:rPr>
              <w:t>RBS Deutsche Bank Securities</w:t>
            </w:r>
          </w:p>
        </w:tc>
        <w:tc>
          <w:tcPr>
            <w:tcW w:w="3200" w:type="dxa"/>
            <w:vAlign w:val="bottom"/>
          </w:tcPr>
          <w:p>
            <w:pPr>
              <w:ind w:left="880"/>
              <w:spacing w:after="0"/>
              <w:rPr>
                <w:sz w:val="20"/>
                <w:szCs w:val="20"/>
                <w:color w:val="auto"/>
              </w:rPr>
            </w:pPr>
            <w:r>
              <w:rPr>
                <w:rFonts w:ascii="Arial" w:cs="Arial" w:eastAsia="Arial" w:hAnsi="Arial"/>
                <w:sz w:val="24"/>
                <w:szCs w:val="24"/>
                <w:b w:val="1"/>
                <w:bCs w:val="1"/>
                <w:color w:val="auto"/>
                <w:w w:val="92"/>
              </w:rPr>
              <w:t>UBS Investment Bank</w:t>
            </w: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4100" w:type="dxa"/>
            <w:vAlign w:val="bottom"/>
            <w:gridSpan w:val="2"/>
          </w:tcPr>
          <w:p>
            <w:pPr>
              <w:jc w:val="center"/>
              <w:ind w:right="1030"/>
              <w:spacing w:after="0"/>
              <w:rPr>
                <w:sz w:val="20"/>
                <w:szCs w:val="20"/>
                <w:color w:val="auto"/>
              </w:rPr>
            </w:pPr>
            <w:r>
              <w:rPr>
                <w:rFonts w:ascii="Arial" w:cs="Arial" w:eastAsia="Arial" w:hAnsi="Arial"/>
                <w:sz w:val="22"/>
                <w:szCs w:val="22"/>
                <w:b w:val="1"/>
                <w:bCs w:val="1"/>
                <w:color w:val="auto"/>
                <w:w w:val="93"/>
              </w:rPr>
              <w:t>BofA Merrill Lynch</w:t>
            </w:r>
          </w:p>
        </w:tc>
        <w:tc>
          <w:tcPr>
            <w:tcW w:w="420" w:type="dxa"/>
            <w:vAlign w:val="bottom"/>
          </w:tcPr>
          <w:p>
            <w:pPr>
              <w:spacing w:after="0"/>
              <w:rPr>
                <w:sz w:val="24"/>
                <w:szCs w:val="24"/>
                <w:color w:val="auto"/>
              </w:rPr>
            </w:pPr>
          </w:p>
        </w:tc>
        <w:tc>
          <w:tcPr>
            <w:tcW w:w="3540" w:type="dxa"/>
            <w:vAlign w:val="bottom"/>
            <w:gridSpan w:val="2"/>
          </w:tcPr>
          <w:p>
            <w:pPr>
              <w:jc w:val="center"/>
              <w:ind w:right="1272"/>
              <w:spacing w:after="0"/>
              <w:rPr>
                <w:sz w:val="20"/>
                <w:szCs w:val="20"/>
                <w:color w:val="auto"/>
              </w:rPr>
            </w:pPr>
            <w:r>
              <w:rPr>
                <w:rFonts w:ascii="Arial" w:cs="Arial" w:eastAsia="Arial" w:hAnsi="Arial"/>
                <w:sz w:val="22"/>
                <w:szCs w:val="22"/>
                <w:b w:val="1"/>
                <w:bCs w:val="1"/>
                <w:color w:val="auto"/>
                <w:w w:val="93"/>
              </w:rPr>
              <w:t>BNP PARIBAS</w:t>
            </w:r>
          </w:p>
        </w:tc>
        <w:tc>
          <w:tcPr>
            <w:tcW w:w="3200" w:type="dxa"/>
            <w:vAlign w:val="bottom"/>
          </w:tcPr>
          <w:p>
            <w:pPr>
              <w:jc w:val="center"/>
              <w:ind w:left="240"/>
              <w:spacing w:after="0"/>
              <w:rPr>
                <w:sz w:val="20"/>
                <w:szCs w:val="20"/>
                <w:color w:val="auto"/>
              </w:rPr>
            </w:pPr>
            <w:r>
              <w:rPr>
                <w:rFonts w:ascii="Arial" w:cs="Arial" w:eastAsia="Arial" w:hAnsi="Arial"/>
                <w:sz w:val="22"/>
                <w:szCs w:val="22"/>
                <w:b w:val="1"/>
                <w:bCs w:val="1"/>
                <w:color w:val="auto"/>
                <w:w w:val="92"/>
              </w:rPr>
              <w:t>Citigroup</w:t>
            </w:r>
          </w:p>
        </w:tc>
        <w:tc>
          <w:tcPr>
            <w:tcW w:w="0" w:type="dxa"/>
            <w:vAlign w:val="bottom"/>
          </w:tcPr>
          <w:p>
            <w:pPr>
              <w:spacing w:after="0"/>
              <w:rPr>
                <w:sz w:val="1"/>
                <w:szCs w:val="1"/>
                <w:color w:val="auto"/>
              </w:rPr>
            </w:pPr>
          </w:p>
        </w:tc>
      </w:tr>
      <w:tr>
        <w:trPr>
          <w:trHeight w:val="243"/>
        </w:trPr>
        <w:tc>
          <w:tcPr>
            <w:tcW w:w="4100" w:type="dxa"/>
            <w:vAlign w:val="bottom"/>
            <w:gridSpan w:val="2"/>
          </w:tcPr>
          <w:p>
            <w:pPr>
              <w:jc w:val="center"/>
              <w:ind w:right="1030"/>
              <w:spacing w:after="0" w:line="243" w:lineRule="exact"/>
              <w:rPr>
                <w:sz w:val="20"/>
                <w:szCs w:val="20"/>
                <w:color w:val="auto"/>
              </w:rPr>
            </w:pPr>
            <w:r>
              <w:rPr>
                <w:rFonts w:ascii="Arial" w:cs="Arial" w:eastAsia="Arial" w:hAnsi="Arial"/>
                <w:sz w:val="22"/>
                <w:szCs w:val="22"/>
                <w:b w:val="1"/>
                <w:bCs w:val="1"/>
                <w:color w:val="auto"/>
                <w:w w:val="86"/>
              </w:rPr>
              <w:t>Credit Suisse</w:t>
            </w:r>
          </w:p>
        </w:tc>
        <w:tc>
          <w:tcPr>
            <w:tcW w:w="420" w:type="dxa"/>
            <w:vAlign w:val="bottom"/>
          </w:tcPr>
          <w:p>
            <w:pPr>
              <w:spacing w:after="0"/>
              <w:rPr>
                <w:sz w:val="21"/>
                <w:szCs w:val="21"/>
                <w:color w:val="auto"/>
              </w:rPr>
            </w:pPr>
          </w:p>
        </w:tc>
        <w:tc>
          <w:tcPr>
            <w:tcW w:w="3540" w:type="dxa"/>
            <w:vAlign w:val="bottom"/>
            <w:gridSpan w:val="2"/>
          </w:tcPr>
          <w:p>
            <w:pPr>
              <w:jc w:val="center"/>
              <w:ind w:right="1272"/>
              <w:spacing w:after="0" w:line="243" w:lineRule="exact"/>
              <w:rPr>
                <w:sz w:val="20"/>
                <w:szCs w:val="20"/>
                <w:color w:val="auto"/>
              </w:rPr>
            </w:pPr>
            <w:r>
              <w:rPr>
                <w:rFonts w:ascii="Arial" w:cs="Arial" w:eastAsia="Arial" w:hAnsi="Arial"/>
                <w:sz w:val="22"/>
                <w:szCs w:val="22"/>
                <w:b w:val="1"/>
                <w:bCs w:val="1"/>
                <w:color w:val="auto"/>
                <w:w w:val="91"/>
              </w:rPr>
              <w:t>J.P. Morgan</w:t>
            </w:r>
          </w:p>
        </w:tc>
        <w:tc>
          <w:tcPr>
            <w:tcW w:w="3200" w:type="dxa"/>
            <w:vAlign w:val="bottom"/>
          </w:tcPr>
          <w:p>
            <w:pPr>
              <w:jc w:val="center"/>
              <w:ind w:left="240"/>
              <w:spacing w:after="0" w:line="243" w:lineRule="exact"/>
              <w:rPr>
                <w:sz w:val="20"/>
                <w:szCs w:val="20"/>
                <w:color w:val="auto"/>
              </w:rPr>
            </w:pPr>
            <w:r>
              <w:rPr>
                <w:rFonts w:ascii="Arial" w:cs="Arial" w:eastAsia="Arial" w:hAnsi="Arial"/>
                <w:sz w:val="22"/>
                <w:szCs w:val="22"/>
                <w:b w:val="1"/>
                <w:bCs w:val="1"/>
                <w:color w:val="auto"/>
                <w:w w:val="86"/>
              </w:rPr>
              <w:t>Lloyds Securities</w:t>
            </w:r>
          </w:p>
        </w:tc>
        <w:tc>
          <w:tcPr>
            <w:tcW w:w="0" w:type="dxa"/>
            <w:vAlign w:val="bottom"/>
          </w:tcPr>
          <w:p>
            <w:pPr>
              <w:spacing w:after="0"/>
              <w:rPr>
                <w:sz w:val="1"/>
                <w:szCs w:val="1"/>
                <w:color w:val="auto"/>
              </w:rPr>
            </w:pPr>
          </w:p>
        </w:tc>
      </w:tr>
      <w:tr>
        <w:trPr>
          <w:trHeight w:val="243"/>
        </w:trPr>
        <w:tc>
          <w:tcPr>
            <w:tcW w:w="4100" w:type="dxa"/>
            <w:vAlign w:val="bottom"/>
            <w:gridSpan w:val="2"/>
          </w:tcPr>
          <w:p>
            <w:pPr>
              <w:jc w:val="center"/>
              <w:ind w:right="1030"/>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420" w:type="dxa"/>
            <w:vAlign w:val="bottom"/>
          </w:tcPr>
          <w:p>
            <w:pPr>
              <w:spacing w:after="0"/>
              <w:rPr>
                <w:sz w:val="21"/>
                <w:szCs w:val="21"/>
                <w:color w:val="auto"/>
              </w:rPr>
            </w:pPr>
          </w:p>
        </w:tc>
        <w:tc>
          <w:tcPr>
            <w:tcW w:w="3540" w:type="dxa"/>
            <w:vAlign w:val="bottom"/>
            <w:gridSpan w:val="2"/>
          </w:tcPr>
          <w:p>
            <w:pPr>
              <w:jc w:val="center"/>
              <w:ind w:right="1252"/>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3200" w:type="dxa"/>
            <w:vAlign w:val="bottom"/>
          </w:tcPr>
          <w:p>
            <w:pPr>
              <w:jc w:val="center"/>
              <w:ind w:left="240"/>
              <w:spacing w:after="0" w:line="243" w:lineRule="exact"/>
              <w:rPr>
                <w:sz w:val="20"/>
                <w:szCs w:val="20"/>
                <w:color w:val="auto"/>
              </w:rPr>
            </w:pPr>
            <w:r>
              <w:rPr>
                <w:rFonts w:ascii="Arial" w:cs="Arial" w:eastAsia="Arial" w:hAnsi="Arial"/>
                <w:sz w:val="22"/>
                <w:szCs w:val="22"/>
                <w:b w:val="1"/>
                <w:bCs w:val="1"/>
                <w:color w:val="auto"/>
                <w:w w:val="93"/>
              </w:rPr>
              <w:t>RBC Capital Markets</w:t>
            </w:r>
          </w:p>
        </w:tc>
        <w:tc>
          <w:tcPr>
            <w:tcW w:w="0" w:type="dxa"/>
            <w:vAlign w:val="bottom"/>
          </w:tcPr>
          <w:p>
            <w:pPr>
              <w:spacing w:after="0"/>
              <w:rPr>
                <w:sz w:val="1"/>
                <w:szCs w:val="1"/>
                <w:color w:val="auto"/>
              </w:rPr>
            </w:pPr>
          </w:p>
        </w:tc>
      </w:tr>
      <w:tr>
        <w:trPr>
          <w:trHeight w:val="281"/>
        </w:trPr>
        <w:tc>
          <w:tcPr>
            <w:tcW w:w="4100" w:type="dxa"/>
            <w:vAlign w:val="bottom"/>
            <w:gridSpan w:val="2"/>
          </w:tcPr>
          <w:p>
            <w:pPr>
              <w:jc w:val="center"/>
              <w:ind w:right="1010"/>
              <w:spacing w:after="0"/>
              <w:rPr>
                <w:sz w:val="20"/>
                <w:szCs w:val="20"/>
                <w:color w:val="auto"/>
              </w:rPr>
            </w:pPr>
            <w:r>
              <w:rPr>
                <w:rFonts w:ascii="Arial" w:cs="Arial" w:eastAsia="Arial" w:hAnsi="Arial"/>
                <w:sz w:val="22"/>
                <w:szCs w:val="22"/>
                <w:b w:val="1"/>
                <w:bCs w:val="1"/>
                <w:color w:val="auto"/>
                <w:w w:val="94"/>
              </w:rPr>
              <w:t>SMBC Nikko</w:t>
            </w:r>
          </w:p>
        </w:tc>
        <w:tc>
          <w:tcPr>
            <w:tcW w:w="3960" w:type="dxa"/>
            <w:vAlign w:val="bottom"/>
            <w:gridSpan w:val="3"/>
          </w:tcPr>
          <w:p>
            <w:pPr>
              <w:jc w:val="center"/>
              <w:ind w:right="852"/>
              <w:spacing w:after="0"/>
              <w:rPr>
                <w:sz w:val="20"/>
                <w:szCs w:val="20"/>
                <w:color w:val="auto"/>
              </w:rPr>
            </w:pPr>
            <w:r>
              <w:rPr>
                <w:rFonts w:ascii="Arial" w:cs="Arial" w:eastAsia="Arial" w:hAnsi="Arial"/>
                <w:sz w:val="22"/>
                <w:szCs w:val="22"/>
                <w:b w:val="1"/>
                <w:bCs w:val="1"/>
                <w:color w:val="auto"/>
                <w:w w:val="89"/>
              </w:rPr>
              <w:t>SunTrust Robinson Humphrey</w:t>
            </w:r>
          </w:p>
        </w:tc>
        <w:tc>
          <w:tcPr>
            <w:tcW w:w="3200" w:type="dxa"/>
            <w:vAlign w:val="bottom"/>
          </w:tcPr>
          <w:p>
            <w:pPr>
              <w:jc w:val="center"/>
              <w:ind w:left="240"/>
              <w:spacing w:after="0"/>
              <w:rPr>
                <w:sz w:val="20"/>
                <w:szCs w:val="20"/>
                <w:color w:val="auto"/>
              </w:rPr>
            </w:pPr>
            <w:r>
              <w:rPr>
                <w:rFonts w:ascii="Arial" w:cs="Arial" w:eastAsia="Arial" w:hAnsi="Arial"/>
                <w:sz w:val="22"/>
                <w:szCs w:val="22"/>
                <w:b w:val="1"/>
                <w:bCs w:val="1"/>
                <w:color w:val="auto"/>
                <w:w w:val="87"/>
              </w:rPr>
              <w:t>Wells Fargo Securities</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296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Santander</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0" w:type="dxa"/>
            <w:vAlign w:val="bottom"/>
          </w:tcPr>
          <w:p>
            <w:pPr>
              <w:jc w:val="center"/>
              <w:ind w:right="2080"/>
              <w:spacing w:after="0"/>
              <w:rPr>
                <w:sz w:val="20"/>
                <w:szCs w:val="20"/>
                <w:color w:val="auto"/>
              </w:rPr>
            </w:pPr>
            <w:r>
              <w:rPr>
                <w:rFonts w:ascii="Arial" w:cs="Arial" w:eastAsia="Arial" w:hAnsi="Arial"/>
                <w:sz w:val="18"/>
                <w:szCs w:val="18"/>
                <w:b w:val="1"/>
                <w:bCs w:val="1"/>
                <w:color w:val="auto"/>
                <w:w w:val="87"/>
              </w:rPr>
              <w:t>US Bancorp</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2960" w:type="dxa"/>
            <w:vAlign w:val="bottom"/>
          </w:tcPr>
          <w:p>
            <w:pPr>
              <w:ind w:left="840"/>
              <w:spacing w:after="0"/>
              <w:rPr>
                <w:sz w:val="20"/>
                <w:szCs w:val="20"/>
                <w:color w:val="auto"/>
              </w:rPr>
            </w:pPr>
            <w:r>
              <w:rPr>
                <w:rFonts w:ascii="Arial" w:cs="Arial" w:eastAsia="Arial" w:hAnsi="Arial"/>
                <w:sz w:val="18"/>
                <w:szCs w:val="18"/>
                <w:b w:val="1"/>
                <w:bCs w:val="1"/>
                <w:color w:val="auto"/>
              </w:rPr>
              <w:t>Allen &amp; Company LLC</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tcPr>
          <w:p>
            <w:pPr>
              <w:ind w:left="900"/>
              <w:spacing w:after="0"/>
              <w:rPr>
                <w:sz w:val="20"/>
                <w:szCs w:val="20"/>
                <w:color w:val="auto"/>
              </w:rPr>
            </w:pPr>
            <w:r>
              <w:rPr>
                <w:rFonts w:ascii="Arial" w:cs="Arial" w:eastAsia="Arial" w:hAnsi="Arial"/>
                <w:sz w:val="18"/>
                <w:szCs w:val="18"/>
                <w:b w:val="1"/>
                <w:bCs w:val="1"/>
                <w:color w:val="auto"/>
              </w:rPr>
              <w:t>Gleacher &amp; Company</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29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DNB Markets</w:t>
            </w:r>
          </w:p>
        </w:tc>
        <w:tc>
          <w:tcPr>
            <w:tcW w:w="42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18"/>
                <w:szCs w:val="18"/>
                <w:b w:val="1"/>
                <w:bCs w:val="1"/>
                <w:color w:val="auto"/>
              </w:rPr>
              <w:t>PNC Capital Markets LLC</w:t>
            </w:r>
          </w:p>
        </w:tc>
        <w:tc>
          <w:tcPr>
            <w:tcW w:w="3200" w:type="dxa"/>
            <w:vAlign w:val="bottom"/>
          </w:tcPr>
          <w:p>
            <w:pPr>
              <w:jc w:val="center"/>
              <w:ind w:right="40"/>
              <w:spacing w:after="0"/>
              <w:rPr>
                <w:sz w:val="20"/>
                <w:szCs w:val="20"/>
                <w:color w:val="auto"/>
              </w:rPr>
            </w:pPr>
            <w:r>
              <w:rPr>
                <w:rFonts w:ascii="Arial" w:cs="Arial" w:eastAsia="Arial" w:hAnsi="Arial"/>
                <w:sz w:val="18"/>
                <w:szCs w:val="18"/>
                <w:b w:val="1"/>
                <w:bCs w:val="1"/>
                <w:color w:val="auto"/>
                <w:w w:val="88"/>
              </w:rPr>
              <w:t>TD Securities</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296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w w:val="92"/>
              </w:rPr>
              <w:t>Loop Capital Markets</w:t>
            </w:r>
          </w:p>
        </w:tc>
        <w:tc>
          <w:tcPr>
            <w:tcW w:w="4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360" w:type="dxa"/>
            <w:vAlign w:val="bottom"/>
            <w:gridSpan w:val="2"/>
            <w:vMerge w:val="restart"/>
          </w:tcPr>
          <w:p>
            <w:pPr>
              <w:jc w:val="center"/>
              <w:ind w:right="900"/>
              <w:spacing w:after="0"/>
              <w:rPr>
                <w:sz w:val="20"/>
                <w:szCs w:val="20"/>
                <w:color w:val="auto"/>
              </w:rPr>
            </w:pPr>
            <w:r>
              <w:rPr>
                <w:rFonts w:ascii="Arial" w:cs="Arial" w:eastAsia="Arial" w:hAnsi="Arial"/>
                <w:sz w:val="18"/>
                <w:szCs w:val="18"/>
                <w:b w:val="1"/>
                <w:bCs w:val="1"/>
                <w:color w:val="auto"/>
                <w:w w:val="90"/>
              </w:rPr>
              <w:t>The Williams Capital Group, L.P.</w:t>
            </w:r>
          </w:p>
        </w:tc>
        <w:tc>
          <w:tcPr>
            <w:tcW w:w="0" w:type="dxa"/>
            <w:vAlign w:val="bottom"/>
          </w:tcPr>
          <w:p>
            <w:pPr>
              <w:spacing w:after="0"/>
              <w:rPr>
                <w:sz w:val="1"/>
                <w:szCs w:val="1"/>
                <w:color w:val="auto"/>
              </w:rPr>
            </w:pPr>
          </w:p>
        </w:tc>
      </w:tr>
      <w:tr>
        <w:trPr>
          <w:trHeight w:val="316"/>
        </w:trPr>
        <w:tc>
          <w:tcPr>
            <w:tcW w:w="11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29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Lebenthal &amp; Co., LLC</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3"/>
              </w:rPr>
              <w:t>Ramirez &amp; Co., Inc.</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960" w:type="dxa"/>
            <w:vAlign w:val="bottom"/>
          </w:tcPr>
          <w:p>
            <w:pPr>
              <w:jc w:val="center"/>
              <w:ind w:right="1350"/>
              <w:spacing w:after="0"/>
              <w:rPr>
                <w:sz w:val="20"/>
                <w:szCs w:val="20"/>
                <w:color w:val="auto"/>
              </w:rPr>
            </w:pPr>
            <w:r>
              <w:rPr>
                <w:rFonts w:ascii="Arial" w:cs="Arial" w:eastAsia="Arial" w:hAnsi="Arial"/>
                <w:sz w:val="14"/>
                <w:szCs w:val="14"/>
                <w:b w:val="1"/>
                <w:bCs w:val="1"/>
                <w:color w:val="auto"/>
                <w:w w:val="90"/>
              </w:rPr>
              <w:t>Drexel Hamilton</w:t>
            </w:r>
          </w:p>
        </w:tc>
        <w:tc>
          <w:tcPr>
            <w:tcW w:w="420" w:type="dxa"/>
            <w:vAlign w:val="bottom"/>
          </w:tcPr>
          <w:p>
            <w:pPr>
              <w:spacing w:after="0"/>
              <w:rPr>
                <w:sz w:val="21"/>
                <w:szCs w:val="21"/>
                <w:color w:val="auto"/>
              </w:rPr>
            </w:pPr>
          </w:p>
        </w:tc>
        <w:tc>
          <w:tcPr>
            <w:tcW w:w="3540" w:type="dxa"/>
            <w:vAlign w:val="bottom"/>
            <w:gridSpan w:val="2"/>
          </w:tcPr>
          <w:p>
            <w:pPr>
              <w:ind w:left="660"/>
              <w:spacing w:after="0"/>
              <w:rPr>
                <w:sz w:val="20"/>
                <w:szCs w:val="20"/>
                <w:color w:val="auto"/>
              </w:rPr>
            </w:pPr>
            <w:r>
              <w:rPr>
                <w:rFonts w:ascii="Arial" w:cs="Arial" w:eastAsia="Arial" w:hAnsi="Arial"/>
                <w:sz w:val="14"/>
                <w:szCs w:val="14"/>
                <w:b w:val="1"/>
                <w:bCs w:val="1"/>
                <w:color w:val="auto"/>
              </w:rPr>
              <w:t>MFR Securities, Inc.</w:t>
            </w:r>
          </w:p>
        </w:tc>
        <w:tc>
          <w:tcPr>
            <w:tcW w:w="32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Mischler Financial Group,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3"/>
    </w:lvl>
  </w:abstractNum>
  <w:abstractNum w:abstractNumId="3">
    <w:nsid w:val="6763845E"/>
    <w:multiLevelType w:val="hybridMultilevel"/>
    <w:lvl w:ilvl="0">
      <w:lvlJc w:val="left"/>
      <w:lvlText w:val="•"/>
      <w:numFmt w:val="bullet"/>
      <w:start w:val="1"/>
    </w:lvl>
    <w:lvl w:ilvl="1">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upperLetter"/>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lvl w:ilvl="1">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lvl w:ilvl="1">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lvl w:ilvl="1">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2019-12-07T03:50:52Z</dcterms:created>
  <dcterms:modified xsi:type="dcterms:W3CDTF">2019-12-07T03:50:52Z</dcterms:modified>
</cp:coreProperties>
</file>