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6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0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75"/>
        </w:trPr>
        <w:tc>
          <w:tcPr>
            <w:tcW w:w="1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900" w:type="dxa"/>
            <w:vAlign w:val="bottom"/>
          </w:tcPr>
          <w:p>
            <w:pPr>
              <w:spacing w:after="0"/>
              <w:rPr>
                <w:sz w:val="15"/>
                <w:szCs w:val="15"/>
                <w:color w:val="auto"/>
              </w:rPr>
            </w:pPr>
          </w:p>
        </w:tc>
      </w:tr>
      <w:tr>
        <w:trPr>
          <w:trHeight w:val="291"/>
        </w:trPr>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One)</w:t>
            </w:r>
          </w:p>
        </w:tc>
        <w:tc>
          <w:tcPr>
            <w:tcW w:w="19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83"/>
        </w:trPr>
        <w:tc>
          <w:tcPr>
            <w:tcW w:w="1520" w:type="dxa"/>
            <w:vAlign w:val="bottom"/>
          </w:tcPr>
          <w:p>
            <w:pPr>
              <w:jc w:val="center"/>
              <w:ind w:right="962"/>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r>
      <w:tr>
        <w:trPr>
          <w:trHeight w:val="212"/>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tc>
      </w:tr>
      <w:tr>
        <w:trPr>
          <w:trHeight w:val="190"/>
        </w:trPr>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OR</w:t>
            </w: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98"/>
        </w:trPr>
        <w:tc>
          <w:tcPr>
            <w:tcW w:w="1520" w:type="dxa"/>
            <w:vAlign w:val="bottom"/>
          </w:tcPr>
          <w:p>
            <w:pPr>
              <w:jc w:val="center"/>
              <w:ind w:right="982"/>
              <w:spacing w:after="0" w:line="141" w:lineRule="exact"/>
              <w:rPr>
                <w:sz w:val="20"/>
                <w:szCs w:val="20"/>
                <w:color w:val="auto"/>
              </w:rPr>
            </w:pPr>
            <w:r>
              <w:rPr>
                <w:rFonts w:ascii="MS PGothic" w:cs="MS PGothic" w:eastAsia="MS PGothic" w:hAnsi="MS PGothic"/>
                <w:sz w:val="14"/>
                <w:szCs w:val="14"/>
                <w:color w:val="auto"/>
                <w:w w:val="99"/>
              </w:rPr>
              <w:t>☐</w:t>
            </w:r>
          </w:p>
        </w:tc>
        <w:tc>
          <w:tcPr>
            <w:tcW w:w="81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r>
      <w:tr>
        <w:trPr>
          <w:trHeight w:val="256"/>
        </w:trPr>
        <w:tc>
          <w:tcPr>
            <w:tcW w:w="1520" w:type="dxa"/>
            <w:vAlign w:val="bottom"/>
          </w:tcPr>
          <w:p>
            <w:pPr>
              <w:spacing w:after="0"/>
              <w:rPr>
                <w:sz w:val="22"/>
                <w:szCs w:val="22"/>
                <w:color w:val="auto"/>
              </w:rPr>
            </w:pPr>
          </w:p>
        </w:tc>
        <w:tc>
          <w:tcPr>
            <w:tcW w:w="52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100330</wp:posOffset>
            </wp:positionV>
            <wp:extent cx="174879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4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4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Registrant; State of Incorporation; Address and</w:t>
            </w: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Telephone Number</w:t>
            </w:r>
          </w:p>
        </w:tc>
        <w:tc>
          <w:tcPr>
            <w:tcW w:w="3280" w:type="dxa"/>
            <w:vAlign w:val="bottom"/>
            <w:tcBorders>
              <w:bottom w:val="single" w:sz="8" w:color="auto"/>
            </w:tcBorders>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34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001-32871</w:t>
            </w:r>
          </w:p>
        </w:tc>
        <w:tc>
          <w:tcPr>
            <w:tcW w:w="3480" w:type="dxa"/>
            <w:vAlign w:val="bottom"/>
            <w:gridSpan w:val="2"/>
          </w:tcPr>
          <w:p>
            <w:pPr>
              <w:jc w:val="center"/>
              <w:ind w:right="108"/>
              <w:spacing w:after="0"/>
              <w:rPr>
                <w:sz w:val="20"/>
                <w:szCs w:val="20"/>
                <w:color w:val="auto"/>
              </w:rPr>
            </w:pPr>
            <w:r>
              <w:rPr>
                <w:rFonts w:ascii="Times New Roman" w:cs="Times New Roman" w:eastAsia="Times New Roman" w:hAnsi="Times New Roman"/>
                <w:sz w:val="22"/>
                <w:szCs w:val="22"/>
                <w:b w:val="1"/>
                <w:bCs w:val="1"/>
                <w:color w:val="auto"/>
                <w:w w:val="97"/>
              </w:rPr>
              <w:t>COMCAST CORPORATION</w:t>
            </w:r>
          </w:p>
        </w:tc>
        <w:tc>
          <w:tcPr>
            <w:tcW w:w="328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rPr>
              <w:t>27-0000798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6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One Comcast Center</w:t>
            </w: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6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Philadelphia, PA 19103-2838</w:t>
            </w: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6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(215) 286-1700</w:t>
            </w: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7440" w:type="dxa"/>
            <w:vAlign w:val="bottom"/>
            <w:tcBorders>
              <w:bottom w:val="single" w:sz="8" w:color="auto"/>
            </w:tcBorders>
            <w:gridSpan w:val="4"/>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7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8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520" w:type="dxa"/>
            <w:vAlign w:val="bottom"/>
          </w:tcPr>
          <w:p>
            <w:pPr>
              <w:spacing w:after="0"/>
              <w:rPr>
                <w:sz w:val="15"/>
                <w:szCs w:val="15"/>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CMCSA</w:t>
            </w:r>
          </w:p>
        </w:tc>
        <w:tc>
          <w:tcPr>
            <w:tcW w:w="328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0.250% Notes due 2027</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CMCS27</w:t>
            </w:r>
          </w:p>
        </w:tc>
        <w:tc>
          <w:tcPr>
            <w:tcW w:w="32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NASDAQ Global Market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1.500% Notes due 2029</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CMCS29</w:t>
            </w:r>
          </w:p>
        </w:tc>
        <w:tc>
          <w:tcPr>
            <w:tcW w:w="32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NASDAQ Global Market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0.750% Notes due 2032</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CMCS32</w:t>
            </w:r>
          </w:p>
        </w:tc>
        <w:tc>
          <w:tcPr>
            <w:tcW w:w="32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NASDAQ Global Market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1.875% Notes due 2036</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CMCS36</w:t>
            </w:r>
          </w:p>
        </w:tc>
        <w:tc>
          <w:tcPr>
            <w:tcW w:w="32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NASDAQ Global Market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1.250% Notes due 2040</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CMCS40</w:t>
            </w:r>
          </w:p>
        </w:tc>
        <w:tc>
          <w:tcPr>
            <w:tcW w:w="32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NASDAQ Global Market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9.455% Guaranteed Notes due 2022</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CMCSA/22</w:t>
            </w:r>
          </w:p>
        </w:tc>
        <w:tc>
          <w:tcPr>
            <w:tcW w:w="328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5.50% Notes due 2029</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CCGBP29</w:t>
            </w:r>
          </w:p>
        </w:tc>
        <w:tc>
          <w:tcPr>
            <w:tcW w:w="328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9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29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CCZ</w:t>
            </w:r>
          </w:p>
        </w:tc>
        <w:tc>
          <w:tcPr>
            <w:tcW w:w="328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2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10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ind w:left="20"/>
        <w:spacing w:after="0" w:line="334" w:lineRule="exact"/>
        <w:tabs>
          <w:tab w:leader="none" w:pos="1980" w:val="left"/>
          <w:tab w:leader="none" w:pos="4220" w:val="left"/>
          <w:tab w:leader="none" w:pos="6480" w:val="left"/>
          <w:tab w:leader="none" w:pos="8720" w:val="left"/>
          <w:tab w:leader="none" w:pos="109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29"/>
          <w:szCs w:val="29"/>
          <w:color w:val="auto"/>
          <w:vertAlign w:val="subscript"/>
        </w:rPr>
        <w:t xml:space="preserve">☒ </w:t>
      </w:r>
      <w:r>
        <w:rPr>
          <w:rFonts w:ascii="Times New Roman" w:cs="Times New Roman" w:eastAsia="Times New Roman" w:hAnsi="Times New Roman"/>
          <w:sz w:val="29"/>
          <w:szCs w:val="29"/>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26" w:lineRule="exact"/>
        <w:rPr>
          <w:sz w:val="24"/>
          <w:szCs w:val="24"/>
          <w:color w:val="auto"/>
        </w:rPr>
      </w:pPr>
    </w:p>
    <w:p>
      <w:pPr>
        <w:ind w:right="5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9" w:lineRule="exact"/>
        <w:rPr>
          <w:sz w:val="24"/>
          <w:szCs w:val="24"/>
          <w:color w:val="auto"/>
        </w:rPr>
      </w:pPr>
    </w:p>
    <w:p>
      <w:pPr>
        <w:ind w:right="6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2020, the aggregate market value of the Comcast Corporation common stock held by non-affiliates of the registrant was $176.648 billion.</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2020, there were 4,571,211,797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116205</wp:posOffset>
            </wp:positionV>
            <wp:extent cx="2751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Comcast Corporation – Part III – The registrant’s definitive Proxy Statement for its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2020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Risk Factors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21</w:t>
              </w:r>
            </w:hyperlink>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Unresolved Staff Comments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29</w:t>
              </w:r>
            </w:hyperlink>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Properties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29</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Legal Proceedings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30</w:t>
              </w:r>
            </w:hyperlink>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Mine Safety Disclosures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30</w:t>
              </w:r>
            </w:hyperlink>
          </w:p>
        </w:tc>
      </w:tr>
      <w:tr>
        <w:trPr>
          <w:trHeight w:val="27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31</w:t>
              </w:r>
            </w:hyperlink>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Selected Financial Data</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33</w:t>
              </w:r>
            </w:hyperlink>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34</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Quantitative and Qualitative Disclosures About Market Risk</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69">
              <w:r>
                <w:rPr>
                  <w:rFonts w:ascii="Times New Roman" w:cs="Times New Roman" w:eastAsia="Times New Roman" w:hAnsi="Times New Roman"/>
                  <w:sz w:val="18"/>
                  <w:szCs w:val="18"/>
                  <w:color w:val="auto"/>
                </w:rPr>
                <w:t>66</w:t>
              </w:r>
            </w:hyperlink>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Comcast Corporation Financial Statements and Supplementary Data</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68</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102</w:t>
              </w:r>
            </w:hyperlink>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Controls and Procedures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102</w:t>
              </w:r>
            </w:hyperlink>
          </w:p>
        </w:tc>
      </w:tr>
      <w:tr>
        <w:trPr>
          <w:trHeight w:val="27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Directors, Executive Officers and Corporate Governance</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103</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Executive Compensation</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103</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104</w:t>
              </w:r>
            </w:hyperlink>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104</w:t>
              </w:r>
            </w:hyperlink>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Principal Accountant Fees and Services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104</w:t>
              </w:r>
            </w:hyperlink>
          </w:p>
        </w:tc>
      </w:tr>
      <w:tr>
        <w:trPr>
          <w:trHeight w:val="27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Exhibits and Financial Statement Schedules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8">
              <w:r>
                <w:rPr>
                  <w:rFonts w:ascii="Times New Roman" w:cs="Times New Roman" w:eastAsia="Times New Roman" w:hAnsi="Times New Roman"/>
                  <w:sz w:val="18"/>
                  <w:szCs w:val="18"/>
                  <w:color w:val="auto"/>
                </w:rPr>
                <w:t>105</w:t>
              </w:r>
            </w:hyperlink>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20" w:type="dxa"/>
            <w:vAlign w:val="bottom"/>
          </w:tcPr>
          <w:p>
            <w:pPr>
              <w:ind w:left="180"/>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Form 10-K Summary</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12">
              <w:r>
                <w:rPr>
                  <w:rFonts w:ascii="Times New Roman" w:cs="Times New Roman" w:eastAsia="Times New Roman" w:hAnsi="Times New Roman"/>
                  <w:sz w:val="18"/>
                  <w:szCs w:val="18"/>
                  <w:color w:val="auto"/>
                </w:rPr>
                <w:t>109</w:t>
              </w:r>
            </w:hyperlink>
          </w:p>
        </w:tc>
      </w:tr>
      <w:tr>
        <w:trPr>
          <w:trHeight w:val="234"/>
        </w:trPr>
        <w:tc>
          <w:tcPr>
            <w:tcW w:w="940" w:type="dxa"/>
            <w:vAlign w:val="bottom"/>
          </w:tcPr>
          <w:p>
            <w:pPr>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Signatures</w:t>
              </w:r>
            </w:hyperlink>
          </w:p>
        </w:tc>
        <w:tc>
          <w:tcPr>
            <w:tcW w:w="9120" w:type="dxa"/>
            <w:vAlign w:val="bottom"/>
          </w:tcPr>
          <w:p>
            <w:pPr>
              <w:spacing w:after="0"/>
              <w:rPr>
                <w:sz w:val="20"/>
                <w:szCs w:val="20"/>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112">
              <w:r>
                <w:rPr>
                  <w:rFonts w:ascii="Times New Roman" w:cs="Times New Roman" w:eastAsia="Times New Roman" w:hAnsi="Times New Roman"/>
                  <w:sz w:val="18"/>
                  <w:szCs w:val="18"/>
                  <w:color w:val="auto"/>
                </w:rPr>
                <w:t>110</w:t>
              </w:r>
            </w:hyperlink>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with our Quarterly Report on Form 10-Q for the quarter ended March 31, 2020, we are voluntarily complying with new disclosure rules for guarantors and issuers of guaranteed debt securities issued by the Securities and Exchange Commission (“SEC”) in March 2020, as permitted by the transition guidance contained in the SEC’s final rule release “Financial Disclosures about Guarantors and Issuers of Guaranteed Securities and Affiliates Whose Securities Collateralize a Registrant’s Securities.” As a result, this report includes disclosures related to our consolidated subsidiaries that guarantee or have issued guaranteed debt securities registered with the SEC that are included within our guarantee structure (refer to Guarantee Structure within the Liquidity and Capital Resources section of Item 2: Management’s Discussion and Analysis of Financial Condition and Results of Operations). As a result of these rules, NBCUniversal Media, LLC is no longer required to prepare stand-alone periodic reports under SEC rules, and our periodic reports are no longer prepared as a combined report being filed separately by Comcast Corporation and 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1093470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indicated otherwise, throughout this Annual Report on Form 10-K, we refer to Comcast and its consolidated subsidiaries, as “Comcast,” “we,” “us” and “our;” Comcast Cable Communications, LLC and its consolidated subsidiaries as “Comcast Cable;” Comcast Holdings Corporation as “Comcast Holdings;” NBCUniversal Enterprise, Inc. as “NBCUniversal Enterprise;” NBCUniversal Media, LLC and its consolidated subsidiaries as “NBCUniversal;” and Sky Limited and its consolidated subsidiaries as “Sky.”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2020. This Annual Report on Form 10-K modifies and supersedes documents filed before it. The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 We were incorporated under the laws of Pennsylvania in December 2001. Through our predecessors, we have developed, managed and operated cable systems since 1963. Through transactions in 2011 and 2013, we acquired NBCUniversal, and in 2018, we acquired Sky.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64" w:lineRule="exact"/>
        <w:rPr>
          <w:sz w:val="20"/>
          <w:szCs w:val="20"/>
          <w:color w:val="auto"/>
        </w:rPr>
      </w:pPr>
    </w:p>
    <w:p>
      <w:pPr>
        <w:jc w:val="both"/>
        <w:ind w:left="6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high-speed internet,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security and automation services to residential customers in the United States under the Xfinity brand; we also provide these and other services to business customers and sell advertising.</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Networks: </w:t>
      </w:r>
      <w:r>
        <w:rPr>
          <w:rFonts w:ascii="Times New Roman" w:cs="Times New Roman" w:eastAsia="Times New Roman" w:hAnsi="Times New Roman"/>
          <w:sz w:val="18"/>
          <w:szCs w:val="18"/>
          <w:color w:val="auto"/>
        </w:rPr>
        <w:t>Consists primarily of our national cable networks that provide a variety of entertainment, news and information, and sports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our regional sports and news networks; our international cable networks; our cable television studio production operations; and various digital properties.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Broadcast Television: </w:t>
      </w:r>
      <w:r>
        <w:rPr>
          <w:rFonts w:ascii="Times New Roman" w:cs="Times New Roman" w:eastAsia="Times New Roman" w:hAnsi="Times New Roman"/>
          <w:sz w:val="18"/>
          <w:szCs w:val="18"/>
          <w:color w:val="auto"/>
        </w:rPr>
        <w:t>Consists primarily of the NBC and Telemundo broadcast networks, our NBC and Telemundo owned local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stations, the NBC Universo national cable network, our broadcast television studio production operations, and various digital properties.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Filmed Entertainment: </w:t>
      </w:r>
      <w:r>
        <w:rPr>
          <w:rFonts w:ascii="Times New Roman" w:cs="Times New Roman" w:eastAsia="Times New Roman" w:hAnsi="Times New Roman"/>
          <w:sz w:val="18"/>
          <w:szCs w:val="18"/>
          <w:color w:val="auto"/>
        </w:rPr>
        <w:t>Consists primarily of the operations of Universal Pictures, which produces, acquires, markets and distributes filmed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entertainment worldwide; our films are also produced under the Illumination, DreamWorks Animation and Focus Features names.</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and Osaka, Japan. In addition,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a theme park in Beijing, China along with a consortium of Chinese state-owned companies, and an additional theme park in Orlando, Florida.</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video, high-speed internet, voice and wireless phone services, and a content business, operating entertainment networks, the Sky News broadcast network and Sky Sports networks.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 such as Peacock, our new direct-to-consumer streaming service that features NBCUniversal content, which was made available to Comcast customers in April 2020 and launched across the United States in July 2020.</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businesses has been impacted as a result of the novel coronavirus disease 2019 (“COVID-19”) pandemic. For a discussion of the risks related to COVID-19, refer to Item 1A: Risk Factors, and for a discussion of the impacts of COVID-19 and for financial and other information about our reportable business segments, refer to Item 7: Management’s Discussion and Analysis of Financial Condition and Results of Operations and Note 2 to the consolidated financial statements included in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phone number is (215) 286-1700, and our principal executive offices are located at One Comcast Center, Philadelphia, PA 19103-2838.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websites is not incorporated into our SEC filings.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Cable Communications offers high-speed internet, video, voice, wireless, and security and automation services in the United States individually and as bundled services at a discounted rate over its cable distribution system to residential and business customers. Revenue is generated primarily from residential and business customers that subscribe to our services and from the sale of advertising. Bundled service offerings aim to meet the needs of various segments of our customer base, ranging from high-speed internet services packaged with video services that include a limited number of channels or streaming services, to a five-product bundle, consisting of high-speed internet, video, voice, wireless, and security and automation services. Subscription rates and related charges vary according to the services and features customers receive and the types of equipment they use, and customers are typically billed in advance on a monthly basis. A portion of our residential customers are subject to minimum-term contracts for their cable services, which are typically 1 to 2 years in length. Substantially all business customers are initially under minimum-term contracts, which typically range from 2 to 5 years. Customers with minimum-term contracts may only discontinue service in accordance with the terms of their contracts.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Cable Communications had 33.1 million total customer relationships, including 30.7 million residential customer relationships and 2.4 million business customer relationships, and passed more than 59 million homes and businesses. Homes and businesses are considered passed if we can connect them to our cable distribution system without further extending the transmission lines and are estimated based on the best available information. As of December 31, 2020, total customer relationships penetration of homes and businesses passed was 56%.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The Areas We Serve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map below highlights Cable Communications’ cable distribution footprint as of December 31, 2020 and the designated market areas (“DMAs”) where we have 250,000 or more customer relationships, with the locations that are bolded representing one of the top 25 U.S. television DMAs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863590" cy="3617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361759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Communications offers high-speed internet services with downstream speeds that range up to 1.2 gigabit per second (“Gbps”) and fiber-based speeds that range up to 2 Gbps. These services include access to an online portal and mobile apps, which provide users with the ability to manage their home Wi-Fi network, access to advanced security technology and other features including email, an address book and calendar.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its footprint, Cable Communications deploys wireless gateways to customers that combine an internet and voice modem with a Wi-Fi router to deliver reliable internet speeds and enhanced coverage through an in-and-out-of-home Wi-Fi network. Customers with wireless gateways may also personalize and manage their Wi-Fi network and connected home with the xFi branded whole-home application and online portal, which includes the ability to self-install and set up their Wi-Fi environment, view and change their Wi-Fi password, identify which devices are connected to their in-home network and set parental controls and schedules, along with advanced security and other features. Customers can also choose to extend their Wi-Fi coverage with xFi Pods and have access to our expanding network of secure residential, outdoor and business Wi-Fi hotspots nationwide.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high-speed internet customers that prefer streaming content over the internet rather than linear cable television, Cable Communications offers Flex, a streaming device that provides access to certain online programming on their television with integrated search functionality, including the use of a voice-activated remote control and personalized recommendations. Flex programming includes our Peacock service and certain other internet-based apps at no additional charge, access to pay-per-view and video on demand content, and access to and the integration of certain third-party direct-to-consumer streaming services (“DTC streaming services”) such as Amazon Prime Video, HBO Max, Hulu, Netflix, YouTube, and, beginning in 2021, Disney+. We earn commission revenue related to the sale of certain DTC streaming services. Additionally, a variety of music apps such as Pandora are offered through Flex.</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28.4 million residential customers subscribed to our high-speed internet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Cable Communications offers a broad variety of video services, primarily through our X1 platform, an Internet Protocol (“IP”) and cloud-enabled video platform. Video customers have access to hundreds of channels depending on the level of service, which typically range from limited basic service with access to between 20 and 60 channels to full service with access to more than 300 channels. Video services generally include programming provided by national broadcast networks, local broadcast stations, and national and regional cable networks, as well as government and public access programming. Our video services also include access to video on demand services (“On Demand”) and an interactive, on-screen program guide. Our On Demand service provides video customers with access to hundreds of thousands of programming choices included in our library. Other content, primarily movies and special-events programming, such as sporting events and concerts, can be rented or in some cases purchased to own digitally. Customers also receive high-definition (“HD”) video service that provides high-resolution picture quality, improved audio quality and a wide-screen format through an HD set-top box, and a broad selection of HD programming choices. Customers also have the option to subscribe to additional services, including a digital video recorder (“DVR”) service that allows customers to record and store programs and play them at their convenience, including online and through our mobile app, and to pause and rewind live television. Additionally, customers may subscribe to premium networks that generally provide, without commercial interruption, movies, original programming, live and pre-recorded sporting events and concerts, and other features. We also offer video service packages that include extensive amounts of foreign-language programming and other specialty tiers of programming. We tailor our video services for particular programming preferences, demographics and geographic areas in accordance with applicable local and federal regulatory requirements.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X1 platform, customers have integrated search functionality, including the use of a voice-activated remote control; personalized recommendations; and access to and the integration of Peacock, which X1 customers receive for no additional charge, certain third-party DTC streaming services and a variety of other internet-based apps providing content and music.</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have access to their video services through the Stream mobile app and an online portal that allow them to view certain live programming and On Demand content and to browse program listings.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19.0 million residential customers subscribed to our video services.</w:t>
      </w:r>
    </w:p>
    <w:p>
      <w:pPr>
        <w:spacing w:after="0" w:line="200" w:lineRule="exact"/>
        <w:rPr>
          <w:sz w:val="20"/>
          <w:szCs w:val="20"/>
          <w:color w:val="auto"/>
        </w:rPr>
      </w:pPr>
    </w:p>
    <w:p>
      <w:pPr>
        <w:spacing w:after="0" w:line="343"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6EBF"/>
        </w:rPr>
        <w:t>Voice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Cable Communications offers voice services using interconnected Voice over Internet Protocol (“VoIP”) technology. Service options provided include either unlimited or usage-based local and domestic long-distance calling, as well as options for international calling plans, voicemail, readable voicemail, nuisance call blocking tools and various call features such as caller ID and call waiting. Voice services also include the ability to access and manage voicemail and other account features through an online portal or mobile app.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9.6 million residential customers subscribed to our voice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Wireless</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Cable Communications offers wireless services for handsets, tablets and smart watches using mobile virtual network operator (“MVNO”) rights to provide the services over Verizon’s wireless network and our existing network of in-home and outdoor Wi-Fi hotspots. We currently only offer these services as part of our bundled service offerings to residential customers that subscribe to high-speed internet service within our cable distribution footprint and to a limited group of small business high-speed internet customers on similar terms. Customers may choose to pay for services on an unlimited data plan, shared data plans, or per gigabyte of data used. Customers have the ability to bring their own device or purchase them from us with the option to pay upfront or finance the purchase interest-free over 24 months.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there were 2.8 million activated wireless lines that were subscribed to our wireless services. Individual customer relationships may have multiple lines.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Cable Communications offers a variety of products and services to businesses. High-speed internet services provide downstream speeds that range up to 1 Gbps and fiber-based speeds that range up to 100 Gbps. Our service offerings for small business locations primarily include high-speed internet services, as well as voice and video services, that are similar to those provided to residential customers, cloud-based cybersecurity services, wireless backup connectivity, advanced Wi-Fi solutions, video monitoring services and cloud-based services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along with video solutions that serve hotels and other large venues. In addition, we provide cellular backhaul services to mobile network operators to help them manage their network bandwidth.</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Cable Communications has expanded its service offerings to include a software-defined networking product for medium-sized and enterprise customers. Larger enterprises may also receive support services related to Wi-Fi networks, router management, network security, business continuity risks and other services. These service offerings are primarily provided to Fortune 1000 companies and other large enterprises with multiple locations both within and outside of Cable Communications’ cable distribution footprint, where we have agreements with other companies to use their networks to provide coverage outside of our service areas.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Cable Communications’ distribution agreements with cable networks, we generally receive an allocation of scheduled advertising time that is sold through our advertising business to local, regional and national advertisers. In most cases, the available advertising units are sold by our sales force. In some cases, we work with representation firms as an extension of our sales force to sell a portion of the advertising units allocated to us. Cable Communications also represents the advertising sales efforts of other multichannel video providers in some markets. In addition, we generate revenue from the sale of advertising on our digital platforms. We also provide technology, tools, data-driven services and marketplace solutions to customers in the media industry, which allow advertisers to more effectively engage with their target audiences.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Communications offers security and automation services that provide home monitoring services and the ability to manage other functions within the home, such as lighting and room temperature, through our online portal, mobile apps or the X1 platform. We also license our technology platforms to other multichannel video providers.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Communications’ cable distribution system uses a hybrid fiber-optic and coaxial cable network that we believe is sufficiently flexible and scalable to support our future technology requirements. This network provides the two-way transmissions that are essential to providing high-speed internet services, interactive video services such as On Demand, voice services, and security and automation services.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328"/>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Communications continues to focus on technology initiatives to design, develop and deploy next-generation media and content delivery platforms, such as the X1 platform and related cloud DVR technology, and Flex, which use IP technology and our own cloud network servers to deliver video and advanced search capabilities, including through a voice-activated remote control, and that provide access to certain DTC streaming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Communications continues to deploy 1 Gbps high-speed internet services that leverage DOCSIS 3.1 technology across its footprint and will continue to expand the capacity of its DOCSIS 3.1 infrastructure, including the implementation of DOCSIS FDX that will enable multi-gigabit services to be launched through our hybrid fiber-optic and coaxial cable network.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Communications licenses software products for our high-speed internet services, such as email and security software, and content, such as news feeds for its online portal, from a variety of suppliers. Under the contracts with these suppliers, we generally pay on a fixed-fee basis, on a per subscriber basis in the case of software product licenses or on a video advertising revenue share basis in the case of content licenses.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offer video services, Cable Communications licenses a substantial portion of programming from cable and broadcast networks, as well as from local broadcast television stations. We attempt to secure long-term programming distribution agreements with these programming providers. The fees associated with these programming distribution agreements are generally based on the number of subscribers who are able to watch the programming and the platforms on which the content is provided. We seek to include in distribution agreements the rights to offer such programming through multiple delivery platforms, such as through our On Demand service, online portal, mobile apps and streaming services.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voice services, software products such as voicemail and text messaging are licensed from a variety of suppliers under multiyear contracts. The fees paid are generally based on the consumption of the related services.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wireless services, we have an MVNO agreement that allows us to offer services using Verizon’s wireless network and we purchase from a limited number of suppliers a significant number of wireless handsets, tablets and smart watches that we sell to wireless customers.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Cable Communications purchases from a limited number of suppliers a significant number of set-top boxes and certain other customer premise equipment, network equipment and services to provide services to residential and business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Cable Communications uses two primary vendors to provide customer billing for our residential and business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Cable Communications’ customer service teams provide 24/7 call-answering capability, telemarketing and other services. Our technical services group performs various tasks, including installations, plant maintenance and upgrades to its cable distribution system.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Cable Communications offers services directly to residential and business customers through its customer service teams, retail stores, customer service centers, websites, door-to-door selling, telemarketing, and third-party outlets, as well as through advertising via direct mail, television and the internet.</w:t>
      </w:r>
    </w:p>
    <w:p>
      <w:pPr>
        <w:spacing w:after="0" w:line="200" w:lineRule="exact"/>
        <w:rPr>
          <w:sz w:val="20"/>
          <w:szCs w:val="20"/>
          <w:color w:val="auto"/>
        </w:rPr>
      </w:pPr>
    </w:p>
    <w:p>
      <w:pPr>
        <w:spacing w:after="0" w:line="387"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Networks consists of a diversified portfolio of national cable networks that provide a variety of entertainment, news and information, and sports content; regional sports and news networks; international cable networks and cable television studio production operations. It also owns various digital properties, which include brand-aligned websites.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NBCUniversal’s national cable networks and their advertising reach to U.S. households.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Approximate U.S.</w:t>
            </w:r>
          </w:p>
        </w:tc>
        <w:tc>
          <w:tcPr>
            <w:tcW w:w="7040" w:type="dxa"/>
            <w:vAlign w:val="bottom"/>
          </w:tcPr>
          <w:p>
            <w:pPr>
              <w:spacing w:after="0"/>
              <w:rPr>
                <w:sz w:val="16"/>
                <w:szCs w:val="16"/>
                <w:color w:val="auto"/>
              </w:rPr>
            </w:pPr>
          </w:p>
        </w:tc>
      </w:tr>
      <w:tr>
        <w:trPr>
          <w:trHeight w:val="189"/>
        </w:trPr>
        <w:tc>
          <w:tcPr>
            <w:tcW w:w="2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Households as of</w:t>
            </w:r>
          </w:p>
        </w:tc>
        <w:tc>
          <w:tcPr>
            <w:tcW w:w="7040" w:type="dxa"/>
            <w:vAlign w:val="bottom"/>
          </w:tcPr>
          <w:p>
            <w:pPr>
              <w:spacing w:after="0"/>
              <w:rPr>
                <w:sz w:val="16"/>
                <w:szCs w:val="16"/>
                <w:color w:val="auto"/>
              </w:rPr>
            </w:pPr>
          </w:p>
        </w:tc>
      </w:tr>
      <w:tr>
        <w:trPr>
          <w:trHeight w:val="150"/>
        </w:trPr>
        <w:tc>
          <w:tcPr>
            <w:tcW w:w="2340" w:type="dxa"/>
            <w:vAlign w:val="bottom"/>
          </w:tcPr>
          <w:p>
            <w:pPr>
              <w:spacing w:after="0"/>
              <w:rPr>
                <w:sz w:val="13"/>
                <w:szCs w:val="13"/>
                <w:color w:val="auto"/>
              </w:rPr>
            </w:pPr>
          </w:p>
        </w:tc>
        <w:tc>
          <w:tcPr>
            <w:tcW w:w="18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December 31, 2020</w:t>
            </w:r>
          </w:p>
        </w:tc>
        <w:tc>
          <w:tcPr>
            <w:tcW w:w="7040" w:type="dxa"/>
            <w:vAlign w:val="bottom"/>
          </w:tcPr>
          <w:p>
            <w:pPr>
              <w:spacing w:after="0"/>
              <w:rPr>
                <w:sz w:val="13"/>
                <w:szCs w:val="13"/>
                <w:color w:val="auto"/>
              </w:rPr>
            </w:pPr>
          </w:p>
        </w:tc>
      </w:tr>
      <w:tr>
        <w:trPr>
          <w:trHeight w:val="238"/>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Cable Network</w:t>
            </w:r>
          </w:p>
        </w:tc>
        <w:tc>
          <w:tcPr>
            <w:tcW w:w="8900" w:type="dxa"/>
            <w:vAlign w:val="bottom"/>
            <w:tcBorders>
              <w:bottom w:val="single" w:sz="8" w:color="auto"/>
            </w:tcBorders>
            <w:gridSpan w:val="2"/>
          </w:tcPr>
          <w:p>
            <w:pPr>
              <w:ind w:left="1000"/>
              <w:spacing w:after="0" w:line="237" w:lineRule="exact"/>
              <w:rPr>
                <w:sz w:val="20"/>
                <w:szCs w:val="20"/>
                <w:color w:val="auto"/>
              </w:rPr>
            </w:pPr>
            <w:r>
              <w:rPr>
                <w:rFonts w:ascii="Times New Roman" w:cs="Times New Roman" w:eastAsia="Times New Roman" w:hAnsi="Times New Roman"/>
                <w:sz w:val="14"/>
                <w:szCs w:val="14"/>
                <w:color w:val="auto"/>
              </w:rPr>
              <w:t>(in millions)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Description of Programming</w:t>
            </w:r>
          </w:p>
        </w:tc>
      </w:tr>
      <w:tr>
        <w:trPr>
          <w:trHeight w:val="21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Network</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entertainment</w:t>
            </w: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and pop culture</w:t>
            </w: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Syfy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Imagination-based entertainment</w:t>
            </w: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Bravo</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culture and arts</w:t>
            </w: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MSNBC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News, political commentary and information</w:t>
            </w: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CNBC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and financial news</w:t>
            </w: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Sports Network</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w:t>
            </w: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Oxygen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Crime, mystery and suspense for women</w:t>
            </w: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Channel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competition and golf entertainment</w:t>
            </w: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Universal Kids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Children’s entertainment</w:t>
            </w: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Olympic Channel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 sports events and Olympic-themed original content</w:t>
            </w:r>
          </w:p>
        </w:tc>
      </w:tr>
      <w:tr>
        <w:trPr>
          <w:trHeight w:val="238"/>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CNBC World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financial news</w:t>
            </w:r>
          </w:p>
        </w:tc>
      </w:tr>
    </w:tbl>
    <w:p>
      <w:pPr>
        <w:spacing w:after="0" w:line="126" w:lineRule="exact"/>
        <w:rPr>
          <w:sz w:val="20"/>
          <w:szCs w:val="20"/>
          <w:color w:val="auto"/>
        </w:rPr>
      </w:pPr>
    </w:p>
    <w:p>
      <w:pPr>
        <w:jc w:val="both"/>
        <w:ind w:left="260" w:hanging="252"/>
        <w:spacing w:after="0" w:line="255" w:lineRule="auto"/>
        <w:tabs>
          <w:tab w:leader="none" w:pos="25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Household data is based on The Nielsen Company’s December 2020 Household Universe Estimate report. The Nielsen report includes estimates based on subscribers to both traditional and certain virtual multichannel video providers. The Nielsen report is not based on information provided by us and is included solely to permit comparisons between our cable networks and those operated by our peers. We understand that the Nielsen Company’s ability to collect in-home data may have been disrupted as a result of COVID-19, which may have impacted its estimated household data as of December 2020.</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regional sports and news networks together serve more than 25 million households across the United States, including in markets such as Baltimore/Washington, Boston, Chicago, Philadelphia, Portland, Sacramento and San Francisco.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generated primarily from the distribution and licensing of programming and from the sale of advertising on our networks and digital properties. We market and distribute cable network programming in the United States and internationally to multichannel video providers, including both traditional providers of linear programming and virtual providers who provide streaming services for linear programming. These distributors may provide the content on television, including via video on demand services, online and through mobile apps.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Cable Networks programming includes owned content and content licensed from third parties, including sports rights that are discussed below under the heading “Broadcast Television.” NBCUniversal’s cable television studio production operations identify, develop and produce original content for our own cable networks and third parties. We license owned content to cable and broadcast networks and to DTC streaming service providers, including Peacock. We also sell owned content on standard-definition DVDs and Blu-ray discs (together, “DVDs”) and through digital distribution services such as iTunes.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Broadcast Television operates the NBC and Telemundo broadcast networks, which together reach viewers and advertisers in all 50 states, as well as our owned NBC and Telemundo local broadcast television stations, the NBC Universo national cable network, broadcast television studio production operations, and various digital properties, which primarily include brand-aligned websites. Revenue is generated primarily from the sale of advertising on our networks and digital properties, from licensing content, and from the fees received under retransmission consent agreements and associated fees received from NBC-affiliated and Telemundo-affiliated local broadcast television stations.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328"/>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6EBF"/>
        </w:rPr>
        <w:t>NBC Network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NBC network distributes entertainment, news and sports programming that reaches viewers in virtually all U.S. television households through more than 200 affiliated stations across the United States, including NBCUniversal’s 11 owned NBC-affiliated local broadcast television stations.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NBC network programming includes owned content and content licensed from third parties. NBCUniversal has various contractual commitments for the licensing of rights to multiyear programming, primarily sports rights. The most significant sports rights commitments include the U.S. broadcast rights for the summer and winter Olympic Games through 2032 and agreements with the NFL to produce and broadcast a specified number of regular season and playoff games, including </w:t>
      </w:r>
      <w:r>
        <w:rPr>
          <w:rFonts w:ascii="Times New Roman" w:cs="Times New Roman" w:eastAsia="Times New Roman" w:hAnsi="Times New Roman"/>
          <w:sz w:val="18"/>
          <w:szCs w:val="18"/>
          <w:i w:val="1"/>
          <w:iCs w:val="1"/>
          <w:color w:val="auto"/>
        </w:rPr>
        <w:t>Sunday Night Football</w:t>
      </w:r>
      <w:r>
        <w:rPr>
          <w:rFonts w:ascii="Times New Roman" w:cs="Times New Roman" w:eastAsia="Times New Roman" w:hAnsi="Times New Roman"/>
          <w:sz w:val="18"/>
          <w:szCs w:val="18"/>
          <w:color w:val="auto"/>
        </w:rPr>
        <w:t xml:space="preserve"> through the 2022-23 season and the Super Bowl in 2022. We also have U.S. broadcast rights to a specified number of NHL games through the 2020-21 season, English Premier League soccer through the 2021-22 season, certain NASCAR events through 2024 and certain PGA TOUR and other golf events through 2030. NBCUniversal’s sports rights agreements also include the rights to distribute content on our national cable networks, including the NBC Sports Network and Golf Channel, on our regional sports networks, online, including through mobile apps, and on Peacock.</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broadcast television studio production operations develop and produce original content, including scripted and unscripted television series and talk shows. We license this content to broadcast networks, cable networks and local broadcast television stations owned by NBCUniversal and third parties, as well as to DTC streaming service providers, including Peacock, and it is sold on DVDs and through digital distribution services both in the United States and internationally. The broadcast television studio production operations also produce first-run syndicated shows for local markets that are broadcast on local broadcast television stations in the United States on a market-by-market basis. We also license some of our content after the initial broadcast, as well as older television programs from the library, to local broadcast television stations and cable networks in the off-network syndication market.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 Local Broadcast Television Stations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NBCUniversal owned and operated 11 NBC-affiliated local broadcast television stations, including stations in 8 of the top 10 general markets, that collectively reached approximately 30 million U.S. television households and represent approximately 29% of U.S. television households. In addition to broadcasting the NBC network’s national programming, our local broadcast television stations produce news, sports, public affairs and other content that addresses local needs and license content from other 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Telemundo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Telemundo is a leading Hispanic media company that produces, licenses and distributes Spanish-language content in the United States and internationally.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Telemundo’s operations include the Telemundo network, 30 owned local broadcast television stations and the NBC Universo national cable network.</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Telemundo network is a leading Spanish-language broadcast network featuring original telenovelas, movies, news, specials and sporting events. Telemundo produces original content through its production studio and also licenses the rights to use content owned by third parties. We license the Spanish-language U.S. broadcast rights to FIFA World Cup soccer through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 Local Broadcast Television Stations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Telemundo owned 30 local broadcast television stations affiliated with the Telemundo network, including an independent television station in Puerto Rico and stations in 19 of the top 20 U.S. Hispanic markets, which collectively reached approximately 72% of U.S. Hispanic television households as of December 31, 2020.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Filmed Entertainment primarily produces, acquires, markets and distributes filmed entertainment worldwide. It also includes Fandango, a movie ticketing and entertainment business, our consumer products business and our live stage production business. We also distribute filmed entertainment produced by third parties.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Filmed Entertainment produces content both alone and jointly with other studios or production companies, as well as with other entities. NBCUniversal’s films are produced primarily under the Universal Pictures, Illumination, DreamWorks Animation and Focus Features names. Films are marketed and distributed worldwide primarily through NBCUniversal’s own marketing and distribution operations. Filmed Entertainment also acquires distribution rights to films produced by others, which may be limited to particular geographic regions, specific forms of media or certain periods of time. Filmed Entertainment’s content</w:t>
      </w:r>
    </w:p>
    <w:p>
      <w:pPr>
        <w:spacing w:after="0" w:line="200" w:lineRule="exact"/>
        <w:rPr>
          <w:sz w:val="20"/>
          <w:szCs w:val="20"/>
          <w:color w:val="auto"/>
        </w:rPr>
      </w:pPr>
    </w:p>
    <w:p>
      <w:pPr>
        <w:spacing w:after="0" w:line="301"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theatrical films, direct-to-video movies and a film library, which is comprised of more than 5,000 movies in a variety of genres.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Filmed Entertainment has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films are initially distributed for exhibition in movie theaters. Beginning in 2020, certain titles are also made available for viewing on demand following a shortened theatrical release window. After their initial release, we sell and license films through various methods. We distribute films globally by selling them on DVDs to retail stores and rental kiosks, and through digital distribution services. We also license films, including selections from the film library, to cable, broadcast and premium networks, to DTC streaming service providers, including Peacock, and to video on demand and pay-per-view services provided by multichannel video providers, including the Cable Communications and Sky segments. The number of films licensed through DTC streaming service providers is increasing as consumers continue to seek additional ways to view Filmed Entertainment’s content.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Theme Parks consists primarily of Universal theme parks in Orlando, Florida; Hollywood, California; and Osaka, Japan. Universal Orlando includes two theme parks, Universal Studios Florida and Universal’s Islands of Adventure, and our water park, Volcano Bay. Universal Orlando also includes Universal CityWalk Orlando, a dining, retail and entertainment complex, and features on-site themed hotels in which we own a noncontrolling interest. We are developing an additional theme park at Universal Orlando named Universal’s Epic Universe; however, we have temporarily delayed construction in response to COVID-19. The Universal theme park in Hollywood, California consists primarily of Universal Studios Hollywood, as well as Universal CityWalk Hollywood. The Universal theme park in Osaka, Japan consists primarily of Universal Studios Japan. We are also developing Universal Beijing Resort, a theme park in Beijing, China, along with a consortium of Chinese state-owned companies that we expect will open in 2021. In addition, Theme Parks licenses the right to use the Universal Studios brand name and other intellectual property, and also provides other services, to third parties that own and operate the Universal Studios Singapore theme park on Sentosa Island, Singapore.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generated primarily from guest spending at Universal theme parks in Orlando, Florida; Hollywood, California; and Osaka, Japan. Theme Parks licenses the right to use a substantial amount of intellectual property from third parties for its themed elements in rides, attractions and merchandising.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Sky is one of Europe’s leading </w:t>
      </w:r>
      <w:r>
        <w:rPr>
          <w:rFonts w:ascii="Times New Roman" w:cs="Times New Roman" w:eastAsia="Times New Roman" w:hAnsi="Times New Roman"/>
          <w:sz w:val="18"/>
          <w:szCs w:val="18"/>
          <w:color w:val="161616"/>
        </w:rPr>
        <w:t>entertainment companies operating in six territories, including three of the largest pay television markets in Western Europe: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61616"/>
        </w:rPr>
        <w:t xml:space="preserve">the United Kingdom, Italy and Germany. The majority of revenue is derived from Sky’s direct-to-consumer business, which has 23.9 million customer relationships, and primarily involves the distribution of a wide array of video channels to both residential and business customers. Sky </w:t>
      </w:r>
      <w:r>
        <w:rPr>
          <w:rFonts w:ascii="Times New Roman" w:cs="Times New Roman" w:eastAsia="Times New Roman" w:hAnsi="Times New Roman"/>
          <w:sz w:val="18"/>
          <w:szCs w:val="18"/>
          <w:color w:val="000000"/>
        </w:rPr>
        <w:t>owns a diverse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 xml:space="preserve">portfolio of pay television channels that offer entertainment, news, sports and movies, which are included in Sky’s subscription video services and are also licensed through various distribution partnerships to third-party video providers that reach an additional 3.7 million households. </w:t>
      </w:r>
      <w:r>
        <w:rPr>
          <w:rFonts w:ascii="Times New Roman" w:cs="Times New Roman" w:eastAsia="Times New Roman" w:hAnsi="Times New Roman"/>
          <w:sz w:val="18"/>
          <w:szCs w:val="18"/>
          <w:color w:val="161616"/>
        </w:rPr>
        <w:t xml:space="preserve">Sky also provides high-speed </w:t>
      </w:r>
      <w:r>
        <w:rPr>
          <w:rFonts w:ascii="Times New Roman" w:cs="Times New Roman" w:eastAsia="Times New Roman" w:hAnsi="Times New Roman"/>
          <w:sz w:val="18"/>
          <w:szCs w:val="18"/>
          <w:color w:val="000000"/>
        </w:rPr>
        <w:t>internet, voice and wireless phone services in select countries. Sky’s video, high-speed internet, voice and wireless phone services may be purchased</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individually or in bundles.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61616"/>
        </w:rPr>
        <w:t xml:space="preserve">Sky’s direct-to-consumer video services include a direct-to-home (“DTH”) video service delivered through a combination of both satellite transmission and broadband connection and are marketed under the Sky brand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161616"/>
        </w:rPr>
        <w:t xml:space="preserve"> the United Kingdom, Ireland, Italy, Germany and Austria. Sky also offers a DTC streaming </w:t>
      </w:r>
      <w:r>
        <w:rPr>
          <w:rFonts w:ascii="Times New Roman" w:cs="Times New Roman" w:eastAsia="Times New Roman" w:hAnsi="Times New Roman"/>
          <w:sz w:val="18"/>
          <w:szCs w:val="18"/>
          <w:color w:val="000000"/>
        </w:rPr>
        <w:t>service providing video content over the internet which is marketed as a distinct brand in these countries, as well as in Switzerland</w:t>
      </w:r>
      <w:r>
        <w:rPr>
          <w:rFonts w:ascii="Times New Roman" w:cs="Times New Roman" w:eastAsia="Times New Roman" w:hAnsi="Times New Roman"/>
          <w:sz w:val="18"/>
          <w:szCs w:val="18"/>
          <w:color w:val="161616"/>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Sky’s DTH video service is sold directly to customers in packages that include a diverse selection of Sky’s owned entertainment and sports channels, channels owned by third parties and local free-to-air public broadcasting channels. In addition to live-linear content, Sky’s platform also provides access to On Demand and current and prior season libraries for certain television shows. Sky’s service offerings are tailored by country, with separate packages offered in each market. Basic packages include over 90 pay television channels in the United Kingdom and Ireland, over 50 channels in Italy, and over 25 channels in Germany and Austria. Specialty tiers for children’s, sports, movie and HD programming are available for additional</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328"/>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fees. Sky’s services also have pay-per-view programming for certain live sporting events and allow customers, as well as those without a subscription, to buy or rent programming for a fee.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Sky’s DTH video service is primarily distributed to customers through a set-top box video platform, including through Sky Q, which is Sky’s next-generation video platform. Customers have the ability to record several shows at once, to download content and recordings to watch offline on compatible devices, and for Sky Q households, to pause programming in one room and continue watching in another. Through the Sky Q platform, customers have integrated search functionality, including the use of a voice-activated remote control; personalized recommendations; and access to and the integration of content from DTC streaming services such as Amazon Prime Video, Discovery+, Disney+, Netflix and YouTube, and a variety of other internet-based apps providing content and music.</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Sky’s DTC streaming service offers packages for purchase ranging from daily to monthly access to entertainment, sports, movies and children’s programming. The entertainment package includes Sky’s owned entertainment channels and a broad range of On Demand programming series. The sports package provides access to Sky’s owned sports channels and the movie package includes access to a library of films. The children’s package includes thousands of hours of child-friendly on demand programming.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those who subscribe to Sky’s DTC streaming service, customers generally are required to subscribe for an initial contractual term of at least 1 year and may only discontinue service in accordance with the terms of their contracts. Subscription rates and related charges vary according to the services and features customers receive and the types of equipment they use, and customers are typically billed in advance on a monthly basis.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Sky’s owned entertainment channels include Sky One, Sky Arts and Sky Atlantic in the United Kingdom and Ireland; Sky Atlantic, Sky Uno and Sky Arte in Italy; and Sky Atlantic and Sky 1 in Germany and Austria. Sky also owns premium sports channels under the Sky Sports brand and premium movie channels under the Sky Cinema brand, including family and children’s movie channels. Sky also broadcasts several Sky branded free-to-air channels, including Sky News and Sky Arts in the United Kingdom and Ireland, Sky TG24 in Italy and Sky Sport News in Germany.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Sky licenses the rights to use content for owned channels from third parties, in some cases on an exclusive basis. Sky has various contractual commitments for the licensing of rights to multiyear programming, primarily sports rights and exclusive entertainment content. Our most significant sports rights commitments include the U.K. broadcast rights for English Premier League soccer games through 2022; German broadcast rights to Bundesliga through 2025 and Union des Associations Européennes de Football Champions League (“UCL”) through 2021; and Italian broadcast rights to UCL and Lega Nazionale Professionisti Serie A through 2021. Our most significant commitments for the license of entertainment content include exclusive rights with HBO, Showtime, Warner Bros., NBCUniversal and Sony. Sky is also increasingly creating and investing in original scripted content that is broadcast across all of its territories and sold to other markets.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including owned channels as part of its video services, Sky distributes some of its owned channels on third-party platforms through both wholesale arrangements and arrangements with partners who distribute Sky’s owned channels as agents to their respective customer bases. Additionally, Sky licenses owned and licensed content to third-party video providers and Peacock.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Sky sells advertising and sponsorships across its owned television channels and where it represents the sales efforts of third-party channels. Sky also sells advertising on its digital platforms and offers various technology, tools and solutions relating to its advertising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Services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Sky offers high-speed internet and voice services in the United Kingdom and Ireland. Sky offers fiber-to-the-cabinet, standard copper digital subscriber line (“DSL”) broadband and fiber-to-the-home (“FTTH”) services, with download speeds up to 160 megabits per second in the United Kingdom and up to 1 Gbps in Ireland. In the United Kingdom, Sky uses a combination of its own core fiber network and wholesaling arrangements over third-party telecommunication providers’ networks as the core network and also accesses the “last mile” network from third-party network operators for a fee to provide its services to customers. In Italy, Sky launched FTTH services in June 2020 using Open Fiber’s network to provide high-speed internet access and voice services. Sky offers wireless phone services to customers in the United Kingdom using a combination of its own core fiber network and an arrangement to access network assets from Telefónica.</w:t>
      </w:r>
    </w:p>
    <w:p>
      <w:pPr>
        <w:spacing w:after="0" w:line="200" w:lineRule="exact"/>
        <w:rPr>
          <w:sz w:val="20"/>
          <w:szCs w:val="20"/>
          <w:color w:val="auto"/>
        </w:rPr>
      </w:pPr>
    </w:p>
    <w:p>
      <w:pPr>
        <w:spacing w:after="0" w:line="306"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Sources of Supply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majority of customers, Sky’s DTH video platform is delivered via one-way digital satellite transmission for the distribution of linear television channels, augmented by a set-top box with local DVR storage and high speed two-way broadband connectivity to provide access to a broad range of On Demand and other services. The Sky platform also incorporates Wi-Fi connectivity for in-home distribution enabling wireless multi-room consumption, and Sky has also developed a range of back-end and client software applications that provide customers with access to its content across multiple third-party devices and On Demand in and out of the home. Sky’s DTC streaming service is delivered via the internet.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 continues to focus on technology initiatives to design, develop and deploy next-generation media and content delivery platforms, including Sky Q and Sky’s DTC streaming service, that deliver video content, provide advanced search capabilities, including through a voice-activated remote control, and provide access to certain other DTC streaming services.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Sky relies on various telecommunications providers to deliver video, high-speed internet, voice and wireless phone services to its customers. For example, Sky relies on satellites leased from third parties to provide most of its video services. In addition, pursuant to the current regulatory regime in the United Kingdom, Ireland and Italy, Sky is able to access networks owned by third-party telecommunication providers for a fee to provide its high-speed internet and voice services in many cases, on regulated terms. Additionally, Sky purchases from a limited number of suppliers a significant number of set-top boxes and certain other customer premise equipment to provide its video and high-speed internet services. Sky also purchases from a limited number of suppliers a significant number of wireless handsets, tablets and smart watches that are sold to customers who receive our wireless phone services.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offer video services, in addition to its owned channels, Sky licenses programming from third-parties that operate television channels. Sky attempts to secure long-term programming distribution agreements with these providers. The fees associated with these distribution agreements are generally based on the number of customers who are able to watch the programming and the platforms on which Sky provides the content. Sky seeks to include in distribution agreements the rights to offer such programming through multiple delivery platforms, such as through On Demand services, mobile apps and DTC streaming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Home Services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Sky’s customer service operations are increasingly a digital first offering. The home service group performs various tasks, including installing, servicing and performing upgrades of customer premise equipment.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Sky offers direct-to-consumer services to retail customers through customer service call centers, websites, telemarketing, a limited number of retail outlets, as well as through advertising via direct mail, television and the internet.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 including Peacock.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Peacock is our new premium ad-supported direct-to-consumer video on demand streaming service featuring NBCUniversal content including exclusive Peacock originals, current NBC and Telemundo shows, news, late-night comedy, live sports and a library of television shows and movies, providing customers access to tens of thousands of hours of programming. Customers have the choice of three tiers of service: a free, ad-supported version; a subscription based, ad-supported version with access to all Peacock content; and a similar subscription-based, ad-free version. The subscription-based, ad-supported version is offered to Cable Communications X1 and Flex customers and similar customers at Cox Communications for no additional charge. In addition to NBCUniversal’s owned content, Peacock also includes content licensed from third parties.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color w:val="auto"/>
        </w:rPr>
        <w:t>Competition</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high-speed internet services more important to consumers. In addition, the increasing number of entertainment choices available to consumers has intensified audience fragmentation and disaggregated the way that content traditionally has been viewed by consumers. This increase has caused and likely will continue to cause audience ratings declines at our programming channels.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Competition for Cable Communications’ services consists primarily of phone companies with fiber-based networks and direct broadcast satellite (“DBS”) providers that typically offer features, pricing and packaging for services comparable to ours.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Cable Communications competes with a number of companies offering internet services, including:</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wireline phone companies and other providers of wireline internet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phone companies and other providers of wireless internet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 broadband networks and power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broadband providers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Phone companies such as AT&amp;T, Frontier, Lumen and Verizon have built and are continuing to build fiber-based network infrastructure farther into their networks, which allows them to provide data transmission speeds that exceed those that can be provided with traditional DSL technology, and are offering these higher-speed services in many of our service areas. Certain companies that offer DSL service have increased data transmission speeds, lowered prices or created bundled services to compete with our high-speed internet services.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other companies have launched FTTH networks that provide high-speed internet services in a limited number of areas in which we operate, and certain municipalities in our service areas are also building fiber-based networks.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wireless companies are offering internet services using a variety of network types, including 3G and 4G, and 5G which continues to be available only in limited locations, wireless broadband services and Wi-Fi networks. These networks work with devices such as smartphones, laptops, tablets and mobile and fixed wireless routers, as well as wireless data cards. Numerous local governments are also considering or actively pursuing publicly subsidized Wi-Fi and other internet access networks. The availability of wireless and other offerings could negatively impact the demand for our high-speed internet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Cable Communications competes with a number of different sources in the United States that provide news, sports, information and entertainment programming to consumers, including:</w:t>
      </w:r>
    </w:p>
    <w:p>
      <w:pPr>
        <w:spacing w:after="0" w:line="54"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DBS providers, including AT&amp;T’s DIRECTV and DISH Network, that transmit satellite signals to substantially all U.S. households to provide video programming and other information similar to our video services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companies, including AT&amp;T and Verizon, that have built and continue to build fiber-based networks that provide services similar to ours, which overlap a substantial portion of our service areas, and that in some cases provide bundled offerings that include wireless phone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streaming and other over-the-top (“OTT”) service providers including:</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subscription-based services, such as Amazon Prime Video, Apple TV+, Disney+, HBO Max, Hulu and Netflix, that offer online services and devices that enable internet streaming and downloading of movies, television shows and other video programming</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hanging="320"/>
        <w:spacing w:after="0" w:line="282" w:lineRule="auto"/>
        <w:tabs>
          <w:tab w:leader="none" w:pos="13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multichannel video providers who offer streaming services for linear programming that generally involve smaller packages of programming networks at prices lower than our traditional video service package offerings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that build and operate wireline communications systems in the same communities that we serve, including those operating as franchised cable operators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master antenna television systems that offer to their subscribers both improved reception of local broadcast television stations and much of the programming offered by our cable systems and generally serve multiple dwelling units (“MDUs”), office complexes and residential developments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such as local broadcast television stations, that provide multiple channels of free over-the-air programming, as well as video rental services and home entertainment and gaming products</w:t>
      </w:r>
    </w:p>
    <w:p>
      <w:pPr>
        <w:spacing w:after="0" w:line="54" w:lineRule="exact"/>
        <w:rPr>
          <w:sz w:val="20"/>
          <w:szCs w:val="20"/>
          <w:color w:val="auto"/>
        </w:rPr>
      </w:pPr>
    </w:p>
    <w:p>
      <w:pPr>
        <w:ind w:right="980"/>
        <w:spacing w:after="0" w:line="374" w:lineRule="auto"/>
        <w:rPr>
          <w:sz w:val="20"/>
          <w:szCs w:val="20"/>
          <w:color w:val="auto"/>
        </w:rPr>
      </w:pPr>
      <w:r>
        <w:rPr>
          <w:rFonts w:ascii="Times New Roman" w:cs="Times New Roman" w:eastAsia="Times New Roman" w:hAnsi="Times New Roman"/>
          <w:sz w:val="18"/>
          <w:szCs w:val="18"/>
          <w:color w:val="auto"/>
        </w:rPr>
        <w:t xml:space="preserve">Many of these competitors also have significant financial resources and have further intensified competition through mergers and acquisitions. </w:t>
      </w:r>
      <w:r>
        <w:rPr>
          <w:rFonts w:ascii="Arial" w:cs="Arial" w:eastAsia="Arial" w:hAnsi="Arial"/>
          <w:sz w:val="18"/>
          <w:szCs w:val="18"/>
          <w:b w:val="1"/>
          <w:bCs w:val="1"/>
          <w:color w:val="auto"/>
        </w:rPr>
        <w:t>Voice</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Cable Communications competes with wireline and wireless phone companies, including incumbent local exchange carriers (“ILECs”) and competitive local exchange carriers (“CLECs”), and other internet-based and VoIP service providers. Certain phone companies, such as the ILECs AT&amp;T and Verizon, have longstanding customer relationships, and extensive existing facilities and network rights-of-way. A few CLECs also have existing local networks and significant financial resources. In addition, we are increasingly competing with other phone service providers as customers replace traditional wireline phone services with wireless and internet-based phone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Cable Communications competes with national wireless phone service providers in the United States, including AT&amp;T and Verizon, which offer wireless service on both a standalone basis or along with other services as bundled offerings, as well as regional providers of wireless communications services.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Cable Communications primarily competes with a variety of phone companies, including ILECs and CLECs and wide area network managed service providers. These companies either operate their own network infrastructure or use all or part of another carrier’s network. We also compete with satellite operators who offer video services to businesses and VoIP companies that target businesses of all sizes. Our video monitoring services compete with companies that provide video surveillance services that use both traditional and cloud-based/digital solutions.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NBCUniversal’s cable networks, broadcast networks and owned local broadcast television stations compete for viewers’ attention and audience share with all forms of programming provided to viewers, including cable, broadcast and premium networks; DTC streaming and other OTT service providers; local broadcast television stations; home entertainment products; pay-per-view and video on demand services; online activities, such as social networking and viewing user-generated content; gaming products; and other forms of entertainment, news and information.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NBCUniversal’s cable networks, broadcast networks and owned local broadcast television stations compete for the acquisition of content and for on-air and creative talent with other cable and broadcast networks, DTC streaming service providers, and local television stations. The market for content is very competitive, particularly for sports rights, where the cost for such content is significant.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NBCUniversal’s cable networks compete with other cable networks and programming providers for carriage of their programming by multichannel video providers and DTC streaming and other OTT service providers. Our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NBCUniversal’s cable television and broadcast television studio production operations compete with other production companies and creators of content for the acquisition of story properties, for creative, performing and technical personnel, and for distribution of, and consumer interest in, their content.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Filmed Entertainment competes for audiences for films and other entertainment content with other major studios and independent film producers, as well as with alternative forms of entertainment. The competitive position of Filmed Entertainment primarily depends on the number of films produced, their distribution and marketing success, and consumer response. Filmed Entertainment also competes to obtain creative, performing and technical talent, including writers, actors, directors and producers, as well as scripts for films. We also compete with the other major studios and other producers of entertainment content for the exhibition of films in theaters and on demand, and the distribution of films on premium networks, and with DTC streaming and other OTT service providers.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Theme Parks competes with other multi-park entertainment companies as well as other providers of entertainment, lodging, tourism and recreational activities. To help maintain the competitiveness of our theme parks, we have invested and continue to invest significant amounts in existing and new theme park attractions, hotels and infrastructure, including the new theme parks in Beijing, China and Orlando, Florida.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Sky competes with a broad range of companies engaged in media, entertainment and communications services in Europe. For video services, Sky competes with cable operators, providers of both paid-for and free-to-air programming, other satellite television providers, digital terrestrial television providers, content aggregators, home entertainment products companies, and other suppliers and providers of news, information, sports and entertainment that deliver DTC and other OTT streaming services. For high-speed internet and wireless services, Sky also competes with service providers making use of new fiber optic networks, telecommunications providers, other internet service providers and companies developing new technologies and devices. Sky’s competitive position may be negatively impacted by an increase in the capacity of, or developments in, the means of delivery competitors use to provide their services as well as lowered prices, product innovations, new technologies or different value creation approaches. Sky also competes with organizations that are publicly funded, in whole or in part, to fulfill a public service broadcasting mandate.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Sky’s owned channels compete for the acquisition of programming content with a wide range of providers, particularly for sports rights, where the cost for such programming is significant.</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Cable Communications, Cable Networks, Broadcast Television, Sky and Peacock compete for the sale of advertising with other television networks and stations, as well as with all other advertising platforms, such as digital, radio and print media. The willingness of advertisers to purchase advertising from us may be adversely affected by lower audience ratings at the related networks, stations or channels. Declines in audience ratings can be caused by increased competition for the leisure time of viewers and by audience fragmentation resulting from the increasing number of entertainment choices available, including content from DTC streaming and other OTT service providers, online media and other digital sources. In addition, advertising revenue is adversely affected by the growing use of technologies, such as DVRs and video on demand services, which give consumers greater flexibility to watch programming on a time-delayed or on-demand basis or to fast-forward or skip advertisements within programming.</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color w:val="auto"/>
        </w:rPr>
        <w:t>Seasonality and Cyclicality</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businesses is typically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and operating costs and expenses (comprised of total costs and expenses, excluding depreciation and amortization expense and other operating gains) are cyclical as a result of our periodic broadcasts of major sporting events, such as the Olympic Games, which affect Cable Networks and Broadcast Television, and the Super Bowl, which affects Broadcast Television. In particular, advertising revenue increases due to increased demand for advertising time for these events and distribution revenue increases in the period of broadcasts of the Olympic Games. Operating costs and expenses also increase as a result of our production costs for these broadcasts and the amortization of the related rights fees.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Revenue in Cable Communications, Cable Networks, Broadcast Television and Sky is also subject to cyclical advertising patterns and changes in viewership levels. Advertising revenue in the United States is generally higher in the second and fourth quarters of each year and in even-numbered years due to increases in consumer advertising in the spring and in the period leading up to and including the holiday season and advertising related to candidates running for political office and issue-oriented advertising, respectively. Revenue in Cable Networks and Broadcast Television fluctuates depending on the timing of when our programming is aired, which typically results in higher advertising revenue in the second and fourth quarters of each year. Advertising revenue at Sky typically has seasonally higher audience levels in winter months and increased competition in the summer during major sporting events where public service broadcasters lease the rights, such as the Olympic Games and the FIFA World Cup</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in Filmed Entertainment fluctuates due to the timing, nature and number of films released in movie theaters, on DVDs, and through various other distribution platforms, including viewing on demand.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Cable Networks, Broadcast Television and Filmed Entertainment also fluctuates due to the timing of when our content is made available to licensees.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Theme Parks fluctuates with changes in theme park attendance that typically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Sky’s results are impacted by the seasonal nature of residential customers receiving our DTH and DTC streaming services, including the start of the new soccer seasons and the Christmas holiday. This generally results in greater net customer relationship additions and higher subscriber acquisition costs in the second half of each year due to higher marketing expenses.</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Exclusive sports rights, such as European soccer, play a key role within Sky’s wider content strategy. In Europe, broadcasting rights for major sports are usually tendered through a competitive auction process, with the winning bidder or bidders acquiring rights over a three to five-year period. This creates some level of cyclicality for Sky, although the staggered timing of major sports rights auctions usually gives Sky time to react to any material changes in the competitive dynamics of the prevailing market. Certain of Sky’s significant sports rights agreements require payments at the start of each season, resulting in increases in sports rights payments in the third and fourth quarter of each year.</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all of our businesses are subject to various federal, state, and local laws and regulations, compliance with certain laws and regulations is most material with respect to our Cable Communications and Broadcast Television businesses in the United States. Specifically, the Communications Act of 1934, as amended (the “Communications Act”), and Federal Communications Commission (“FCC”) regulations and policies affect significant aspects of our cable communications and broadcast businesses in the United States, and these businesses are also subject to other regulation by federal, state and local authorities. In addition, our international businesses are subject to the laws and the jurisdiction of the foreign regulatory authorities where they operate.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Beyond any significant regulations summarized below, 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have been active in considering rulemakings and legislation, at times looking to adopt regulatory approaches from different countries that may be more burdensome, and they, along with some state attorneys general and foreign governmental authorities, have also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 operations and further constrain our ability to compete.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Legislative and regulatory activity may increase with the change in administration following the 2020 U.S. presidential election. For example, the U.S. Congress may consider proposals that address communications issues, including whether it should rewrite the entire Communications Act to account for changes in the communications marketplace, whether it should enact new, permanent open internet/net neutrality requirements, and whether it should fund new broadband infrastructure or broadband connectivity initiatives. Any of these regulations could significantly affect our business and compliance costs. In addition, United States and foreign regulators and courts could adopt new interpretations of existing competition laws or enact new competition laws or regulatory tools that could negatively impact our businesses. With the change in administration, tax legislation could be enacted increasing the federal corporate income tax from the current rate of 21%.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summarize the significant legal and regulatory requirements affecting our businesses.</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Communications-Related Regulations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high-speed internet services are subject to a number of regulations and commitments. The FCC frequently considers imposing new broadband-related regulations such as those relating to an Open Internet. States and localities also consider new broadband-related regulations, including those regarding government-owned broadband networks, net neutrality and connectivity during COVID-19. New broadband regulations, if adopted, may have adverse effects on our businesses. In addition, as an internet service provider (“ISP”), we must implement certain network capabilities to assist law enforcement in conducting surveillance of persons suspected of criminal activity. From time to time, the FCC considers imposing new regulatory obligations on ISPs.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Open Internet Regulations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forms of Open Internet regulations can significantly affect our high-speed internet services. In 2017, the FCC reversed its prior classification of broadband internet access service as a Title II “telecommunications service” under the Communications Act and classified it as an “information service” under Title I. In addition, it eliminated its prior “net neutrality” rules prohibiting ISPs from blocking access to lawful content on the internet; impairing or degrading lawful internet traffic on the basis of content, applications or services (“throttling”); prioritizing certain internet traffic in exchange for consideration or in favor of an affiliate (“paid or affiliated prioritization”); and generally prohibiting ISPs from unreasonably interfering with or unreasonably disadvantaging consumers’ ability to access and use the lawful internet content, applications, services or devices of their choosing or unreasonably interfering with or disadvantaging edge providers’ ability to make lawful content, applications, services or devices available to consumers (“general conduct standard”). The FCC stated that jurisdiction to regulate ISP conduct would rest at the Federal Trade Commission (“FTC”), and it expressly preempted all state Open Internet laws. In addition, the FCC revised the transparency rule to add a requirement that ISPs disclose any blocking and throttling practices, and any paid or affiliated prioritization practices associated with their broadband offerings. We have disclosed that we do not block, throttle or engage in paid or affiliated prioritization, and have committed not to block, throttle or discriminate against lawful content. The FTC has authority to enforce these public commitments, and the FCC has authority to enforce compliance with its transparency rule.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FCC’s 2017 decision was challenged, and in 2019, the U.S. Court of Appeals for the District of Columbia largely upheld the FCC’s decision, including the classification of broadband as a Title I information service and repeal of its prior rules. However, it vacated the FCC’s express preemption of all state Open Internet laws, but noted that state laws may nevertheless be preempted on a case-by-case basis if those regulations conflict with federal law or policy or under other theories and precedent on implied preemption.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states have passed or introduced legislation, or have adopted executive orders, that impose Open Internet requirements in a variety of ways, and new state legislation may be introduced and adopted in the future. Certain of these state initiatives have been challenged in court. Such attempts by the states to regulate have the potential to create differing and/or conflicting state regulations.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FCC under the new Administration likely will revisit the regulatory classification of broadband internet access service and reclassify broadband internet access service as a “telecommunications service,” which would authorize the FCC to subject it to traditional common carriage regulation under Title II of the Communications Act. Under a Title II framework, the FCC could potentially regulate our customer rates, speeds, data usage thresholds or other terms for internet services and could prohibit or seriously restrict arrangements between us and internet content, applications and service providers, including backbone</w:t>
      </w:r>
    </w:p>
    <w:p>
      <w:pPr>
        <w:spacing w:after="0" w:line="200" w:lineRule="exact"/>
        <w:rPr>
          <w:sz w:val="20"/>
          <w:szCs w:val="20"/>
          <w:color w:val="auto"/>
        </w:rPr>
      </w:pPr>
    </w:p>
    <w:p>
      <w:pPr>
        <w:spacing w:after="0" w:line="30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interconnection arrangements. Any FCC action could impact state Open Internet initiatives and related legal challenges, and also could prompt further litigation. Congress may also consider legislation addressing these regulations and the regulatory framework for broadband internet access services. We cannot predict whether or how the rules might be changed, the impact of potential new legislation or the outcome of any litigation.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Broadband Deployment/Infrastructure Initiatives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2018, the FCC adopted a series of orders aimed at removing barriers to the deployment of broadband infrastructure, including the preemption of certain state and local laws or regulations that may unreasonably impede the deployment of wireless broadband networks. Over time, these orders may have the effect of creating regulatory imbalances that favor wireless services over wireline broadband services like our own. We cannot predict the extent to which the FCC might adopt similar orders in the future, whether such future orders would be upheld if appealed, how state or local laws or regulations may be impacted or how such changes may affect our business.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also have been, and may continue to be, broadband-deployment funding initiatives at the federal and state level, including as part of COVID-19 relief efforts, that could subsidize other service providers building networks within our footprint or potentially subsidize expansion of our network to new areas. We cannot predict how such funds will be awarded or the impact of these initiatives on our businesses.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Municipally Owned Broadband Networks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local municipalities operate municipally owned broadband networks and there may be further efforts by local governments to expand or create government-owned networks. Certain states have enacted laws that restrict or prohibit local municipalities from operating municipally owned broadband networks, and there may be efforts in other state legislatures to restrict the development of government-owned networks, although some may choose to ease or facilitate such networks. We cannot predict how successful those efforts will be and how they might affect our businesses.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video marketplace is quickly evolving and continues to become even more competitive, particularly as new DTC streaming and other OTT service providers enter the market at a growing pace. There are a number of laws and regulations that apply solely to multichannel video programming distributors (“MVPDs”) or cable operators, and to cable networks and local broadcast television stations. These laws and regulations can constrain our ability to compete, particularly against new online providers, which are not subject to these same requirements.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Cable Pricing and Packaging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vast majority of our video services, including equipment and installation fees, are no longer subject to rate regulation by the FCC, certain state entities monitor and challenge in court the marketing and advertising of our services, and some have attempted to regulate the service packages we offer and our billing practices. We cannot predict the outcome of any current litigation with state entities or whether other states may pursue similar 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Franchising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require adequate channel capacity, facilities and financial support for public, educational and governmental access programming, and other in-kind contributions.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Communications Act also contains provisions governing the franchising process, including renewal procedures designed to protect incumbent franchisees against arbitrary denials of renewal and unreasonable renewal conditions. We believe that our franchise renewal prospects are generally favorable but cannot guarantee the future renewal of any individual franchise. The FCC adopted an order in 2019 that prohibits state and local authorities from imposing duplicative franchise and/or fee requirements on the provision of broadband and other non-cable services over franchised cable systems, and ruling that in-kind contributions are treated as franchise fees subject to the statutory cap on franchise fees of 5% of cable service revenue unless those contributions are expressly excluded by the Communications Act. The order has been appealed, and we cannot predict the outcome of this litigation.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Program Carriage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FCC regulations prohibit us from unreasonably restraining the ability of an unaffiliated video programming network to compete fairly by discriminating against the network on the basis of its non-affiliation in the selection, terms or conditions for its carriage. In addition, cable operators and other MVPDs in the United States are prohibited from requiring as a condition of</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carriage a financial interest in, or exclusive distribution rights for, a video programming network. We have been involved in program carriage disputes at the FCC, as well as in the courts, and may be subject to new complaints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Program Access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Communications Act and FCC regulations generally prevent cable networks affiliated with cable operators from favoring affiliated cable operators over competing MVPDs. The FCC and Congress have considered proposals that would require companies that own multiple cable networks to make each of their networks available individually when negotiating distribution agreements with MVPDs and potentially with DTC streaming and other OTT service providers; Maine has enacted a law mandating retail a la carte distribution by cable operators that may have similar effects. The Maine statute has been appealed and is currently stayed by the courts, but we cannot predict the outcome of that litigation. We currently offer our cable networks on a packaged basis (in “tiers”) and, in various cases, individually. We have been involved in program access disputes at the FCC and may be subject to new complaints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Must-Carry/Retransmission Consent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Failure to reach a retransmission consent agreement with a broadcaster could result in the loss of popular programming on our video services.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our Broadcast Television business, every three years, each local commercial broadcast television station must elect for each cable system in its DMA either must carry or retransmission consent. A similar regulatory scheme applies to satellite providers. For the three-year period from January 1, 2018 to December 31, 2020, all of our owned NBC and Telemundo local broadcast television stations elected retransmission consent. The next three-year period will commence on January 1, 2021, for which elections were made by October 1, 2020. All of our owned NBC and Telemundo local broadcast television stations elected retransmission consent. Although we have reached retransmission consent agreements with almost all MVPDs in the past, there can be no assurance that we will always be able to renew those agreements under favorable terms or at 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Broadcast Licensing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The FCC renewed all of our broadcast television station licenses without conditions during the last license renewal cycle; the current television license renewal cycle began in 2020. Although our licenses have been renewed in prior cycles, there can be no assurance that we will always obtain renewal grants.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Broadcast Ownership Restrictions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Communications Act and FCC regulations impose certain limitations on local and national television ownership, as well as limits on foreign ownership in a broadcast television station. Some of these limitations currently are under review in the U.S. Supreme Court. In addition, each of the four major broadcast television networks - ABC, CBS, Fox and NBC - is prohibited from being under common ownership or control with another of the four.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Children’s Programming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federal regulations, the amount of commercial content that may be shown on cable networks, broadcast networks and local broadcast television stations during programming originally produced and broadcast primarily for an audience of children 12 years of age and under is limited, and certain television station programming must serve the educational and informational needs of children 16 years of age and under.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FCC 5G Spectrum Proceedings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FCC also has established or is in the process of evaluating and potentially modifying its rules to make available additional spectrum that will likely be used for licensed and unlicensed commercial services, including new 5G services, some of which has been or is in the process of being auctioned by the FCC. Because Cable Communications and NBCUniversal both use some of this spectrum to provide services, they must transition their operations to different frequencies in order to accommodate the reallocation of spectrum for 5G, which could disrupt our services and impose additional costs.</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customer equipment back-up power, robocall mitigation, service discontinuance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One federal court of appeals in the 8th Circuit has held that VoIP is an information service and preempted state regulation of VoIP, and the U.S. Supreme Court has declined to review that determination, but that ruling remains limited to the seven states located in that circuit. State regulatory commissions and legislatures in other jurisdictions may continue to consider imposing regulatory requirements on our voice services as long as the regulatory classification of VoIP remains unsettled at the federal level.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wireless voice and data service using our MVNO rights to provide the service over Verizon’s wireless network.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which could adversely affect our wireless phone service offering or our business generally.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International Communications-Related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Sky and certain NBCUniversal international businesses are subject to telecommunications and media-specific regulation described below in Europe, Latin America and other international jurisdictions, and all of our international businesses are subject to regulation under generally applicable laws, such as competition, consumer protection, data protection and taxation in the jurisdictions where they operate. Our international businesses are currently, and may be in the future, subject to proceedings or investigations from regulatory and antitrust authorities in the jurisdictions in which they operate. In addition, in connection with our acquisition of Sky, we have made certain legally binding commitments with respect to Sky’s operations, including for example, to maintain annual funding for Sky News in an amount no lower than Sky News’ 2017 fiscal year expenditures, as adjusted by inflation, until 2029.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Services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Kingdom, Sky is required to ensure that agreements to provide its electronic program guide (“EPG”) and conditional access (“CA”) services to other programming providers are on fair, reasonable and non-discriminatory terms, among other things, so that those providers’ content is available on Sky’s satellite platform via the EPG on set-top boxes. Sky also has voluntarily committed to the United Kingdom’s communications regulator, the Office of Communications, or Ofcom, to provide access control services to third parties that enable them to provide interactive services. Sky is subject to similar EPG and CA obligations in Germany.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Sky and NBCUniversal hold a number of licenses and authorizations for their portfolios of television channels. For example, in the United Kingdom, Sky is subject to various codes issued by Ofcom affecting the content and delivery of these channels. Sky and NBCUniversal also hold various broadcast licenses in certain E.U. countries and NBCUniversal holds broadcast licenses in various countries for its international cable networks, and must comply with rules and regulations covering issues such as the acquisition and exploitation of sports rights, media concentration and plurality, television advertising, the protection of children, accessibility, airtime for commercials and teleshopping, sponsorship and ensuring clear distinctions between program content and advertising.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and Voice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Sky provides broadband and voice services in the United Kingdom, Ireland and Italy pursuant to wholesale distribution agreements that third-party broadband and telecommunications companies either make available commercially or are required to make available under applicable laws in those jurisdictions. Material changes to these regulations could affect Sky’s business. Sky is also subject to E.U. open internet/net neutrality regulations, which prohibit the blocking, throttling or discrimination of online content, applications and services and require ISPs to disclose their traffic management, throughput limitations and other practices impacting quality of service in customer contracts.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counterfeit DVDs and through other platforms interfere with the market for copyrighted works and present challenges for our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sometimes ambiguous and the use of technological protections can be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copyright laws establish a cable compulsory copyright license that requires our video distribution business to contribute a specified percentage of revenue to a federal copyright royalty pool in exchange for retransmitting copyrighted material included in broadcast signals. We also pay standard industry licensing fees for the public performance of music in the programs we create or distribute. The cable compulsory 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federal, state and foreign laws and regulations that impose various restrictions and obligations related to privacy and the handling of consumers’ personal information. In the United States, the Communications Act generally restricts cable operators’ nonconsensual collection and disclosure to third parties of cable customers’ personally identifiable information,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FTC generally exercises oversight of consumer privacy protections using its enforcement authority over unfair and deceptive acts or practices. For example, the FTC often partners with state attorneys general to update or enforce transparency requirements about the collection and use of consumer information. These efforts may require ongoing review of new and rapidly evolving technologies and methods for delivering content and advertising to ensure that appropriate notice is given to consumers and consent is obtained where required in connection with the collection, use or sharing of personal information. We are also subject to stringent data security and data retention requirements that apply to website operators and online services directed to children 12 years of age and under, or that knowingly collect or post personal information from children 12 years of age and under.</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certain states have enacted detailed laws establishing consumer privacy protections and data security requirements in their respective states. For example, the California Consumer Privacy Act (“CCPA”) gives California residents rights to receive certain disclosures regarding the collection, use and sharing of “Personal Information,” as well as rights to access, delete and restrict the sale of certain personal information collected about them. Moreover, all 50 states have security breach notification laws that generally require a business to give notice to consumers and government agencies when certain information has been disclosed to an unauthorized party due to a security breach.</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businesses are subject to the European Union’s General Data Protection Regulation (“GDPR”), which broadly regulates the processing of personal data collected from individuals in the European Union GDPR, and the Member States’ legislation implementing the GDPR, affect our ability to process certain personal data. Moreover, the outcome of the United Kingdom’s exit from the European Union (discussed more broadly below) could affect our ability to process certain data.</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Privacy and data security remained a priority legislative issue in 2020. For example, California voters enacted updates to the CCPA via a ballot initiative called the California Privacy Rights Act (“CPRA”). Among other things, the CPRA creates an entirely new state-level agency for overseeing consumer privacy issues. Changes enacted in the CPRA generally go into effect on January 1, 2023, though several aspects of the law remain subject to further rulemaking. We cannot predict how these changes to the law will affect our business. There are several federal and state legislative proposals that, if enacted, could create new consumer privacy protections or impose new requirements on entities that collect and use consumer personal information, including us. We cannot predict whether such legislation will be enacted at the federal or state level and, if so, the impact of any such laws on our business.</w:t>
      </w: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U.S.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high-speed internet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(“ITFA”) prohibits most states and localities from imposing sales and other taxes on our internet access charges; however, some jurisdictions may challenge the ITFA or the application of the ITFA to our business, or may assert that certain taxes akin to right-of-way fees are not preempted by the ITFA.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Exit from the European Union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telecommunications and media regulatory framework applicable to our business in the United Kingdom may be subject to greater uncertainty as a result of the United Kingdom’s withdrawal from the European Union and the end of the transition period on December 31, 2020, with the possibility of greater divergence between the regulation of our U.K. business and that of our other European businesses over time. We are not able to predict the extent of any such divergence at this point in time.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including our Filmed Entertainment and Theme Parks businesses, accessibility to our video and voice services and broadcast television programming for people with disabilities, customer service standards, inside wiring, cable equipment, pole attachments, universal service fees, public safety, telemarketing, leased access, indecency, loudness of commercial advertisements, advertising, political broadcasting, sponsorship identification, Emergency Alert System, equal employment opportunity and other employment-related laws, environmental-related matters, regulatory fees, our equipment supply chain and technical standards relating to the operation of cable systems and television stations. In addition, our international businesses are subject to various international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us having to pay fines or being subject to other sanctions.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auto"/>
        </w:rPr>
        <w:t>Human Capital Resources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we had approximately 168,000 full-time and part-time employees calculated on a full-time equivalent basis. Of these employees, approximately 82,000, 49,000 and 34,000 were associated with Cable Communications, NBCUniversal and Sky, respectively. Approximately 25% of these employees were located in over 30 countries outside the United States, with larger workforce concentrations in the United Kingdom, Japan, Italy and Germany. We also use freelance and temporary employees in the normal course of our business. A small overall portion of our full-time U.S. employees are unionized; outside the United States, employees in certain countries, particularly in Europe, are represented by an employee representative organization, such as a union, works council or employee association.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global media and technology company, we have a wide range of employees, including management professionals, technicians, engineers, call center employees, theme park employees and a wide range of media talent and production employees. Given the breadth of our employee base, we tailor our human capital management policies with a view to specific employee populations. However, we provide a wide variety of opportunities for professional growth for all employees with in-classroom and online trainings, on-the-job experience, education tuition assistance and counseling, and financial counseling and literacy training. We seek to create an engaged workforce through proactive listening and constructive dialogue, including through employee engagement surveys and employee resource groups, and continue to have a strong focus on diversity, equity and inclusion initiatives.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focus on attracting and retaining employees by providing compensation and benefits packages that are competitive within the applicable market, taking into account the job position’s location and responsibilities. We provide competitive financial benefits such as a 401(k) retirement plan in the United States with a company match, have employee stock purchase plans in the United States, United Kingdom, Ireland and several other European countries where most of our full-time and part-time employees can purchase our stock at a discount, and offer a portfolio of services and tools to support our employees’ health and wellbeing. We also generally grant awards of restricted stock units and stock options on an annual basis to a meaningful portion of our employees, with over 18,000 employees receiving such awards in 2020.</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in response to COVID-19, we committed over $500 million to support employees where operations were closed or impacted, made work from home options as broadly available as possible, and enhanced safety measures for customer-facing employees. In response to the impacts of COVID-19 and the changing environment in which we are operating our businesses, we also implemented temporary workforce reductions, including employee furloughs at our theme parks, and incurred severance at some of our businesses. Refer to Item 7: Management’s Discussion and Analysis of Financial Condition and Results of Operations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 Industry and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has had, and will likely continue to have, a material adverse effect on our businesses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impacts of COVID-19 and measures to prevent its spread across the globe have impacted our businesses in a number of ways. While our Cable Communications results were strong in 2020, they were negatively affected by the significant deterioration in domestic economic conditions and by costs associated with our support of customer connectivity as people increasingly worked and learned remotely from home. COVID-19 had material negative impacts on NBCUniversal and Sky results of operations during 2020. For example, in late February we temporarily closed our theme park in Japan, and in mid-March we temporarily closed our theme parks in Orlando and Hollywood, and although our parks in Orlando and Japan reopened with limited capacity in June 2020, our park in Hollywood remains closed. We cannot predict when the Hollywood park will reopen, if any reopened parks will remain open or estimate attendance levels at any of the parks. We expect the results of operations at our theme parks will continue to be negatively impacted in the near to medium term. The creation and availability of our film and television programming globally have been and will continue to be disrupted, including as a result of the postponement or cancellation of sporting events (such as the professional soccer, hockey, baseball and basketball leagues and the Olympics), theatrical closures and the suspension of entertainment content production. We expect any continued deterioration of global economic conditions would result in lower advertising revenues and consumer spending across our businesses.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impact of COVID-19 on our businesses also generally depends on the extent of restrictive governmental measures taken that affect day-to-day life and the length of time that such measures remain in place to respond to COVID-19, further deterioration of the global economy and the widespread availability of a vaccine. At this point, it is impossible to predict such extent and duration and the degree to which our results of operations will continue to be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may also have the effect of heightening many of the other risks set forth below.</w:t>
      </w: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operate in highly competitive and dynamic industries, and our businesses and results of operations could be adversely affected if we do not compete effectively.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businesses operate in intensely competitive, consumer-driven, rapidly changing environments and compete with a growing number of companies that provide a broad range of communications products and services as well as entertainment, news and information content to consumers. Some established DTC streaming and other OTT service providers have become core competitors to our video services and more continue to enter the market at a growing pace.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w:t>
      </w:r>
    </w:p>
    <w:p>
      <w:pPr>
        <w:spacing w:after="0" w:line="117" w:lineRule="exact"/>
        <w:rPr>
          <w:sz w:val="20"/>
          <w:szCs w:val="20"/>
          <w:color w:val="auto"/>
        </w:rPr>
      </w:pPr>
    </w:p>
    <w:p>
      <w:pPr>
        <w:jc w:val="both"/>
        <w:ind w:left="660" w:hanging="328"/>
        <w:spacing w:after="0"/>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Communications’ and Sky’s high-speed internet services compete primarily against wireline telecommunications companies with fiber-based networks, wireless telecommunications companies offering internet services (such as 4G and 5G wireless broadband services), certain municipalities in the United States that own and operate their own broadband networks and DBS providers. Competition for Cable Communications’ video services consists primarily of DBS providers, phone companies with fiber-based networks and increasingly DTC streaming and other OTT service providers and devices, each of which typically offer features, pricing and packaging for services comparable to ours, including bundled offers with high-speed internet services. Sky faces competition for its services from cable and telecommunications providers in its European markets, many of which offer customers bundled services, which has increased competition.</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and Sky face substantial and increasing competition from providers of similar types of content, as well as from other forms of entertainment and recreational activities. NBCUniversal and Sky must compete to obtain talent, content (including sports programming) and other resources required to operate their businesses. This competition has intensified as DTC streaming and other OTT service providers seek to develop high-quality programming to attract viewers.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description of the competition facing our businesses, see Item 1: Business and refer to the “Competition” discussion within that section.</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Consolidation of, or cooperation between, our competitors, including suppliers and distributors of content, may increase competition in all of these areas, as may the emergence of additional competitors with significant resources and efficiencies of scale who are competing with our businesses in all forms of content distribution and production. For example, consolidation or cooperation between phone companies (which are also wireless distributors) and content providers may allow competitors to offer free or lower cost streaming services, potentially on an exclusive basis, through unlimited data-usage plans for internet or wireless phone services.</w:t>
      </w:r>
    </w:p>
    <w:p>
      <w:pPr>
        <w:spacing w:after="0" w:line="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ability of our businesses to compete effectively also depends on our perceived image and reputation among our various constituencies, including our customers, consumers, advertisers, business partners, employees, investors and government authorities. Our ability to compete will be negatively affected if we do not provide our customers with a satisfactory customer experience.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continue to seek ways to enhance the value of our businesses, such as by growing high-speed internet services and business services and by investing in Peacock as the media and entertainment landscape continues to rapidly evolve, there can be no assurance that we can execute on these and other initiatives in a manner sufficient to grow or maintain our revenue or operating margins or to compete successfully in the future. There can be no assurance that we will be able to compete effectively against existing or new competitors or that competition will not have an adverse effect on our businesses.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consumer behavior driven by online video distribution platforms for viewing content continue to adversely affect our businesses and challenge existing business models.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 platforms for viewing and purchasing content over the internet have been, and will likely continue to be, developed that further increase the number of competitors that all our businesses face and challenge existing business models. As consumers increasingly turn to DTC streaming and other OTT services, the number of Cable Communications’ video customers and subscribers to NBCUniversal’s cable networks decrease, even as Cable Communications’ high-speed internet services become more important to consumers. DTC streaming and other OTT services have driven, and will continue to drive, changes in consumer behavior as consumers seek more control over when, where and how they consume content and access communications services, and how much they pay for such content.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in Europe, as more of Sky’s new video customers have recently subscribed, and may continue to subscribe, to Sky’s DTC streaming service instead of its traditional DTH video service. Although we have attempted to adapt our video service offerings and enhance our high-speed internet services for changing consumer behaviors, for example, by deploying the X1 and Sky Q platforms and Flex, which more easily aggregate content from linear (i.e., traditional television channels) and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DTC streaming and other OTT services for our customers, and by launching Peacock, our DTC streaming service, the continuing trend of content owners delivering their content directly to consumers over the internet rather than through, or in addition to, traditional video distribution services continues to disrupt traditional distribution business models.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DTC streaming and other OTT service providers also has significantly increased the number of entertainment choices available to consumers, which has intensified audience fragmentation and disaggregated the way that content traditionally has been distributed and viewed by consumers. NBCUniversal’s revenue relatedly may be negatively impacted as traditional and virtual multichannel video providers, which pay NBCUniversal fees based on their respective numbers of customers, lose customers. Time-shifting technologies, such as DVR and on demand services, reduce viewership, which has caused and likely will continue to cause audience ratings declines for our programming channels. Consumers in many cases have multiple options for viewing the same content; for example, content may be available through traditional linear platforms, on demand services, or a DTC streaming or OTT service, which may also result in audience rating declines. Reduced ratings may adversely affect the price and amount of advertising that advertisers are willing to purchase from us and the amount that we receive for distribution of our content. In addition, as more programming providers offer their content directly to consumers, they may reduce the quantity and quality of the programming they license to NBCUniversal or Sky’s programming channels.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Cable Communications, NBCUniversal and Sky compete for the sale of advertising time with digital media distributors, other television networks and stations, as well as with all other advertising platforms, such as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such as from social media and video games, audience fragmentation, increased viewing of content through DTC streaming and other OTT service providers, regulatory intervention regarding where and when advertising may be placed, or economic conditions generally. In addition, advertisers have shifted a portion of their total expenditures to digital media and mobile offerings, which can deliver targeted advertising. Their willingness to purchase advertising from us may be adversely affected by lower audience ratings, which many of NBCUniversal’s networks and some of Sky’s television channels have experienced and likely will continue to experience, or from the level of popularity or perceived acceptance of Peacock. Advertising sales and rates also are dependent on the methodology used for audience measurement and could be negatively affected if methodologies do not accurately reflect actual viewership levels. For example, certain methods of viewing content, such as through DTC streaming or other OTT service providers or delayed viewing through DVR or on demand services, might not be fully counted in audience measurements or may generate less, if any, revenue than traditional linear television distribution methods, which could have an adverse effect on our advertising revenue.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 expenses for our video services are increasing, which could adversely affect Cable Communications’ video businesses.</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expect programming expenses for our video services to continue to be the largest single expense item for our Cable Communications segment and to increase for the foreseeable future. Our programming expenses may also increase as we add programming to our video services or distribute existing programming to more of our customers or through additional delivery platforms, such as on demand or streaming services. Additionally, Cable Communications pays certain local broadcast television stations in exchange for their required consent for the retransmission of broadcast network programming to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otherwise offset programming cost increases through the sale of additional services, cost management or other initiatives, the increasing cost of programming could have an adverse effect on our Cable Communications segment’s results of operations.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as our contracts with content providers expire, there can be no assurance that they will be renewed on acceptable terms, or at all, in which case we may be unable to provide such content as part of Cable Communication’s video services, and our businesses and results of operations could be adversely affected.</w:t>
      </w:r>
    </w:p>
    <w:p>
      <w:pPr>
        <w:spacing w:after="0" w:line="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NBCUniversal and Sky create and acquire media and entertainment content, the success of which depends substantially on consumer tastes and preferences that change in often unpredictable ways. The success of these businesses depends on our</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ability to consistently create, acquire, market and distribute television programming, filmed entertainment, theme park attractions and other content that meet the changing preferences of the broad domestic and international consumer markets. We have invested, and will continue to invest, substantial amounts in our content, including in the production of original content at NBCUniversal and Sky, in our films and for new theme parks and theme park attractions, before learning the extent to which they will earn consumer acceptance. We also are incurring significant costs to develop Peacock, and there can be no assurance that consumers and advertisers will embrace this offering.</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NBCUniversal and Sky also obtain a significant portion of their content from third parties, such as movie studios, television production companies, sports organizations and other suppliers, sometimes on an exclusive basis. Competition for popular content, particularly for sports programming, is intense, and we may have to increase the price we are willing to pay or be outbid by our competitors for popular content. We also may be unable to license popular third-party content for NBCUniversal’s and Sky’s programming channels if media companies determine that licensing the content to us is not in their strategic best interests (for example, they may launch DTC streaming or other OTT services for their owned content, forgo license fees from us and only provide their content directly to consumers or they may license their content on an exclusive basis to certain of our competitors or rival DTC streaming or other OTT service providers).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Entering into or renewing contracts for such programming rights or acquiring additional rights may result in significantly increased costs. Particularly with respect to long-term contracts for sports programming rights for NBCUniversal and Sky, our results of operations and cash flows over the term of a contract depend on a number of factors, including the strength of the advertising market, audience size, the timing and amount of rights payments, and the ability of NBCUniversal to secure distribution from, impose surcharges on, or obtain carriage on multichannel video providers.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NBCUniversal’s and Sky’s businesses may be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programming distribution and licensing agreements, or the renewal of these agreements on less favorable terms, could adversely affect our businesses.</w:t>
      </w:r>
    </w:p>
    <w:p>
      <w:pPr>
        <w:spacing w:after="0" w:line="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NBCUniversal’s cable networks depend on their ability to secure and maintain distribution agreements with traditional and virtual multichannel video providers. The number of subscribers to NBCUniversal’s cable networks has been, and likely will continue to be, reduced as a result of fewer subscribers to multichannel video providers. Sky also depends on its ability to secure and maintain wholesale distribution agreements for its television channels with multichannel video providers. NBCUniversal’s and Sky’s ability to renew these agreements on favorable terms may be affected by recent industry consolidation and new participants entering the market for distribution of content on digital platforms.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Increasingly, NBCUniversal and Sky license their prior season and library content on third party distribution platforms, including to DTC streaming and other OTT service providers. If this programming does not attract sufficient viewers, these providers may not distribute NBCUniversal’s or Sky’s programming, and DTC streaming and other OTT service providers may not license programming NBCUniversal or Sky creates (or license it at reduced rates). In addition, we expect not to license certain popular content, and we may decide not to license additional owned popular content, to third parties so we may offer it exclusively through Peacock, which would result in foregone licensing revenue.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NBCUniversal’s broadcast television networks depend on their ability to secure and maintain network affiliation agreements with third-party local broadcast television stations in the markets where it does not own the affiliated local broadcast television station. In addition, every three years, each of its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of these agreements will be entered into or renewed in the future on acceptable terms. The inability to enter into or renew these agreements could reduce our revenues and the reach of our programming, which could adversely affect NBCUniversal’s and Sky’s businesses.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 relies on various third-party telecommunications providers to deliver its video, high-speed internet, voice and wireless phone services to its customers. For example, Sky relies on satellite transponder capacity leased from third parties to provide most of its video services. In addition, under the current regulatory regimes in the United Kingdom, Ireland and Italy, Sky</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accesses networks owned by third-party telecommunications providers to offer its high-speed internet and phone services, in many cases, on regulated terms, including price. If there is a change in regulation in these markets, the regulated terms could become less favorable. Moreover, while Sky receives wholesale fiber access on fair, reasonable and non-discriminatory terms, specific pricing terms are not regulated. As a result, if Sky is only able to enter into or renew its transmission agreements with satellite or telecommunications operators on less favorable terms, this would adversely affect Sky’s ability to compete, and if it is ultimately unable to do so on commercially viable terms or if these operators were to terminate their agreements, Sky may be unable to deliver some of its services to customers in one or more of the countries in which it operates, which would adversely affect Sky’s businesses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 depend on using and protecting certain intellectual property rights and on not infringing the intellectual property rights of others.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or software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NBCUniversal’s and Sky’s businesses, and their success is highly dependent on protecting the intellectual property rights of the content they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platforms continues to present challenges for NBCUniversal’s cable networks, broadcast television and filmed entertainment businesses, and certain illegal online entities may stream our broadcast television content online without our consent and without paying any compensation to us. It also presents similar challenges for Sky’s businesses, including as a result of illegal retransmission of sports events.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third-party vendors to supply us with a significant amount of the hardware, software and operational support necessary to provide certain of our products and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Weak economic conditions in the United States or globally could adversely affect demand for any of our products and services and have a negative impact on our results of operations. For example, weak economic conditions will likely impact our customers’ discretionary spending and as a result, they may reduce the level of services to which they subscribe or may</w:t>
      </w:r>
    </w:p>
    <w:p>
      <w:pPr>
        <w:spacing w:after="0" w:line="200" w:lineRule="exact"/>
        <w:rPr>
          <w:sz w:val="20"/>
          <w:szCs w:val="20"/>
          <w:color w:val="auto"/>
        </w:rPr>
      </w:pPr>
    </w:p>
    <w:p>
      <w:pPr>
        <w:spacing w:after="0" w:line="29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discontinue subscribing to one or more of Cable Communications’ or Sky’s services. This risk may be increased by the expanded availability of free or lower cost competitive services, such as certain DTC streaming and other OTT services, or substitute services for high-speed internet and voice services, such as mobile phones and Wi-Fi networks. Weak economic conditions also negatively impact our advertising revenue, the performance of our films and home entertainment releases, and attendance and spending in our theme parks. In particular, the success of our theme parks and theatrical releases largely depend on consumer demand for out-of-home entertainment experiences, which may be limited by weakened economic conditions (as well as natural disasters, infectious disease outbreaks (such as COVID-19), terrorist attacks or other similar events).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Weak economic conditions and disruption in the global financial markets may also have an impact on the ability of third parties to satisfy their obligations to us or increase our exposure to currency fluctuations in countries where we operate. In addition, in connection with our acquisition of Sky, we incurred and assumed a significant amount of additional debt. If our businesses are negatively impacted by weak economic conditions, we may not be able to reduce the amount of our debt outstanding as quickly as expected. Further, a significant increase in interest rates or disruption in the global financial markets may affect our ability to obtain financing or to refinance existing debt on acceptable terms, if at all, and could increase the cost of our borrowings.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other strategic initiatives present many risks, and we may not realize the financial and strategic goals that we had contemplated.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make acquisitions and investments and may pursue other strategic initiatives, such as Peacock.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divert the attention of management from our current operations, or have to delay or not proceed with announced transactions or initiatives. Additionally, federal regulatory agencies such as the FCC or DOJ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relating to doing business internationally that could adversely affect our businesses.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operate our businesses worldwide. There are risks inherent in doing business internationally, including global financial market turmoil; economic volatility and global economic slowdown; currency exchange rate fluctuations and inflationary pressures; political risks; the requirements of local laws and customs relating to the publication and distribution of content and the display and sale of advertising; import or export restrictions, tariffs, sanctions and trade regulations; difficulties in developing, staffing and managing foreign operations; issues related to occupational safety and adherence to diverse local labor laws and regulations; and potentially adverse tax developments. Additionally, although we employ foreign currency derivative instruments to hedge certain exposure to foreign currency exchange rate risks, including the British pound and Euro, the use of such derivative instruments may not be sufficient to mitigate exchange rate fluctuations. Sky’s businesses in particular are also subject to risks relating to uncertainties and effects of the United Kingdom’s withdrawal from the European Union (referred to as “Brexit”), including financial, legal, tax and trade implications. In addition, doing business internationally subjects us to risks relating to political or social unrest, as well as corruption and government regulation, including U.S. laws such as the Foreign Corrupt Practices Act and the U.K. Bribery Act, that impose stringent requirements on how we conduct our foreign operations. If any of these events occur or our conduct does not comply with such laws and regulations, our businesses may be adversely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success is, to a large extent, dependent on our ability to acquire, develop, adopt and leverage new and existing technologies, and our competitors’ use of certain types of technology and equipment may provide them with a competitive advantage. New technologies can materially impact our businesses in a number of ways, including affecting the demand for our products, the distribution methods of our products and content to our customers, the ways in which our customers can purchase and view our content and the growth of distribution platforms available to advertisers. For example, current and new wireless internet technologies such as 4G and 5G wireless broadband services continue to evolve rapidly and may allow for greater speed and reliability. In addition, some companies and U.S. municipalities are building advanced fiber-based networks that provide very fast internet access speeds. We expect advances in communications technology to continue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deployment of Flex and Sky Q set-top boxes, wireless gateways and the development of Peacock. There can be no assurance that we can execute on these and other initiatives in a manner sufficient to grow or maintain our revenue or to successfully compete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related to our network management, customer service operations, and programming delivery, and technology embedded in our products and services, are critical to our business activities. Cyber threats and attacks are directed at both known and newly discovered software and hardware vulnerabilities and are constantly evolving, which increases the difficulty of detecting and successfully defending against them. Cyber threats and attacks can have cascading impacts that unfold with increasing speed across networks, information systems and other technologies. Network, information systems and technology-related events, including those caused by us, such as process breakdowns, security architecture or design vulnerabilities, or by third parties, such as computer hackings, cyber attacks, computer viruses, worms or other destructive or disruptive software, denial of service attacks, malicious social engineering or other malicious activities, or power outages, natural disasters, infectious disease outbreaks (such as COVID-19), terrorist attacks or other similar events, could result in a degradation or disruption of our products and services, excessive call volume to call centers, theft or misuse of our intellectual property or other assets, a reduction in demand for our theme parks, disruption of the security of our internal systems and products and services or satellite transmission signals, the compromise of confidential or technical business information or damage to our equipment, data, properties and reputation. In addition, severe weather events such as hurricanes and wild fires have impacted our services, products and properties from time to time in the past and will in the future. The occurrence of these events may result in large expenditures to repair or replace the damaged properties, products, services, networks or information systems to protect them from similar events in the future, and any such events could lead to litigation or otherwise have an adverse effect on our results of operations.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obtain certain confidential, proprietary and personal information about our customers, personnel and vendors, and in some cases provide this information to third parties, in connection with our business. While we generally obtain assurances that these third parties will protect this information, there is a risk that this information may be compromised. Any security breaches, such as misappropriation, misuse, leakage, falsification or accidental release or loss of information maintained in our third-party’s information technology systems, including customer, personnel and vendor data, could damage our reputation and require us to expend significant capital and other resources to remedy any such security breach, could lead to litigation or could cause regulators in the United States and internationally to impose fines or other remedies for failure to comply with relevant customer privacy rules.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of systems-related events and security breaches occurring continues to intensify in many of our businesses, and our businesses may be at a disproportionately heightened risk of these events occurring, due to the nature of our businesses and because we maintain certain information necessary to conduct our business in digital form. In the ordinary course of our business, there are frequent attempts by third parties to cause such systems-related events and security breaches and to identify our security architecture or system design vulnerabilities. While we develop and maintain systems, and operate an extensive security program, seeking to prevent systems-related events and security breaches from occurring, the development, maintenance and operation of these systems and programs is costly and requires ongoing monitoring and updating as technologies change and efforts to overcome security measures become more sophisticated and evolve rapidly. Despite our efforts to prevent these events and security breaches, we have experienced systems-related events and breaches in the past, and there can be no assurance that they will not occur in the future or will not have an adverse effect on our businesses. Moreover, the amount and scope of insurance we maintain against losses resulting from any such events or security breaches 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6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NBCUniversal and Sky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w:t>
      </w:r>
    </w:p>
    <w:p>
      <w:pPr>
        <w:spacing w:after="0" w:line="200" w:lineRule="exact"/>
        <w:rPr>
          <w:sz w:val="20"/>
          <w:szCs w:val="20"/>
          <w:color w:val="auto"/>
        </w:rPr>
      </w:pPr>
    </w:p>
    <w:p>
      <w:pPr>
        <w:spacing w:after="0" w:line="29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Legal, Regulatory and Governance Matters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regulation by federal, state, local and foreign authorities, which impose additional costs and restrictions on our businesses.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all of our businesses are subject to various federal, state and local laws and regulations, compliance with certain laws and regulations is most material with respect to our Cable Communications and Broadcast Television businesses in the United States. In addition, our international businesses are subject to various laws and regulations in the jurisdiction of the foreign regulatory authorities where they operate.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statues, rules or regulations, or prescribe new ones, any of which may significantly affect our businesses and ability to effectively compete. These legislators and regulators have been active in considering rulemakings and legislation, at times looking to adopt regulatory approaches from different countries that may be more burdensome, and they, along with some state attorneys general and foreign governmental authorities, also have been active in conducting inquiries and reviews regarding our services, and this trend likely will continue. State legislative and regulatory initiatives can create a patchwork of different and/or conflicting state requirements, such as with respect to privacy and Open Internet/net neutrality, that can affect our business operations and further constrain our ability to compete.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Legislative and regulatory activity may increase with the change in administration following the 2020 U.S. presidential election. For example, the U.S. Congress may consider proposals that address communications issues, including whether it should rewrite the entire Communications Act to account for changes in the communications marketplace, whether it should enact new, permanent Open Internet requirements, and whether it should fund new broadband infrastructure or broadband connectivity initiatives. Any of these regulations could significantly affect our business and compliance costs. In addition, United States and foreign regulators and courts could adopt new interpretations of existing competition laws and United States and foreign policymakers could enact new competition laws or regulatory enforcement options that could negatively impact our businesses. With the change in administration, tax legislation could be enacted increasing the federal corporate income tax from the current rate of 21%.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litigation or governmental investigation results could require us to pay significant amounts or lead to onerous operating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from time to time to a number of lawsuits both in the United States and in foreign countries, including claims relating to competition, intellectual property rights (including patents), employment and labor matters, personal injury and property damage, free speech, customer privacy, regulatory requirements, advertising, marketing and selling practices, and credit and collection issues. Greater constraints on the use of arbitration to resolve certain of these disputes could adversely affect our business.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NBCUniversal’s writers, directors, actors, technical and production personnel, as well as some of our on-air and creative talent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NBCUniversal’s cable networks and broadcast television networks and Sky have programming rights agreements of varying scope and duration with various sports organizations to broadcast and produce sporting events, including certain NFL, NHL, NBA, MLB and European football games. Labor disputes in these and other sports organizations could have an adverse effect on our businesses.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Our Class B common stock has a non-dilutable 33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substantially all of our physical assets were in good operating condition as of December 31, 2020. Our corporate headquarters and Cable Communications segment headquarters are located in Philadelphia, Pennsylvania at One Comcast Center. Additionally, we completed construction of the Comcast Technology Center in 2019, which is adjacent to the Comcast Center and is a center for Cable Communications’ technology and engineering workforce, as well as the home of our NBCUniversal and Telemundo owned local broadcast stations in Philadelphia, Pennsylvania. We also have leases for numerous business offices, warehouses and properties throughout the United States that house divisional information technology operations.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physical assets consist of operating plant and equipment, including cable system signal receiving, encoding and decoding devices, headends and distribution networks.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The physical components of cable systems require periodic maintenance and replacement.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cable system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high-speed internet network consists of fiber-optic cables owned or leased by us and related equipment. We also operate national and regional data centers with equipment that is used to provide services, such as email and web services, to our high-speed internet and voice customers, as well as cloud services to our video customers. In addition, we maintain network operations centers with equipment necessary to monitor and manage the status of our services and network.</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or lease buildings throughout the United States that contain customer service call centers, retail stores and customer service centers, warehouses and administrative space. We also own a building that houses our digital media center. The digital</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NBCUniversal’s corporate headquarters are located in New York, New York at 30 Rockefeller Plaza and surrounding campus and include offices and studios, which are used by Headquarters and Other and the Cable Networks and Broadcast Television segments. NBCUniversal owns substantially all of the space it occupies at 30 Rockefeller Plaza. NBCUniversal also leases space in 10 Rockefeller Plaza which includes </w:t>
      </w:r>
      <w:r>
        <w:rPr>
          <w:rFonts w:ascii="Times New Roman" w:cs="Times New Roman" w:eastAsia="Times New Roman" w:hAnsi="Times New Roman"/>
          <w:sz w:val="18"/>
          <w:szCs w:val="18"/>
          <w:i w:val="1"/>
          <w:iCs w:val="1"/>
          <w:color w:val="auto"/>
        </w:rPr>
        <w:t>The Today Show</w:t>
      </w:r>
      <w:r>
        <w:rPr>
          <w:rFonts w:ascii="Times New Roman" w:cs="Times New Roman" w:eastAsia="Times New Roman" w:hAnsi="Times New Roman"/>
          <w:sz w:val="18"/>
          <w:szCs w:val="18"/>
          <w:color w:val="auto"/>
        </w:rPr>
        <w:t xml:space="preserve"> studio, production facilities and offices used by the Broadcast Television segment. Telemundo’s leased headquarters and production facilities are located in Miami, Florida and are used by the Broadcast Television segment and Headquarters and Other. The Universal City owned location in California includes offices, studios, and theme park and retail operations which are owned by NBCUniversal and used by all NBCUniversal segments. Our owned CNBC headquarters and production facilities and disaster recovery center are located in Englewood Cliffs, New Jersey and are used by the Cable Networks and Broadcast Televisions segments and Headquarters and Other.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own or lease related facilities in Orlando, Florida; Hollywood, California; and Osaka, Japan, which are used in the Theme Parks segment, and are developing new theme parks in Beijing, China and Orlando, Florida.</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Sky’s principal physical assets consist of operating plant and equipment, including leased satellite system signal receiving, encoding and decoding devices, and owned and leased headends and distribution networks, including coaxial, fiber-optic cables and other related equipment. In the United Kingdom, Sky uses a combination of its own core fiber network and wholesaling arrangements over third-party telecommunication providers’ networks as the core network and also accesses the “last mile” network from third-party network operators for a fee to provide its services to customers. The physical components of cable systems require periodic maintenance and replacement.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Sky’s corporate headquarters are located in Middlesex, U.K. Sky owns the space it occupies at Middlesex. Sky leases the Sky Deutschland headquarters located in Unterföhring, Germany and the Sky Italia headquarters located in Milan, Italy.</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Sky owns and leases offices, production facilities and studios, broadcasting facilities, and customer support centers throughout Europe, including in the United Kingdom, Ireland, Germany, Italy and Austria. We are currently constructing a new studio production facility in Elstree, U.K., which Sky will lease upon completion.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Wells Fargo Center, a large, multipurpose arena in Philadelphia, Pennsylvania that we own was the principal physical operating asset of our other businesses as of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included in this Annual Report on Form 10-K for a discussion of legal proceedings.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30" w:lineRule="exact"/>
        <w:rPr>
          <w:sz w:val="20"/>
          <w:szCs w:val="20"/>
          <w:color w:val="auto"/>
        </w:rPr>
      </w:pPr>
    </w:p>
    <w:p>
      <w:pPr>
        <w:ind w:right="200"/>
        <w:spacing w:after="0" w:line="291"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Comcast’s Class A common stock is listed on the NASDAQ Global Select Market under the symbol CMCSA. There is no established public trading market for Comcast’s Class B common stock. The Class B common stock can be converted, on a share for share basis, into Class A common stock.</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Dividends Declared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4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top w:val="single" w:sz="8" w:color="auto"/>
              <w:bottom w:val="single" w:sz="8" w:color="auto"/>
            </w:tcBorders>
          </w:tcPr>
          <w:p>
            <w:pPr>
              <w:spacing w:after="0"/>
              <w:rPr>
                <w:sz w:val="15"/>
                <w:szCs w:val="15"/>
                <w:color w:val="auto"/>
              </w:rPr>
            </w:pPr>
          </w:p>
        </w:tc>
        <w:tc>
          <w:tcPr>
            <w:tcW w:w="25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color w:val="auto"/>
              </w:rPr>
              <w:t>2019</w:t>
            </w:r>
          </w:p>
        </w:tc>
        <w:tc>
          <w:tcPr>
            <w:tcW w:w="1320" w:type="dxa"/>
            <w:vAlign w:val="bottom"/>
            <w:tcBorders>
              <w:top w:val="single" w:sz="8" w:color="auto"/>
              <w:bottom w:val="single" w:sz="8" w:color="auto"/>
            </w:tcBorders>
          </w:tcPr>
          <w:p>
            <w:pPr>
              <w:spacing w:after="0"/>
              <w:rPr>
                <w:sz w:val="15"/>
                <w:szCs w:val="15"/>
                <w:color w:val="auto"/>
              </w:rPr>
            </w:pPr>
          </w:p>
        </w:tc>
      </w:tr>
      <w:tr>
        <w:trPr>
          <w:trHeight w:val="183"/>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Month Declared:</w:t>
            </w:r>
          </w:p>
        </w:tc>
        <w:tc>
          <w:tcPr>
            <w:tcW w:w="3140" w:type="dxa"/>
            <w:vAlign w:val="bottom"/>
            <w:tcBorders>
              <w:bottom w:val="single" w:sz="8" w:color="auto"/>
            </w:tcBorders>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Month Declared:</w:t>
            </w:r>
          </w:p>
        </w:tc>
        <w:tc>
          <w:tcPr>
            <w:tcW w:w="1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Dividend Per Share</w:t>
            </w:r>
          </w:p>
        </w:tc>
      </w:tr>
      <w:tr>
        <w:trPr>
          <w:trHeight w:val="21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21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0.23</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w:t>
            </w: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21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0.23</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w:t>
            </w: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21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0.23</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w:t>
            </w: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(paid in January 2021)</w:t>
            </w:r>
          </w:p>
        </w:tc>
        <w:tc>
          <w:tcPr>
            <w:tcW w:w="21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0.23</w:t>
            </w:r>
          </w:p>
        </w:tc>
        <w:tc>
          <w:tcPr>
            <w:tcW w:w="2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October (paid in January 2020)</w:t>
            </w:r>
          </w:p>
        </w:tc>
        <w:tc>
          <w:tcPr>
            <w:tcW w:w="1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24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0C6DFF"/>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0.92</w:t>
            </w:r>
          </w:p>
        </w:tc>
        <w:tc>
          <w:tcPr>
            <w:tcW w:w="2580" w:type="dxa"/>
            <w:vAlign w:val="bottom"/>
            <w:tcBorders>
              <w:bottom w:val="single" w:sz="8" w:color="0C6DFF"/>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0C6D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pay quarterly dividends, although each dividend is subject to approval by our Board of Directors. In January 2021, our Board of Directors approved a 9% increase in our dividend to $1.00 per share on an annualized basis.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Holders of Class A common stock in the aggregate hold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holders as of December 31, 2020 are presented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Class</w:t>
            </w:r>
          </w:p>
        </w:tc>
        <w:tc>
          <w:tcPr>
            <w:tcW w:w="5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Record</w:t>
            </w: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Holders</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371,292</w:t>
            </w:r>
          </w:p>
        </w:tc>
        <w:tc>
          <w:tcPr>
            <w:tcW w:w="0" w:type="dxa"/>
            <w:vAlign w:val="bottom"/>
          </w:tcPr>
          <w:p>
            <w:pPr>
              <w:spacing w:after="0"/>
              <w:rPr>
                <w:sz w:val="1"/>
                <w:szCs w:val="1"/>
                <w:color w:val="auto"/>
              </w:rPr>
            </w:pPr>
          </w:p>
        </w:tc>
      </w:tr>
      <w:tr>
        <w:trPr>
          <w:trHeight w:val="234"/>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annual percentage change in the cumulative total shareholder return on Comcast’s Class A common stock during the five years ended December 31, 2020 with the cumulative total returns on the Standard &amp; Poor’s 500 Stock Index and a select peer group consisting of us and other companies engaged in the cable, communications and media industries. This peer group consists of our Class A common stock and the common stock of AT&amp;T Inc., Charter Communications, Inc., DISH Network Corporation (Class A), Lumen Technologies, Inc. (formerly CenturyLink, Inc.), Sprint Corporation (which is included through April 1, 2020, when it merged with T-Mobile US, Inc.), T-Mobile US, Inc. and Verizon Communications Inc. (the “transmission and distribution subgroup”); and Discovery, Inc. (Class A), ViacomCBS Inc. (Class B) and The Walt Disney Company (the “media subgroup”).</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peer group is constructed as a composite peer group in which the transmission and distribution subgroup is weighted 71% and the media subgroup is weighted 29% based on the respective revenue of our transmission and distribution and media businesses. The comparison assumes $100 was invested on December 31, 2015 in our Class A common stock and in each of the following indices and assumes the reinvestment of dividends.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254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 Class 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Peer Group Index</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68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500" w:type="dxa"/>
            <w:vAlign w:val="bottom"/>
          </w:tcPr>
          <w:p>
            <w:pPr>
              <w:spacing w:after="0"/>
              <w:rPr>
                <w:sz w:val="24"/>
                <w:szCs w:val="24"/>
                <w:color w:val="auto"/>
              </w:rPr>
            </w:pPr>
          </w:p>
        </w:tc>
        <w:tc>
          <w:tcPr>
            <w:tcW w:w="104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32</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8"/>
        </w:trPr>
        <w:tc>
          <w:tcPr>
            <w:tcW w:w="39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006EBF"/>
        </w:rPr>
        <w:t>Item 6: Selected Financial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r>
              <w:rPr>
                <w:rFonts w:ascii="Times New Roman" w:cs="Times New Roman" w:eastAsia="Times New Roman" w:hAnsi="Times New Roman"/>
                <w:sz w:val="18"/>
                <w:szCs w:val="18"/>
                <w:color w:val="auto"/>
                <w:vertAlign w:val="superscript"/>
              </w:rPr>
              <w:t>(c)</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r>
              <w:rPr>
                <w:rFonts w:ascii="Times New Roman" w:cs="Times New Roman" w:eastAsia="Times New Roman" w:hAnsi="Times New Roman"/>
                <w:sz w:val="18"/>
                <w:szCs w:val="18"/>
                <w:color w:val="auto"/>
                <w:vertAlign w:val="superscript"/>
              </w:rPr>
              <w:t>(d)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Net income attributable to Comcast Corporation</w:t>
            </w:r>
            <w:r>
              <w:rPr>
                <w:rFonts w:ascii="Times New Roman" w:cs="Times New Roman" w:eastAsia="Times New Roman" w:hAnsi="Times New Roman"/>
                <w:sz w:val="23"/>
                <w:szCs w:val="23"/>
                <w:color w:val="auto"/>
                <w:vertAlign w:val="superscript"/>
              </w:rPr>
              <w:t>(a)</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10,534</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22,735</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Basic earnings per common share attributable to Comcast Corporation</w:t>
            </w:r>
          </w:p>
        </w:tc>
        <w:tc>
          <w:tcPr>
            <w:tcW w:w="5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earnings per common share attributable to Comcast Corporation</w:t>
            </w:r>
          </w:p>
        </w:tc>
        <w:tc>
          <w:tcPr>
            <w:tcW w:w="5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1"/>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(at year end)</w:t>
            </w: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273,869</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263,414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(b)</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103,760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61,046</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Comcast Corporation shareholders’ equity</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90,323</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82,726</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71,613</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53,932</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Cash Flows Data</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24,737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5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(6,513)</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260" w:hanging="252"/>
        <w:spacing w:after="0" w:line="271" w:lineRule="auto"/>
        <w:tabs>
          <w:tab w:leader="none" w:pos="2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2020 and 2019, refer to Item 7: Management’s Discussion and Analysis of Financial Condition and Results of Operations included in this Annual Report on Form 10-K for a discussion of the effects of items impacting net income attributable to Comcast Corporation. In 2020, 2019, 2018, 2017 and 2016, net income attributable to Comcast Corporation is stated after deducting net income attributable to noncontrolling interests of $167 million, $266 million, $131 million, $187 million and $350 million, respectively.</w:t>
      </w:r>
    </w:p>
    <w:p>
      <w:pPr>
        <w:spacing w:after="0" w:line="62" w:lineRule="exact"/>
        <w:rPr>
          <w:rFonts w:ascii="Times New Roman" w:cs="Times New Roman" w:eastAsia="Times New Roman" w:hAnsi="Times New Roman"/>
          <w:sz w:val="14"/>
          <w:szCs w:val="14"/>
          <w:color w:val="auto"/>
        </w:rPr>
      </w:pPr>
    </w:p>
    <w:p>
      <w:pPr>
        <w:ind w:left="260" w:right="20" w:hanging="252"/>
        <w:spacing w:after="0" w:line="282" w:lineRule="auto"/>
        <w:tabs>
          <w:tab w:leader="none" w:pos="2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long-term debt and the current portion of long-term debt as presented in the consolidated balance sheet. Refer to footnotes to the consolidated financial statements for discussion of our accounting policies related to debt obligations.</w:t>
      </w:r>
    </w:p>
    <w:p>
      <w:pPr>
        <w:spacing w:after="0" w:line="53"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Sky from the date of acquisition on October 9, 2018. Refer to Note 7 to the consolidated financial statements for further discussion.</w:t>
      </w:r>
    </w:p>
    <w:p>
      <w:pPr>
        <w:spacing w:after="0" w:line="109" w:lineRule="exact"/>
        <w:rPr>
          <w:rFonts w:ascii="Times New Roman" w:cs="Times New Roman" w:eastAsia="Times New Roman" w:hAnsi="Times New Roman"/>
          <w:sz w:val="14"/>
          <w:szCs w:val="14"/>
          <w:color w:val="auto"/>
        </w:rPr>
      </w:pPr>
    </w:p>
    <w:p>
      <w:pPr>
        <w:ind w:left="260" w:right="20" w:hanging="252"/>
        <w:spacing w:after="0" w:line="282" w:lineRule="auto"/>
        <w:tabs>
          <w:tab w:leader="none" w:pos="2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2017 net income attributable to Comcast Corporation and earnings per common share attributable to Comcast Corporation shareholders included a $12.7 billion net income tax benefit as a result of the impacts of the 2017 tax reform legislation.</w:t>
      </w: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and should be read in conjunction with, the consolidated financial statements and related notes to enhance the understanding of our operations and our present business environment. Components of management’s discussion and analysis of financial condition and results of operations include:</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Judgments and Estimates</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and (3) Sky in one reportable business segment. For more information about our company’s operations, see Item 1: Business. Additionally, refer to Item 7: Management’s Discussion and Analysis of Financial Condition and Results of Operations in our </w:t>
      </w:r>
      <w:hyperlink r:id="rId83">
        <w:r>
          <w:rPr>
            <w:rFonts w:ascii="Times New Roman" w:cs="Times New Roman" w:eastAsia="Times New Roman" w:hAnsi="Times New Roman"/>
            <w:sz w:val="18"/>
            <w:szCs w:val="18"/>
            <w:u w:val="single" w:color="auto"/>
            <w:color w:val="0000FF"/>
          </w:rPr>
          <w:t>2019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management’s discussion and analysis of financial condition and results of operations for the fiscal year 2019 compared to fiscal year 2018.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5863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006EBF"/>
        </w:rPr>
        <w:t>Consolidated Revenue, Net Income Attributable to Comcast Corporation and Adjusted EBITDA</w:t>
      </w:r>
      <w:r>
        <w:rPr>
          <w:rFonts w:ascii="Arial" w:cs="Arial" w:eastAsia="Arial" w:hAnsi="Arial"/>
          <w:sz w:val="22"/>
          <w:szCs w:val="22"/>
          <w:color w:val="006EBF"/>
          <w:vertAlign w:val="superscript"/>
        </w:rPr>
        <w:t>(a)</w:t>
      </w:r>
    </w:p>
    <w:p>
      <w:pPr>
        <w:ind w:left="20"/>
        <w:spacing w:after="0"/>
        <w:rPr>
          <w:sz w:val="20"/>
          <w:szCs w:val="20"/>
          <w:color w:val="auto"/>
        </w:rPr>
      </w:pPr>
      <w:r>
        <w:rPr>
          <w:rFonts w:ascii="Times New Roman" w:cs="Times New Roman" w:eastAsia="Times New Roman" w:hAnsi="Times New Roman"/>
          <w:sz w:val="14"/>
          <w:szCs w:val="14"/>
          <w:color w:val="auto"/>
        </w:rPr>
        <w:t>(in billions)</w:t>
      </w:r>
    </w:p>
    <w:p>
      <w:pPr>
        <w:sectPr>
          <w:pgSz w:w="11900" w:h="16838" w:orient="portrait"/>
          <w:cols w:equalWidth="0" w:num="1">
            <w:col w:w="11240"/>
          </w:cols>
          <w:pgMar w:left="320" w:top="117" w:right="339" w:bottom="1440" w:gutter="0" w:footer="0" w:header="0"/>
        </w:sectPr>
      </w:pPr>
    </w:p>
    <w:p>
      <w:pPr>
        <w:spacing w:after="0" w:line="21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Income Attributable to</w:t>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142240</wp:posOffset>
            </wp:positionV>
            <wp:extent cx="7115175" cy="2468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15175"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353" w:lineRule="exact"/>
        <w:rPr>
          <w:sz w:val="20"/>
          <w:szCs w:val="20"/>
          <w:color w:val="auto"/>
        </w:rPr>
      </w:pPr>
    </w:p>
    <w:p>
      <w:pPr>
        <w:sectPr>
          <w:pgSz w:w="11900" w:h="16838" w:orient="portrait"/>
          <w:cols w:equalWidth="0" w:num="3">
            <w:col w:w="2920" w:space="720"/>
            <w:col w:w="1960" w:space="720"/>
            <w:col w:w="492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60" w:hanging="252"/>
        <w:spacing w:after="0" w:line="253"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financial measure that is not defined by generally accepted accounting principles in the United States (“GAAP”). Refer to the “Non-GAAP Financial Measure” section on page 57 for additional information, including our definition and our use of Adjusted EBITDA, and for a reconciliation from net income attributable to Comcast Corporation to Adjusted</w:t>
      </w: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2020 Consolidated Operating Results</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15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ind w:left="364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Revenue</w:t>
      </w:r>
      <w:r>
        <w:rPr>
          <w:sz w:val="20"/>
          <w:szCs w:val="20"/>
          <w:color w:val="auto"/>
        </w:rPr>
        <w:tab/>
      </w:r>
      <w:r>
        <w:rPr>
          <w:rFonts w:ascii="Times New Roman" w:cs="Times New Roman" w:eastAsia="Times New Roman" w:hAnsi="Times New Roman"/>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657850" cy="1543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154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15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Charts exclude the results of Corporate and Other, and eliminations.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Developments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more significant developments in our businesses during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Overall</w:t>
      </w:r>
    </w:p>
    <w:p>
      <w:pPr>
        <w:spacing w:after="0" w:line="81" w:lineRule="exact"/>
        <w:rPr>
          <w:sz w:val="20"/>
          <w:szCs w:val="20"/>
          <w:color w:val="auto"/>
        </w:rPr>
      </w:pPr>
    </w:p>
    <w:p>
      <w:pPr>
        <w:ind w:left="660" w:hanging="328"/>
        <w:spacing w:after="0" w:line="220"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COVID-19 materially impacted our 2020 results of operations. While Cable Communications results were strong, NBCUniversal and Sky results experienced material negative impacts due to the temporary closure of our theme parks and the postponement of sporting events, respectively.</w:t>
      </w:r>
    </w:p>
    <w:p>
      <w:pPr>
        <w:spacing w:after="0" w:line="64" w:lineRule="exact"/>
        <w:rPr>
          <w:rFonts w:ascii="Times New Roman" w:cs="Times New Roman" w:eastAsia="Times New Roman" w:hAnsi="Times New Roman"/>
          <w:sz w:val="22"/>
          <w:szCs w:val="22"/>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$18.8 billion and issued $18.6 billion of long-term debt in 2020 ending the year with $11.7 billion of cash on hand. This financing activity resulted in a reduction in the weighted-average cost of debt due to the favorable interest rate environment and provides additional liquidity given the risks associated with the economic conditions caused by COVID-19.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w:t>
      </w:r>
    </w:p>
    <w:p>
      <w:pPr>
        <w:spacing w:after="0" w:line="68"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3.4% to $60.1 billion, reflecting increases in high-speed internet, wireless, business services and advertising revenue, partially offset by declines in voice, video and other revenue.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8.6% to $25.3 billion.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from 40.1% to 42.1%, reflecting increases in revenue from high-speed internet and business services and decreases in losses in our wireless business.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customer relationships increased by 1.6 million, total high-speed internet customers increased 2.0 million and total video customers decreased 1.4 million.</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decreased 4.4% to $6.6 billion, reflecting lower spending on customer premise equipment and support capital, partially offset by an increase in spending on scalable infrastructure.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NBCUniversal</w:t>
      </w:r>
    </w:p>
    <w:p>
      <w:pPr>
        <w:spacing w:after="0" w:line="68"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NBCUniversal revenue decreased 17.3% to $28.1 billion and total NBCUniversal Adjusted EBITDA decreased 28.5% to $6.3 billion driven by the impacts of COVID-19.</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Networks and Broadcast Television segments revenue decreased 5.8% to $10.8 billion and 0.2% to $10.2 billion, respectively, reflecting decreases in advertising revenue, partially offset by increases in content licensing revenue. Distribution revenue decreased at Cable Networks and increased at Broadcast Television.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Filmed Entertainment segment revenue decreased 18.7% to $5.3 billion, reflecting lower theatrical and other revenues as a result of theater closures due to COVID-19, partially offset by an increase in content licensing revenue.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Theme Parks segment revenue decreased 68.9% to $1.8 billion and Adjusted EBITDA decreased from $2.5 billion to a loss of $541 million, reflecting the temporary theme parks closures due to COVID-19.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Sky</w:t>
      </w:r>
    </w:p>
    <w:p>
      <w:pPr>
        <w:spacing w:after="0" w:line="68" w:lineRule="exact"/>
        <w:rPr>
          <w:sz w:val="20"/>
          <w:szCs w:val="20"/>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revenue decreased 3.3% to $18.6 billion. Excluding the impact of foreign currency, Sky revenue decreased 4.2% due to decreases in direct-to-consumer, advertising and content revenues driven by impacts of COVID-19.</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Adjusted EBITDA decreased 37.0% to $2.0 billion. Excluding the impact of foreign currency, Sky Adjusted EBITDA decreased 37.6% primarily due to the decreases in revenue.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68"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Peacock, our direct-to-consumer streaming service that features NBCUniversal content, which was made available to Comcast customers in April 2020 and launched nationally in July 2020.</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revenue increased 9.8% to $366 million primarily due to revenue generated from Peacock.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Adjusted EBITDA losses increased from $880 million to $2.4 billion primarily due to severance charges and costs associated with Peacock.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COVID-19 and measures taken to prevent its spread across the globe have impacted our businesses in a number of ways. Our Cable Communications results of operations were strong in 2020, despite having been affected by the significant deterioration in domestic economic conditions and by the costs associated with our support of customer connectivity as people worked and learned remotely from home. COVID-19 had material negative impacts on NBCUniversal and Sky results of operations during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2020 primarily due to the temporary closure of our theme parks and disruption of professional sports seasons, respectively. We expect the impacts of the COVID-19 pandemic will continue to have a material adverse impact on our consolidated results of operations over the near to medium term, although the extent of such impact will depend on restrictive governmental measures, further deterioration of the global economy and widespread availability of vaccines.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w:t>
      </w:r>
    </w:p>
    <w:p>
      <w:pPr>
        <w:spacing w:after="0" w:line="122"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network performed well under the stress of increased traffic and peak usage driven by increased video streaming, gaming and videoconferencing as customers worked and learned remotely from home.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costs in 2020 associated with compensating personnel in roles affected by COVID-19, primarily during the first half of the year. These costs included additional compensation for frontline personnel who worked to keep our customers connected to our services and compensation for certain personnel who were unable to work due to the closing or suspension of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March 2020 and continuing through June 2021, new qualifying customers for Internet Essentials, our low-income internet adoption program, receive 60 days of free internet services. We also implemented programs, primarily during the second quarter of 2020, under which we elected to waive certain fees and to not disconnect internet, voice or wireless services for customers for nonpayment, and we are providing customers a variety of flexible and extended payment options. As a result of these programs, our customer metrics for 2020 do not include customers in the free Internet Essentials offer or certain high-risk customers who continued to receive service following nonpayment. The number of customers excluded from our customer metrics was highest as of June 30, 2020 and these customers were excluded from second quarter net additions. The number of such customers decreased in the third and fourth quarters as some of these customers either began paying for service, resulting in customer net additions, or disconnected and no longer receive service. We expect the number of excluded customers to continue to decrease in future quarters.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professional sports leagues were disrupted due to COVID-19, generally resulting in postponed or canceled matches and reduced schedules. Certain of our programming distribution agreements with regional sports networks include contractual adjustment provisions if a minimum number of sporting events does not occur. Our programming expenses were reduced as a result of these provisions, and our revenue was negatively impacted in similar amounts as a result of adjustments that we passed through to our customers in 2020 and continue to pass through in the first quarter of 2021.</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economic conditions and increased economic uncertainty resulting from COVID-19 have resulted in reduced demand for certain of our residential and business services and reduced spending from advertisers, which have had and, while we have seen some improvement over the course of 2020, likely will continue to have, negative impacts on our revenue over the near to medium term. In addition, we believe there is increased risk associated with collections on our outstanding receivables, and we have incurred, and may continue to incur, increases in our bad debt expense.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NBCUniversal</w:t>
      </w:r>
    </w:p>
    <w:p>
      <w:pPr>
        <w:spacing w:after="0" w:line="122" w:lineRule="exact"/>
        <w:rPr>
          <w:sz w:val="20"/>
          <w:szCs w:val="20"/>
          <w:color w:val="auto"/>
        </w:rPr>
      </w:pPr>
    </w:p>
    <w:p>
      <w:pPr>
        <w:jc w:val="both"/>
        <w:ind w:left="660" w:hanging="328"/>
        <w:spacing w:after="0" w:line="25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temporary closure of all of our theme parks had the most significant impact on our revenue and Adjusted EBITDA for the year ended December 31, 2020 on a consolidated basis. Our parks in Orlando and Japan reopened with limited capacity in June 2020, while our park in Hollywood remains closed. We expect the results of operations at our theme parks will continue to be negatively impacted in the near to medium term, and we cannot predict with certainty when the Hollywood park will reopen, if any reopened parks will remain open or the level of attendance at any reopened parks. In addition, although we currently expect that Universal Beijing Resort will open in 2021, we have delayed certain construction projects, including the development of the Epic Universe theme park in Orlando.</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economic conditions caused by COVID-19 resulted in significant reductions in advertising spend by our customers in the Cable Networks and Broadcast Television segments and, while we have seen some improvement over the course of 2020, we expect this trend to continue over the near to medium term. There has also been, and likely will continue to be, an acceleration of subscriber losses at our networks.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costs in 2020 associated with compensating personnel who were unable to work due to the closing or suspension of operations due to COVID-19, primarily during the first half of the year, including at our theme parks and at our production studios.</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hanging="328"/>
        <w:spacing w:after="0" w:line="25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postponement and cancellation of many sporting events and professional sports seasons caused by COVID-19 impacted our results of operations during 2020, since both advertising revenues and costs associated with broadcasting these programs are recognized when events are broadcast. While professional sports leagues generally resumed and completed their seasons in the second half of 2020, some had reduced numbers of events for the remainder of the interrupted seasons. Certain of our sports programming rights agreements and distribution agreements with multichannel video providers require contractual adjustments if a minimum number of sporting events does not occur. Our distribution revenue was negatively impacted as a result of credits accrued relating to these provisions; and the programming costs that we recognized as the remaining events occurred were also impacted. In addition, there have been, and there may be in the future, delays to the start of the current or upcoming seasons for certain professional sports leagues. When, or the extent to which, sporting events will occur in 2021 will impact the timing, and potentially the amount, of revenue and expense recognition. In addition, the 2020 Tokyo Olympics have been postponed from the third quarter of 2020 to the third quarter of 2021, resulting in a corresponding delay of the associated revenue and costs.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and availability of our film and television programming in the United States and globally have been disrupted, including from the suspension of studio production operations in the first half of 2020. Our studio production operations have resumed at a limited capacity. Additionally, with the temporary closure of many movie theaters worldwide, we have delayed or altered the theatrical distribution strategy for certain of our films, both domestically and internationally. Delays in theatrical releases affect both current and future periods as a result of corresponding delays in subsequent content licensing windows. We expect results of operations in our Filmed Entertainment segment to continue to be negatively impacted over the near to medium term as a result of COVID-19.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Sky</w:t>
      </w:r>
    </w:p>
    <w:p>
      <w:pPr>
        <w:spacing w:after="0" w:line="122" w:lineRule="exact"/>
        <w:rPr>
          <w:sz w:val="20"/>
          <w:szCs w:val="20"/>
          <w:color w:val="auto"/>
        </w:rPr>
      </w:pPr>
    </w:p>
    <w:p>
      <w:pPr>
        <w:jc w:val="both"/>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revenue has been negatively impacted as a result of lower sports subscription revenue due to the disruption of professional sports seasons and future periods may be negatively impacted as a result of the reopening plans and the extent of reopening of our commercial customers. While sporting events generally resumed late in the second quarter of 2020 and the interrupted seasons were completed, there were delays to the start of the current seasons for certain sports, including European soccer. As a result, significant costs associated with broadcasting these programs were not recognized in 2020. COVID-19 continues to result in uncertainty in the ultimate timing of when, or the extent to which, sporting events will occur in future periods; their broadcast is expected to impact the timing, and potentially the amount, of revenue and expense recognition.</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temporarily suspended certain sales channels due to COVID-19, which negatively impacted net customer additions and revenue in the first half of 2020. Our sales channels generally resumed operations in June 2020.</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has resulted in the deterioration of economic conditions and increased economic uncertainty in Europe, intensifying what was an already deteriorating economic and advertising environment. These conditions negatively impacted revenue in 2020 and, while we have seen some improvement over the course of 2020, we expect COVID-19 likely will continue to negatively impact advertising spend and consumer demand for our services in 2021. In addition, there is increased risk associated with collections on our outstanding receivables, and we have incurred and may continue to incur increases in our bad debt expense.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implemented and will continue to implement cost savings initiatives across our businesses that have impacted and will continue to impact our results of operations; certain costs incurred by our businesses in response to COVID-19, including severance, are presented in Corporate and Other. Our businesses implemented separate cost savings initiatives, with the most significant relating to severance at NBCUniversal in connection with the realignment of the operating structure in our television businesses as well as overall reductions in the cost base. We do not anticipate significant incremental costs to be incurred under these plans, and payments related to NBCUniversal employee severance are expected to be completed in 2021. NBCUniversal employee-related costs savings will be realized in operating costs and expenses primarily beginning in 2021 and a portion of these cost savings may be reallocated to investments in content and other strategic initiatives.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financial markets have been volatile and domestic and global economic conditions continue to show signs of material weakness. At this point, it is impossible to predict the extent and duration of these and any other impacts of COVID-19 to our businesses, or the degree to which demand for our products and services, or supply of key inputs to those products and services, will be affected. This uncertainty makes it challenging for management to estimate with precision the future performance of our businesses.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we evaluated whether the facts and circumstances and available information resulted in the need for an impairment assessment for any of our long-lived assets and concluded no assessment was required. Refer to the Critical</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Judgments and Estimates section for discussion of our impairment testing of goodwill and cable franchise rights. We will continue to evaluate the impacts of COVID-19 on our businesses, including the impacts of overall economic conditions, which could result in the recognition of an impairment charge in the future.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Liquidity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negatively impacted by the effects of COVID-19, we expect that our businesses will continue to generate significant cash flows from operating activities and we believe that these cash flows, together with our existing cash, cash equivalents and investments, available borrowings under our existing credit facilities and our ability to obtain future external financing, will be sufficient for us to meet our current and long-term liquidity and capital requirements. In 2020, we issued $18.6 billion of long-term debt, the proceeds of which were used to repay existing indebtedness and increase cash on our balance sheet in order to bolster liquidity and strengthen our financial position as a result of the increased uncertainty related to the duration and scope of the COVID-19 pandemic. We also took actions to conservatively manage cash through reductions in costs and capital expenditures in 2020. We expect the timing of certain priorities may continue to be impacted, such as the pace of our debt reduction efforts and returning capital to shareholders, and the delay of certain capital projects.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For additional information on the competition our businesses face, see Item 1: Business and Item 1A: Risk Factors. Within the Business section, refer to the “Competition” discussion, and within the Risk Factors section, refer to the risk factors entitled “Our businesses operate in highly competitive and dynamic industries, and our businesses and results of operations could be adversely affected if we do not compete effectively” and “Changes in consumer behavior driven by online video distribution platforms for viewing content continue to adversely affect our businesses and challenge existing business models.”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our businesses is typically subject to seasonal and cyclical variations. See Item 1: Business and refer to the “Seasonality and Cyclicality” discussion within that section for additional information.</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2018</w:t>
            </w:r>
          </w:p>
        </w:tc>
        <w:tc>
          <w:tcPr>
            <w:tcW w:w="1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108,942</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94,507</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33,121</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8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4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42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29,692</w:t>
            </w:r>
          </w:p>
        </w:tc>
        <w:tc>
          <w:tcPr>
            <w:tcW w:w="1480" w:type="dxa"/>
            <w:vAlign w:val="bottom"/>
            <w:vMerge w:val="continue"/>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33,109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42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28,094</w:t>
            </w: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0.9</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42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7,036</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(11.5)</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42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8,281</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(4.0)</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42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2,736</w:t>
            </w: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11.4</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operating gains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(341)</w:t>
            </w: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86,071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87,817</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75,498</w:t>
            </w:r>
          </w:p>
        </w:tc>
        <w:tc>
          <w:tcPr>
            <w:tcW w:w="14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420" w:type="dxa"/>
            <w:vAlign w:val="bottom"/>
          </w:tcPr>
          <w:p>
            <w:pPr>
              <w:spacing w:after="0"/>
              <w:rPr>
                <w:sz w:val="18"/>
                <w:szCs w:val="18"/>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19,009</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(17.2)</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420" w:type="dxa"/>
            <w:vAlign w:val="bottom"/>
          </w:tcPr>
          <w:p>
            <w:pPr>
              <w:spacing w:after="0"/>
              <w:rPr>
                <w:sz w:val="19"/>
                <w:szCs w:val="19"/>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(3,542)</w:t>
            </w: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0.5</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(225)</w:t>
            </w: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164.8</w:t>
            </w: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420" w:type="dxa"/>
            <w:vAlign w:val="bottom"/>
          </w:tcPr>
          <w:p>
            <w:pPr>
              <w:spacing w:after="0"/>
              <w:rPr>
                <w:sz w:val="18"/>
                <w:szCs w:val="18"/>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15,242</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(17.2)</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(3,380)</w:t>
            </w:r>
          </w:p>
        </w:tc>
        <w:tc>
          <w:tcPr>
            <w:tcW w:w="14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(8.4)</w:t>
            </w: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10,701</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420" w:type="dxa"/>
            <w:vAlign w:val="bottom"/>
          </w:tcPr>
          <w:p>
            <w:pPr>
              <w:spacing w:after="0"/>
              <w:rPr>
                <w:sz w:val="18"/>
                <w:szCs w:val="18"/>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11,862</w:t>
            </w: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(19.7)</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w:t>
            </w: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tcPr>
          <w:p>
            <w:pPr>
              <w:spacing w:after="0"/>
              <w:rPr>
                <w:sz w:val="15"/>
                <w:szCs w:val="15"/>
                <w:color w:val="auto"/>
              </w:rPr>
            </w:pPr>
          </w:p>
        </w:tc>
        <w:tc>
          <w:tcPr>
            <w:tcW w:w="120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131</w:t>
            </w:r>
          </w:p>
        </w:tc>
        <w:tc>
          <w:tcPr>
            <w:tcW w:w="148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(37.5)</w:t>
            </w:r>
          </w:p>
        </w:tc>
        <w:tc>
          <w:tcPr>
            <w:tcW w:w="11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redeemable subsidiary preferred stock</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40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10,534</w:t>
            </w:r>
          </w:p>
        </w:tc>
        <w:tc>
          <w:tcPr>
            <w:tcW w:w="32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42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0C6DFF"/>
            </w:tcBorders>
          </w:tcPr>
          <w:p>
            <w:pPr>
              <w:jc w:val="right"/>
              <w:ind w:right="331"/>
              <w:spacing w:after="0"/>
              <w:rPr>
                <w:sz w:val="20"/>
                <w:szCs w:val="20"/>
                <w:color w:val="auto"/>
              </w:rPr>
            </w:pPr>
            <w:r>
              <w:rPr>
                <w:rFonts w:ascii="Times New Roman" w:cs="Times New Roman" w:eastAsia="Times New Roman" w:hAnsi="Times New Roman"/>
                <w:sz w:val="18"/>
                <w:szCs w:val="18"/>
                <w:color w:val="auto"/>
              </w:rPr>
              <w:t>11,731</w:t>
            </w:r>
          </w:p>
        </w:tc>
        <w:tc>
          <w:tcPr>
            <w:tcW w:w="1480" w:type="dxa"/>
            <w:vAlign w:val="bottom"/>
            <w:tcBorders>
              <w:bottom w:val="single" w:sz="8" w:color="0C6DFF"/>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(19.3)%</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169"/>
        </w:trPr>
        <w:tc>
          <w:tcPr>
            <w:tcW w:w="45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w:t>
            </w:r>
          </w:p>
        </w:tc>
        <w:tc>
          <w:tcPr>
            <w:tcW w:w="4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2.56</w:t>
            </w:r>
          </w:p>
        </w:tc>
        <w:tc>
          <w:tcPr>
            <w:tcW w:w="148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(19.9)%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1"/>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4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w:t>
            </w:r>
          </w:p>
        </w:tc>
        <w:tc>
          <w:tcPr>
            <w:tcW w:w="4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2.53</w:t>
            </w:r>
          </w:p>
        </w:tc>
        <w:tc>
          <w:tcPr>
            <w:tcW w:w="148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(19.4)%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0C6D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Comcast Corporation shareholders</w:t>
            </w:r>
          </w:p>
        </w:tc>
        <w:tc>
          <w:tcPr>
            <w:tcW w:w="400" w:type="dxa"/>
            <w:vAlign w:val="bottom"/>
            <w:tcBorders>
              <w:bottom w:val="single" w:sz="8" w:color="0C6DFF"/>
            </w:tcBorders>
            <w:vMerge w:val="continue"/>
          </w:tcPr>
          <w:p>
            <w:pPr>
              <w:spacing w:after="0"/>
              <w:rPr>
                <w:sz w:val="19"/>
                <w:szCs w:val="19"/>
                <w:color w:val="auto"/>
              </w:rPr>
            </w:pPr>
          </w:p>
        </w:tc>
        <w:tc>
          <w:tcPr>
            <w:tcW w:w="860" w:type="dxa"/>
            <w:vAlign w:val="bottom"/>
            <w:tcBorders>
              <w:bottom w:val="single" w:sz="8" w:color="0C6DFF"/>
            </w:tcBorders>
            <w:vMerge w:val="continue"/>
          </w:tcPr>
          <w:p>
            <w:pPr>
              <w:spacing w:after="0"/>
              <w:rPr>
                <w:sz w:val="19"/>
                <w:szCs w:val="19"/>
                <w:color w:val="auto"/>
              </w:rPr>
            </w:pPr>
          </w:p>
        </w:tc>
        <w:tc>
          <w:tcPr>
            <w:tcW w:w="320" w:type="dxa"/>
            <w:vAlign w:val="bottom"/>
            <w:tcBorders>
              <w:bottom w:val="single" w:sz="8" w:color="0C6DFF"/>
            </w:tcBorders>
            <w:vMerge w:val="continue"/>
          </w:tcPr>
          <w:p>
            <w:pPr>
              <w:spacing w:after="0"/>
              <w:rPr>
                <w:sz w:val="19"/>
                <w:szCs w:val="19"/>
                <w:color w:val="auto"/>
              </w:rPr>
            </w:pPr>
          </w:p>
        </w:tc>
        <w:tc>
          <w:tcPr>
            <w:tcW w:w="860" w:type="dxa"/>
            <w:vAlign w:val="bottom"/>
            <w:tcBorders>
              <w:bottom w:val="single" w:sz="8" w:color="0C6DFF"/>
            </w:tcBorders>
            <w:vMerge w:val="continue"/>
          </w:tcPr>
          <w:p>
            <w:pPr>
              <w:spacing w:after="0"/>
              <w:rPr>
                <w:sz w:val="19"/>
                <w:szCs w:val="19"/>
                <w:color w:val="auto"/>
              </w:rPr>
            </w:pPr>
          </w:p>
        </w:tc>
        <w:tc>
          <w:tcPr>
            <w:tcW w:w="420" w:type="dxa"/>
            <w:vAlign w:val="bottom"/>
            <w:tcBorders>
              <w:bottom w:val="single" w:sz="8" w:color="0C6DFF"/>
            </w:tcBorders>
            <w:vMerge w:val="continue"/>
          </w:tcPr>
          <w:p>
            <w:pPr>
              <w:spacing w:after="0"/>
              <w:rPr>
                <w:sz w:val="19"/>
                <w:szCs w:val="19"/>
                <w:color w:val="auto"/>
              </w:rPr>
            </w:pPr>
          </w:p>
        </w:tc>
        <w:tc>
          <w:tcPr>
            <w:tcW w:w="1200" w:type="dxa"/>
            <w:vAlign w:val="bottom"/>
            <w:tcBorders>
              <w:bottom w:val="single" w:sz="8" w:color="0C6DFF"/>
            </w:tcBorders>
            <w:vMerge w:val="continue"/>
          </w:tcPr>
          <w:p>
            <w:pPr>
              <w:spacing w:after="0"/>
              <w:rPr>
                <w:sz w:val="19"/>
                <w:szCs w:val="19"/>
                <w:color w:val="auto"/>
              </w:rPr>
            </w:pPr>
          </w:p>
        </w:tc>
        <w:tc>
          <w:tcPr>
            <w:tcW w:w="1480" w:type="dxa"/>
            <w:vAlign w:val="bottom"/>
            <w:tcBorders>
              <w:bottom w:val="single" w:sz="8" w:color="0C6DFF"/>
            </w:tcBorders>
            <w:vMerge w:val="continue"/>
          </w:tcPr>
          <w:p>
            <w:pPr>
              <w:spacing w:after="0"/>
              <w:rPr>
                <w:sz w:val="19"/>
                <w:szCs w:val="19"/>
                <w:color w:val="auto"/>
              </w:rPr>
            </w:pPr>
          </w:p>
        </w:tc>
        <w:tc>
          <w:tcPr>
            <w:tcW w:w="1120" w:type="dxa"/>
            <w:vAlign w:val="bottom"/>
            <w:tcBorders>
              <w:bottom w:val="single" w:sz="8" w:color="0C6D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45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0C6D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40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30,826</w:t>
            </w:r>
          </w:p>
        </w:tc>
        <w:tc>
          <w:tcPr>
            <w:tcW w:w="32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42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0C6DFF"/>
            </w:tcBorders>
          </w:tcPr>
          <w:p>
            <w:pPr>
              <w:jc w:val="right"/>
              <w:ind w:right="331"/>
              <w:spacing w:after="0"/>
              <w:rPr>
                <w:sz w:val="20"/>
                <w:szCs w:val="20"/>
                <w:color w:val="auto"/>
              </w:rPr>
            </w:pPr>
            <w:r>
              <w:rPr>
                <w:rFonts w:ascii="Times New Roman" w:cs="Times New Roman" w:eastAsia="Times New Roman" w:hAnsi="Times New Roman"/>
                <w:sz w:val="18"/>
                <w:szCs w:val="18"/>
                <w:color w:val="auto"/>
              </w:rPr>
              <w:t>30,165</w:t>
            </w:r>
          </w:p>
        </w:tc>
        <w:tc>
          <w:tcPr>
            <w:tcW w:w="1480" w:type="dxa"/>
            <w:vAlign w:val="bottom"/>
            <w:tcBorders>
              <w:bottom w:val="single" w:sz="8" w:color="0C6DFF"/>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(10.0)%</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282"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 section on page 57 for additional information, including our definition and our use of Adjusted EBITDA, and for a reconciliation from net income attributable to Comcast Corporation to Adjusted EBITDA.</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comparability of our consolidated results of operations was impacted by the Sky transaction in the fourth quarter of 2018. Sky’s results of operations are included in our consolidated financial statements following the October 9, 2018 acquisition date.</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contributions to the change in consolidated revenue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45720</wp:posOffset>
            </wp:positionV>
            <wp:extent cx="4500245" cy="2305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45002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drivers of the change in revenue from 2019 to 2020 were as follows:</w:t>
      </w:r>
    </w:p>
    <w:p>
      <w:pPr>
        <w:spacing w:after="0" w:line="117"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NBCUniversal segments revenue primarily due to the impacts of COVID-19 resulting in decreased revenue at the Theme Parks, Filmed Entertainment, Cable Networks and Broadcast segments.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Corporate, Other and Eliminations revenue primarily due to an increase in eliminations as a result of the licensing of content between our NBCUniversal segments and Peacock.</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Sky segment revenue primarily due to the impacts of COVID-19 resulting in decreased direct-to-consumer, advertising and content revenue, as well as the impact of foreign currency translation.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Cable Communications segment revenue driven by increased revenue from high-speed internet, wireless, business services and advertising, partially offset by decreased revenue from voice, video and other revenue.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our segments and other businesses is discussed separately below under the heading “Segment Operating Results.”</w:t>
      </w:r>
    </w:p>
    <w:p>
      <w:pPr>
        <w:spacing w:after="0" w:line="200" w:lineRule="exact"/>
        <w:rPr>
          <w:sz w:val="20"/>
          <w:szCs w:val="20"/>
          <w:color w:val="auto"/>
        </w:rPr>
      </w:pPr>
    </w:p>
    <w:p>
      <w:pPr>
        <w:spacing w:after="0" w:line="34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contributions to the change in consolidated operating costs and expenses, representing total costs and expenses excluding depreciation and amortization expense,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54610</wp:posOffset>
            </wp:positionV>
            <wp:extent cx="4500245" cy="23660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45002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drivers of the change in operating costs and expenses from 2019 to 2020 were as follows:</w:t>
      </w:r>
    </w:p>
    <w:p>
      <w:pPr>
        <w:spacing w:after="0" w:line="117"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NBCUniversal expenses primarily due to the impacts of COVID-19, which led to decreased expenses in our Filmed Entertainment, Theme Parks, Cable Networks and Broadcast segments.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Flat Cable Communications segment expenses primarily due to decreased advertising, marketing and promotion expenses and customer service expenses, offset by an increase in programming expenses, other expenses, technical product support costs, and franchise and other regulatory fees.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Corporate, Other and Eliminations expenses primarily due to certain costs incurred in response to COVID-19, including severance charges related to our businesses, costs associated with Peacock, and a legal settlement, partially offset by an increase in eliminations as a result of our licensing content between our NBCUniversal segments and Peacock.</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Sky segment’s expenses primarily due to an increase in other costs and direct network costs, partially offset by a decrease in programming and production costs and the impacts of foreign currency translation.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for our segments and our corporate operations, business development initiatives and other businesses are discussed separately below under the heading “Segment Operating Results.”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r>
      <w:tr>
        <w:trPr>
          <w:trHeight w:val="20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rPr>
              <w:t>2018</w:t>
            </w: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Communications</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8,262</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(3.0)%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340" w:type="dxa"/>
            <w:vAlign w:val="bottom"/>
          </w:tcPr>
          <w:p>
            <w:pPr>
              <w:spacing w:after="0"/>
              <w:rPr>
                <w:sz w:val="19"/>
                <w:szCs w:val="19"/>
                <w:color w:val="auto"/>
              </w:rPr>
            </w:pPr>
          </w:p>
        </w:tc>
        <w:tc>
          <w:tcPr>
            <w:tcW w:w="11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2,108</w:t>
            </w:r>
          </w:p>
        </w:tc>
        <w:tc>
          <w:tcPr>
            <w:tcW w:w="1400" w:type="dxa"/>
            <w:vAlign w:val="bottom"/>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7.0</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340" w:type="dxa"/>
            <w:vAlign w:val="bottom"/>
          </w:tcPr>
          <w:p>
            <w:pPr>
              <w:spacing w:after="0"/>
              <w:rPr>
                <w:sz w:val="19"/>
                <w:szCs w:val="19"/>
                <w:color w:val="auto"/>
              </w:rPr>
            </w:pPr>
          </w:p>
        </w:tc>
        <w:tc>
          <w:tcPr>
            <w:tcW w:w="11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539</w:t>
            </w:r>
          </w:p>
        </w:tc>
        <w:tc>
          <w:tcPr>
            <w:tcW w:w="1400" w:type="dxa"/>
            <w:vAlign w:val="bottom"/>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12.4</w:t>
            </w: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NM</w:t>
            </w: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108</w:t>
            </w:r>
          </w:p>
        </w:tc>
        <w:tc>
          <w:tcPr>
            <w:tcW w:w="14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b w:val="1"/>
                <w:bCs w:val="1"/>
                <w:color w:val="auto"/>
              </w:rPr>
              <w:t>(74.1)</w:t>
            </w: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36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168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13,100</w:t>
            </w:r>
          </w:p>
        </w:tc>
        <w:tc>
          <w:tcPr>
            <w:tcW w:w="34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0C6DFF"/>
            </w:tcBorders>
          </w:tcPr>
          <w:p>
            <w:pPr>
              <w:jc w:val="right"/>
              <w:ind w:right="293"/>
              <w:spacing w:after="0"/>
              <w:rPr>
                <w:sz w:val="20"/>
                <w:szCs w:val="20"/>
                <w:color w:val="auto"/>
              </w:rPr>
            </w:pPr>
            <w:r>
              <w:rPr>
                <w:rFonts w:ascii="Times New Roman" w:cs="Times New Roman" w:eastAsia="Times New Roman" w:hAnsi="Times New Roman"/>
                <w:sz w:val="18"/>
                <w:szCs w:val="18"/>
                <w:color w:val="auto"/>
              </w:rPr>
              <w:t>11,017</w:t>
            </w:r>
          </w:p>
        </w:tc>
        <w:tc>
          <w:tcPr>
            <w:tcW w:w="1400" w:type="dxa"/>
            <w:vAlign w:val="bottom"/>
            <w:tcBorders>
              <w:bottom w:val="single" w:sz="8" w:color="0C6DFF"/>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1.1 %</w:t>
            </w:r>
          </w:p>
        </w:tc>
        <w:tc>
          <w:tcPr>
            <w:tcW w:w="11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NBCUniversal and Sky depreciation and amortization expense increased in 2020 primarily due to amortization of certain trade names beginning in the first quarter of 2020, which were previously accounted for as indefinite-lived intangible assets (see Note 11). Cable Communications depreciation and amortization expense decreased due to lower spending on customer premise equipment and support capital, partially offset by an increase in spending on scalable infrastructure.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$2.3 billion, $2.0 billion and $1.1 billion for 2020, 2019 and 2018, respectively. Amounts primarily relate to customer relationship intangible assets recorded in connection with the Sky transaction in the fourth quarter of 2018 and the NBCUniversal transaction in 2011.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flat in 2020 compared to 2019 as $360 million of charges related to the early redemption of senior notes were offset by lower weighted-average interest rates and a decrease in average debt outstanding.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(505)</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1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420" w:type="dxa"/>
            <w:vAlign w:val="bottom"/>
          </w:tcPr>
          <w:p>
            <w:pPr>
              <w:spacing w:after="0"/>
              <w:rPr>
                <w:sz w:val="19"/>
                <w:szCs w:val="19"/>
                <w:color w:val="auto"/>
              </w:rPr>
            </w:pPr>
          </w:p>
        </w:tc>
        <w:tc>
          <w:tcPr>
            <w:tcW w:w="74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656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rPr>
              <w:t>287</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61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198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42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0C6DFF"/>
            </w:tcBorders>
          </w:tcPr>
          <w:p>
            <w:pPr>
              <w:jc w:val="center"/>
              <w:ind w:left="254"/>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Equity in Net Income (Losses) of Investees, Net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in 2020 compared to 2019 was primarily due to our investment in Atairos Group, Inc. and our reduced share of net losses for other equity method investments. The income (losses) at Atairos were driven by fair value adjustments on its underlying investments with income of $286 million in 2020 and losses of $64 million in 2019. See Note 9 for additional information related to our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Realized and Unrealized Gains (Losses) on Equity Securities, Net</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Realized and unrealized gains (losses) on equity securities, net in 2020 were primarily as a result of gains relating to transactions involving FanDuel and PointsBet and a public offering by fuboTV, as well as gains related to our investment in Peloton, which was sold during 2020. Realized and unrealized gains (losses) on equity securities, net in 2019 resulted primarily from gains related to our interests in Snap, which was sold in 2019, and Peloton as a result of its initial public offering in 2019. See Note 9 for additional information related to our investments.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06EBF"/>
        </w:rPr>
        <w:t>Other Income (Loss), Net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other income (loss), net in 2020 compared to 2019 was primarily due to the recognition of $219 million of gains related to the dilution of our Hulu ownership in 2019, partially offset by foreign currency gains and lower impairments related to equity method investments in 2020.</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in 2020 and 2019 was 23.9% and 21.6%,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2020, the effective income tax rate included $145 million of expense relating to the impact of tax law changes in the third quarter of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2019, the effective income tax rate included $125 million of benefits related to state income tax adjustments recognized in the third quarter of 2019.</w:t>
      </w:r>
    </w:p>
    <w:p>
      <w:pPr>
        <w:spacing w:after="0" w:line="274" w:lineRule="exact"/>
        <w:rPr>
          <w:sz w:val="20"/>
          <w:szCs w:val="20"/>
          <w:color w:val="auto"/>
        </w:rPr>
      </w:pPr>
    </w:p>
    <w:p>
      <w:pPr>
        <w:ind w:left="20" w:right="560"/>
        <w:spacing w:after="0" w:line="293" w:lineRule="auto"/>
        <w:rPr>
          <w:sz w:val="20"/>
          <w:szCs w:val="20"/>
          <w:color w:val="auto"/>
        </w:rPr>
      </w:pPr>
      <w:r>
        <w:rPr>
          <w:rFonts w:ascii="Arial" w:cs="Arial" w:eastAsia="Arial" w:hAnsi="Arial"/>
          <w:sz w:val="22"/>
          <w:szCs w:val="22"/>
          <w:b w:val="1"/>
          <w:bCs w:val="1"/>
          <w:color w:val="006EBF"/>
        </w:rPr>
        <w:t>Consolidated Net Income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net income attributable to noncontrolling interests and redeemable subsidiary preferred stock in 2020 compared to 2019 was primarily due to our acquisition of the remaining interest of one of our noncontrolling interests.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Adjusted EBITDA as the measure of profit or loss for our operating segments (see Note 2).</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6EB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151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Revenue and Adjusted EBITDA</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Residential Customer Relationships</w:t>
      </w:r>
    </w:p>
    <w:p>
      <w:pPr>
        <w:spacing w:after="0" w:line="171" w:lineRule="exact"/>
        <w:rPr>
          <w:sz w:val="20"/>
          <w:szCs w:val="20"/>
          <w:color w:val="auto"/>
        </w:rPr>
      </w:pPr>
    </w:p>
    <w:p>
      <w:pPr>
        <w:sectPr>
          <w:pgSz w:w="11900" w:h="16838" w:orient="portrait"/>
          <w:cols w:equalWidth="0" w:num="2">
            <w:col w:w="4180" w:space="720"/>
            <w:col w:w="634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135255</wp:posOffset>
            </wp:positionV>
            <wp:extent cx="7115175" cy="26060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15175" cy="2606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tcPr>
          <w:p>
            <w:pPr>
              <w:spacing w:after="0"/>
              <w:rPr>
                <w:sz w:val="13"/>
                <w:szCs w:val="13"/>
                <w:color w:val="auto"/>
              </w:rPr>
            </w:pPr>
          </w:p>
        </w:tc>
        <w:tc>
          <w:tcPr>
            <w:tcW w:w="12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2018</w:t>
            </w: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2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20,599</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9.9 %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High-speed internet</w:t>
            </w: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17,144</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21,937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22,455</w:t>
            </w: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Voice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3,960</w:t>
            </w: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(8.9)</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Wireless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890</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34.9</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services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7,129</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5.1</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2,795</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5.2</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1,660</w:t>
            </w:r>
          </w:p>
        </w:tc>
        <w:tc>
          <w:tcPr>
            <w:tcW w:w="15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(7.5)</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60,051</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58,082</w:t>
            </w:r>
          </w:p>
        </w:tc>
        <w:tc>
          <w:tcPr>
            <w:tcW w:w="34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56,033</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3.4</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13,498</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0.8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1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13,249</w:t>
            </w:r>
          </w:p>
        </w:tc>
        <w:tc>
          <w:tcPr>
            <w:tcW w:w="1560" w:type="dxa"/>
            <w:vAlign w:val="bottom"/>
            <w:vMerge w:val="continue"/>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Technical and product support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7,569</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0.6</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service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2,536</w:t>
            </w: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(2.5)</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4,002</w:t>
            </w: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(6.3)</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Franchise and other regulatory fees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1,578</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2.7</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5,418</w:t>
            </w: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34,781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34,816</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34,352</w:t>
            </w:r>
          </w:p>
        </w:tc>
        <w:tc>
          <w:tcPr>
            <w:tcW w:w="15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(0.1)</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25,270</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0C6DFF"/>
            </w:tcBorders>
          </w:tcPr>
          <w:p>
            <w:pPr>
              <w:jc w:val="right"/>
              <w:ind w:right="371"/>
              <w:spacing w:after="0"/>
              <w:rPr>
                <w:sz w:val="20"/>
                <w:szCs w:val="20"/>
                <w:color w:val="auto"/>
              </w:rPr>
            </w:pPr>
            <w:r>
              <w:rPr>
                <w:rFonts w:ascii="Times New Roman" w:cs="Times New Roman" w:eastAsia="Times New Roman" w:hAnsi="Times New Roman"/>
                <w:sz w:val="18"/>
                <w:szCs w:val="18"/>
                <w:color w:val="auto"/>
              </w:rPr>
              <w:t>21,681</w:t>
            </w:r>
          </w:p>
        </w:tc>
        <w:tc>
          <w:tcPr>
            <w:tcW w:w="1560" w:type="dxa"/>
            <w:vAlign w:val="bottom"/>
            <w:tcBorders>
              <w:bottom w:val="single" w:sz="8" w:color="0C6DFF"/>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8.6 %</w:t>
            </w:r>
          </w:p>
        </w:tc>
        <w:tc>
          <w:tcPr>
            <w:tcW w:w="1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68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20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Net Additions</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30,718</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1,569</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customer relationships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29,149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1120" w:type="dxa"/>
            <w:vAlign w:val="bottom"/>
            <w:vMerge w:val="continue"/>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1,040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 customer relationships</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2,426</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w:t>
            </w: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33,144</w:t>
            </w: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31,545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1,599</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1,134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customer relationships mix</w:t>
            </w:r>
          </w:p>
        </w:tc>
        <w:tc>
          <w:tcPr>
            <w:tcW w:w="1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12,434</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2,187</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product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10,247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120" w:type="dxa"/>
            <w:vAlign w:val="bottom"/>
            <w:vMerge w:val="continue"/>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1,232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Two product customers</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8,734</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8,923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Three or more product customers</w:t>
            </w:r>
          </w:p>
        </w:tc>
        <w:tc>
          <w:tcPr>
            <w:tcW w:w="1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9,550</w:t>
            </w: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9,979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High-speed internet</w:t>
            </w:r>
          </w:p>
        </w:tc>
        <w:tc>
          <w:tcPr>
            <w:tcW w:w="1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28,351</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1,937</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26,414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1120" w:type="dxa"/>
            <w:vAlign w:val="bottom"/>
            <w:vMerge w:val="continue"/>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1,317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 customers</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2,248</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2,215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w:t>
            </w: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high-speed internet customers</w:t>
            </w:r>
          </w:p>
        </w:tc>
        <w:tc>
          <w:tcPr>
            <w:tcW w:w="1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30,600</w:t>
            </w: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28,629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1,971</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1,406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Video</w:t>
            </w:r>
          </w:p>
        </w:tc>
        <w:tc>
          <w:tcPr>
            <w:tcW w:w="1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18,993</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(1,295)</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20,288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1120" w:type="dxa"/>
            <w:vAlign w:val="bottom"/>
            <w:vMerge w:val="continue"/>
          </w:tcPr>
          <w:p>
            <w:pPr>
              <w:spacing w:after="0"/>
              <w:rPr>
                <w:sz w:val="19"/>
                <w:szCs w:val="19"/>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(671)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 customers</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852</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966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video customers</w:t>
            </w:r>
          </w:p>
        </w:tc>
        <w:tc>
          <w:tcPr>
            <w:tcW w:w="1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19,846</w:t>
            </w: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21,254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(733)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Voice</w:t>
            </w:r>
          </w:p>
        </w:tc>
        <w:tc>
          <w:tcPr>
            <w:tcW w:w="1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9,645</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9,934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120" w:type="dxa"/>
            <w:vAlign w:val="bottom"/>
            <w:vMerge w:val="continue"/>
          </w:tcPr>
          <w:p>
            <w:pPr>
              <w:spacing w:after="0"/>
              <w:rPr>
                <w:sz w:val="19"/>
                <w:szCs w:val="19"/>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(218)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 customers</w:t>
            </w:r>
          </w:p>
        </w:tc>
        <w:tc>
          <w:tcPr>
            <w:tcW w:w="18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1,357</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1,342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w:t>
            </w: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voice customers</w:t>
            </w:r>
          </w:p>
        </w:tc>
        <w:tc>
          <w:tcPr>
            <w:tcW w:w="1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11,002</w:t>
            </w: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11,276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(173)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Wireless</w:t>
            </w:r>
          </w:p>
        </w:tc>
        <w:tc>
          <w:tcPr>
            <w:tcW w:w="1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2,826</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774</w:t>
            </w: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Wireless lines</w:t>
            </w:r>
          </w:p>
        </w:tc>
        <w:tc>
          <w:tcPr>
            <w:tcW w:w="18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2,052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1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816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MDUs, including buildings located on college campuses, whose residents have the ability to receive additional services, such as additional programming choices or our HD or DVR services, we count and report customers based on the number of potential billable relationships within each MDU. For MDUs whose residents are not able to receive additional services, the MDU is counted as a single customer. Residential high-speed internet and video customer metrics include certain customers that have prepaid for services. Wireless lines represent the number of activated eligible wireless devices on customers’ accounts. Individual customer relationships may have multiple wireless lines. Customer metrics for 2020 do not include certain high-risk customers who continue to receive service following nonpayment or customers in the free Internet Essentials offer (refer to “Impacts of COVID-19” for further discussion).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2019 to</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 2018 to</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total revenue per customer relationship</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154.71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monthly Adjusted EBITDA per customer relationship</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60.45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high-speed internet, video and voice services is also impacted by changes in the allocation of revenue among services sold in a bundle, the allocation does not impact average monthly total revenue per customer relationship. Average rates in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 including residential high-speed internet and business services.</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provider of high-speed internet, video, voice, wireless, and security and automation services to residential customers in the United States under the Xfinity brand; we also provide these and other services to business customers and sell advertising. Revenue is generated primarily from residential and business customers that subscribe to our services, which are marketed individually and as bundled services. We also generate revenue from selling through our allocation of scheduled advertising time on cable networks that is received as part of distribution agreements with these networks to local, regional and national advertisers.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high-speed internet services with downstream speeds that range up to 1.2 Gbps and fiber-based speeds that range up to 2 Gbps. We also deploy xFi-enabled wireless gateways that deliver internet and voice connectivity, whole-home Wi-Fi coverage, network control and advanced security features. We believe our customer base will continue to grow as consumers choose our high-speed internet service and seek higher-speed offerings.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in 2020 primarily due to an increase in the number of residential high-speed internet customers. The remaining increase in revenue in 2020 was due to an increase in average rates. Average rates in 2020 were negatively impacted by waived fees due to COVID-19 and the impacts of customer adjustments. Refer to video description below for further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broad variety of video services packages that may include premium networks, pay-per-view services and our On Demand service. Our video customers may also subscribe for additional fees to our HD and DVR services.</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 decreased in 2020 primarily due to a decline in the number of residential video customers, partially offset by an increase in average rates. Average rates in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and expect that we will continue to experience, declines in the number of residential video customers due to competitive pressures, and we expect that our video revenue will continue to decline as a result of the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Voice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voice services that provide local and long-distance calling and other related features.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decreased in 2020 primarily due to a decrease in average rates and a decline in the number of residential voice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number of residential voice customers and voice revenue will continue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Wireless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wireless phone services to customers that may choose to pay for services on an unlimited data plan, shared data plans, or per gigabyte of data used.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in 2020 primarily due to an increase in the number of customer lines.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variety of products and services to businesses. Our service offerings for small business locations primarily include high-speed internet services, as well as voice and video services, that are similar to those provided to residential customers, and include certain other features specific to businesses. We also offer Ethernet network services that connect multiple locations and other services to meet the needs of medium-sized customers and larger enterprises, and we provide cellular backhaul services to mobile network operators.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increased in 2020 primarily due to increases in average rates and an increase in the number of customers receiving our services. The rates of growth were reduced due to the negative impacts of COVID-19 on small businesses.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our distribution agreements with cable networks, we generally receive an allocation of scheduled advertising time that is sold through our advertising business to local, regional and national advertisers. We also represent the advertising sales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of other multichannel video providers in some markets. In addition, we generate revenue from the sale of advertising on our digital platforms. We also provide technology, tools, data-driven services and marketplace solutions to customers in the media industry, which allow advertisers to more effectively engage with their target audiences. Revenue is affected by the strength of the advertising market, general economic conditions, and cyclicality related to political campaigns and issue-oriented advertising.</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increased in 2020 primarily due to an increase in political advertising, partially offset by a reduction in spending from advertisers due to COVID-19.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2020, 4% of our advertising revenue was generated from our NBCUniversal segments, compared to 5% and 4% in 2019 and 2018, respectively. These amounts are eliminated in our consolidated financial statements but are included in the amounts presented above.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primarily includes revenue related to our security and automation services. We also receive revenue related to residential customer late fees and from services, such as the licensing of our technology platforms to other multichannel video providers.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in 2020 primarily due to certain waived billing and collection fees due to COVID-19, partially offset by higher revenue from the licensing of our technology platforms to other multichannel video providers.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Expenses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Programming expenses, which represent our most significant operating expense, are the fees we incur to provide content to our customers. These expenses are affected by the programming license fees charged by content providers, the fees charged for retransmission of the signals from local broadcast television stations, the number of customers we serve and the amount of content we provide.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increased slightly in 2020 primarily due to increases in retransmission consent and sports programming fees, partially offset by declines in the number of video subscribers. The increase in expenses was also offset by the impact of adjustment provisions in our programming distribution agreements with regional sports networks related to canceled sporting events as a result of COVID-19.</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our programming expenses will be impacted by rate increases to a greater extent in 2021 compared to 2020 due to the timing of contract renewals, partially offset by expected declines in the number of residential video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Technical and Product Support Expenses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include costs to complete service call and installation activities, as well as costs for network operations, product development, fulfillment and provisioning, as well as the cost of wireless handsets and tablets sold to customers and monthly wholesale wireless access fees.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were flat in 2020 primarily due to increased costs associated with our wireless phone service and increased costs related to COVID-19, including additional compensation costs for certain personnel, offset by cost savings initiatives implemented during the current year, as well as a reduction in activity in certain aspects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Customer Service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include the personnel and other costs associated with handling the sale of services to customers and customer service activity.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decreased in 2020 primarily due to lower labor costs as a result of reduced call volumes and cost savings initiatives implemented during the current year, partially offset by an increase in costs as a result of additional Xfinity stores.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include the costs associated with attracting new customers and promoting our service offerings.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in 2020 primarily due to a decrease in spending.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Franchise and Other Regulatory Fees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 and other regulatory fees represent the fees we are required to pay to federal, state and local authorities under the terms of our cable franchise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and other regulatory fees increased in 2020 primarily due to increases in the related rates of these fees.</w:t>
      </w:r>
    </w:p>
    <w:p>
      <w:pPr>
        <w:spacing w:after="0" w:line="200" w:lineRule="exact"/>
        <w:rPr>
          <w:sz w:val="20"/>
          <w:szCs w:val="20"/>
          <w:color w:val="auto"/>
        </w:rPr>
      </w:pPr>
    </w:p>
    <w:p>
      <w:pPr>
        <w:spacing w:after="0" w:line="34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6EBF"/>
        </w:rPr>
        <w:t>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primarily include personnel costs, advertising expenses, and building and facilities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costs and expenses increased in 2020 primarily due to an increase in bad debt expense as a result of COVID-19.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margin is Adjusted EBITDA as a percentage of revenue. We believe this metric is useful particularly as we continue to focus on growing our higher-margin businesses, including residential high-speed internet and business services, and on reducing losses related to our wireless phone service and improving overall operating cost management. The most significant operating costs and expenses are the programming expenses we incur to provide content to our video customers, which were flat in 2020.</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margin was 42.1%, 40.1% and 38.7% in 2020, 2019 and 2018, respectively. While accrued adjustments for regional sports networks did not impact Adjusted EBITDA in 2020, they resulted in an increase to operating margins. Losses from our wireless phone service were $206 million, $401 million and $743 million in 2020, 2019 and 2018, respectively.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2020 NBCUniversal Segments Operating Results</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4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006EBF"/>
        </w:rPr>
        <w:t>Revenue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3360"/>
        <w:spacing w:after="0"/>
        <w:rPr>
          <w:sz w:val="20"/>
          <w:szCs w:val="20"/>
          <w:color w:val="auto"/>
        </w:rPr>
      </w:pPr>
      <w:r>
        <w:rPr>
          <w:rFonts w:ascii="Arial" w:cs="Arial" w:eastAsia="Arial" w:hAnsi="Arial"/>
          <w:sz w:val="18"/>
          <w:szCs w:val="18"/>
          <w:b w:val="1"/>
          <w:bCs w:val="1"/>
          <w:color w:val="006EBF"/>
        </w:rPr>
        <w:t>Adjusted EBITDA</w:t>
      </w:r>
    </w:p>
    <w:p>
      <w:pPr>
        <w:spacing w:after="0" w:line="160" w:lineRule="exact"/>
        <w:rPr>
          <w:sz w:val="20"/>
          <w:szCs w:val="20"/>
          <w:color w:val="auto"/>
        </w:rPr>
      </w:pPr>
    </w:p>
    <w:p>
      <w:pPr>
        <w:sectPr>
          <w:pgSz w:w="11900" w:h="16838" w:orient="portrait"/>
          <w:cols w:equalWidth="0" w:num="2">
            <w:col w:w="5660" w:space="720"/>
            <w:col w:w="4860"/>
          </w:cols>
          <w:pgMar w:left="320" w:top="117" w:right="33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5863590" cy="2991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863590" cy="2991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3272790</wp:posOffset>
            </wp:positionV>
            <wp:extent cx="6960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hanging="252"/>
        <w:spacing w:after="0" w:line="282"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details in the charts exclude the results of NBCUniversal Headquarters, Other and Eliminations and therefore the amounts do not equal the total. Revenue and Adjusted EBITDA charts are not presented on the same scale.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48</w:t>
            </w:r>
          </w:p>
        </w:tc>
      </w:tr>
      <w:tr>
        <w:trPr>
          <w:trHeight w:val="314"/>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2018</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10,849</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11,773</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 Television</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11,439</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(0.2)</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7,152</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(18.7)</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Theme Parks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5,683</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(68.9)</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1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(286)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1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6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28,082</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0C6DFF"/>
            </w:tcBorders>
          </w:tcPr>
          <w:p>
            <w:pPr>
              <w:jc w:val="right"/>
              <w:ind w:right="371"/>
              <w:spacing w:after="0"/>
              <w:rPr>
                <w:sz w:val="20"/>
                <w:szCs w:val="20"/>
                <w:color w:val="auto"/>
              </w:rPr>
            </w:pPr>
            <w:r>
              <w:rPr>
                <w:rFonts w:ascii="Times New Roman" w:cs="Times New Roman" w:eastAsia="Times New Roman" w:hAnsi="Times New Roman"/>
                <w:sz w:val="18"/>
                <w:szCs w:val="18"/>
                <w:color w:val="auto"/>
              </w:rPr>
              <w:t>35,761</w:t>
            </w:r>
          </w:p>
        </w:tc>
        <w:tc>
          <w:tcPr>
            <w:tcW w:w="1560" w:type="dxa"/>
            <w:vAlign w:val="bottom"/>
            <w:tcBorders>
              <w:bottom w:val="single" w:sz="8" w:color="0C6DFF"/>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(17.3)%</w:t>
            </w:r>
          </w:p>
        </w:tc>
        <w:tc>
          <w:tcPr>
            <w:tcW w:w="1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4,616</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vMerge w:val="restart"/>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3.9 %</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4,428</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 Television</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1,657</w:t>
            </w: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11.8</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734</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(5.8)</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Theme Parks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2,455</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(122.0)</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1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(676)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1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26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6,269</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0C6DFF"/>
            </w:tcBorders>
          </w:tcPr>
          <w:p>
            <w:pPr>
              <w:jc w:val="right"/>
              <w:ind w:right="371"/>
              <w:spacing w:after="0"/>
              <w:rPr>
                <w:sz w:val="20"/>
                <w:szCs w:val="20"/>
                <w:color w:val="auto"/>
              </w:rPr>
            </w:pPr>
            <w:r>
              <w:rPr>
                <w:rFonts w:ascii="Times New Roman" w:cs="Times New Roman" w:eastAsia="Times New Roman" w:hAnsi="Times New Roman"/>
                <w:sz w:val="18"/>
                <w:szCs w:val="18"/>
                <w:color w:val="auto"/>
              </w:rPr>
              <w:t>8,598</w:t>
            </w:r>
          </w:p>
        </w:tc>
        <w:tc>
          <w:tcPr>
            <w:tcW w:w="1560" w:type="dxa"/>
            <w:vAlign w:val="bottom"/>
            <w:tcBorders>
              <w:bottom w:val="single" w:sz="8" w:color="0C6DFF"/>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(28.5)%</w:t>
            </w:r>
          </w:p>
        </w:tc>
        <w:tc>
          <w:tcPr>
            <w:tcW w:w="1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2018</w:t>
            </w:r>
          </w:p>
        </w:tc>
        <w:tc>
          <w:tcPr>
            <w:tcW w:w="15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6,437</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6,826</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3,587</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(9.3)</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1,360</w:t>
            </w:r>
          </w:p>
        </w:tc>
        <w:tc>
          <w:tcPr>
            <w:tcW w:w="1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1.0</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34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11,773</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(5.8)</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4,452</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vMerge w:val="restart"/>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(12.8)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5,357</w:t>
            </w:r>
          </w:p>
        </w:tc>
        <w:tc>
          <w:tcPr>
            <w:tcW w:w="1560" w:type="dxa"/>
            <w:vAlign w:val="bottom"/>
            <w:vMerge w:val="continue"/>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1,453</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(4.1)</w:t>
            </w:r>
          </w:p>
        </w:tc>
        <w:tc>
          <w:tcPr>
            <w:tcW w:w="11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535</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(25.8)</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7,345</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(11.8)</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4,616</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0C6DFF"/>
            </w:tcBorders>
          </w:tcPr>
          <w:p>
            <w:pPr>
              <w:jc w:val="right"/>
              <w:ind w:right="372"/>
              <w:spacing w:after="0"/>
              <w:rPr>
                <w:sz w:val="20"/>
                <w:szCs w:val="20"/>
                <w:color w:val="auto"/>
              </w:rPr>
            </w:pPr>
            <w:r>
              <w:rPr>
                <w:rFonts w:ascii="Times New Roman" w:cs="Times New Roman" w:eastAsia="Times New Roman" w:hAnsi="Times New Roman"/>
                <w:sz w:val="18"/>
                <w:szCs w:val="18"/>
                <w:color w:val="auto"/>
              </w:rPr>
              <w:t>4,428</w:t>
            </w:r>
          </w:p>
        </w:tc>
        <w:tc>
          <w:tcPr>
            <w:tcW w:w="1560" w:type="dxa"/>
            <w:vAlign w:val="bottom"/>
            <w:tcBorders>
              <w:bottom w:val="single" w:sz="8" w:color="0C6D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3.9 %</w:t>
            </w:r>
          </w:p>
        </w:tc>
        <w:tc>
          <w:tcPr>
            <w:tcW w:w="1180" w:type="dxa"/>
            <w:vAlign w:val="bottom"/>
            <w:tcBorders>
              <w:bottom w:val="single" w:sz="8" w:color="0C6DFF"/>
            </w:tcBorders>
          </w:tcPr>
          <w:p>
            <w:pPr>
              <w:ind w:left="740"/>
              <w:spacing w:after="0"/>
              <w:rPr>
                <w:sz w:val="20"/>
                <w:szCs w:val="20"/>
                <w:color w:val="auto"/>
              </w:rPr>
            </w:pPr>
            <w:r>
              <w:rPr>
                <w:rFonts w:ascii="Times New Roman" w:cs="Times New Roman" w:eastAsia="Times New Roman" w:hAnsi="Times New Roman"/>
                <w:sz w:val="18"/>
                <w:szCs w:val="18"/>
                <w:color w:val="auto"/>
                <w:w w:val="99"/>
              </w:rPr>
              <w:t>0.4 %</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generated from the distribution of our cable network programming to traditional and virtual multichannel video providers and is affected by the number of subscribers receiving our cable networks and the fees we charge per subscriber.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 revenue decreased in 2020 compared to 2019 primarily due to increased declines in the number of subscribers at our cable networks, partially offset by increases in the contractual rates charged under distribution agreements. The decrease was also due to credits accrued at some of our regional sports networks resulting from the reduced number of games played by professional sports leagues due to COVID-19. Certain of our distribution agreements with multichannel video providers require contractual adjustments if a minimum number of sporting events does not occur.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generated from the sale of advertising units sold on our cable networks and digital properties. Advertising revenue is primarily based on the price we charge for each advertising unit, which is generally based on audience ratings, the value of our viewer demographics to advertisers and the number of advertising units we can place in our cable networks’ programming schedules. Advertising revenue is affected by the audience ratings of our programming, the strength of the national advertising market and general economic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revenue decreased in 2020 compared to 2019 primarily due to continued audience ratings declines at our networks and reduced spending from advertisers as a result of COVID-19, including as a result of the reduced number of sporting events, partially offset by higher prices for advertising units sold.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 and Other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generated primarily from the licensing of our owned programming in the United States and internationally to cable and broadcast networks and to DTC streaming service providers, as well as from the sale of our owned programming on DVDs and through digital distribution services such as iTunes. In addition, our cable television studio production operations generate revenue from programming the studio produces for third-party networks and for DTC streaming service providers.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increased in 2020 compared to 2019 primarily due to revenue from our digital properties, partially offset by the timing of content provided under our licensing agreements.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2020, 2019 and 2018, 15%, 15% and 14%, respectively, of our Cable Networks segment revenue was generated from our Cable Communications segment. These amounts are eliminated in Comcast’s consolidated financial statements but are included in the amounts presented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decreased in 2020 primarily due to decreases in sports programming costs recognized resulting from the reduced number of events as a result of COVID-19.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and administrative costs and 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in 2020 primarily due to lower employee-related costs as a result of cost savings initiatives.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consist primarily of the costs associated with promoting programming on our cable networks and digital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in 2020 primarily due to lower spending on marketing related to our cable networks.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2018</w:t>
            </w:r>
          </w:p>
        </w:tc>
        <w:tc>
          <w:tcPr>
            <w:tcW w:w="15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5,027</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(12.0)%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7,010</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2,182</w:t>
            </w: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22.4</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Distribution and 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2,247</w:t>
            </w: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7.8</w:t>
            </w:r>
          </w:p>
        </w:tc>
        <w:tc>
          <w:tcPr>
            <w:tcW w:w="11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10,244</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34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11,439</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(0.2)</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6,548</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vMerge w:val="restart"/>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7,789</w:t>
            </w:r>
          </w:p>
        </w:tc>
        <w:tc>
          <w:tcPr>
            <w:tcW w:w="1560" w:type="dxa"/>
            <w:vAlign w:val="bottom"/>
            <w:vMerge w:val="continue"/>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1,547</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(5.6)</w:t>
            </w:r>
          </w:p>
        </w:tc>
        <w:tc>
          <w:tcPr>
            <w:tcW w:w="11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446</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(31.9)</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9,782</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(2.6)</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0C6DFF"/>
            </w:tcBorders>
          </w:tcPr>
          <w:p>
            <w:pPr>
              <w:jc w:val="right"/>
              <w:ind w:right="372"/>
              <w:spacing w:after="0"/>
              <w:rPr>
                <w:sz w:val="20"/>
                <w:szCs w:val="20"/>
                <w:color w:val="auto"/>
              </w:rPr>
            </w:pPr>
            <w:r>
              <w:rPr>
                <w:rFonts w:ascii="Times New Roman" w:cs="Times New Roman" w:eastAsia="Times New Roman" w:hAnsi="Times New Roman"/>
                <w:sz w:val="18"/>
                <w:szCs w:val="18"/>
                <w:color w:val="auto"/>
              </w:rPr>
              <w:t>1,657</w:t>
            </w:r>
          </w:p>
        </w:tc>
        <w:tc>
          <w:tcPr>
            <w:tcW w:w="1560" w:type="dxa"/>
            <w:vAlign w:val="bottom"/>
            <w:tcBorders>
              <w:bottom w:val="single" w:sz="8" w:color="0C6DFF"/>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11.8 %</w:t>
            </w:r>
          </w:p>
        </w:tc>
        <w:tc>
          <w:tcPr>
            <w:tcW w:w="1180" w:type="dxa"/>
            <w:vAlign w:val="bottom"/>
            <w:tcBorders>
              <w:bottom w:val="single" w:sz="8" w:color="0C6DFF"/>
            </w:tcBorders>
          </w:tcPr>
          <w:p>
            <w:pPr>
              <w:ind w:left="740"/>
              <w:spacing w:after="0"/>
              <w:rPr>
                <w:sz w:val="20"/>
                <w:szCs w:val="20"/>
                <w:color w:val="auto"/>
              </w:rPr>
            </w:pPr>
            <w:r>
              <w:rPr>
                <w:rFonts w:ascii="Times New Roman" w:cs="Times New Roman" w:eastAsia="Times New Roman" w:hAnsi="Times New Roman"/>
                <w:sz w:val="18"/>
                <w:szCs w:val="18"/>
                <w:color w:val="auto"/>
                <w:w w:val="99"/>
              </w:rPr>
              <w:t>4.4 %</w:t>
            </w:r>
          </w:p>
        </w:tc>
        <w:tc>
          <w:tcPr>
            <w:tcW w:w="0" w:type="dxa"/>
            <w:vAlign w:val="bottom"/>
          </w:tcPr>
          <w:p>
            <w:pPr>
              <w:spacing w:after="0"/>
              <w:rPr>
                <w:sz w:val="1"/>
                <w:szCs w:val="1"/>
                <w:color w:val="auto"/>
              </w:rPr>
            </w:pPr>
          </w:p>
        </w:tc>
      </w:tr>
      <w:tr>
        <w:trPr>
          <w:trHeight w:val="68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200" w:type="dxa"/>
            <w:vAlign w:val="bottom"/>
          </w:tcPr>
          <w:p>
            <w:pPr>
              <w:spacing w:after="0"/>
              <w:rPr>
                <w:sz w:val="24"/>
                <w:szCs w:val="24"/>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50</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generated from the sale of advertising units sold on our broadcast networks, owned local broadcast television stations and digital properties. Advertising revenue is primarily based on the price we charge for each advertising unit, which is generally based on audience ratings and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in 2020 compared to 2019 primarily due to continued declines in audience ratings and reduced spending from advertisers as a result of COVID-19, partially offset by higher prices for advertising units sold.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from the licensing of our owned programming in the United States and internationally to various distribution platforms, including to cable and broadcast networks, and to DTC streaming service providers. In addition, our broadcast television studio production operations develop and produce original content that they license to broadcast networks, cable networks and local broadcast television stations owned by us and third parties, as well as to DTC streaming service providers.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Content licensing revenue increased in 2020 compared to 2019 primarily due to the timing of content provided under our licensing agreement, including transactions with Peacock beginning in the second quarter of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Distribution and Other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distribution and other revenue primarily from fees for retransmission consent of our owned local broadcast television stations and associated fees received from NBC-affiliated local broadcast television stations, as well as from the sale of our owned programming on DVDs and through digital distribution services. The sale of our owned programming is driven primarily by the popularity of our broadcast networks and programming series and therefore fluctuates based on consumer spending and acceptance. Distribution and other revenue also includes distribution revenue associated with our periodic broadcasts of the Olympic Games.</w:t>
      </w:r>
    </w:p>
    <w:p>
      <w:pPr>
        <w:spacing w:after="0" w:line="75" w:lineRule="exact"/>
        <w:rPr>
          <w:sz w:val="20"/>
          <w:szCs w:val="20"/>
          <w:color w:val="auto"/>
        </w:rPr>
      </w:pPr>
    </w:p>
    <w:p>
      <w:pPr>
        <w:ind w:right="1340"/>
        <w:spacing w:after="0" w:line="372" w:lineRule="auto"/>
        <w:rPr>
          <w:sz w:val="20"/>
          <w:szCs w:val="20"/>
          <w:color w:val="auto"/>
        </w:rPr>
      </w:pPr>
      <w:r>
        <w:rPr>
          <w:rFonts w:ascii="Times New Roman" w:cs="Times New Roman" w:eastAsia="Times New Roman" w:hAnsi="Times New Roman"/>
          <w:sz w:val="18"/>
          <w:szCs w:val="18"/>
          <w:color w:val="auto"/>
        </w:rPr>
        <w:t xml:space="preserve">Revenue increased in 2020 compared to 2019 primarily due to increases in fees recognized under our retransmission consent agreements. </w:t>
      </w:r>
      <w:r>
        <w:rPr>
          <w:rFonts w:ascii="Arial" w:cs="Arial" w:eastAsia="Arial" w:hAnsi="Arial"/>
          <w:sz w:val="18"/>
          <w:szCs w:val="18"/>
          <w:b w:val="1"/>
          <w:bCs w:val="1"/>
          <w:color w:val="auto"/>
        </w:rPr>
        <w:t>Broadcast Television Segment – Operating Costs and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relate to content that originates on our broadcast networks and owned local broadcast television stations, as well as owned content that is licensed to third parties. These costs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were flat in 2020 primarily due to lower production costs as a result of delays in production and airing of new programs and cost savings initiatives and the impact of the updated accounting guidance, which removed certain limitations on the amounts capitalized for episodic television series and had a favorable impact on programming and production expense in the current year (see Note 8), which were offset by higher amortization associated with content licensing sales.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and administrative costs and expenses include salaries, employee benefits, rent and other overhead expenses. Expenses decreased in 2020 primarily due to decreased overhead costs as part of cost savings initiatives and lower employee-related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consist primarily of the costs associated with promoting our owned and acquired television programming, as well as the marketing of DVDs and costs associated with our digital properties. These expenses decreased in 2020 primarily due to lower spending on marketing related to our programming.</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2018</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(71.4)%</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2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2,111</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2,899</w:t>
            </w:r>
          </w:p>
        </w:tc>
        <w:tc>
          <w:tcPr>
            <w:tcW w:w="156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entertainment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1,048</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(1.4)</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1,094</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(44.2)</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5,276</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380" w:type="dxa"/>
            <w:vAlign w:val="bottom"/>
          </w:tcPr>
          <w:p>
            <w:pPr>
              <w:spacing w:after="0"/>
              <w:rPr>
                <w:sz w:val="18"/>
                <w:szCs w:val="18"/>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7,152</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(18.7)</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2,603</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vMerge w:val="restart"/>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(11.7)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3,446</w:t>
            </w:r>
          </w:p>
        </w:tc>
        <w:tc>
          <w:tcPr>
            <w:tcW w:w="1560" w:type="dxa"/>
            <w:vAlign w:val="bottom"/>
            <w:vMerge w:val="continue"/>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1,189</w:t>
            </w: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(12.6)</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1,783</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(43.0)</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6,418</w:t>
            </w: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(20.6)</w:t>
            </w:r>
          </w:p>
        </w:tc>
        <w:tc>
          <w:tcPr>
            <w:tcW w:w="11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0C6DFF"/>
            </w:tcBorders>
          </w:tcPr>
          <w:p>
            <w:pPr>
              <w:jc w:val="right"/>
              <w:ind w:right="372"/>
              <w:spacing w:after="0"/>
              <w:rPr>
                <w:sz w:val="20"/>
                <w:szCs w:val="20"/>
                <w:color w:val="auto"/>
              </w:rPr>
            </w:pPr>
            <w:r>
              <w:rPr>
                <w:rFonts w:ascii="Times New Roman" w:cs="Times New Roman" w:eastAsia="Times New Roman" w:hAnsi="Times New Roman"/>
                <w:sz w:val="18"/>
                <w:szCs w:val="18"/>
                <w:color w:val="auto"/>
              </w:rPr>
              <w:t>734</w:t>
            </w:r>
          </w:p>
        </w:tc>
        <w:tc>
          <w:tcPr>
            <w:tcW w:w="1560" w:type="dxa"/>
            <w:vAlign w:val="bottom"/>
            <w:tcBorders>
              <w:bottom w:val="single" w:sz="8" w:color="0C6DFF"/>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(5.8)%</w:t>
            </w:r>
          </w:p>
        </w:tc>
        <w:tc>
          <w:tcPr>
            <w:tcW w:w="1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generated from the worldwide theatrical release of our produced and acquired films for exhibition in movie theaters and is significantly affected by the timing of each release and the number of films we distribute, as well as their acceptance by audiences. Theatrical revenue is also affected by the number of exhibition screens, ticket prices, the percentage of ticket sale retention by the exhibitors and the popularity of competing films at the time our films are released. The success of a film in movie theaters is generally a significant factor in determining the revenue a film is likely to generate in succeeding distribution platforms.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decreased in 2020 primarily due to theater closures as a result of COVID-19.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generated primarily from the licensing of our produced and acquired films to cable, broadcast and premium networks, DTC streaming service providers and through video on demand and pay-per-view services provided by multichannel video providers and OTT service providers, including through the release of certain titles made available for viewing on video on demand platforms following a shortened theatrical release window.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in 2020 primarily due to the timing of when content was made available under licensing agreements, including transactions with Peacock beginning in the second quarter of 2020, and increased sales of titles made available on demand, including certain 2020 releases after theater closures due to COVID-19.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Home Entertainment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generated from the sale of our produced and acquired films on DVDs to retail stores and rental kiosks, and through digital distribution services. Revenue is significantly affected by the timing and number of our releases and their acceptance by consumers. Release dates are determined by several factors, including the timing of the exhibition of a film in movie theaters, holiday periods and the timing of competitive releases. The overall DVD market continues to experience declines due to the maturation of the DVD format from increasing shifts in consumer behavior toward digital distribution services and subscription rental services, both of which generate less revenue per transaction than DVD sales, as well as due to piracy.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Revenue decreased in 2020 primarily due to higher sales of 2019 releases in the prior year period including </w:t>
      </w:r>
      <w:r>
        <w:rPr>
          <w:rFonts w:ascii="Times New Roman" w:cs="Times New Roman" w:eastAsia="Times New Roman" w:hAnsi="Times New Roman"/>
          <w:sz w:val="18"/>
          <w:szCs w:val="18"/>
          <w:i w:val="1"/>
          <w:iCs w:val="1"/>
          <w:color w:val="auto"/>
        </w:rPr>
        <w:t>How to Train Your Dragon: The Hidden World</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Fast &amp; Furious: Hobbs &amp; Shaw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Dr. Seuss’ The Grinch, </w:t>
      </w:r>
      <w:r>
        <w:rPr>
          <w:rFonts w:ascii="Times New Roman" w:cs="Times New Roman" w:eastAsia="Times New Roman" w:hAnsi="Times New Roman"/>
          <w:sz w:val="18"/>
          <w:szCs w:val="18"/>
          <w:color w:val="auto"/>
        </w:rPr>
        <w:t>partially offset by sales of 2020 releases, including</w:t>
      </w:r>
      <w:r>
        <w:rPr>
          <w:rFonts w:ascii="Times New Roman" w:cs="Times New Roman" w:eastAsia="Times New Roman" w:hAnsi="Times New Roman"/>
          <w:sz w:val="18"/>
          <w:szCs w:val="18"/>
          <w:i w:val="1"/>
          <w:iCs w:val="1"/>
          <w:color w:val="auto"/>
        </w:rPr>
        <w:t xml:space="preserve"> Trolls World Tour, 1917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Dolittle</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year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generated from Fandango, our movie ticketing and entertainment business, consumer products, the production and licensing of live stage plays, and the distribution of filmed entertainment produced by third parties.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decreased in 2020 primarily due to decreases in revenue from our movie ticketing and entertainment business and live stage plays, which were impacted by theater and entertainment venue closures as a result of COVID-19.</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Expenses include the amortization of capitalized film production and acquisition costs, residual and participation payments, and distribution expenses. Residual payments represent amounts payable to individuals hired under collective bargaining agreements to work on productions and are calculated based on post-theatrical revenue. Participation payments are primarily based on film performance and represent contingent consideration payable to creative talent, to third parties that have entered into cofinancing agreements with us and to other parties involved in the production of a film. The costs associated with producing films have generally increased in recent years and may continue to increase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in 2020 due to higher amortization of film production costs in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include salaries, employee benefits, rent and other overhead expenses.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decreased in 2020 primarily due to lower costs associated with our movie ticketing and entertainment business and live stage plays, which were impacted by theater and entertainment venue closures as a result of COVID-19.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consist primarily of expenses associated with advertising for our theatrical releases and the marketing of our films on DVDs and in digital formats.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marketing films have generally increased in recent years and may continue to increase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in 2020 primarily due to lower spending on current period releases as a result of COVID-19.</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r>
      <w:tr>
        <w:trPr>
          <w:trHeight w:val="20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2018</w:t>
            </w:r>
          </w:p>
        </w:tc>
        <w:tc>
          <w:tcPr>
            <w:tcW w:w="15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 to 2019</w:t>
            </w:r>
          </w:p>
        </w:tc>
      </w:tr>
      <w:tr>
        <w:trPr>
          <w:trHeight w:val="21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5,683</w:t>
            </w:r>
          </w:p>
        </w:tc>
        <w:tc>
          <w:tcPr>
            <w:tcW w:w="1580" w:type="dxa"/>
            <w:vAlign w:val="bottom"/>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(68.9)%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8"/>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3,228</w:t>
            </w:r>
          </w:p>
        </w:tc>
        <w:tc>
          <w:tcPr>
            <w:tcW w:w="15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(31.4)</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34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4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0C6DFF"/>
            </w:tcBorders>
          </w:tcPr>
          <w:p>
            <w:pPr>
              <w:jc w:val="right"/>
              <w:ind w:right="375"/>
              <w:spacing w:after="0"/>
              <w:rPr>
                <w:sz w:val="20"/>
                <w:szCs w:val="20"/>
                <w:color w:val="auto"/>
              </w:rPr>
            </w:pPr>
            <w:r>
              <w:rPr>
                <w:rFonts w:ascii="Times New Roman" w:cs="Times New Roman" w:eastAsia="Times New Roman" w:hAnsi="Times New Roman"/>
                <w:sz w:val="18"/>
                <w:szCs w:val="18"/>
                <w:color w:val="auto"/>
              </w:rPr>
              <w:t>2,455</w:t>
            </w:r>
          </w:p>
        </w:tc>
        <w:tc>
          <w:tcPr>
            <w:tcW w:w="1580" w:type="dxa"/>
            <w:vAlign w:val="bottom"/>
            <w:tcBorders>
              <w:bottom w:val="single" w:sz="8" w:color="0C6DFF"/>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(122.0)%</w:t>
            </w:r>
          </w:p>
        </w:tc>
        <w:tc>
          <w:tcPr>
            <w:tcW w:w="1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generated primarily from guest spending at Universal theme parks. Guest spending includes ticket sales and in-park spending on food, beverages and merchandise. Guest spending depends heavily on the general environment for travel and tourism, including consumer spending on travel and other recreational activities.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in 2020 due to the temporary closures of our theme parks as a result of COVID-19, beginning in late February in Japan and mid-March for our theme parks in Orlando and Hollywood. Our theme parks in Orlando and Japan reopened with limited capacity in June, while our park in Hollywood remains closed.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consist primarily of theme park operations, including repairs and maintenance and related administrative expenses; food, beverage and merchandise costs; labor costs; and sales and marketing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decreased in 2020 primarily due to decreases in costs related to park operations due to the park closures and lower marketing-related costs, partially offset by pre-opening costs associated with Universal Beijing Resort. We expect to incur significant additional pre-opening costs ahead of the expected opening of Universal Beijing Resort in 2021.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include overhead, personnel costs and costs associated with corporate initiatives. Expenses decreased in 2020 primarily due to lower employee-related costs and decreased overhead costs as part of cost savings initiatives.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Sky’s results of operations are included in our consolidated financial statements following the October 9, 2018 acquisition date, impacting the comparability of results of operations from fiscal year 2018 to fiscal year 2019, and as a result, actual growth rates for those fiscal years are not meaningful.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below compares Sky’s actual results for 2020 to actual results for 2019. The pro forma segment information includes adjustments as if the Sky transaction occurred on January 1, 2017.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 Pro forma amounts are not necessarily indicative of what our results would have been had we operated the Sky business since January 1, 2017, nor of our future results.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color w:val="auto"/>
              </w:rPr>
              <w:t>2018</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800" w:type="dxa"/>
            <w:vAlign w:val="bottom"/>
            <w:tcBorders>
              <w:bottom w:val="single" w:sz="8" w:color="auto"/>
            </w:tcBorders>
            <w:gridSpan w:val="2"/>
          </w:tcPr>
          <w:p>
            <w:pPr>
              <w:jc w:val="right"/>
              <w:ind w:right="515"/>
              <w:spacing w:after="0"/>
              <w:rPr>
                <w:sz w:val="20"/>
                <w:szCs w:val="20"/>
                <w:color w:val="auto"/>
              </w:rPr>
            </w:pPr>
            <w:r>
              <w:rPr>
                <w:rFonts w:ascii="Times New Roman" w:cs="Times New Roman" w:eastAsia="Times New Roman" w:hAnsi="Times New Roman"/>
                <w:sz w:val="14"/>
                <w:szCs w:val="14"/>
                <w:color w:val="auto"/>
              </w:rPr>
              <w:t>2018 to 2019</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Actual October</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Pro Forma</w:t>
            </w:r>
          </w:p>
        </w:tc>
        <w:tc>
          <w:tcPr>
            <w:tcW w:w="200" w:type="dxa"/>
            <w:vAlign w:val="bottom"/>
          </w:tcPr>
          <w:p>
            <w:pPr>
              <w:spacing w:after="0"/>
              <w:rPr>
                <w:sz w:val="11"/>
                <w:szCs w:val="11"/>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Pro Forma</w:t>
            </w:r>
          </w:p>
        </w:tc>
        <w:tc>
          <w:tcPr>
            <w:tcW w:w="1180" w:type="dxa"/>
            <w:vAlign w:val="bottom"/>
          </w:tcPr>
          <w:p>
            <w:pPr>
              <w:spacing w:after="0"/>
              <w:rPr>
                <w:sz w:val="11"/>
                <w:szCs w:val="11"/>
                <w:color w:val="auto"/>
              </w:rPr>
            </w:pPr>
          </w:p>
        </w:tc>
        <w:tc>
          <w:tcPr>
            <w:tcW w:w="8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60" w:type="dxa"/>
            <w:vAlign w:val="bottom"/>
          </w:tcPr>
          <w:p>
            <w:pPr>
              <w:jc w:val="right"/>
              <w:ind w:right="256"/>
              <w:spacing w:after="0" w:line="129" w:lineRule="exact"/>
              <w:rPr>
                <w:sz w:val="20"/>
                <w:szCs w:val="20"/>
                <w:color w:val="auto"/>
              </w:rPr>
            </w:pPr>
            <w:r>
              <w:rPr>
                <w:rFonts w:ascii="Times New Roman" w:cs="Times New Roman" w:eastAsia="Times New Roman" w:hAnsi="Times New Roman"/>
                <w:sz w:val="14"/>
                <w:szCs w:val="14"/>
                <w:color w:val="auto"/>
              </w:rPr>
              <w:t>Pro Forma</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 to December</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1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jc w:val="right"/>
              <w:ind w:right="95"/>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160" w:type="dxa"/>
            <w:vAlign w:val="bottom"/>
          </w:tcPr>
          <w:p>
            <w:pPr>
              <w:jc w:val="right"/>
              <w:ind w:right="256"/>
              <w:spacing w:after="0" w:line="135" w:lineRule="exact"/>
              <w:rPr>
                <w:sz w:val="20"/>
                <w:szCs w:val="20"/>
                <w:color w:val="auto"/>
              </w:rPr>
            </w:pPr>
            <w:r>
              <w:rPr>
                <w:rFonts w:ascii="Times New Roman" w:cs="Times New Roman" w:eastAsia="Times New Roman" w:hAnsi="Times New Roman"/>
                <w:sz w:val="14"/>
                <w:szCs w:val="14"/>
                <w:color w:val="auto"/>
              </w:rPr>
              <w:t>Combined</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8"/>
                <w:szCs w:val="18"/>
                <w:color w:val="auto"/>
                <w:vertAlign w:val="superscript"/>
              </w:rPr>
              <w:t>(a)</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Combined</w:t>
            </w:r>
          </w:p>
        </w:tc>
        <w:tc>
          <w:tcPr>
            <w:tcW w:w="1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95"/>
              <w:spacing w:after="0" w:line="189"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(b)</w:t>
            </w:r>
          </w:p>
        </w:tc>
        <w:tc>
          <w:tcPr>
            <w:tcW w:w="11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color w:val="auto"/>
              </w:rPr>
              <w:t>Growth</w:t>
            </w:r>
          </w:p>
        </w:tc>
        <w:tc>
          <w:tcPr>
            <w:tcW w:w="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color w:val="auto"/>
              </w:rPr>
              <w:t>Growth</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1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15,223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vMerge w:val="restart"/>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(2.0)%</w:t>
            </w: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(3.0)%</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16,077</w:t>
            </w:r>
          </w:p>
        </w:tc>
        <w:tc>
          <w:tcPr>
            <w:tcW w:w="11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Pr>
          <w:p>
            <w:pPr>
              <w:spacing w:after="0"/>
              <w:rPr>
                <w:sz w:val="19"/>
                <w:szCs w:val="19"/>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1,248</w:t>
            </w: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(4.1)</w:t>
            </w: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(4.9)</w:t>
            </w: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14.7</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8"/>
        </w:trPr>
        <w:tc>
          <w:tcPr>
            <w:tcW w:w="2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1,998</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2,489</w:t>
            </w: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(11.2)</w:t>
            </w: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96"/>
              </w:rPr>
              <w:t>(12.0)</w:t>
            </w: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(9.6)</w:t>
            </w: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20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19,814</w:t>
            </w: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(3.3)</w:t>
            </w: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(4.2)</w:t>
            </w: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8,649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vMerge w:val="restart"/>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(2.4)</w:t>
            </w: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(3.5)</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00" w:type="dxa"/>
            <w:vAlign w:val="bottom"/>
          </w:tcPr>
          <w:p>
            <w:pPr>
              <w:spacing w:after="0"/>
              <w:rPr>
                <w:sz w:val="19"/>
                <w:szCs w:val="19"/>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8,822</w:t>
            </w:r>
          </w:p>
        </w:tc>
        <w:tc>
          <w:tcPr>
            <w:tcW w:w="11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network costs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9"/>
                <w:szCs w:val="19"/>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1,624</w:t>
            </w: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19.5</w:t>
            </w: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18.6</w:t>
            </w: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8"/>
        </w:trPr>
        <w:tc>
          <w:tcPr>
            <w:tcW w:w="2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5,905</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6,474</w:t>
            </w: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7.2</w:t>
            </w: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6.3</w:t>
            </w: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(14.9)</w:t>
            </w: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Total operating costs and expenses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16,640</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16,920</w:t>
            </w: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3.2</w:t>
            </w: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2.2</w:t>
            </w: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w:t>
            </w:r>
          </w:p>
        </w:tc>
        <w:tc>
          <w:tcPr>
            <w:tcW w:w="20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0C6DFF"/>
            </w:tcBorders>
          </w:tcPr>
          <w:p>
            <w:pPr>
              <w:jc w:val="right"/>
              <w:ind w:right="153"/>
              <w:spacing w:after="0"/>
              <w:rPr>
                <w:sz w:val="20"/>
                <w:szCs w:val="20"/>
                <w:color w:val="auto"/>
              </w:rPr>
            </w:pPr>
            <w:r>
              <w:rPr>
                <w:rFonts w:ascii="Times New Roman" w:cs="Times New Roman" w:eastAsia="Times New Roman" w:hAnsi="Times New Roman"/>
                <w:sz w:val="18"/>
                <w:szCs w:val="18"/>
                <w:color w:val="auto"/>
              </w:rPr>
              <w:t>2,894</w:t>
            </w:r>
          </w:p>
        </w:tc>
        <w:tc>
          <w:tcPr>
            <w:tcW w:w="1180" w:type="dxa"/>
            <w:vAlign w:val="bottom"/>
            <w:tcBorders>
              <w:bottom w:val="single" w:sz="8" w:color="0C6DFF"/>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(37.0)%</w:t>
            </w:r>
          </w:p>
        </w:tc>
        <w:tc>
          <w:tcPr>
            <w:tcW w:w="820" w:type="dxa"/>
            <w:vAlign w:val="bottom"/>
            <w:tcBorders>
              <w:bottom w:val="single" w:sz="8" w:color="0C6DFF"/>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(37.6)%</w:t>
            </w:r>
          </w:p>
        </w:tc>
        <w:tc>
          <w:tcPr>
            <w:tcW w:w="1160" w:type="dxa"/>
            <w:vAlign w:val="bottom"/>
            <w:tcBorders>
              <w:bottom w:val="single" w:sz="8" w:color="0C6DFF"/>
            </w:tcBorders>
          </w:tcPr>
          <w:p>
            <w:pPr>
              <w:jc w:val="right"/>
              <w:ind w:right="256"/>
              <w:spacing w:after="0"/>
              <w:rPr>
                <w:sz w:val="20"/>
                <w:szCs w:val="20"/>
                <w:color w:val="auto"/>
              </w:rPr>
            </w:pPr>
            <w:r>
              <w:rPr>
                <w:rFonts w:ascii="Times New Roman" w:cs="Times New Roman" w:eastAsia="Times New Roman" w:hAnsi="Times New Roman"/>
                <w:sz w:val="18"/>
                <w:szCs w:val="18"/>
                <w:color w:val="auto"/>
              </w:rPr>
              <w:t>7.1 %</w:t>
            </w:r>
          </w:p>
        </w:tc>
        <w:tc>
          <w:tcPr>
            <w:tcW w:w="6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percentages are calculated based on actual amounts. Minor differences may exist due to rounding.</w:t>
      </w:r>
    </w:p>
    <w:p>
      <w:pPr>
        <w:spacing w:after="0" w:line="55"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amounts include the results of operations for Sky for the period January 1, 2018 through October 8, 2018, as well as acquisition accounting adjustments.</w:t>
      </w:r>
    </w:p>
    <w:p>
      <w:pPr>
        <w:spacing w:after="0" w:line="55" w:lineRule="exact"/>
        <w:rPr>
          <w:rFonts w:ascii="Times New Roman" w:cs="Times New Roman" w:eastAsia="Times New Roman" w:hAnsi="Times New Roman"/>
          <w:sz w:val="14"/>
          <w:szCs w:val="14"/>
          <w:color w:val="auto"/>
        </w:rPr>
      </w:pPr>
    </w:p>
    <w:p>
      <w:pPr>
        <w:ind w:left="260" w:right="20" w:hanging="252"/>
        <w:spacing w:after="0" w:line="282" w:lineRule="auto"/>
        <w:tabs>
          <w:tab w:leader="none" w:pos="2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is a non-GAAP financial measure. Refer to the “Non-GAAP Financial Measures” section on page 57 for additional information, including our definition and our use of constant currency, and for a reconciliation of Sky’s constant currency growth rates.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Customer Metrics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color w:val="auto"/>
              </w:rPr>
              <w:t>Net Additions</w:t>
            </w:r>
          </w:p>
        </w:tc>
        <w:tc>
          <w:tcPr>
            <w:tcW w:w="860" w:type="dxa"/>
            <w:vAlign w:val="bottom"/>
            <w:tcBorders>
              <w:top w:val="single" w:sz="8" w:color="auto"/>
              <w:bottom w:val="single" w:sz="8" w:color="auto"/>
            </w:tcBorders>
          </w:tcPr>
          <w:p>
            <w:pPr>
              <w:spacing w:after="0"/>
              <w:rPr>
                <w:sz w:val="15"/>
                <w:szCs w:val="15"/>
                <w:color w:val="auto"/>
              </w:rPr>
            </w:pPr>
          </w:p>
        </w:tc>
      </w:tr>
      <w:tr>
        <w:trPr>
          <w:trHeight w:val="183"/>
        </w:trPr>
        <w:tc>
          <w:tcPr>
            <w:tcW w:w="4840" w:type="dxa"/>
            <w:vAlign w:val="bottom"/>
          </w:tcPr>
          <w:p>
            <w:pPr>
              <w:spacing w:after="0"/>
              <w:rPr>
                <w:sz w:val="15"/>
                <w:szCs w:val="15"/>
                <w:color w:val="auto"/>
              </w:rPr>
            </w:pPr>
          </w:p>
        </w:tc>
        <w:tc>
          <w:tcPr>
            <w:tcW w:w="13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color w:val="auto"/>
              </w:rPr>
              <w:t>2019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color w:val="auto"/>
              </w:rPr>
              <w:t>2019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18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color w:val="auto"/>
              </w:rPr>
              <w:t>Actual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Actual</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color w:val="auto"/>
              </w:rPr>
              <w:t>Actual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 Forma</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3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23,939</w:t>
            </w:r>
          </w:p>
        </w:tc>
        <w:tc>
          <w:tcPr>
            <w:tcW w:w="10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color w:val="auto"/>
              </w:rPr>
              <w:t>23,994</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23,600</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(56)</w:t>
            </w:r>
          </w:p>
        </w:tc>
        <w:tc>
          <w:tcPr>
            <w:tcW w:w="12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394</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735</w:t>
            </w:r>
          </w:p>
        </w:tc>
      </w:tr>
    </w:tbl>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Sky customer relationships represent the number of residential customers that subscribe to at least one of Sky’s four primary services of video, high-speed internet, voice and wireless phone service. Commercial customers include hotels, bars, workplaces and restaurants with an active subscription for the purpose of providing Sky services to customers. Sky reports commercial customers based on the number of commercial agreements per venue in the United Kingdom, and generally based on a residential equivalent unit using the multiple of residential customer revenue in Italy and the number of active venues (bars and restaurants) or rooms (hotels and clinics) in Germany.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color w:val="auto"/>
              </w:rPr>
              <w:t>2018</w:t>
            </w:r>
          </w:p>
        </w:tc>
        <w:tc>
          <w:tcPr>
            <w:tcW w:w="2360" w:type="dxa"/>
            <w:vAlign w:val="bottom"/>
            <w:tcBorders>
              <w:bottom w:val="single" w:sz="8" w:color="auto"/>
            </w:tcBorders>
            <w:gridSpan w:val="2"/>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 Change 2019 to 2020</w:t>
            </w:r>
          </w:p>
        </w:tc>
        <w:tc>
          <w:tcPr>
            <w:tcW w:w="2120" w:type="dxa"/>
            <w:vAlign w:val="bottom"/>
            <w:tcBorders>
              <w:bottom w:val="single" w:sz="8" w:color="auto"/>
            </w:tcBorders>
            <w:gridSpan w:val="2"/>
          </w:tcPr>
          <w:p>
            <w:pPr>
              <w:jc w:val="right"/>
              <w:ind w:right="404"/>
              <w:spacing w:after="0"/>
              <w:rPr>
                <w:sz w:val="20"/>
                <w:szCs w:val="20"/>
                <w:color w:val="auto"/>
              </w:rPr>
            </w:pPr>
            <w:r>
              <w:rPr>
                <w:rFonts w:ascii="Times New Roman" w:cs="Times New Roman" w:eastAsia="Times New Roman" w:hAnsi="Times New Roman"/>
                <w:sz w:val="14"/>
                <w:szCs w:val="14"/>
                <w:color w:val="auto"/>
              </w:rPr>
              <w:t>% Change 2018 to 2019</w:t>
            </w: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jc w:val="right"/>
              <w:ind w:right="164"/>
              <w:spacing w:after="0" w:line="134"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24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color w:val="auto"/>
              </w:rPr>
              <w:t>Pro Forma</w:t>
            </w:r>
          </w:p>
        </w:tc>
        <w:tc>
          <w:tcPr>
            <w:tcW w:w="8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w:t>
            </w:r>
          </w:p>
        </w:tc>
        <w:tc>
          <w:tcPr>
            <w:tcW w:w="240" w:type="dxa"/>
            <w:vAlign w:val="bottom"/>
          </w:tcPr>
          <w:p>
            <w:pPr>
              <w:spacing w:after="0"/>
              <w:rPr>
                <w:sz w:val="11"/>
                <w:szCs w:val="11"/>
                <w:color w:val="auto"/>
              </w:rPr>
            </w:pPr>
          </w:p>
        </w:tc>
        <w:tc>
          <w:tcPr>
            <w:tcW w:w="10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color w:val="auto"/>
              </w:rPr>
              <w:t>Pro Forma</w:t>
            </w:r>
          </w:p>
        </w:tc>
        <w:tc>
          <w:tcPr>
            <w:tcW w:w="12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40" w:type="dxa"/>
            <w:vAlign w:val="bottom"/>
          </w:tcPr>
          <w:p>
            <w:pPr>
              <w:jc w:val="right"/>
              <w:ind w:right="164"/>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40" w:type="dxa"/>
            <w:vAlign w:val="bottom"/>
            <w:vMerge w:val="continue"/>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164"/>
              <w:spacing w:after="0" w:line="189"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(a)</w:t>
            </w:r>
          </w:p>
        </w:tc>
        <w:tc>
          <w:tcPr>
            <w:tcW w:w="12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color w:val="auto"/>
              </w:rPr>
              <w:t>Growth</w:t>
            </w: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color w:val="auto"/>
              </w:rPr>
              <w:t>Growth</w:t>
            </w:r>
            <w:r>
              <w:rPr>
                <w:rFonts w:ascii="Times New Roman" w:cs="Times New Roman" w:eastAsia="Times New Roman" w:hAnsi="Times New Roman"/>
                <w:sz w:val="18"/>
                <w:szCs w:val="18"/>
                <w:color w:val="auto"/>
                <w:vertAlign w:val="superscript"/>
              </w:rPr>
              <w:t>(a)</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Average monthly direct-to-consumer revenue</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52.93</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54.41</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202"/>
              <w:spacing w:after="0"/>
              <w:rPr>
                <w:sz w:val="20"/>
                <w:szCs w:val="20"/>
                <w:color w:val="auto"/>
              </w:rPr>
            </w:pPr>
            <w:r>
              <w:rPr>
                <w:rFonts w:ascii="Times New Roman" w:cs="Times New Roman" w:eastAsia="Times New Roman" w:hAnsi="Times New Roman"/>
                <w:sz w:val="18"/>
                <w:szCs w:val="18"/>
                <w:color w:val="auto"/>
              </w:rPr>
              <w:t>57.67</w:t>
            </w:r>
          </w:p>
        </w:tc>
        <w:tc>
          <w:tcPr>
            <w:tcW w:w="1220" w:type="dxa"/>
            <w:vAlign w:val="bottom"/>
            <w:vMerge w:val="restart"/>
          </w:tcPr>
          <w:p>
            <w:pPr>
              <w:jc w:val="right"/>
              <w:ind w:right="222"/>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vMerge w:val="restart"/>
          </w:tcPr>
          <w:p>
            <w:pPr>
              <w:jc w:val="right"/>
              <w:ind w:right="164"/>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vMerge w:val="restart"/>
          </w:tcPr>
          <w:p>
            <w:pPr>
              <w:jc w:val="right"/>
              <w:ind w:right="244"/>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 customer relationship</w:t>
            </w:r>
          </w:p>
        </w:tc>
        <w:tc>
          <w:tcPr>
            <w:tcW w:w="3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hanging="252"/>
        <w:spacing w:after="0" w:line="282" w:lineRule="auto"/>
        <w:tabs>
          <w:tab w:leader="none" w:pos="25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is a non-GAAP financial measure. Refer to the “Non-GAAP Financial Measures” section on page 57 for additional information, including our definition and our use of constant currency, and for a reconciliation of Sky’s constant currency growth rates.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monthly direct-to-consumer revenue per customer relationship is impacted by rate adjustments and changes in the types and levels of services received by Sky’s customers. Each of Sky’s services has a different contribution to Adjusted EBITDA. We believe this metric is useful in understanding the trends in our business across all of our direct-to-consumer service offerings.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Direct-to-Consumer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derived from subscription and transactional revenue from residential and business customers. Subscription revenue includes revenue from residential and business subscribers to video, </w:t>
      </w:r>
      <w:r>
        <w:rPr>
          <w:rFonts w:ascii="Times New Roman" w:cs="Times New Roman" w:eastAsia="Times New Roman" w:hAnsi="Times New Roman"/>
          <w:sz w:val="18"/>
          <w:szCs w:val="18"/>
          <w:color w:val="161616"/>
        </w:rPr>
        <w:t>high-speed</w:t>
      </w:r>
      <w:r>
        <w:rPr>
          <w:rFonts w:ascii="Times New Roman" w:cs="Times New Roman" w:eastAsia="Times New Roman" w:hAnsi="Times New Roman"/>
          <w:sz w:val="18"/>
          <w:szCs w:val="18"/>
          <w:color w:val="auto"/>
        </w:rPr>
        <w:t xml:space="preserve"> internet, voice and wireless phone services, including DTC streaming service subscriptions and income from set-top boxes, wireless phone handset and tablet sales, installation, service calls and warranties. Transactional revenue includes the purchase of physical and digital content, DTC streaming daily passes, and pay-per-view programming.</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in 2020 compared to 2019. Excluding the impact of foreign currency, revenue decreased primarily due to decreases in average revenue per customer relationship as a result of COVID-19.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Content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derived from the distribution of Sky’s owned television channels on third-party platforms and the licensing of owned and acquired programming to third-party video providers.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in 2020 compared to 2019. Excluding the impact of foreign currency, revenue decreased primarily due to a decrease in revenue from the distribution of Sky’s sports programming on third-party platforms due to postponed sporting events as a result of COVID-19.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is derived from the sale of advertising and sponsorships across Sky’s owned television channels and where it represents the sales efforts of third-party channels.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in 2020 compared to 2019. Excluding the impact of foreign currency, revenue decreased primarily due to overall market weakness, which has worsened due to COVID-19, and the impact of changes in legislation related to gambling advertisements in the United Kingdom and Italy that occurred in the third quarter of 2019.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primarily relate to content broadcast on Sky’s channels. These costs include the amortization of owned and acquired programming costs, sports rights, direct production costs, residual and participation payments, production overhead, and on-air talent costs. These expenses also include the fees associated with programming distribution agreements for channels owned by third parties, which are generally based on the number of customers who are able to watch the programming and the platforms on which the content is provided.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decreased in 2020 compared to 2019. Excluding the impact of foreign currency, expenses decreased primarily due to the impacts of the disruptions of professional sports seasons as a result of COVID-19, including the delayed starts of the current European soccer seasons.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Direct Network Costs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Expenses primarily include costs directly related to the supply of high-speed internet and voice services, including wireless phone services, to Sky’s customers. This includes call costs, monthly wholesale access fees and other variable costs associated with Sky’s network. In addition, it includes the cost of mobile handsets sold to customers.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increased in 2020 compared to 2019. Excluding the impact of foreign currency, expenses increased primarily due to an increase in costs associated with Sky’s high-speed internet and wireless phone services as a result of increases in the number of customers receiving these services.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Other Expenses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include costs related to marketing, fees paid to third-party channels where Sky represents the advertising sales efforts, subscriber management, supply chain, transmission, technology, fixed networks and general administrative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increased in 2020 compared to 2019. Excluding the impact of foreign currency, expenses increased primarily due to higher marketing costs related to Sky Q and the launch of FTTH services in Italy and a favorable settlement in the prior year, partially offset by lower fees paid to third-party channels for advertising sales efforts resulting from the impact of COVID-19.</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Change</w:t>
            </w:r>
          </w:p>
        </w:tc>
      </w:tr>
      <w:tr>
        <w:trPr>
          <w:trHeight w:val="20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2018</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4"/>
                <w:szCs w:val="14"/>
                <w:color w:val="auto"/>
              </w:rPr>
              <w:t>2018 to 2019</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513</w:t>
            </w:r>
          </w:p>
        </w:tc>
        <w:tc>
          <w:tcPr>
            <w:tcW w:w="1580" w:type="dxa"/>
            <w:vAlign w:val="bottom"/>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9.8 %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0" w:type="dxa"/>
            <w:vAlign w:val="bottom"/>
          </w:tcPr>
          <w:p>
            <w:pPr>
              <w:spacing w:after="0"/>
              <w:rPr>
                <w:sz w:val="19"/>
                <w:szCs w:val="19"/>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1,772</w:t>
            </w: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118.5</w:t>
            </w:r>
          </w:p>
        </w:tc>
        <w:tc>
          <w:tcPr>
            <w:tcW w:w="118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6"/>
              </w:rPr>
              <w:t>(21.3)</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legal settlement</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6"/>
              </w:rPr>
              <w:t>NM</w:t>
            </w:r>
          </w:p>
        </w:tc>
      </w:tr>
      <w:tr>
        <w:trPr>
          <w:trHeight w:val="238"/>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 for Sky transaction-related costs</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(355)</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18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w w:val="96"/>
              </w:rPr>
              <w:t>NM</w:t>
            </w:r>
          </w:p>
        </w:tc>
      </w:tr>
      <w:tr>
        <w:trPr>
          <w:trHeight w:val="223"/>
        </w:trPr>
        <w:tc>
          <w:tcPr>
            <w:tcW w:w="39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(2,447)</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0C6D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(779)</w:t>
            </w:r>
          </w:p>
        </w:tc>
        <w:tc>
          <w:tcPr>
            <w:tcW w:w="1580" w:type="dxa"/>
            <w:vAlign w:val="bottom"/>
            <w:tcBorders>
              <w:bottom w:val="single" w:sz="8" w:color="0C6DFF"/>
            </w:tcBorders>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(178.0)%</w:t>
            </w:r>
          </w:p>
        </w:tc>
        <w:tc>
          <w:tcPr>
            <w:tcW w:w="1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primarily relates to Comcast Spectacor, which owns the Philadelphia Flyers and the Wells Fargo Center arena in Philadelphia, Pennsylvania, and revenue at Peacock beginning in the second quarter of 2020.</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increased in 2020 primarily due to revenue generated from Peacock. The increases were partially offset by decreases at Comcast Spectacor as a result of COVID-19.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primarily include overhead, personnel costs, the costs of other business initiatives, such as Peacock, and operating costs and expenses associated with Comcast Spectacor.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Expenses increased in 2020 primarily due to costs associated with Peacock, certain costs incurred in response to COVID-19, including severance charges related to our businesses, a legal settlement and other non-recurring items, which were partially offset by a reduction in costs related to the Sky transaction, including expenses resulting from the replacement of share-based compensation awards and costs related to integration activities. Beginning in the second quarter of 2020, Peacock costs include amortization of film and television costs and we expect to continue to incur significant costs related to additional content and marketing for the new platform. Corporate and Other Adjusted EBITDA excludes the legal settlement and Sky transaction-related costs.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Change</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3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2019</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2018</w:t>
            </w:r>
          </w:p>
        </w:tc>
        <w:tc>
          <w:tcPr>
            <w:tcW w:w="15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2018 to 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(2,387)</w:t>
            </w:r>
          </w:p>
        </w:tc>
        <w:tc>
          <w:tcPr>
            <w:tcW w:w="15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32.7 %</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8"/>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(2,360)</w:t>
            </w:r>
          </w:p>
        </w:tc>
        <w:tc>
          <w:tcPr>
            <w:tcW w:w="1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24.3</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34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36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0C6D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tcBorders>
              <w:bottom w:val="single" w:sz="8" w:color="0C6DFF"/>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NM</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2020, revenue and operating costs and expenses eliminations increased as a result of licensing of content between our NBCUniversal segments and Peacock. Refer to Note 2 for further description of transactions between our segments.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56</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9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 and redeemable subsidiary preferred stock</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gains</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Sky transaction-related costs</w:t>
            </w: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8"/>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 for legal settlement</w:t>
            </w:r>
          </w:p>
        </w:tc>
        <w:tc>
          <w:tcPr>
            <w:tcW w:w="9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73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30,826</w:t>
            </w:r>
          </w:p>
        </w:tc>
        <w:tc>
          <w:tcPr>
            <w:tcW w:w="34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32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30,165</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year over year to evaluate its underlying performance.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prior year results adjusted to reflect the average exchange rates from the current year rather than the actual exchange rates that were in effect during the respective prior year.</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Sky Constant Currency Growth Rates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60" w:type="dxa"/>
            <w:vAlign w:val="bottom"/>
            <w:tcBorders>
              <w:top w:val="single" w:sz="8" w:color="auto"/>
            </w:tcBorders>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 Change 2019 to</w:t>
            </w: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1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Change 2018 to</w:t>
            </w: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2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customer data)</w:t>
            </w: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w:t>
            </w:r>
          </w:p>
        </w:tc>
        <w:tc>
          <w:tcPr>
            <w:tcW w:w="1260" w:type="dxa"/>
            <w:vAlign w:val="bottom"/>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3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w:t>
            </w:r>
          </w:p>
        </w:tc>
        <w:tc>
          <w:tcPr>
            <w:tcW w:w="2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Currency</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Currency Growth</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Currency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Growth</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15,223</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(3.0)%</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15,698</w:t>
            </w:r>
          </w:p>
        </w:tc>
        <w:tc>
          <w:tcPr>
            <w:tcW w:w="1260" w:type="dxa"/>
            <w:vAlign w:val="bottom"/>
            <w:vMerge w:val="continue"/>
          </w:tcPr>
          <w:p>
            <w:pPr>
              <w:spacing w:after="0"/>
              <w:rPr>
                <w:sz w:val="19"/>
                <w:szCs w:val="19"/>
                <w:color w:val="auto"/>
              </w:rPr>
            </w:pP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1,443</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(4.9)</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1,196</w:t>
            </w: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1,998</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2,270</w:t>
            </w:r>
          </w:p>
        </w:tc>
        <w:tc>
          <w:tcPr>
            <w:tcW w:w="1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(12.0)</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2,376</w:t>
            </w: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18,594</w:t>
            </w:r>
          </w:p>
        </w:tc>
        <w:tc>
          <w:tcPr>
            <w:tcW w:w="3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19,411</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19,219</w:t>
            </w:r>
          </w:p>
        </w:tc>
        <w:tc>
          <w:tcPr>
            <w:tcW w:w="28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18,898</w:t>
            </w: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vMerge w:val="restart"/>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(3.5)</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8,967</w:t>
            </w:r>
          </w:p>
        </w:tc>
        <w:tc>
          <w:tcPr>
            <w:tcW w:w="1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2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8,406</w:t>
            </w: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network costs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1,759</w:t>
            </w: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18.6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1,555</w:t>
            </w: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5,556</w:t>
            </w:r>
          </w:p>
        </w:tc>
        <w:tc>
          <w:tcPr>
            <w:tcW w:w="12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6.3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6,173</w:t>
            </w: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16,282</w:t>
            </w:r>
          </w:p>
        </w:tc>
        <w:tc>
          <w:tcPr>
            <w:tcW w:w="12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16,134</w:t>
            </w: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3,129</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(37.6)%</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3,099</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2,764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0" w:type="dxa"/>
            <w:vAlign w:val="bottom"/>
          </w:tcPr>
          <w:p>
            <w:pPr>
              <w:spacing w:after="0"/>
              <w:rPr>
                <w:sz w:val="1"/>
                <w:szCs w:val="1"/>
                <w:color w:val="auto"/>
              </w:rPr>
            </w:pPr>
          </w:p>
        </w:tc>
      </w:tr>
      <w:tr>
        <w:trPr>
          <w:trHeight w:val="169"/>
        </w:trPr>
        <w:tc>
          <w:tcPr>
            <w:tcW w:w="4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Average monthly direct-to-consumer revenue per</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52.93</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54.97</w:t>
            </w:r>
          </w:p>
        </w:tc>
        <w:tc>
          <w:tcPr>
            <w:tcW w:w="12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(3.7)%</w:t>
            </w:r>
          </w:p>
        </w:tc>
        <w:tc>
          <w:tcPr>
            <w:tcW w:w="3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54.41</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54.98</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w:t>
            </w:r>
          </w:p>
        </w:tc>
        <w:tc>
          <w:tcPr>
            <w:tcW w:w="300" w:type="dxa"/>
            <w:vAlign w:val="bottom"/>
            <w:tcBorders>
              <w:bottom w:val="single" w:sz="8" w:color="0C6DFF"/>
            </w:tcBorders>
            <w:vMerge w:val="continue"/>
          </w:tcPr>
          <w:p>
            <w:pPr>
              <w:spacing w:after="0"/>
              <w:rPr>
                <w:sz w:val="19"/>
                <w:szCs w:val="19"/>
                <w:color w:val="auto"/>
              </w:rPr>
            </w:pPr>
          </w:p>
        </w:tc>
        <w:tc>
          <w:tcPr>
            <w:tcW w:w="760" w:type="dxa"/>
            <w:vAlign w:val="bottom"/>
            <w:tcBorders>
              <w:bottom w:val="single" w:sz="8" w:color="0C6DFF"/>
            </w:tcBorders>
            <w:vMerge w:val="continue"/>
          </w:tcPr>
          <w:p>
            <w:pPr>
              <w:spacing w:after="0"/>
              <w:rPr>
                <w:sz w:val="19"/>
                <w:szCs w:val="19"/>
                <w:color w:val="auto"/>
              </w:rPr>
            </w:pPr>
          </w:p>
        </w:tc>
        <w:tc>
          <w:tcPr>
            <w:tcW w:w="300" w:type="dxa"/>
            <w:vAlign w:val="bottom"/>
            <w:tcBorders>
              <w:bottom w:val="single" w:sz="8" w:color="0C6DFF"/>
            </w:tcBorders>
            <w:vMerge w:val="continue"/>
          </w:tcPr>
          <w:p>
            <w:pPr>
              <w:spacing w:after="0"/>
              <w:rPr>
                <w:sz w:val="19"/>
                <w:szCs w:val="19"/>
                <w:color w:val="auto"/>
              </w:rPr>
            </w:pPr>
          </w:p>
        </w:tc>
        <w:tc>
          <w:tcPr>
            <w:tcW w:w="780" w:type="dxa"/>
            <w:vAlign w:val="bottom"/>
            <w:tcBorders>
              <w:bottom w:val="single" w:sz="8" w:color="0C6DFF"/>
            </w:tcBorders>
            <w:vMerge w:val="continue"/>
          </w:tcPr>
          <w:p>
            <w:pPr>
              <w:spacing w:after="0"/>
              <w:rPr>
                <w:sz w:val="19"/>
                <w:szCs w:val="19"/>
                <w:color w:val="auto"/>
              </w:rPr>
            </w:pPr>
          </w:p>
        </w:tc>
        <w:tc>
          <w:tcPr>
            <w:tcW w:w="1260" w:type="dxa"/>
            <w:vAlign w:val="bottom"/>
            <w:tcBorders>
              <w:bottom w:val="single" w:sz="8" w:color="0C6DFF"/>
            </w:tcBorders>
            <w:vMerge w:val="continue"/>
          </w:tcPr>
          <w:p>
            <w:pPr>
              <w:spacing w:after="0"/>
              <w:rPr>
                <w:sz w:val="19"/>
                <w:szCs w:val="19"/>
                <w:color w:val="auto"/>
              </w:rPr>
            </w:pPr>
          </w:p>
        </w:tc>
        <w:tc>
          <w:tcPr>
            <w:tcW w:w="360" w:type="dxa"/>
            <w:vAlign w:val="bottom"/>
            <w:tcBorders>
              <w:bottom w:val="single" w:sz="8" w:color="0C6DFF"/>
            </w:tcBorders>
            <w:vMerge w:val="continue"/>
          </w:tcPr>
          <w:p>
            <w:pPr>
              <w:spacing w:after="0"/>
              <w:rPr>
                <w:sz w:val="19"/>
                <w:szCs w:val="19"/>
                <w:color w:val="auto"/>
              </w:rPr>
            </w:pPr>
          </w:p>
        </w:tc>
        <w:tc>
          <w:tcPr>
            <w:tcW w:w="760" w:type="dxa"/>
            <w:vAlign w:val="bottom"/>
            <w:tcBorders>
              <w:bottom w:val="single" w:sz="8" w:color="0C6DFF"/>
            </w:tcBorders>
            <w:vMerge w:val="continue"/>
          </w:tcPr>
          <w:p>
            <w:pPr>
              <w:spacing w:after="0"/>
              <w:rPr>
                <w:sz w:val="19"/>
                <w:szCs w:val="19"/>
                <w:color w:val="auto"/>
              </w:rPr>
            </w:pPr>
          </w:p>
        </w:tc>
        <w:tc>
          <w:tcPr>
            <w:tcW w:w="280" w:type="dxa"/>
            <w:vAlign w:val="bottom"/>
            <w:tcBorders>
              <w:bottom w:val="single" w:sz="8" w:color="0C6DFF"/>
            </w:tcBorders>
            <w:vMerge w:val="continue"/>
          </w:tcPr>
          <w:p>
            <w:pPr>
              <w:spacing w:after="0"/>
              <w:rPr>
                <w:sz w:val="19"/>
                <w:szCs w:val="19"/>
                <w:color w:val="auto"/>
              </w:rPr>
            </w:pPr>
          </w:p>
        </w:tc>
        <w:tc>
          <w:tcPr>
            <w:tcW w:w="820" w:type="dxa"/>
            <w:vAlign w:val="bottom"/>
            <w:tcBorders>
              <w:bottom w:val="single" w:sz="8" w:color="0C6DFF"/>
            </w:tcBorders>
            <w:vMerge w:val="continue"/>
          </w:tcPr>
          <w:p>
            <w:pPr>
              <w:spacing w:after="0"/>
              <w:rPr>
                <w:sz w:val="19"/>
                <w:szCs w:val="19"/>
                <w:color w:val="auto"/>
              </w:rPr>
            </w:pPr>
          </w:p>
        </w:tc>
        <w:tc>
          <w:tcPr>
            <w:tcW w:w="1160" w:type="dxa"/>
            <w:vAlign w:val="bottom"/>
            <w:tcBorders>
              <w:bottom w:val="single" w:sz="8" w:color="0C6DFF"/>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 Refer to “Impacts of COVID-19” for additional discussion.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facilities and our commercial paper programs to meet our short-term liquidity requirements. Our commercial paper programs provide a lower-cost source of borrowing to fund our short-term working capital requirements. See Note 6 for additional information on our revolving credit facilities. As of December 31, 2020, amounts available under our revolving credit facilities, net of amounts outstanding under our commercial paper programs and outstanding letters of credit and bank guarantees, totaled $9.2 billion.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Comcast, NBCUniversal and Comcast Cable are subject to the covenants and restrictions set forth in the indentures governing our public debt securities and in the credit agreements governing the Comcast revolving credit facility. The financial covenant in the credit facility pertains to leverage, which is the ratio of debt to EBITDA, as defined in the credit facility. We test for compliance with this financial covenant on an ongoing basis. As of December 31, 2020, we met this financial covenant by a significant margin. We do not expect to have to reduce debt or improve operating results in order to continue to comply with this financial covenant. In addition, the Universal Studios Japan term loans contain certain financial covenants. As of December 31, 2020, Universal Studios Japan was in compliance with all of these covenants.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operating gains</w:t>
            </w: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13,100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38"/>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2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57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30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24,737</w:t>
            </w:r>
          </w:p>
        </w:tc>
        <w:tc>
          <w:tcPr>
            <w:tcW w:w="34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36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24,297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in 2020 compared to 2019 was primarily due to the impacts of COVID-19, including the timing of amortization and related payments for our film and television costs, which resulted from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suspension of studio production operations partially offset by the timing of sporting events, as well as the extension of due dates for certain tax payments and accruals related to severance.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payments in 2020 was primarily due to a decrease in average debt outstanding.</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income tax payments in 2020 was primarily due to lower taxable income from operations in 2020, partially offset by the taxable gain associated with the AirTouch redemption which approximated the proceeds received.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2020 consisted primarily of capital expenditures, cash paid for intangible assets, the construction of Universal Beijing Resort, purchases of investments and the purchase of spectrum rights, which were partially offset by proceeds from sales of businesses and investments. Net cash used in investing activities in 2019 consisted primarily of capital expenditures, cash paid for intangible assets, purchases of investments and the construction of Universal Beijing Resort, which were partially offset by proceeds from sales of businesses and investments.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Capital expenditures decreased in 2020 primarily due to decreases in spending by our Theme Parks segment as a result of COVID-19 and by our Cable Communications segment, partially offset by increases in spending by our Sky segment, reflecting the continued deployment of Sky Q and high-speed internet services.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recurring investing activity has been capital expenditures in our Cable Communications segment, and we expect that this will continue in the future. Cable Communications’ capital expenditures decreased primarily due to lower spending on customer premise equipment and support capital, partially offset by an increase in spending on scalable infrastructure. The table below summarizes the capital expenditures we incurred in our Cable Communications segment in 2020, 2019 and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Scalable infrastructure</w:t>
            </w:r>
          </w:p>
        </w:tc>
        <w:tc>
          <w:tcPr>
            <w:tcW w:w="3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extensions</w:t>
            </w:r>
          </w:p>
        </w:tc>
        <w:tc>
          <w:tcPr>
            <w:tcW w:w="3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38"/>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Support capital</w:t>
            </w:r>
          </w:p>
        </w:tc>
        <w:tc>
          <w:tcPr>
            <w:tcW w:w="3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49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6,605</w:t>
            </w:r>
          </w:p>
        </w:tc>
        <w:tc>
          <w:tcPr>
            <w:tcW w:w="4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4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capital expenditures for 2021 will be focused on the continued investment in scalable infrastructure to increase network capacity in our Cable Communications segment; increased investment in line extensions for the expansion of both business services and residential; and the continued deployment of wireless gateways, our X1 platform, cloud DVR technology, Sky Q, and international DTC streaming platforms. In addition, while we expect to invest in existing and new attractions at our Universal theme parks in the future, we have paused the construction of our additional theme park in Orlando, Florida. Capital expenditures for subsequent years will depend on numerous factors, including acquisitions, competition, changes in technology, regulatory changes, the timing and rate of deployment of new services, the capacity required for existing services, and the timing of new attractions at our theme parks.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Cash Paid for Intangible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cash paid for intangible assets was flat primarily due to decreases in expenditures for software development at our Cable Communications segment, offset by increases in expenditures for software development at both our Sky segment and at Corporate, primarily related to our development of Sky Q and Peacock,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Construction of Universal Beijing Resort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of Universal Beijing Resort includes costs related to the construction of the Universal theme park and resort in Beijing, China. See Note 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Purchase of Spectrum</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 2020, the FCC announced the results of its CBRS spectrum auction. In connection with the auction, we acquired the rights to $459 million of spectrum.</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6EBF"/>
        </w:rPr>
        <w:t>Proceeds from Sales of Businesses and Investments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2020, proceeds from sales of businesses and investments increased primarily due to $1.7 billion of proceeds received from the sale of our investment in AirTouch in the second quarter of 2020. See Note 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Purchases of Investments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investments in 2020 were primarily related to capital contributions to Atairos and in 2019 were primarily related to Hulu, including the acquisition of our proportionate share of the interest previously held by AT&amp;T, and Atairos.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investing activities in 2020 and 2019 were primarily related to distributions received from equity method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2020 consisted primarily of repayments of debt and the related early redemption payments presented in other financing activities, dividend payments and payments related to the redemption and repayment of subsidiary preferred shares in the second quarter of 2020 presented in other financing activities (see Note 9), which were partially offset by proceeds from borrowings and proceeds from the settlement of cross currency swaps related to our debt presented in other financing activities. Net cash used in financing activities in 2019 consisted primarily of repayments of debt and dividend payments, partially offset by proceeds from issuance of senior notes and a collateralized obligation.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2020, we made debt repayments of $18.8 billion, including the early redemption and purchase of senior notes maturing between 2020 and 2047 and optional repayments of term loans due 2021 to 2023 totaling $15.8 billion.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we issued $12.5 billion of fixed-rate senior notes maturing between 2025 and 2062, $3.2 billion (using exchange rates on the date of issuance) of fixed-rate Euro senior notes maturing between 2027 and 2040 and $1.8 billion (using exchange rates on the date of issuance) of fixed-rate Sterling senior notes maturing between 2029 and 2036. In 2020, we made borrowings of $1.1 billion under the Universal Beijing Resort term loan.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 6 for additional information on our financing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Dividends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declared quarterly dividends totaling $4.3 billion in 2020. We paid dividends of $4.1 billion in 2020. In January 2021, our Board of Directors approved a 9% increase in our dividend to $1.00 per share on an annualized basis. We expect to continue to pay quarterly dividends, although each dividend is subject to approval by our Board of Directors.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chart below summarizes our dividends paid in 2020, 2019 and 2018. In addition, we paid $534 million and $504 million in 2020 and 2019, respectively, related to employee taxes associated with the administration of our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0891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Dividends Paid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15175" cy="1680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1517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and Guarantee Structure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8"/>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0"/>
        </w:trPr>
        <w:tc>
          <w:tcPr>
            <w:tcW w:w="76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8"/>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1"/>
        </w:trPr>
        <w:tc>
          <w:tcPr>
            <w:tcW w:w="76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282"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06EBF"/>
        </w:rPr>
        <w:t>Cross-guarantees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and 2019, the combined Guarantors have noncurrent notes payable to non-guarantor subsidiaries of $124 billion and $122 billion, respectively, and noncurrent notes receivable from non-guarantor subsidiaries of $26 billion and $21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200" w:lineRule="exact"/>
        <w:rPr>
          <w:sz w:val="20"/>
          <w:szCs w:val="20"/>
          <w:color w:val="auto"/>
        </w:rPr>
      </w:pPr>
    </w:p>
    <w:p>
      <w:pPr>
        <w:spacing w:after="0" w:line="30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006EBF"/>
        </w:rPr>
        <w:t>One-way Guarantees</w:t>
      </w:r>
    </w:p>
    <w:p>
      <w:pPr>
        <w:spacing w:after="0" w:line="6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and other consolidated subsidiaries not subject to the periodic reporting requirements of the SEC.</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2020 and 2019, Comcast and Comcast Holdings, the combined issuer and guarantor of the guaranteed subordinated debt, have noncurrent senior notes payable to non-guarantor subsidiaries of $94 billion and $92 billion, respectively, and noncurrent notes receivable from non-guarantor subsidiaries of $23 billion and $18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62</w:t>
            </w:r>
          </w:p>
        </w:tc>
      </w:tr>
      <w:tr>
        <w:trPr>
          <w:trHeight w:val="327"/>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color w:val="auto"/>
              </w:rPr>
              <w:t>Payment Due by Period</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 of December 31, 2020 (in millions)</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Year 1</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Years 2-3</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Years 4-5</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More than 5</w:t>
            </w:r>
          </w:p>
        </w:tc>
      </w:tr>
      <w:tr>
        <w:trPr>
          <w:trHeight w:val="215"/>
        </w:trPr>
        <w:tc>
          <w:tcPr>
            <w:tcW w:w="5340" w:type="dxa"/>
            <w:vAlign w:val="bottom"/>
          </w:tcPr>
          <w:p>
            <w:pPr>
              <w:ind w:left="20"/>
              <w:spacing w:after="0" w:line="215"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80,079</w:t>
            </w:r>
          </w:p>
        </w:tc>
      </w:tr>
      <w:tr>
        <w:trPr>
          <w:trHeight w:val="233"/>
        </w:trPr>
        <w:tc>
          <w:tcPr>
            <w:tcW w:w="534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Collateralized obligation</w:t>
            </w:r>
            <w:r>
              <w:rPr>
                <w:rFonts w:ascii="Times New Roman" w:cs="Times New Roman" w:eastAsia="Times New Roman" w:hAnsi="Times New Roman"/>
                <w:sz w:val="23"/>
                <w:szCs w:val="23"/>
                <w:color w:val="auto"/>
                <w:vertAlign w:val="superscript"/>
              </w:rPr>
              <w:t>(a)(b)</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5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w:t>
            </w:r>
          </w:p>
        </w:tc>
      </w:tr>
      <w:tr>
        <w:trPr>
          <w:trHeight w:val="238"/>
        </w:trPr>
        <w:tc>
          <w:tcPr>
            <w:tcW w:w="534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Other long-term liabilities reflected on the balance sheet</w:t>
            </w:r>
            <w:r>
              <w:rPr>
                <w:rFonts w:ascii="Times New Roman" w:cs="Times New Roman" w:eastAsia="Times New Roman" w:hAnsi="Times New Roman"/>
                <w:sz w:val="23"/>
                <w:szCs w:val="23"/>
                <w:color w:val="auto"/>
                <w:vertAlign w:val="superscript"/>
              </w:rPr>
              <w:t>(d)</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3"/>
        </w:trPr>
        <w:tc>
          <w:tcPr>
            <w:tcW w:w="5340" w:type="dxa"/>
            <w:vAlign w:val="bottom"/>
            <w:tcBorders>
              <w:bottom w:val="single" w:sz="8" w:color="0C6DFF"/>
            </w:tcBorders>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Total</w:t>
            </w:r>
            <w:r>
              <w:rPr>
                <w:rFonts w:ascii="Times New Roman" w:cs="Times New Roman" w:eastAsia="Times New Roman" w:hAnsi="Times New Roman"/>
                <w:sz w:val="10"/>
                <w:szCs w:val="10"/>
                <w:color w:val="auto"/>
              </w:rPr>
              <w:t>(e)(f)</w:t>
            </w:r>
          </w:p>
        </w:tc>
        <w:tc>
          <w:tcPr>
            <w:tcW w:w="320" w:type="dxa"/>
            <w:vAlign w:val="bottom"/>
            <w:tcBorders>
              <w:bottom w:val="single" w:sz="8" w:color="0C6D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185,957</w:t>
            </w:r>
          </w:p>
        </w:tc>
        <w:tc>
          <w:tcPr>
            <w:tcW w:w="36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38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27,946</w:t>
            </w:r>
          </w:p>
        </w:tc>
        <w:tc>
          <w:tcPr>
            <w:tcW w:w="36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28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101,501</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Notes 6 and 16.</w:t>
      </w:r>
    </w:p>
    <w:p>
      <w:pPr>
        <w:spacing w:after="0" w:line="109"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interest payments.</w:t>
      </w:r>
    </w:p>
    <w:p>
      <w:pPr>
        <w:spacing w:after="0" w:line="109" w:lineRule="exact"/>
        <w:rPr>
          <w:rFonts w:ascii="Times New Roman" w:cs="Times New Roman" w:eastAsia="Times New Roman" w:hAnsi="Times New Roman"/>
          <w:sz w:val="14"/>
          <w:szCs w:val="14"/>
          <w:color w:val="auto"/>
        </w:rPr>
      </w:pPr>
    </w:p>
    <w:p>
      <w:pPr>
        <w:ind w:left="260" w:hanging="252"/>
        <w:spacing w:after="0" w:line="282" w:lineRule="auto"/>
        <w:tabs>
          <w:tab w:leader="none" w:pos="2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Collateralized obligation relates to a $5.2 billion term loan facility, the principal amount of which is fully secured by the minimum guaranteed proceeds under the put/call provisions related to our investment in Hulu. See Note 9.</w:t>
      </w:r>
    </w:p>
    <w:p>
      <w:pPr>
        <w:spacing w:after="0" w:line="53" w:lineRule="exact"/>
        <w:rPr>
          <w:rFonts w:ascii="Times New Roman" w:cs="Times New Roman" w:eastAsia="Times New Roman" w:hAnsi="Times New Roman"/>
          <w:sz w:val="14"/>
          <w:szCs w:val="14"/>
          <w:color w:val="auto"/>
        </w:rPr>
      </w:pPr>
    </w:p>
    <w:p>
      <w:pPr>
        <w:jc w:val="both"/>
        <w:ind w:left="260" w:hanging="252"/>
        <w:spacing w:after="0" w:line="246" w:lineRule="auto"/>
        <w:tabs>
          <w:tab w:leader="none" w:pos="2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consist of agreements to purchase goods and services that are legally binding on us and specify all significant terms, including fixed or minimum quantities to be purchased and price provisions. Our purchase obligations related to Cable Communications and Sky include programming contracts with cable networks and local broadcast television stations; contracts with customer premise equipment manufacturers; contracts with communications vendors and multichannel video providers for which we provide advertising sales representation; contracts to acquire handsets and other equipment; and other contracts entered into in the normal course of business. Cable Communications’ and Sky’s programming contracts include amounts payable under fixed or minimum guaranteed commitments and do not represent the total fees that are expected to be paid under programming contracts, which we expect to be significantly higher because these contracts are generally based on the number of subscribers receiving the programming. Our purchase obligations related to NBCUniversal and Sky include commitments to acquire film and television programming, and broadcast rights relating to sporting events, such as the Olympics, the NFL and European soccer leagues, as well as obligations under various creative talent agreements, including obligations to actors, producers and television personalities, and various other television commitments. Purchase obligations do not include contracts with immaterial future commitments.</w:t>
      </w:r>
    </w:p>
    <w:p>
      <w:pPr>
        <w:spacing w:after="0" w:line="80" w:lineRule="exact"/>
        <w:rPr>
          <w:rFonts w:ascii="Times New Roman" w:cs="Times New Roman" w:eastAsia="Times New Roman" w:hAnsi="Times New Roman"/>
          <w:sz w:val="14"/>
          <w:szCs w:val="14"/>
          <w:color w:val="auto"/>
        </w:rPr>
      </w:pPr>
    </w:p>
    <w:p>
      <w:pPr>
        <w:jc w:val="both"/>
        <w:ind w:left="260" w:hanging="252"/>
        <w:spacing w:after="0" w:line="251" w:lineRule="auto"/>
        <w:tabs>
          <w:tab w:leader="none" w:pos="2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long-term liabilities reflected on the balance sheet consist primarily of deferred compensation obligations and postretirement, pension and postemployment benefit obligations. Our total recorded liability of $2.8 billion related to participations and residuals are not included in the table above because we cannot make a reliable estimate of the period in which these obligations will be settled. Liabilities for uncertain tax positions of $1.4 billion and the associated interest and penalties are not included in the table above because it is uncertain if or when these amounts will become payable. A contractual obligation with a carrying value of $1.1 billion is not included in the table above because it is uncertain if the arrangement will be settled. The contractual obligation involves an interest held by a third party in the revenue of certain theme parks. See Note 16 for additional information related to this arrangement.</w:t>
      </w:r>
    </w:p>
    <w:p>
      <w:pPr>
        <w:spacing w:after="0" w:line="76" w:lineRule="exact"/>
        <w:rPr>
          <w:rFonts w:ascii="Times New Roman" w:cs="Times New Roman" w:eastAsia="Times New Roman" w:hAnsi="Times New Roman"/>
          <w:sz w:val="14"/>
          <w:szCs w:val="14"/>
          <w:color w:val="auto"/>
        </w:rPr>
      </w:pPr>
    </w:p>
    <w:p>
      <w:pPr>
        <w:ind w:left="260" w:hanging="252"/>
        <w:spacing w:after="0" w:line="282" w:lineRule="auto"/>
        <w:tabs>
          <w:tab w:leader="none" w:pos="2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obligations do not include our capital commitment related to our investment in Atairos due to our inability to estimate the timing of this funding. As of December 31, 2020, our remaining commitment is $1.3 billion based on the capital calls received as of that date (see Note 9).</w:t>
      </w:r>
    </w:p>
    <w:p>
      <w:pPr>
        <w:spacing w:after="0" w:line="53"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contractual obligations are made up of the following components.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 millions)</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83"/>
        </w:trPr>
        <w:tc>
          <w:tcPr>
            <w:tcW w:w="6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Liabilities recorded on the balance sheet</w:t>
            </w:r>
          </w:p>
        </w:tc>
        <w:tc>
          <w:tcPr>
            <w:tcW w:w="37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126,230</w:t>
            </w:r>
          </w:p>
        </w:tc>
      </w:tr>
      <w:tr>
        <w:trPr>
          <w:trHeight w:val="196"/>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Commitments not recorded on the balance sheet</w:t>
            </w:r>
          </w:p>
        </w:tc>
        <w:tc>
          <w:tcPr>
            <w:tcW w:w="3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59,727</w:t>
            </w:r>
          </w:p>
        </w:tc>
      </w:tr>
      <w:tr>
        <w:trPr>
          <w:trHeight w:val="183"/>
        </w:trPr>
        <w:tc>
          <w:tcPr>
            <w:tcW w:w="60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780" w:type="dxa"/>
            <w:vAlign w:val="bottom"/>
            <w:tcBorders>
              <w:bottom w:val="single" w:sz="8" w:color="0C6DFF"/>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3"/>
                <w:szCs w:val="13"/>
                <w:color w:val="auto"/>
              </w:rPr>
              <w:t>185,957</w:t>
            </w: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2020, we did not have any material off-balance sheet arrangements that are reasonably likely to have a current or future effect on our financial condition, results of operations, liquidity, capital expenditures or capital resources.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8 for additional information related to recent accounting pronouncements, including the impact of the adoption of the updated accounting guidance related to film and television costs and credit losses.</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judgments and related estimates associated with the valuation and impairment testing of goodwill and cable franchise rights and the accounting for film and television costs are critical in the preparation of our consolidated financial statements. Management has discussed the development and selection of these critical accounting judgments and estimates with the Audit Committee of our Board of Directors, and the Audit Committee has reviewed the related disclosures below. See also Notes 4 and 11.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Cable Franchise Rights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recoverability of our goodwill and indefinite-lived intangible assets, including cable franchise rights,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Goodwill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We test goodwill for impairment at the reporting unit level and have concluded that our reporting units are generally the same as our reportable segments. We evaluate the determination of our reporting units periodically or whenever events or substantive changes in circumstances occur. When performing a quantitative assessment, we estimate the fair values of our reporting units primarily based on a discounted cash flow analysis that involves significant judgment, including market participant estimates of future cash flows expected to be generated by the business and the selection of discount rates. When analyzing the fair values indicated under discounted cash flow models, we also consider multiples of Adjusted EBITDA generated by the underlying assets, current market transactions and profitability information.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performed qualitative assessments in 2020 for goodwill in our Cable Communications and NBCUniversal segments. The qualitative assessments considered that the estimated fair values of these reporting units substantially exceeded their carrying values at the time of our previous quantitative assessments in 2018; changes in projected future cash flows; recent market transactions and overall macroeconomic conditions, including the effects of COVID-19; discount rates; and changes in our market capitalization. Based on these assessments, we concluded that it was more likely than not that the estimated fair values of our reporting units were higher than their carrying values and that the performance of a quantitative impairment test was not required. We performed a quantitative assessment in 2020 for goodwill in our Sky segment and the estimated fair value of the reporting unit was higher than the carrying value. Assets and liabilities resulting from a business combination are initially recorded at fair value and the risk of goodwill impairment is reduced as the value of the businesses in a reporting unit increases and as the carrying value of the reporting unit decreases due to the amortization of the historical cost of acquired long-lived assets over time. Given the goodwill in our Sky segment resulted from our recent acquisition of Sky in the fourth quarter of 2018, the fair value is in close proximity to the carrying value of the Sky reporting unit.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Franchise Rights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64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our cable franchise rights primarily based on a discounted cash flow analysis that involves significant judgment, including the estimate of future cash flows and the selection of discount rates. When analyzing the fair values indicated under the discounted cash flow models, we also consider multiples of Adjusted EBITDA generated by the underlying assets, current market transactions and profitability information.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we performed a qualitative assessment of our cable franchise rights. At the time of our previous quantitative assessment in 2018, the estimated fair values of our franchise rights substantially exceeded their carrying values. We also considered various factors that would affect the estimated fair values of our cable franchise rights in our qualitative assessment, including changes in our projected future cash flows associated with our Cable Communications segment; recent market transactions and overall macroeconomic conditions, including the effects of COVID-19; discount rates; and changes in our market capitalization. Based on this assessment, we concluded that it was more likely than not that the estimated fair values of our cable franchise rights were higher than the carrying values and that the performance of a quantitative impairment test was not required.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We have determined that the predominant monetization strategy for the substantial majority of our content is on an individual basis. Amortization for owned content predominantly monetized on an individual basis and accrued costs associated with participations and residual payments are recorded using the individual film forecast computation method, which recognizes the costs in the same ratio as the associated ultimate revenue.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estimates of ultimate revenue for films generally include revenue from all sources that are expected to be earned within 10 years from the date of a film’s initial release. These estimates are based on the distribution strategy and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television series or other owned television programming, the most sensitive factor affecting our estimate of ultimate revenue is whether the series can be successfully licensed beyond its initial license window. Initial estimates of ultimate revenue are limited to the amount of revenue attributed to the initial license window. Once it is determined that a television series or other owned television programming can be licensed beyond the initial license window, revenue estimates for these additional windows or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broadcast. We recognize the costs of multiyear, live-event sports rights as the rights are utilized over the contract term based on estimated relative value. Estimated relative value is generally based on the ratio of the current period revenue to the estimated ultimate revenue or the terms of the contract. Our estimates of ultimate revenue for sports rights include estimates of advertising and subscribers receiving or viewing the broadcasts over the term of the agreements.</w:t>
      </w:r>
    </w:p>
    <w:p>
      <w:pPr>
        <w:spacing w:after="0" w:line="200" w:lineRule="exact"/>
        <w:rPr>
          <w:sz w:val="20"/>
          <w:szCs w:val="20"/>
          <w:color w:val="auto"/>
        </w:rPr>
      </w:pPr>
    </w:p>
    <w:p>
      <w:pPr>
        <w:spacing w:after="0" w:line="30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Capitalized film and television costs are subject to impairment testing when certain triggering events are identified. The substantial majority of our owned content is evaluated for impairment on an individual title basis. Licensed content that is not part of a film group is tested for impairment primarily on a channel, network or platform basis, with the exception of our broadcast networks and owned local broadcast television stations, which are tested on a daypart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Adjustments to capitalized film and television costs were not material in any of the periods presented.</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our exposure to the risk of adverse changes in interest rates through the use of techniques that include market valuation and sensitivity analyses. We do not engage in any speculative or leveraged derivative transactions.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interest rate derivative financial instruments, which primarily include cross currency swaps, represent an integral part of our interest rate risk management program. These cross-currency swaps effectively change our current fixed interest rates to different fixed interest rates.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our interest rate derivative financial instruments to our consolidated interest expense was a decrease of $9 million in 2020, a decrease of $49 million in 2019, and an increase of $2 million in 2018. Interest rate derivative financial instruments may have a significant effect on consolidated interest expense in the future.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by contractual year of maturity the principal amount of our debt, effective rates, and fair values subject to interest rate risk maintained by us as of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Estimated</w:t>
            </w:r>
          </w:p>
        </w:tc>
        <w:tc>
          <w:tcPr>
            <w:tcW w:w="0" w:type="dxa"/>
            <w:vAlign w:val="bottom"/>
          </w:tcPr>
          <w:p>
            <w:pPr>
              <w:spacing w:after="0"/>
              <w:rPr>
                <w:sz w:val="1"/>
                <w:szCs w:val="1"/>
                <w:color w:val="auto"/>
              </w:rPr>
            </w:pPr>
          </w:p>
        </w:tc>
      </w:tr>
      <w:tr>
        <w:trPr>
          <w:trHeight w:val="13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3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Fair Value as of</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2020</w:t>
            </w:r>
          </w:p>
        </w:tc>
        <w:tc>
          <w:tcPr>
            <w:tcW w:w="0" w:type="dxa"/>
            <w:vAlign w:val="bottom"/>
          </w:tcPr>
          <w:p>
            <w:pPr>
              <w:spacing w:after="0"/>
              <w:rPr>
                <w:sz w:val="1"/>
                <w:szCs w:val="1"/>
                <w:color w:val="auto"/>
              </w:rPr>
            </w:pPr>
          </w:p>
        </w:tc>
      </w:tr>
      <w:tr>
        <w:trPr>
          <w:trHeight w:val="21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debt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2,045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6,246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6,953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78,122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96,545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116,732</w:t>
            </w:r>
          </w:p>
        </w:tc>
        <w:tc>
          <w:tcPr>
            <w:tcW w:w="0" w:type="dxa"/>
            <w:vAlign w:val="bottom"/>
          </w:tcPr>
          <w:p>
            <w:pPr>
              <w:spacing w:after="0"/>
              <w:rPr>
                <w:sz w:val="1"/>
                <w:szCs w:val="1"/>
                <w:color w:val="auto"/>
              </w:rPr>
            </w:pPr>
          </w:p>
        </w:tc>
      </w:tr>
      <w:tr>
        <w:trPr>
          <w:trHeight w:val="230"/>
        </w:trPr>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interest rate</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Variable-rate debt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1,944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2,830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2,502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8,864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8,873</w:t>
            </w: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Average interest rate</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interest rates on our debt in the table above reflect the effects of our derivative financial instruments. We estimate interest rates on variable rate debt and swaps using the relevant average implied forward rates through the year of maturity based on the yield curve in effect on December 31, 2020, plus the applicable borrowing margin.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a $5.2 billion variable rate term loan presented separately as a collateralized obligation that will mature in March 2024. We entered into a series of variable-to-fixed rate interest rate swaps on $5.2 billion of this term loan with average pay rate and average receive rate related to these interest rate swaps of 1.12% and 0.15% as of December 31, 2020, respectively. As of December 31, 2020 and 2019, the estimated fair value of the term loan was $5.2 billion for each period, and the estimated fair value of the related interest rate swaps was a net liability of $155 million and a net asset of $34 million,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1, 6 and 9 for additional information.</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in a number of countries outside the United States through Sky and NBCUniversal, and certain of our operations are conducted in foreign currencies. The value of these currencies fluctuates relative to the U.S. dollar. These changes could adversely affect the U.S. dollar equivalent value of our non-U.S. dollar operations, which could negatively affect our business, financial condition and results of operations in a given period or in specific territories.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other than the functional currency. We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As of December 31, 2020 and 2019, we had foreign exchange contracts on transactions other than debt with a total notional value of $8.1 billion and $6.3 billion, respectively. As of December 31, 2020 and 2019, the aggregate estimated fair value of these foreign exchange contracts was not material.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cross-currency swaps as cash flow hedges for foreign currency denominated debt obligations when those obligations are denominated in a currency other than the functional currency. Cross-currency swaps effectively convert foreign currency denominated debt to debt denominated in the functional currency, which hedge currency exchange risks associated with foreign currency denominated cash flows such as interest and principal debt repayments. As of December 31, 2020 and 2019, we had cross-currency swaps designated as cash flow hedges on $1.7 billion and $3.7 billion of our foreign currency denominated debt, respectively. As of December 31, 2020 and 2019, the aggregate estimated fair values of cross-currency swaps designated as cash flow hedges were a net liability of $45 million and a net asset of $373 million, respectively.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foreign exchange risk on the consolidation of our foreign operations. We have foreign currency denominated debt and cross-currency swaps designated as hedges of our net investments in certain of these subsidiaries. Transaction gains and losses resulting from currency movements on debt and changes in fair value of cross-currency swaps designated as net investment hedges are recorded within the currency translation adjustments component of accumulated other comprehensive income (loss). As of December 31, 2020 and 2019, the amount of our net investment in foreign subsidiaries hedged using foreign currency denominated debt was $10.3 billion and $9.2 billion, respectively, and the amount of our net investment in foreign subsidiaries hedged using cross-currency swaps was $4.0 billion and $4.8 billion, respectively. As of December 31, 2020 and 2019, the aggregate estimated fair value of these cross-currency swaps was a net liability of $376 million and $373 million, respectively. The amount of pre-tax gains (losses) related to net investment hedges recognized in the cumulative translation adjustments component of other comprehensive income (loss) were losses of $686 million in 2020, gains of $343 million in 2019 and losses of $3 million in 2018.</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analyzed our foreign currency exposure related to our foreign operations as of December 31, 2020,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2020 net income attributable to Comcast Corporation.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2020 and 2019,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30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w:t>
            </w:r>
          </w:p>
        </w:tc>
        <w:tc>
          <w:tcPr>
            <w:tcW w:w="6360" w:type="dxa"/>
            <w:vAlign w:val="bottom"/>
            <w:gridSpan w:val="2"/>
          </w:tcPr>
          <w:p>
            <w:pPr>
              <w:ind w:left="6020"/>
              <w:spacing w:after="0"/>
              <w:rPr>
                <w:sz w:val="20"/>
                <w:szCs w:val="20"/>
                <w:color w:val="auto"/>
              </w:rPr>
            </w:pPr>
            <w:r>
              <w:rPr>
                <w:rFonts w:ascii="Times New Roman" w:cs="Times New Roman" w:eastAsia="Times New Roman" w:hAnsi="Times New Roman"/>
                <w:sz w:val="14"/>
                <w:szCs w:val="14"/>
                <w:color w:val="auto"/>
              </w:rPr>
              <w:t>Page</w:t>
            </w:r>
          </w:p>
        </w:tc>
      </w:tr>
      <w:tr>
        <w:trPr>
          <w:trHeight w:val="242"/>
        </w:trPr>
        <w:tc>
          <w:tcPr>
            <w:tcW w:w="488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Report of Management</w:t>
              </w:r>
            </w:hyperlink>
          </w:p>
        </w:tc>
        <w:tc>
          <w:tcPr>
            <w:tcW w:w="6320" w:type="dxa"/>
            <w:vAlign w:val="bottom"/>
            <w:tcBorders>
              <w:top w:val="single" w:sz="8" w:color="auto"/>
            </w:tcBorders>
          </w:tcPr>
          <w:p>
            <w:pPr>
              <w:jc w:val="right"/>
              <w:ind w:right="274"/>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69</w:t>
              </w:r>
            </w:hyperlink>
          </w:p>
        </w:tc>
        <w:tc>
          <w:tcPr>
            <w:tcW w:w="40" w:type="dxa"/>
            <w:vAlign w:val="bottom"/>
          </w:tcPr>
          <w:p>
            <w:pPr>
              <w:spacing w:after="0"/>
              <w:rPr>
                <w:sz w:val="21"/>
                <w:szCs w:val="21"/>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Report of Independent Registered Public Accounting Firm</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70</w:t>
              </w:r>
            </w:hyperlink>
          </w:p>
        </w:tc>
        <w:tc>
          <w:tcPr>
            <w:tcW w:w="40" w:type="dxa"/>
            <w:vAlign w:val="bottom"/>
          </w:tcPr>
          <w:p>
            <w:pPr>
              <w:spacing w:after="0"/>
              <w:rPr>
                <w:sz w:val="24"/>
                <w:szCs w:val="24"/>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Consolidated Statement of Income</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72</w:t>
              </w:r>
            </w:hyperlink>
          </w:p>
        </w:tc>
        <w:tc>
          <w:tcPr>
            <w:tcW w:w="40" w:type="dxa"/>
            <w:vAlign w:val="bottom"/>
          </w:tcPr>
          <w:p>
            <w:pPr>
              <w:spacing w:after="0"/>
              <w:rPr>
                <w:sz w:val="24"/>
                <w:szCs w:val="24"/>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Consolidated Statement of Comprehensive Income</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73</w:t>
              </w:r>
            </w:hyperlink>
          </w:p>
        </w:tc>
        <w:tc>
          <w:tcPr>
            <w:tcW w:w="40" w:type="dxa"/>
            <w:vAlign w:val="bottom"/>
          </w:tcPr>
          <w:p>
            <w:pPr>
              <w:spacing w:after="0"/>
              <w:rPr>
                <w:sz w:val="24"/>
                <w:szCs w:val="24"/>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Consolidated Statement of Cash Flows</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74</w:t>
              </w:r>
            </w:hyperlink>
          </w:p>
        </w:tc>
        <w:tc>
          <w:tcPr>
            <w:tcW w:w="40" w:type="dxa"/>
            <w:vAlign w:val="bottom"/>
          </w:tcPr>
          <w:p>
            <w:pPr>
              <w:spacing w:after="0"/>
              <w:rPr>
                <w:sz w:val="24"/>
                <w:szCs w:val="24"/>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Consolidated Balance Sheet</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75</w:t>
              </w:r>
            </w:hyperlink>
          </w:p>
        </w:tc>
        <w:tc>
          <w:tcPr>
            <w:tcW w:w="40" w:type="dxa"/>
            <w:vAlign w:val="bottom"/>
          </w:tcPr>
          <w:p>
            <w:pPr>
              <w:spacing w:after="0"/>
              <w:rPr>
                <w:sz w:val="24"/>
                <w:szCs w:val="24"/>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Consolidated Statement of Changes in Equity</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76</w:t>
              </w:r>
            </w:hyperlink>
          </w:p>
        </w:tc>
        <w:tc>
          <w:tcPr>
            <w:tcW w:w="40" w:type="dxa"/>
            <w:vAlign w:val="bottom"/>
          </w:tcPr>
          <w:p>
            <w:pPr>
              <w:spacing w:after="0"/>
              <w:rPr>
                <w:sz w:val="24"/>
                <w:szCs w:val="24"/>
                <w:color w:val="auto"/>
              </w:rPr>
            </w:pPr>
          </w:p>
        </w:tc>
      </w:tr>
      <w:tr>
        <w:trPr>
          <w:trHeight w:val="432"/>
        </w:trPr>
        <w:tc>
          <w:tcPr>
            <w:tcW w:w="4880" w:type="dxa"/>
            <w:vAlign w:val="bottom"/>
          </w:tcPr>
          <w:p>
            <w:pPr>
              <w:ind w:left="2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Notes to Consolidated Financial Statements</w:t>
              </w:r>
            </w:hyperlink>
          </w:p>
        </w:tc>
        <w:tc>
          <w:tcPr>
            <w:tcW w:w="6320" w:type="dxa"/>
            <w:vAlign w:val="bottom"/>
          </w:tcPr>
          <w:p>
            <w:pPr>
              <w:jc w:val="right"/>
              <w:ind w:right="274"/>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77</w:t>
              </w:r>
            </w:hyperlink>
          </w:p>
        </w:tc>
        <w:tc>
          <w:tcPr>
            <w:tcW w:w="40" w:type="dxa"/>
            <w:vAlign w:val="bottom"/>
          </w:tcPr>
          <w:p>
            <w:pPr>
              <w:spacing w:after="0"/>
              <w:rPr>
                <w:sz w:val="24"/>
                <w:szCs w:val="24"/>
                <w:color w:val="auto"/>
              </w:rPr>
            </w:pPr>
          </w:p>
        </w:tc>
      </w:tr>
      <w:tr>
        <w:trPr>
          <w:trHeight w:val="135"/>
        </w:trPr>
        <w:tc>
          <w:tcPr>
            <w:tcW w:w="4880" w:type="dxa"/>
            <w:vAlign w:val="bottom"/>
            <w:tcBorders>
              <w:bottom w:val="single" w:sz="8" w:color="auto"/>
            </w:tcBorders>
          </w:tcPr>
          <w:p>
            <w:pPr>
              <w:spacing w:after="0"/>
              <w:rPr>
                <w:sz w:val="11"/>
                <w:szCs w:val="11"/>
                <w:color w:val="auto"/>
              </w:rPr>
            </w:pPr>
          </w:p>
        </w:tc>
        <w:tc>
          <w:tcPr>
            <w:tcW w:w="6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68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6320" w:type="dxa"/>
            <w:vAlign w:val="bottom"/>
          </w:tcPr>
          <w:p>
            <w:pPr>
              <w:jc w:val="right"/>
              <w:ind w:right="5454"/>
              <w:spacing w:after="0"/>
              <w:rPr>
                <w:sz w:val="20"/>
                <w:szCs w:val="20"/>
                <w:color w:val="auto"/>
              </w:rPr>
            </w:pPr>
            <w:r>
              <w:rPr>
                <w:rFonts w:ascii="Times New Roman" w:cs="Times New Roman" w:eastAsia="Times New Roman" w:hAnsi="Times New Roman"/>
                <w:sz w:val="14"/>
                <w:szCs w:val="14"/>
                <w:b w:val="1"/>
                <w:bCs w:val="1"/>
                <w:color w:val="auto"/>
              </w:rPr>
              <w:t>68</w:t>
            </w:r>
          </w:p>
        </w:tc>
        <w:tc>
          <w:tcPr>
            <w:tcW w:w="40" w:type="dxa"/>
            <w:vAlign w:val="bottom"/>
          </w:tcPr>
          <w:p>
            <w:pPr>
              <w:spacing w:after="0"/>
              <w:rPr>
                <w:sz w:val="24"/>
                <w:szCs w:val="24"/>
                <w:color w:val="auto"/>
              </w:rPr>
            </w:pPr>
          </w:p>
        </w:tc>
      </w:tr>
      <w:tr>
        <w:trPr>
          <w:trHeight w:val="328"/>
        </w:trPr>
        <w:tc>
          <w:tcPr>
            <w:tcW w:w="48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the preparation, integrity and fair presentation of information in the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the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the system of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the system of internal control over financial reporting was effective as of December 31, 2020. The effectiveness of internal control over financial reporting has been audited by Deloitte &amp; Touche LLP, an independent registered public accounting firm, as stated in their report, which is included herein.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which is comprised solely of independent directors, has oversight responsibility for our financial reporting process and the audits of the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BRIAN L. ROBERTS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J. CAVANAGH</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DANIEL C. MURDOCK</w:t>
            </w:r>
          </w:p>
        </w:tc>
      </w:tr>
      <w:tr>
        <w:trPr>
          <w:trHeight w:val="218"/>
        </w:trPr>
        <w:tc>
          <w:tcPr>
            <w:tcW w:w="3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Brian L. Roberts</w:t>
            </w:r>
          </w:p>
        </w:tc>
        <w:tc>
          <w:tcPr>
            <w:tcW w:w="240" w:type="dxa"/>
            <w:vAlign w:val="bottom"/>
          </w:tcPr>
          <w:p>
            <w:pPr>
              <w:spacing w:after="0"/>
              <w:rPr>
                <w:sz w:val="18"/>
                <w:szCs w:val="18"/>
                <w:color w:val="auto"/>
              </w:rPr>
            </w:pPr>
          </w:p>
        </w:tc>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Michael J. Cavanagh</w:t>
            </w:r>
          </w:p>
        </w:tc>
        <w:tc>
          <w:tcPr>
            <w:tcW w:w="22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Daniel C. Murdock</w:t>
            </w:r>
          </w:p>
        </w:tc>
        <w:tc>
          <w:tcPr>
            <w:tcW w:w="520" w:type="dxa"/>
            <w:vAlign w:val="bottom"/>
          </w:tcPr>
          <w:p>
            <w:pPr>
              <w:spacing w:after="0"/>
              <w:rPr>
                <w:sz w:val="18"/>
                <w:szCs w:val="18"/>
                <w:color w:val="auto"/>
              </w:rPr>
            </w:pPr>
          </w:p>
        </w:tc>
      </w:tr>
      <w:tr>
        <w:trPr>
          <w:trHeight w:val="180"/>
        </w:trPr>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w:t>
            </w:r>
          </w:p>
        </w:tc>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c>
          <w:tcPr>
            <w:tcW w:w="39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w:t>
            </w: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 and Controller</w:t>
            </w:r>
          </w:p>
        </w:tc>
      </w:tr>
      <w:tr>
        <w:trPr>
          <w:trHeight w:val="606"/>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jc w:val="right"/>
              <w:ind w:right="1315"/>
              <w:spacing w:after="0"/>
              <w:rPr>
                <w:sz w:val="20"/>
                <w:szCs w:val="20"/>
                <w:color w:val="auto"/>
              </w:rPr>
            </w:pPr>
            <w:r>
              <w:rPr>
                <w:rFonts w:ascii="Times New Roman" w:cs="Times New Roman" w:eastAsia="Times New Roman" w:hAnsi="Times New Roman"/>
                <w:sz w:val="14"/>
                <w:szCs w:val="14"/>
                <w:b w:val="1"/>
                <w:bCs w:val="1"/>
                <w:color w:val="auto"/>
              </w:rPr>
              <w:t>69</w:t>
            </w:r>
          </w:p>
        </w:tc>
        <w:tc>
          <w:tcPr>
            <w:tcW w:w="220" w:type="dxa"/>
            <w:vAlign w:val="bottom"/>
          </w:tcPr>
          <w:p>
            <w:pPr>
              <w:spacing w:after="0"/>
              <w:rPr>
                <w:sz w:val="24"/>
                <w:szCs w:val="24"/>
                <w:color w:val="auto"/>
              </w:rPr>
            </w:pPr>
          </w:p>
        </w:tc>
        <w:tc>
          <w:tcPr>
            <w:tcW w:w="39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Comcast 2020 Annual Report on Form 10-K</w:t>
            </w:r>
          </w:p>
        </w:tc>
      </w:tr>
      <w:tr>
        <w:trPr>
          <w:trHeight w:val="328"/>
        </w:trPr>
        <w:tc>
          <w:tcPr>
            <w:tcW w:w="3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Board of Directors and Shareholders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Philadelphia, Pennsylvania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Consolidated Financial Statements and Internal Control over Financial Reporting</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Comcast Corporation and subsidiaries (the “Company”) as of December 31, 2020 and 2019, the related consolidated statements of income, comprehensive income, cash flows, and changes in equity for each of the three years in the period ended December 31, 2020, and the related notes (collectively referred to as the “financial statements”). We also have audited the Company’s internal control over financial reporting as of December 31, 2020,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7"/>
          <w:szCs w:val="17"/>
          <w:i w:val="1"/>
          <w:iCs w:val="1"/>
          <w:color w:val="auto"/>
        </w:rPr>
        <w:t>Management’s Report on Internal Control Over Financial Reporting.</w:t>
      </w:r>
      <w:r>
        <w:rPr>
          <w:rFonts w:ascii="Times New Roman" w:cs="Times New Roman" w:eastAsia="Times New Roman" w:hAnsi="Times New Roman"/>
          <w:sz w:val="17"/>
          <w:szCs w:val="17"/>
          <w:color w:val="auto"/>
        </w:rPr>
        <w:t xml:space="preserve">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Sky Goodwill - Refer to Note 11 to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evaluation of goodwill for impairment involves the comparison of the fair value of the Sky reporting unit to its carrying value.</w:t>
      </w:r>
    </w:p>
    <w:p>
      <w:pPr>
        <w:spacing w:after="0" w:line="1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used the discounted cash flow model to estimate fair value, which requires management to make significant estimates and assumptions related to discount rates and forecasts of expected cash flows. Changes in these assumptions could have a significant impact 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either the fair value, the amount of any goodwill impairment charge, or both. The goodwill balance was $70,669 million as of December 31, 2020, of which $29,950 million was allocated to the Sky reporting unit. Given the Company’s acquisition of Sky in the fourth quarter of 2018, the fair value of the Sky reporting unit remains in close proximity to its carrying value as of the measurement date.</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identified goodwill for Sky as a critical audit matter because of the significant judgments made by management to estimate the fair value of the Sky reporting unit.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 and forecasts of future expected cash flows for the Sky reporting unit.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Our audit procedures related to the discount rate and forecasts of future expected cash flows used by management to estimate the fair value of Sky included the following, among others:</w:t>
      </w:r>
    </w:p>
    <w:p>
      <w:pPr>
        <w:spacing w:after="0" w:line="55" w:lineRule="exact"/>
        <w:rPr>
          <w:sz w:val="20"/>
          <w:szCs w:val="20"/>
          <w:color w:val="auto"/>
        </w:rPr>
      </w:pPr>
    </w:p>
    <w:p>
      <w:pPr>
        <w:ind w:left="660" w:hanging="328"/>
        <w:spacing w:after="0" w:line="281"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goodwill impairment evaluation, including those over the determination of the fair value of Sky, such as controls related to management’s selection of the discount rate and forecasts of future expected cash flows.</w:t>
      </w:r>
    </w:p>
    <w:p>
      <w:pPr>
        <w:spacing w:after="0" w:line="28"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7" w:lineRule="exact"/>
        <w:rPr>
          <w:rFonts w:ascii="Times New Roman" w:cs="Times New Roman" w:eastAsia="Times New Roman" w:hAnsi="Times New Roman"/>
          <w:sz w:val="17"/>
          <w:szCs w:val="17"/>
          <w:color w:val="auto"/>
        </w:rPr>
      </w:pPr>
    </w:p>
    <w:p>
      <w:pPr>
        <w:jc w:val="both"/>
        <w:ind w:left="660" w:hanging="328"/>
        <w:spacing w:after="0" w:line="259"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ability to accurately forecast future revenue and cash flows by comparing actual results to (1) historical results, including management’s forecasting accuracy, (2) projections utilized in the purchase price allocation in connection with the 2018 acquisition of Sky, (3) internal communications to management, and (4) forecasted information included in Company press releases as well as in analyst and industry reports of the Company and companies in its peer group.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Film and Television Costs - Refer to Note 4 to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amortizes capitalized film and television production costs that are predominantly monetized on an individual basis using the individual film forecast computation method, which amortizes such costs using the ratio of current period revenue to the total remaining revenue forecasted to be realized, also known as “ultimate revenue.” In addition, the Company recognizes the costs of multiyear, live-event sports programming rights as the rights are utilized over the contractual term based on estimated relative value. Estimated relative value is generally based on the ratio of current period revenue to the estimated ultimate revenue or the terms of the contract. The estimates of ultimate revenue have a significant impact on the rate at which capitalized costs are amortized.</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determination of ultimate revenue for capitalized film and television costs requires the Company to make significant estimates of future revenue based on the distribution strategy and historical performance of similar content, as well as factors unique to the content itself. The determination of ultimate revenue for multiyear, live-event sports programming rights requires the Company to make significant estimates of future revenue based on historical and expected trends in the advertising market as well as the number of subscribers receiving or viewing the sports programming. Given the judgments necessary to estimate ultimate revenue, auditing these estimates involved especially subjective judgment.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audit procedures related to forecasts of ultimate revenue for individual film or television productions and for sports programming rights included the following, among others:</w:t>
      </w:r>
    </w:p>
    <w:p>
      <w:pPr>
        <w:spacing w:after="0" w:line="55" w:lineRule="exact"/>
        <w:rPr>
          <w:sz w:val="20"/>
          <w:szCs w:val="20"/>
          <w:color w:val="auto"/>
        </w:rPr>
      </w:pPr>
    </w:p>
    <w:p>
      <w:pPr>
        <w:ind w:left="660" w:hanging="328"/>
        <w:spacing w:after="0" w:line="281" w:lineRule="auto"/>
        <w:tabs>
          <w:tab w:leader="none" w:pos="65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management’s controls over its amortization of film and television costs and sports programming rights, including controls over forecasts of ultimate revenue.</w:t>
      </w:r>
    </w:p>
    <w:p>
      <w:pPr>
        <w:spacing w:after="0" w:line="14" w:lineRule="exact"/>
        <w:rPr>
          <w:rFonts w:ascii="Times New Roman" w:cs="Times New Roman" w:eastAsia="Times New Roman" w:hAnsi="Times New Roman"/>
          <w:sz w:val="17"/>
          <w:szCs w:val="17"/>
          <w:color w:val="auto"/>
        </w:rPr>
      </w:pPr>
    </w:p>
    <w:p>
      <w:pPr>
        <w:jc w:val="both"/>
        <w:ind w:left="660" w:right="20" w:hanging="328"/>
        <w:spacing w:after="0" w:line="259" w:lineRule="auto"/>
        <w:tabs>
          <w:tab w:leader="none" w:pos="65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film and television productions, we tested management’s selection of inputs and assumptions, including considering the historical performance of similar titles, expected distribution platforms, factors unique to the individual film or television production, and third-party projections. In addition, we evaluated the historical accuracy of management’s forecast of future revenues by comparing actual results to management’s historical estimates of ultimate revenue.</w:t>
      </w:r>
    </w:p>
    <w:p>
      <w:pPr>
        <w:spacing w:after="0" w:line="47"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5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certain multiyear live-events sports programming rights, we evaluated management’s assessment of any significant changes to the estimated relative value of the rights including any significant contract amendments, changes to expected trends in the advertising market, and number of subscribers receiving or viewing the sports programming.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 Deloitte &amp; Touche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3, 2021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1963.</w:t>
      </w:r>
    </w:p>
    <w:p>
      <w:pPr>
        <w:spacing w:after="0" w:line="35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2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180" w:type="dxa"/>
            <w:vAlign w:val="bottom"/>
          </w:tcPr>
          <w:p>
            <w:pPr>
              <w:spacing w:after="0"/>
              <w:rPr>
                <w:sz w:val="19"/>
                <w:szCs w:val="19"/>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108,942</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94,507</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33,121</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34,440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29,692</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33,109</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32,807</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6,741</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7,617</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8,320</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8,663</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4,780</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4,290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operating gains</w:t>
            </w:r>
          </w:p>
        </w:tc>
        <w:tc>
          <w:tcPr>
            <w:tcW w:w="2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86,071</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87,817</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75,498</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17,493</w:t>
            </w:r>
          </w:p>
        </w:tc>
        <w:tc>
          <w:tcPr>
            <w:tcW w:w="5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21,125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(4,588)</w:t>
            </w:r>
          </w:p>
        </w:tc>
        <w:tc>
          <w:tcPr>
            <w:tcW w:w="5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1,160</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438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14,065</w:t>
            </w:r>
          </w:p>
        </w:tc>
        <w:tc>
          <w:tcPr>
            <w:tcW w:w="5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16,996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(3,364)</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(3,673)</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10,701</w:t>
            </w:r>
          </w:p>
        </w:tc>
        <w:tc>
          <w:tcPr>
            <w:tcW w:w="5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13,323</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180"/>
        </w:trPr>
        <w:tc>
          <w:tcPr>
            <w:tcW w:w="68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subsidiary preferred</w:t>
            </w:r>
          </w:p>
        </w:tc>
        <w:tc>
          <w:tcPr>
            <w:tcW w:w="420" w:type="dxa"/>
            <w:vAlign w:val="bottom"/>
          </w:tcPr>
          <w:p>
            <w:pPr>
              <w:spacing w:after="0"/>
              <w:rPr>
                <w:sz w:val="15"/>
                <w:szCs w:val="15"/>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167</w:t>
            </w:r>
          </w:p>
        </w:tc>
        <w:tc>
          <w:tcPr>
            <w:tcW w:w="50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266</w:t>
            </w: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2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2180" w:type="dxa"/>
            <w:vAlign w:val="bottom"/>
            <w:tcBorders>
              <w:bottom w:val="single" w:sz="8" w:color="0C6DFF"/>
            </w:tcBorders>
          </w:tcPr>
          <w:p>
            <w:pPr>
              <w:spacing w:after="0"/>
              <w:rPr>
                <w:sz w:val="19"/>
                <w:szCs w:val="19"/>
                <w:color w:val="auto"/>
              </w:rPr>
            </w:pPr>
          </w:p>
        </w:tc>
        <w:tc>
          <w:tcPr>
            <w:tcW w:w="42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10,534</w:t>
            </w:r>
          </w:p>
        </w:tc>
        <w:tc>
          <w:tcPr>
            <w:tcW w:w="5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13,057</w:t>
            </w:r>
          </w:p>
        </w:tc>
        <w:tc>
          <w:tcPr>
            <w:tcW w:w="54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0" w:type="dxa"/>
            <w:vAlign w:val="bottom"/>
          </w:tcPr>
          <w:p>
            <w:pPr>
              <w:spacing w:after="0"/>
              <w:rPr>
                <w:sz w:val="1"/>
                <w:szCs w:val="1"/>
                <w:color w:val="auto"/>
              </w:rPr>
            </w:pPr>
          </w:p>
        </w:tc>
      </w:tr>
      <w:tr>
        <w:trPr>
          <w:trHeight w:val="214"/>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2.87</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0C6D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42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2.28</w:t>
            </w:r>
          </w:p>
        </w:tc>
        <w:tc>
          <w:tcPr>
            <w:tcW w:w="5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2.83</w:t>
            </w:r>
          </w:p>
        </w:tc>
        <w:tc>
          <w:tcPr>
            <w:tcW w:w="54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2180" w:type="dxa"/>
            <w:vAlign w:val="bottom"/>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72</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6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10,701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13,323</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$(331), $(66) and $9</w:t>
            </w:r>
          </w:p>
        </w:tc>
        <w:tc>
          <w:tcPr>
            <w:tcW w:w="48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1,213</w:t>
            </w:r>
          </w:p>
        </w:tc>
        <w:tc>
          <w:tcPr>
            <w:tcW w:w="260" w:type="dxa"/>
            <w:vAlign w:val="bottom"/>
          </w:tcPr>
          <w:p>
            <w:pPr>
              <w:spacing w:after="0"/>
              <w:rPr>
                <w:sz w:val="20"/>
                <w:szCs w:val="20"/>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1,375</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480" w:type="dxa"/>
            <w:vAlign w:val="bottom"/>
          </w:tcPr>
          <w:p>
            <w:pPr>
              <w:spacing w:after="0"/>
              <w:rPr>
                <w:sz w:val="19"/>
                <w:szCs w:val="19"/>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gains (losses), net of deferred taxes of $26, $(4) and $(3)</w:t>
            </w: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0"/>
        </w:trPr>
        <w:tc>
          <w:tcPr>
            <w:tcW w:w="6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$31, $(10) and</w:t>
            </w:r>
          </w:p>
        </w:tc>
        <w:tc>
          <w:tcPr>
            <w:tcW w:w="48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w:t>
            </w:r>
          </w:p>
        </w:tc>
        <w:tc>
          <w:tcPr>
            <w:tcW w:w="260" w:type="dxa"/>
            <w:vAlign w:val="bottom"/>
          </w:tcPr>
          <w:p>
            <w:pPr>
              <w:spacing w:after="0"/>
              <w:rPr>
                <w:sz w:val="15"/>
                <w:szCs w:val="15"/>
                <w:color w:val="auto"/>
              </w:rPr>
            </w:pPr>
          </w:p>
        </w:tc>
        <w:tc>
          <w:tcPr>
            <w:tcW w:w="126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benefit obligations and other, net of deferred taxes of $20, $16 and $(3)</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11,598</w:t>
            </w:r>
          </w:p>
        </w:tc>
        <w:tc>
          <w:tcPr>
            <w:tcW w:w="260" w:type="dxa"/>
            <w:vAlign w:val="bottom"/>
          </w:tcPr>
          <w:p>
            <w:pPr>
              <w:spacing w:after="0"/>
              <w:rPr>
                <w:sz w:val="18"/>
                <w:szCs w:val="18"/>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14,725</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0" w:type="dxa"/>
            <w:vAlign w:val="bottom"/>
          </w:tcPr>
          <w:p>
            <w:pPr>
              <w:spacing w:after="0"/>
              <w:rPr>
                <w:sz w:val="1"/>
                <w:szCs w:val="1"/>
                <w:color w:val="auto"/>
              </w:rPr>
            </w:pPr>
          </w:p>
        </w:tc>
      </w:tr>
      <w:tr>
        <w:trPr>
          <w:trHeight w:val="180"/>
        </w:trPr>
        <w:tc>
          <w:tcPr>
            <w:tcW w:w="6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subsidiary preferred</w:t>
            </w:r>
          </w:p>
        </w:tc>
        <w:tc>
          <w:tcPr>
            <w:tcW w:w="480" w:type="dxa"/>
            <w:vAlign w:val="bottom"/>
          </w:tcPr>
          <w:p>
            <w:pPr>
              <w:spacing w:after="0"/>
              <w:rPr>
                <w:sz w:val="15"/>
                <w:szCs w:val="15"/>
                <w:color w:val="auto"/>
              </w:rPr>
            </w:pPr>
          </w:p>
        </w:tc>
        <w:tc>
          <w:tcPr>
            <w:tcW w:w="9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167</w:t>
            </w:r>
          </w:p>
        </w:tc>
        <w:tc>
          <w:tcPr>
            <w:tcW w:w="260" w:type="dxa"/>
            <w:vAlign w:val="bottom"/>
          </w:tcPr>
          <w:p>
            <w:pPr>
              <w:spacing w:after="0"/>
              <w:rPr>
                <w:sz w:val="15"/>
                <w:szCs w:val="15"/>
                <w:color w:val="auto"/>
              </w:rPr>
            </w:pPr>
          </w:p>
        </w:tc>
        <w:tc>
          <w:tcPr>
            <w:tcW w:w="126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266</w:t>
            </w: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1"/>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60</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48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11,371</w:t>
            </w:r>
          </w:p>
        </w:tc>
        <w:tc>
          <w:tcPr>
            <w:tcW w:w="2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0C6DFF"/>
            </w:tcBorders>
          </w:tcPr>
          <w:p>
            <w:pPr>
              <w:jc w:val="right"/>
              <w:ind w:right="73"/>
              <w:spacing w:after="0"/>
              <w:rPr>
                <w:sz w:val="20"/>
                <w:szCs w:val="20"/>
                <w:color w:val="auto"/>
              </w:rPr>
            </w:pPr>
            <w:r>
              <w:rPr>
                <w:rFonts w:ascii="Times New Roman" w:cs="Times New Roman" w:eastAsia="Times New Roman" w:hAnsi="Times New Roman"/>
                <w:sz w:val="18"/>
                <w:szCs w:val="18"/>
                <w:color w:val="auto"/>
              </w:rPr>
              <w:t>14,472</w:t>
            </w:r>
          </w:p>
        </w:tc>
        <w:tc>
          <w:tcPr>
            <w:tcW w:w="54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r>
        <w:trPr>
          <w:trHeight w:val="253"/>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682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73</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0" w:type="dxa"/>
            <w:vAlign w:val="bottom"/>
          </w:tcPr>
          <w:p>
            <w:pPr>
              <w:spacing w:after="0"/>
              <w:rPr>
                <w:sz w:val="1"/>
                <w:szCs w:val="1"/>
                <w:color w:val="auto"/>
              </w:rPr>
            </w:pPr>
          </w:p>
        </w:tc>
      </w:tr>
      <w:tr>
        <w:trPr>
          <w:trHeight w:val="328"/>
        </w:trPr>
        <w:tc>
          <w:tcPr>
            <w:tcW w:w="6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2019</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40" w:type="dxa"/>
            <w:vAlign w:val="bottom"/>
          </w:tcPr>
          <w:p>
            <w:pPr>
              <w:spacing w:after="0"/>
              <w:rPr>
                <w:sz w:val="19"/>
                <w:szCs w:val="19"/>
                <w:color w:val="auto"/>
              </w:rPr>
            </w:pPr>
          </w:p>
        </w:tc>
        <w:tc>
          <w:tcPr>
            <w:tcW w:w="6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10,701</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13,323</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00" w:type="dxa"/>
            <w:vAlign w:val="bottom"/>
          </w:tcPr>
          <w:p>
            <w:pPr>
              <w:spacing w:after="0"/>
              <w:rPr>
                <w:sz w:val="19"/>
                <w:szCs w:val="19"/>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13,100</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other operating gains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12,953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1,193</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697</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(970)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(550)</w:t>
            </w:r>
          </w:p>
        </w:tc>
        <w:tc>
          <w:tcPr>
            <w:tcW w:w="52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563</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600" w:type="dxa"/>
            <w:vAlign w:val="bottom"/>
          </w:tcPr>
          <w:p>
            <w:pPr>
              <w:spacing w:after="0"/>
              <w:rPr>
                <w:sz w:val="19"/>
                <w:szCs w:val="19"/>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(244)</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(266)</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1,096</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(1,227)</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24,737</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25,697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(9,179)</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(9,953)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(2,455)</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(1,498)</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spectrum</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(459)</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(233)</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2,339</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(812)</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250</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(12,047)</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(14,841)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18,644</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5,479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collateralized obligation</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5,175</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(18,777)</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(14,354)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(534)</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(4,140)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(1,706)</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(6,513)</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(9,181)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w:t>
            </w:r>
          </w:p>
        </w:tc>
        <w:tc>
          <w:tcPr>
            <w:tcW w:w="5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6,179</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1,680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5,589</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3,909</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1240" w:type="dxa"/>
            <w:vAlign w:val="bottom"/>
            <w:tcBorders>
              <w:bottom w:val="single" w:sz="8" w:color="0C6DFF"/>
            </w:tcBorders>
          </w:tcPr>
          <w:p>
            <w:pPr>
              <w:spacing w:after="0"/>
              <w:rPr>
                <w:sz w:val="19"/>
                <w:szCs w:val="19"/>
                <w:color w:val="auto"/>
              </w:rPr>
            </w:pPr>
          </w:p>
        </w:tc>
        <w:tc>
          <w:tcPr>
            <w:tcW w:w="6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11,768</w:t>
            </w:r>
          </w:p>
        </w:tc>
        <w:tc>
          <w:tcPr>
            <w:tcW w:w="52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5,589</w:t>
            </w:r>
          </w:p>
        </w:tc>
        <w:tc>
          <w:tcPr>
            <w:tcW w:w="5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24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74</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 except share data)</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11,740</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11,466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rights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3,535</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26,741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13,340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7,820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securing collateralized obligation</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447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51,995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70,669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59,365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35,389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8,103</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273,869</w:t>
            </w:r>
          </w:p>
        </w:tc>
        <w:tc>
          <w:tcPr>
            <w:tcW w:w="5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263,414</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11,364</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4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1,706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2,963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9,617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3,146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8"/>
                <w:szCs w:val="18"/>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28,796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100,614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obligation</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5,168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28,051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0" w:type="dxa"/>
            <w:vAlign w:val="bottom"/>
          </w:tcPr>
          <w:p>
            <w:pPr>
              <w:spacing w:after="0"/>
              <w:rPr>
                <w:sz w:val="1"/>
                <w:szCs w:val="1"/>
                <w:color w:val="auto"/>
              </w:rPr>
            </w:pPr>
          </w:p>
        </w:tc>
      </w:tr>
      <w:tr>
        <w:trPr>
          <w:trHeight w:val="23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18,222</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00" w:type="dxa"/>
            <w:vAlign w:val="bottom"/>
          </w:tcPr>
          <w:p>
            <w:pPr>
              <w:spacing w:after="0"/>
              <w:rPr>
                <w:sz w:val="19"/>
                <w:szCs w:val="19"/>
                <w:color w:val="auto"/>
              </w:rPr>
            </w:pPr>
          </w:p>
        </w:tc>
        <w:tc>
          <w:tcPr>
            <w:tcW w:w="1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1,280</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and redeemable subsidiary preferred stock</w:t>
            </w:r>
          </w:p>
        </w:tc>
        <w:tc>
          <w:tcPr>
            <w:tcW w:w="4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tcPr>
          <w:p>
            <w:pPr>
              <w:spacing w:after="0"/>
              <w:rPr>
                <w:sz w:val="19"/>
                <w:szCs w:val="19"/>
                <w:color w:val="auto"/>
              </w:rPr>
            </w:pPr>
          </w:p>
        </w:tc>
        <w:tc>
          <w:tcPr>
            <w:tcW w:w="1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4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5,444,002,825 and</w:t>
            </w:r>
          </w:p>
        </w:tc>
        <w:tc>
          <w:tcPr>
            <w:tcW w:w="40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w:t>
            </w: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1"/>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5,416,381,298; outstanding, 4,571,211,797 and 4,543,590,270</w:t>
            </w:r>
          </w:p>
        </w:tc>
        <w:tc>
          <w:tcPr>
            <w:tcW w:w="4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39,464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38,447</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56,438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50,695</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4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1,884</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400" w:type="dxa"/>
            <w:vAlign w:val="bottom"/>
          </w:tcPr>
          <w:p>
            <w:pPr>
              <w:spacing w:after="0"/>
              <w:rPr>
                <w:sz w:val="18"/>
                <w:szCs w:val="18"/>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90,323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82,726</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1,415</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91,738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83,874</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273,869</w:t>
            </w:r>
          </w:p>
        </w:tc>
        <w:tc>
          <w:tcPr>
            <w:tcW w:w="5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263,414</w:t>
            </w:r>
          </w:p>
        </w:tc>
        <w:tc>
          <w:tcPr>
            <w:tcW w:w="0" w:type="dxa"/>
            <w:vAlign w:val="bottom"/>
          </w:tcPr>
          <w:p>
            <w:pPr>
              <w:spacing w:after="0"/>
              <w:rPr>
                <w:sz w:val="1"/>
                <w:szCs w:val="1"/>
                <w:color w:val="auto"/>
              </w:rPr>
            </w:pPr>
          </w:p>
        </w:tc>
      </w:tr>
      <w:tr>
        <w:trPr>
          <w:trHeight w:val="254"/>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814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75</w:t>
            </w:r>
          </w:p>
        </w:tc>
        <w:tc>
          <w:tcPr>
            <w:tcW w:w="400" w:type="dxa"/>
            <w:vAlign w:val="bottom"/>
          </w:tcPr>
          <w:p>
            <w:pPr>
              <w:spacing w:after="0"/>
              <w:rPr>
                <w:sz w:val="24"/>
                <w:szCs w:val="24"/>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0" w:type="dxa"/>
            <w:vAlign w:val="bottom"/>
          </w:tcPr>
          <w:p>
            <w:pPr>
              <w:spacing w:after="0"/>
              <w:rPr>
                <w:sz w:val="1"/>
                <w:szCs w:val="1"/>
                <w:color w:val="auto"/>
              </w:rPr>
            </w:pPr>
          </w:p>
        </w:tc>
      </w:tr>
      <w:tr>
        <w:trPr>
          <w:trHeight w:val="328"/>
        </w:trPr>
        <w:tc>
          <w:tcPr>
            <w:tcW w:w="8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2019</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2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 and Redeemable Subsidiary Preferred Stock</w:t>
            </w:r>
          </w:p>
        </w:tc>
        <w:tc>
          <w:tcPr>
            <w:tcW w:w="6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1,372</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1,316</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(190)</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149</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156</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320" w:type="dxa"/>
            <w:vAlign w:val="bottom"/>
            <w:tcBorders>
              <w:bottom w:val="single" w:sz="8" w:color="0C6DFF"/>
            </w:tcBorders>
          </w:tcPr>
          <w:p>
            <w:pPr>
              <w:spacing w:after="0"/>
              <w:rPr>
                <w:sz w:val="19"/>
                <w:szCs w:val="19"/>
                <w:color w:val="auto"/>
              </w:rPr>
            </w:pPr>
          </w:p>
        </w:tc>
        <w:tc>
          <w:tcPr>
            <w:tcW w:w="6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1,280</w:t>
            </w:r>
          </w:p>
        </w:tc>
        <w:tc>
          <w:tcPr>
            <w:tcW w:w="5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1,372</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5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320" w:type="dxa"/>
            <w:vAlign w:val="bottom"/>
          </w:tcPr>
          <w:p>
            <w:pPr>
              <w:spacing w:after="0"/>
              <w:rPr>
                <w:sz w:val="22"/>
                <w:szCs w:val="22"/>
                <w:color w:val="auto"/>
              </w:rPr>
            </w:pPr>
          </w:p>
        </w:tc>
        <w:tc>
          <w:tcPr>
            <w:tcW w:w="6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8"/>
        </w:trPr>
        <w:tc>
          <w:tcPr>
            <w:tcW w:w="65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320" w:type="dxa"/>
            <w:vAlign w:val="bottom"/>
          </w:tcPr>
          <w:p>
            <w:pPr>
              <w:spacing w:after="0"/>
              <w:rPr>
                <w:sz w:val="22"/>
                <w:szCs w:val="22"/>
                <w:color w:val="auto"/>
              </w:rPr>
            </w:pPr>
          </w:p>
        </w:tc>
        <w:tc>
          <w:tcPr>
            <w:tcW w:w="6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38,447</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37,461</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37,497</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920</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783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6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(143)</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255</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222</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39,464</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38,447</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37,461</w:t>
            </w:r>
          </w:p>
        </w:tc>
        <w:tc>
          <w:tcPr>
            <w:tcW w:w="0" w:type="dxa"/>
            <w:vAlign w:val="bottom"/>
          </w:tcPr>
          <w:p>
            <w:pPr>
              <w:spacing w:after="0"/>
              <w:rPr>
                <w:sz w:val="1"/>
                <w:szCs w:val="1"/>
                <w:color w:val="auto"/>
              </w:rPr>
            </w:pPr>
          </w:p>
        </w:tc>
      </w:tr>
      <w:tr>
        <w:trPr>
          <w:trHeight w:val="25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320" w:type="dxa"/>
            <w:vAlign w:val="bottom"/>
          </w:tcPr>
          <w:p>
            <w:pPr>
              <w:spacing w:after="0"/>
              <w:rPr>
                <w:sz w:val="22"/>
                <w:szCs w:val="22"/>
                <w:color w:val="auto"/>
              </w:rPr>
            </w:pPr>
          </w:p>
        </w:tc>
        <w:tc>
          <w:tcPr>
            <w:tcW w:w="6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50,695</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41,983</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38,202</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effects of adoption of accounting standards</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(124)</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(407)</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(4,250)</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10,534</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13,057</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56,438</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50,695</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41,983</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1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5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320" w:type="dxa"/>
            <w:vAlign w:val="bottom"/>
          </w:tcPr>
          <w:p>
            <w:pPr>
              <w:spacing w:after="0"/>
              <w:rPr>
                <w:sz w:val="22"/>
                <w:szCs w:val="22"/>
                <w:color w:val="auto"/>
              </w:rPr>
            </w:pPr>
          </w:p>
        </w:tc>
        <w:tc>
          <w:tcPr>
            <w:tcW w:w="6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1,047</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effects of adoption of accounting standards</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837</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1,415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1,884</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1,047</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5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320" w:type="dxa"/>
            <w:vAlign w:val="bottom"/>
          </w:tcPr>
          <w:p>
            <w:pPr>
              <w:spacing w:after="0"/>
              <w:rPr>
                <w:sz w:val="22"/>
                <w:szCs w:val="22"/>
                <w:color w:val="auto"/>
              </w:rPr>
            </w:pPr>
          </w:p>
        </w:tc>
        <w:tc>
          <w:tcPr>
            <w:tcW w:w="6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1,148</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3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889</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60</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192</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1,415</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1,148</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320" w:type="dxa"/>
            <w:vAlign w:val="bottom"/>
            <w:tcBorders>
              <w:bottom w:val="single" w:sz="8" w:color="0C6DFF"/>
            </w:tcBorders>
          </w:tcPr>
          <w:p>
            <w:pPr>
              <w:spacing w:after="0"/>
              <w:rPr>
                <w:sz w:val="19"/>
                <w:szCs w:val="19"/>
                <w:color w:val="auto"/>
              </w:rPr>
            </w:pPr>
          </w:p>
        </w:tc>
        <w:tc>
          <w:tcPr>
            <w:tcW w:w="6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91,738</w:t>
            </w:r>
          </w:p>
        </w:tc>
        <w:tc>
          <w:tcPr>
            <w:tcW w:w="5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83,874</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72,502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1320" w:type="dxa"/>
            <w:vAlign w:val="bottom"/>
            <w:tcBorders>
              <w:bottom w:val="single" w:sz="8" w:color="0C6DFF"/>
            </w:tcBorders>
          </w:tcPr>
          <w:p>
            <w:pPr>
              <w:spacing w:after="0"/>
              <w:rPr>
                <w:sz w:val="19"/>
                <w:szCs w:val="19"/>
                <w:color w:val="auto"/>
              </w:rPr>
            </w:pPr>
          </w:p>
        </w:tc>
        <w:tc>
          <w:tcPr>
            <w:tcW w:w="6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0.92</w:t>
            </w:r>
          </w:p>
        </w:tc>
        <w:tc>
          <w:tcPr>
            <w:tcW w:w="5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0.84</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54"/>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32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76</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entities in which we have a controlling voting interest and variable interest entities (“VIEs”) required to be consolidated including Universal Beijing Resort (see Note 7).</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 in investment and other income (loss), net. For disclosures containing future amounts where the functional currency is the local currency, we translate the amounts into U.S. dollars at the exchange rates as of the balance sheet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The following accounting policies are specific to the industries in which we operate:</w:t>
      </w:r>
    </w:p>
    <w:p>
      <w:pPr>
        <w:spacing w:after="0" w:line="7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amortization of film and television costs (see Note 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connecting customers to our cable systems (see Note 10)</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consolidated financial statements are included, where applicable, in their respective footnotes that follow. The collateralized obligation related to our investment in Hulu is discussed in Note 9 and our other long-term debt is discussed in Note 6. Below is a discussion of accounting policies and methods used in our consolidated financial statements that are not presented within other footnotes.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6EBF"/>
        </w:rPr>
        <w:t>Derivative Financial Instruments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financial instruments are recorded in our consolidated balance sheet at fair value. We designate certain derivative instruments as cash flow hedges of forecasted foreign currency denominated transactions, including cash flows associated with non-functional currency debt and non-functional currency revenue and expenses. Changes in the fair value of derivative instruments accounted for as cash flow hedges are recorded as a component of accumulated other comprehensive income (loss) until the hedged items affect earnings. For derivatives not designated as cash flow hedges, changes in fair value are recognized in earnings.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6 for further information on derivative instruments related to debt. The impact of our remaining derivative financial instruments was not material to our consolidated financial statements in any of the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of the hierarchy are described below.</w:t>
      </w:r>
    </w:p>
    <w:p>
      <w:pPr>
        <w:spacing w:after="0" w:line="9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three tier fair value hierarchy to measure the fair value of certain financial instruments on a recurring basis, such as for investments (see Note 9); on a non-recurring basis, such as for acquisitions and impairment testing; and for disclosure purposes, such as for long-term debt (see Note 6). Our assessment of the significance of a particular input to the fair value measurement requires judgment and may affect the valuation and classification within the fair value hierarchy.</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and (3) Sky in one reportable business segment. See Note 3 for a description of the various products and services within each reportable segment.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 such as Peacock, our new direct-to-consumer streaming service that features NBCUniversal content.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reportable segment is presented in the tables below. We do not present a measure of total assets for our reportable business segments as this information is not used by management to allocate resources and capital.</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Revenue</w:t>
            </w:r>
          </w:p>
        </w:tc>
        <w:tc>
          <w:tcPr>
            <w:tcW w:w="13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Expenditures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Communications</w:t>
            </w:r>
          </w:p>
        </w:tc>
        <w:tc>
          <w:tcPr>
            <w:tcW w:w="1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60,051</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Cable Networks</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Broadcast Television</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Filmed Entertainment</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Theme Parks</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Headquarters and Other</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ind w:left="180"/>
              <w:spacing w:after="0" w:line="237"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8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186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420" w:type="dxa"/>
            <w:vAlign w:val="bottom"/>
            <w:tcBorders>
              <w:bottom w:val="single" w:sz="8" w:color="0C6DFF"/>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30,826</w:t>
            </w:r>
          </w:p>
        </w:tc>
        <w:tc>
          <w:tcPr>
            <w:tcW w:w="20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13,100</w:t>
            </w:r>
          </w:p>
        </w:tc>
        <w:tc>
          <w:tcPr>
            <w:tcW w:w="260" w:type="dxa"/>
            <w:vAlign w:val="bottom"/>
            <w:tcBorders>
              <w:bottom w:val="single" w:sz="8" w:color="0C6D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9,179</w:t>
            </w:r>
          </w:p>
        </w:tc>
        <w:tc>
          <w:tcPr>
            <w:tcW w:w="22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2,455</w:t>
            </w: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Revenue</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9"/>
                <w:szCs w:val="9"/>
                <w:color w:val="auto"/>
              </w:rPr>
              <w:t>(b)</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Expenditures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Communications</w:t>
            </w:r>
          </w:p>
        </w:tc>
        <w:tc>
          <w:tcPr>
            <w:tcW w:w="1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58,082</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Cable Networks</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Broadcast Television</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Filmed Entertainment</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Theme Parks</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Headquarters and Other</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180"/>
              <w:spacing w:after="0" w:line="234"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8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20"/>
              <w:spacing w:after="0" w:line="234"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Comcast Consolidated</w:t>
            </w:r>
          </w:p>
        </w:tc>
        <w:tc>
          <w:tcPr>
            <w:tcW w:w="186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108,942</w:t>
            </w:r>
          </w:p>
        </w:tc>
        <w:tc>
          <w:tcPr>
            <w:tcW w:w="420" w:type="dxa"/>
            <w:vAlign w:val="bottom"/>
            <w:tcBorders>
              <w:bottom w:val="single" w:sz="8" w:color="0C6DFF"/>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20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260" w:type="dxa"/>
            <w:vAlign w:val="bottom"/>
            <w:tcBorders>
              <w:bottom w:val="single" w:sz="8" w:color="0C6D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2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02"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Revenue</w:t>
            </w:r>
          </w:p>
        </w:tc>
        <w:tc>
          <w:tcPr>
            <w:tcW w:w="13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Expenditures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Communications</w:t>
            </w:r>
          </w:p>
        </w:tc>
        <w:tc>
          <w:tcPr>
            <w:tcW w:w="1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56,033</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Cable Networks</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Broadcast Television</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Filmed Entertainment</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Theme Parks</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Headquarters and Other</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ind w:left="180"/>
              <w:spacing w:after="0" w:line="237"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NBCUniversal</w:t>
            </w:r>
          </w:p>
        </w:tc>
        <w:tc>
          <w:tcPr>
            <w:tcW w:w="19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Comcast Consolidated</w:t>
            </w:r>
          </w:p>
        </w:tc>
        <w:tc>
          <w:tcPr>
            <w:tcW w:w="19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94,507</w:t>
            </w:r>
          </w:p>
        </w:tc>
        <w:tc>
          <w:tcPr>
            <w:tcW w:w="420" w:type="dxa"/>
            <w:vAlign w:val="bottom"/>
            <w:tcBorders>
              <w:bottom w:val="single" w:sz="8" w:color="0C6DFF"/>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30,165</w:t>
            </w:r>
          </w:p>
        </w:tc>
        <w:tc>
          <w:tcPr>
            <w:tcW w:w="20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60" w:type="dxa"/>
            <w:vAlign w:val="bottom"/>
            <w:tcBorders>
              <w:bottom w:val="single" w:sz="8" w:color="0C6D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2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hanging="252"/>
        <w:spacing w:after="0" w:line="248"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distribution revenue at Cable Networks for the sale of programming to Cable Communications; content licensing revenue in our NBCUniversal segments (Broadcast Television, Filmed Entertainment and Cable Networks) for the license of owned content to Peacock and Sky, and for licenses of owned content to other NBCUniversal segments; advertising revenue at Cable Communications, Cable Networks and Broadcast Television; and distribution revenue at Broadcast Television for fees received under retransmission consent agreements from Cable Communications. For segment reporting purposes, we account for intercompany content licenses as follows:</w:t>
      </w:r>
    </w:p>
    <w:p>
      <w:pPr>
        <w:spacing w:after="0" w:line="77" w:lineRule="exact"/>
        <w:rPr>
          <w:rFonts w:ascii="Times New Roman" w:cs="Times New Roman" w:eastAsia="Times New Roman" w:hAnsi="Times New Roman"/>
          <w:sz w:val="14"/>
          <w:szCs w:val="14"/>
          <w:color w:val="auto"/>
        </w:rPr>
      </w:pPr>
    </w:p>
    <w:p>
      <w:pPr>
        <w:jc w:val="both"/>
        <w:ind w:left="940" w:hanging="325"/>
        <w:spacing w:after="0" w:line="255" w:lineRule="auto"/>
        <w:tabs>
          <w:tab w:leader="none" w:pos="93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for licenses of content from NBCUniversal segments to Peacock and Sky are generally recognized at a point in time, consistent with the recognition of transactions with third parties, when the content is delivered and made available for use. The costs of these licenses at Peacock and Sky are recognized as the content is used over the license period. The difference in timing of recognition between segments results in an Adjusted EBITDA impact in eliminations as the profits on these transactions are deferred in our consolidated results and recognized as the content is used over the license period.</w:t>
      </w:r>
    </w:p>
    <w:p>
      <w:pPr>
        <w:spacing w:after="0" w:line="71" w:lineRule="exact"/>
        <w:rPr>
          <w:rFonts w:ascii="Times New Roman" w:cs="Times New Roman" w:eastAsia="Times New Roman" w:hAnsi="Times New Roman"/>
          <w:sz w:val="14"/>
          <w:szCs w:val="14"/>
          <w:color w:val="auto"/>
        </w:rPr>
      </w:pPr>
    </w:p>
    <w:p>
      <w:pPr>
        <w:ind w:left="940" w:hanging="325"/>
        <w:spacing w:after="0" w:line="282" w:lineRule="auto"/>
        <w:tabs>
          <w:tab w:leader="none" w:pos="93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for licenses of content between NBCUniversal segments is recognized over time to correspond with the amortization of the costs of the licensed content as the content is used over the license period.</w:t>
      </w:r>
    </w:p>
    <w:p>
      <w:pPr>
        <w:spacing w:after="0" w:line="53" w:lineRule="exact"/>
        <w:rPr>
          <w:rFonts w:ascii="Times New Roman" w:cs="Times New Roman" w:eastAsia="Times New Roman" w:hAnsi="Times New Roman"/>
          <w:sz w:val="14"/>
          <w:szCs w:val="14"/>
          <w:color w:val="auto"/>
        </w:rPr>
      </w:pPr>
    </w:p>
    <w:p>
      <w:pPr>
        <w:jc w:val="both"/>
        <w:ind w:left="260" w:hanging="252"/>
        <w:spacing w:after="0" w:line="261" w:lineRule="auto"/>
        <w:tabs>
          <w:tab w:leader="none" w:pos="2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operating segments. From time to time we may report the impact of certain events, gains, losses or other charges related to our operating segments (such as certain costs incurred in response to COVID-19, including severance charges), within Corporate and Other. Our reconciliation of the aggregate amount of Adjusted EBITDA for our reportable segments to consolidated income before income taxes is presented in the table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300" w:type="dxa"/>
            <w:vAlign w:val="bottom"/>
          </w:tcPr>
          <w:p>
            <w:pPr>
              <w:spacing w:after="0"/>
              <w:rPr>
                <w:sz w:val="16"/>
                <w:szCs w:val="16"/>
                <w:color w:val="auto"/>
              </w:rPr>
            </w:pPr>
          </w:p>
        </w:tc>
      </w:tr>
      <w:tr>
        <w:trPr>
          <w:trHeight w:val="178"/>
        </w:trPr>
        <w:tc>
          <w:tcPr>
            <w:tcW w:w="340" w:type="dxa"/>
            <w:vAlign w:val="bottom"/>
          </w:tcPr>
          <w:p>
            <w:pPr>
              <w:spacing w:after="0"/>
              <w:rPr>
                <w:sz w:val="15"/>
                <w:szCs w:val="15"/>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30,826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34,258</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30,165</w:t>
            </w:r>
          </w:p>
        </w:tc>
        <w:tc>
          <w:tcPr>
            <w:tcW w:w="300" w:type="dxa"/>
            <w:vAlign w:val="bottom"/>
          </w:tcPr>
          <w:p>
            <w:pPr>
              <w:spacing w:after="0"/>
              <w:rPr>
                <w:sz w:val="15"/>
                <w:szCs w:val="15"/>
                <w:color w:val="auto"/>
              </w:rPr>
            </w:pPr>
          </w:p>
        </w:tc>
      </w:tr>
      <w:tr>
        <w:trPr>
          <w:trHeight w:val="188"/>
        </w:trPr>
        <w:tc>
          <w:tcPr>
            <w:tcW w:w="34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 legal settlement</w:t>
            </w:r>
          </w:p>
        </w:tc>
        <w:tc>
          <w:tcPr>
            <w:tcW w:w="1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0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 Sky transaction-related costs</w:t>
            </w:r>
          </w:p>
        </w:tc>
        <w:tc>
          <w:tcPr>
            <w:tcW w:w="1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(8,281)</w:t>
            </w:r>
          </w:p>
        </w:tc>
        <w:tc>
          <w:tcPr>
            <w:tcW w:w="30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30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gains</w:t>
            </w:r>
          </w:p>
        </w:tc>
        <w:tc>
          <w:tcPr>
            <w:tcW w:w="1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300" w:type="dxa"/>
            <w:vAlign w:val="bottom"/>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300" w:type="dxa"/>
            <w:vAlign w:val="bottom"/>
          </w:tcPr>
          <w:p>
            <w:pPr>
              <w:spacing w:after="0"/>
              <w:rPr>
                <w:sz w:val="16"/>
                <w:szCs w:val="16"/>
                <w:color w:val="auto"/>
              </w:rPr>
            </w:pPr>
          </w:p>
        </w:tc>
      </w:tr>
      <w:tr>
        <w:trPr>
          <w:trHeight w:val="194"/>
        </w:trPr>
        <w:tc>
          <w:tcPr>
            <w:tcW w:w="340" w:type="dxa"/>
            <w:vAlign w:val="bottom"/>
          </w:tcPr>
          <w:p>
            <w:pPr>
              <w:spacing w:after="0"/>
              <w:rPr>
                <w:sz w:val="16"/>
                <w:szCs w:val="16"/>
                <w:color w:val="auto"/>
              </w:rPr>
            </w:pPr>
          </w:p>
        </w:tc>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1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300" w:type="dxa"/>
            <w:vAlign w:val="bottom"/>
          </w:tcPr>
          <w:p>
            <w:pPr>
              <w:spacing w:after="0"/>
              <w:rPr>
                <w:sz w:val="16"/>
                <w:szCs w:val="16"/>
                <w:color w:val="auto"/>
              </w:rPr>
            </w:pPr>
          </w:p>
        </w:tc>
      </w:tr>
      <w:tr>
        <w:trPr>
          <w:trHeight w:val="187"/>
        </w:trPr>
        <w:tc>
          <w:tcPr>
            <w:tcW w:w="340" w:type="dxa"/>
            <w:vAlign w:val="bottom"/>
          </w:tcPr>
          <w:p>
            <w:pPr>
              <w:spacing w:after="0"/>
              <w:rPr>
                <w:sz w:val="16"/>
                <w:szCs w:val="16"/>
                <w:color w:val="auto"/>
              </w:rPr>
            </w:pPr>
          </w:p>
        </w:tc>
        <w:tc>
          <w:tcPr>
            <w:tcW w:w="61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00" w:type="dxa"/>
            <w:vAlign w:val="bottom"/>
            <w:tcBorders>
              <w:bottom w:val="single" w:sz="8" w:color="0C6DFF"/>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0C6DFF"/>
            </w:tcBorders>
          </w:tcPr>
          <w:p>
            <w:pPr>
              <w:jc w:val="right"/>
              <w:ind w:right="8"/>
              <w:spacing w:after="0"/>
              <w:rPr>
                <w:sz w:val="20"/>
                <w:szCs w:val="20"/>
                <w:color w:val="auto"/>
              </w:rPr>
            </w:pPr>
            <w:r>
              <w:rPr>
                <w:rFonts w:ascii="Times New Roman" w:cs="Times New Roman" w:eastAsia="Times New Roman" w:hAnsi="Times New Roman"/>
                <w:sz w:val="14"/>
                <w:szCs w:val="14"/>
                <w:color w:val="auto"/>
              </w:rPr>
              <w:t>14,065</w:t>
            </w:r>
          </w:p>
        </w:tc>
        <w:tc>
          <w:tcPr>
            <w:tcW w:w="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16,996</w:t>
            </w:r>
          </w:p>
        </w:tc>
        <w:tc>
          <w:tcPr>
            <w:tcW w:w="460" w:type="dxa"/>
            <w:vAlign w:val="bottom"/>
            <w:tcBorders>
              <w:bottom w:val="single" w:sz="8" w:color="0C6DFF"/>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15,242</w:t>
            </w:r>
          </w:p>
        </w:tc>
        <w:tc>
          <w:tcPr>
            <w:tcW w:w="300" w:type="dxa"/>
            <w:vAlign w:val="bottom"/>
          </w:tcPr>
          <w:p>
            <w:pPr>
              <w:spacing w:after="0"/>
              <w:rPr>
                <w:sz w:val="16"/>
                <w:szCs w:val="16"/>
                <w:color w:val="auto"/>
              </w:rPr>
            </w:pPr>
          </w:p>
        </w:tc>
      </w:tr>
      <w:tr>
        <w:trPr>
          <w:trHeight w:val="686"/>
        </w:trPr>
        <w:tc>
          <w:tcPr>
            <w:tcW w:w="644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79</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Comcast 2020 Annual Report on Form 10-K</w:t>
            </w:r>
          </w:p>
        </w:tc>
      </w:tr>
      <w:tr>
        <w:trPr>
          <w:trHeight w:val="314"/>
        </w:trPr>
        <w:tc>
          <w:tcPr>
            <w:tcW w:w="34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2019</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20,599</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High-speed internet</w:t>
            </w:r>
          </w:p>
        </w:tc>
        <w:tc>
          <w:tcPr>
            <w:tcW w:w="25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18,752</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21,937</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22,270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3,532</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3,879</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Wireless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1,574</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1,167</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8,191</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7,795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2,594</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2,465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1,624</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1,754</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Cable Communications</w:t>
            </w:r>
          </w:p>
        </w:tc>
        <w:tc>
          <w:tcPr>
            <w:tcW w:w="25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60,051</w:t>
            </w:r>
          </w:p>
        </w:tc>
        <w:tc>
          <w:tcPr>
            <w:tcW w:w="5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58,082</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56,033</w:t>
            </w:r>
          </w:p>
        </w:tc>
        <w:tc>
          <w:tcPr>
            <w:tcW w:w="0" w:type="dxa"/>
            <w:vAlign w:val="bottom"/>
          </w:tcPr>
          <w:p>
            <w:pPr>
              <w:spacing w:after="0"/>
              <w:rPr>
                <w:sz w:val="1"/>
                <w:szCs w:val="1"/>
                <w:color w:val="auto"/>
              </w:rPr>
            </w:pPr>
          </w:p>
        </w:tc>
      </w:tr>
      <w:tr>
        <w:trPr>
          <w:trHeight w:val="3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6,437</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6,790</w:t>
            </w: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3,155</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3,478</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1,257</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1,245</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Cable Networks</w:t>
            </w:r>
          </w:p>
        </w:tc>
        <w:tc>
          <w:tcPr>
            <w:tcW w:w="25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10,849</w:t>
            </w:r>
          </w:p>
        </w:tc>
        <w:tc>
          <w:tcPr>
            <w:tcW w:w="5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11,513</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3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5,027</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5,712</w:t>
            </w: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2,640</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2,157</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and 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2,577</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2,392</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Broadcast Television</w:t>
            </w:r>
          </w:p>
        </w:tc>
        <w:tc>
          <w:tcPr>
            <w:tcW w:w="25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10,244</w:t>
            </w:r>
          </w:p>
        </w:tc>
        <w:tc>
          <w:tcPr>
            <w:tcW w:w="5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10,261</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0" w:type="dxa"/>
            <w:vAlign w:val="bottom"/>
          </w:tcPr>
          <w:p>
            <w:pPr>
              <w:spacing w:after="0"/>
              <w:rPr>
                <w:sz w:val="1"/>
                <w:szCs w:val="1"/>
                <w:color w:val="auto"/>
              </w:rPr>
            </w:pPr>
          </w:p>
        </w:tc>
      </w:tr>
      <w:tr>
        <w:trPr>
          <w:trHeight w:val="3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421</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1,469</w:t>
            </w: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3,342</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3,045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entertainment</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944</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957</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569</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1,022</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Filmed Entertainment</w:t>
            </w:r>
          </w:p>
        </w:tc>
        <w:tc>
          <w:tcPr>
            <w:tcW w:w="25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5,276</w:t>
            </w:r>
          </w:p>
        </w:tc>
        <w:tc>
          <w:tcPr>
            <w:tcW w:w="5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6,493</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3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Theme Parks</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1,846</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5,933</w:t>
            </w: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121</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line="239"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(254)</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NBCUniversal</w:t>
            </w:r>
          </w:p>
        </w:tc>
        <w:tc>
          <w:tcPr>
            <w:tcW w:w="25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28,082</w:t>
            </w:r>
          </w:p>
        </w:tc>
        <w:tc>
          <w:tcPr>
            <w:tcW w:w="5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33,967</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0" w:type="dxa"/>
            <w:vAlign w:val="bottom"/>
          </w:tcPr>
          <w:p>
            <w:pPr>
              <w:spacing w:after="0"/>
              <w:rPr>
                <w:sz w:val="1"/>
                <w:szCs w:val="1"/>
                <w:color w:val="auto"/>
              </w:rPr>
            </w:pPr>
          </w:p>
        </w:tc>
      </w:tr>
      <w:tr>
        <w:trPr>
          <w:trHeight w:val="3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15,223</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15,538</w:t>
            </w: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1,373</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1,432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1,998</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2,249</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Sky</w:t>
            </w:r>
          </w:p>
        </w:tc>
        <w:tc>
          <w:tcPr>
            <w:tcW w:w="25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18,594</w:t>
            </w:r>
          </w:p>
        </w:tc>
        <w:tc>
          <w:tcPr>
            <w:tcW w:w="5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19,219</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3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366</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333</w:t>
            </w:r>
          </w:p>
        </w:tc>
        <w:tc>
          <w:tcPr>
            <w:tcW w:w="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ind w:left="20"/>
              <w:spacing w:after="0" w:line="239"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(3,529)</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(2,659)</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8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C6DFF"/>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54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108,942</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94,507</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Included in Eliminations are transactions that our segments enter into with one another. See Note 2 for a description of these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primarily in the United States but also in select international markets. The table below summarizes revenue by geographic location.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2019</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80,327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82,952</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82,233</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6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20,460</w:t>
            </w:r>
          </w:p>
        </w:tc>
        <w:tc>
          <w:tcPr>
            <w:tcW w:w="50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21,553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38"/>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2,777</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4,437</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r>
      <w:tr>
        <w:trPr>
          <w:trHeight w:val="223"/>
        </w:trPr>
        <w:tc>
          <w:tcPr>
            <w:tcW w:w="44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6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5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108,942</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94,507</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02"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2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is generated from the sale of our high-speed internet, video, voice, wireless and other services to residential customers in the United States under the Xfinity brand, which we market individually and as bundled services at a discounted rate. We also provide these and other services to business customers and sell advertising.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Residential</w:t>
      </w:r>
    </w:p>
    <w:p>
      <w:pPr>
        <w:spacing w:after="0" w:line="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recognize revenue as the services are provided on a monthly basis. Subscription rates and related charges vary according to the services and features customers receive.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 Customers are typically billed in advance and pay on a monthly basis. Installation fees are deferred and recognized as revenue over the period of benefit to the customer, which is less than a year. While a portion of our customers are subject to contracts for their services, which are typically 1 to 2 years in length, based on our evaluation of the terms of these contracts, we recognize revenue for these services on a basis that is consistent with our customers that are not subject to contracts. Our services generally involve customer premise equipment, such as set-top boxes, cable modems and wireless gateways. The timing and pattern of recognition for customer premise equipment revenue are consistent with those of our services. We recognize revenue from the sale of wireless handsets at the point of sale. Sales commissions are expensed as incurred, as the related period of benefit is less than a year. We also have arrangements to sell certain DTC streaming services to our customers. We have concluded we are generally the sales agent in these arrangements and we record net commission revenue as earned, which is generally as customers are billed on a monthly basis, within high-speed internet revenues.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cable franchise agreements, we are generally required to pay the cable franchising authority an amount based on gross video revenue. We generally pass these and other similar fees through to our customers and classify these fees in the respective Cable Communications services revenue, with the corresponding costs included in other operating and administrative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Business Services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generated from subscribers to a variety of our products and services which are offered to businesses. Our service offerings for small business locations primarily include high-speed internet services, as well as voice and video services, that are similar to those provided to residential customers, and include certain other features specific to businesses. We also offer Ethernet network services that connect multiple locations and other services to meet the needs of medium-sized customers and larger enterprises, and we provide cellular backhaul services to mobile network operators.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as the services are provided on a monthly basis. Substantially all of our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based on a billing schedule established in our contracts, which is typically on a monthly basis. Installation revenue and sales commissions are generally deferred and recognized over the respective contract terms.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generated from the sale of advertising and technology, tools and solutions relating to advertising businesses. As part of distribution agreements with cable networks, we generally receive an allocation of scheduled advertising time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 digital platforms. 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and conditions are agreed upon. Revenue from these arrangements is recognized in the period in which advertisements are aired or viewed. Payment terms vary by contract, although terms generally require payment within 30 to 60 days from when advertisements are aired or viewed. In addition, we also provide technology, tools, data-driven services and marketplace solutions to customers in the media industry, which allows advertisers to more effectively engage with their target audiences. Revenue earned in this manner is recognized when services are provided.</w:t>
      </w:r>
    </w:p>
    <w:p>
      <w:pPr>
        <w:spacing w:after="0" w:line="200" w:lineRule="exact"/>
        <w:rPr>
          <w:sz w:val="20"/>
          <w:szCs w:val="20"/>
          <w:color w:val="auto"/>
        </w:rPr>
      </w:pPr>
    </w:p>
    <w:p>
      <w:pPr>
        <w:spacing w:after="0" w:line="30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Distribution</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Networks generates revenue from the distribution of our national, regional and international cable network programming to traditional and virtual multichannel video providers. Broadcast Television generates revenue from the fees received under retransmission consent agreements for our NBC and Telemundo owned local broadcast television stations and associated fees received from NBC-affiliated local broadcast television stations.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arrangements are accounted for as licenses of functional intellectual property and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60 days.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Cable Networks and Broadcast Television generate revenue from the sale of advertising on our cable and broadcast networks, our owned local broadcast television stations and various digital properties.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Revenue is recognized, net of agency commissions, in the period in which advertisements are aired or viewed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Theatrical</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Filmed Entertainment generates revenue from the worldwide theatrical release of produced and acquired films for exhibition in movie theaters. Our arrangements with exhibitors generally entitle us to a percentage of ticket sales. We recognize revenue as the films are viewed and exhibited in theaters and payment generally occurs within 30 days after exhibition.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 Licensing</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Cable Networks’, Broadcast Television’s and Filmed Entertainment’s production studios generate revenue from the licensing of our owned film and television content in the United States and internationally to cable, broadcast and premium networks and to DTC streaming service providers. Our agreements generally include fixed pricing and span multiple years. For example, following a film’s theatrical release, Filmed Entertainment may license the exhibition rights of a film to different customers over multiple successive distribution windows.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at any given time equals approximately 1 to 2 years of annual Filmed Entertainment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agreements that include variable pricing, such as pricing based on the number of subscribers to a DTC streaming service sold by our customers, we generally recognize revenue as our customers sell to their subscribers.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Home Entertainment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Filmed Entertainment generates revenue from the sale of our produced and acquired films on DVDs and through digital distribution services. Cable Networks and Broadcast Television also generate revenue from the sale of owned programming on DVDs and through digital distribution services, which is reported in other revenue. We generally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82</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Theme Parks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Theme Parks generates revenue primarily from guest spending at our Universal theme parks in Orlando, Florida; Hollywood, California; and Osaka, Japan. Guest spending includes ticket sales and in-park spending on food, beverages and merchandise.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at the point of sale.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Direct-to-Consumer</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generated from subscribers to our video services from both residential and business customers, primarily in the United Kingdom, Italy and Germany. We also provide high-speed internet, voice and wireless phone services in select countries. Generally, all of our residential customers are initially under contracts, with terms typically ranging from rolling monthly to 18 months, depending on the product and territory, and may only discontinue service in accordance with the terms of their contracts. Subscription rates and related charges vary according to the services and features customers receive and the types of equipment they use. Our video, high-speed internet, voice and wireless phone services generally may be purchased individually or in bundles. We recognize revenue from video, high-speed internet, voice and wireless phone services as the services are provided on a monthly basis. At any given time, the amount of future revenue to be earned related to existing agreements is equal to less than half of our annual direct-to-consumer revenue, which generally will be recognized within 18 months.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generated from the distribution of our television channels on third-party platforms and the licensing of owned and acquired programming to third-party video providers. See the NBCUniversal segment discussion of distribution and content licensing revenue above for accounting policies for these types of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generated from advertising and sponsorships across our owned television channels and where we represent the sales efforts of third-party channels. We also generate revenue from the sale of advertising on digital platforms and various technology, tools and solutions relating to our advertising business. Revenue is recognized when the advertising is aired or viewed. Since we are acting as the principal in the arrangements where we represent the sales efforts of third parties, we record the advertising that is sold in advertising revenue and the fees paid to the third-party channels in other operating and administrative expenses.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accounts receivable: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3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12,273</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w:t>
            </w:r>
          </w:p>
        </w:tc>
      </w:tr>
      <w:tr>
        <w:trPr>
          <w:trHeight w:val="238"/>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807</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1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11,466</w:t>
            </w:r>
          </w:p>
        </w:tc>
        <w:tc>
          <w:tcPr>
            <w:tcW w:w="5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11,292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our allowance for doubtful accounts: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20" w:type="dxa"/>
            <w:vAlign w:val="bottom"/>
          </w:tcPr>
          <w:p>
            <w:pPr>
              <w:spacing w:after="0"/>
              <w:rPr>
                <w:sz w:val="13"/>
                <w:szCs w:val="13"/>
                <w:color w:val="auto"/>
              </w:rPr>
            </w:pPr>
          </w:p>
        </w:tc>
        <w:tc>
          <w:tcPr>
            <w:tcW w:w="17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Additions Charged to Costs and</w:t>
            </w:r>
          </w:p>
        </w:tc>
        <w:tc>
          <w:tcPr>
            <w:tcW w:w="240" w:type="dxa"/>
            <w:vAlign w:val="bottom"/>
          </w:tcPr>
          <w:p>
            <w:pPr>
              <w:spacing w:after="0"/>
              <w:rPr>
                <w:sz w:val="13"/>
                <w:szCs w:val="13"/>
                <w:color w:val="auto"/>
              </w:rPr>
            </w:pPr>
          </w:p>
        </w:tc>
        <w:tc>
          <w:tcPr>
            <w:tcW w:w="19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Deductions from Reserves</w:t>
            </w:r>
          </w:p>
        </w:tc>
        <w:tc>
          <w:tcPr>
            <w:tcW w:w="380" w:type="dxa"/>
            <w:vAlign w:val="bottom"/>
          </w:tcPr>
          <w:p>
            <w:pPr>
              <w:spacing w:after="0"/>
              <w:rPr>
                <w:sz w:val="13"/>
                <w:szCs w:val="13"/>
                <w:color w:val="auto"/>
              </w:rPr>
            </w:pPr>
          </w:p>
        </w:tc>
        <w:tc>
          <w:tcPr>
            <w:tcW w:w="180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Expenses and Other Accounts</w:t>
            </w: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4"/>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balances that are not separately presented in our consolidated balance sheet that relate to the recognition of revenue and collection of the related cash, as well as the deferred costs associated with our contracts with customers: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1,091</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acquisition and fulfillment costs (included in other noncurrent assets, net)</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1,060</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8"/>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750</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4: Programming and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w:t>
            </w: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8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6460" w:type="dxa"/>
            <w:vAlign w:val="bottom"/>
          </w:tcPr>
          <w:p>
            <w:pPr>
              <w:ind w:left="240"/>
              <w:spacing w:after="0" w:line="233"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8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34"/>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Amount includes amortization of owned content of $6.6 billion as well as participations and residuals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 programming expenses related to the license of rights to distribute the third-party programmed channels, platforms and related content included in video services we sell to end consumers. Programming is generally acquired under multiyear distribution agreements, with fees typically based on the number of customers that receive the programming and the extent of distribution. Programming arrangements are accounted for as executory contracts with expenses generally recognized based on the rates in the agreements and the arrangements are not subject to impairment.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 costs related to the production of owned content and the license of the rights to use content owned by third parties and sports rights on our owned networks and platforms, which are described as owned and licensed content, respectively. We adopted new accounting guidance related to film and television content in the first quarter of 2020 (see Note 8), and accordingly, amounts presented below for 2020 and the policy discussion reflect the updated accounting guidance, and amounts presented for 2019 reflect the accounting guidance in effect at that time. Under the new accounting guidance, we have determined that the predominant monetization strategy for the substantial majority of our content is on an individual basis.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2019</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360" w:type="dxa"/>
            <w:vAlign w:val="bottom"/>
          </w:tcPr>
          <w:p>
            <w:pPr>
              <w:spacing w:after="0"/>
              <w:rPr>
                <w:sz w:val="11"/>
                <w:szCs w:val="11"/>
                <w:color w:val="auto"/>
              </w:rPr>
            </w:pPr>
          </w:p>
        </w:tc>
        <w:tc>
          <w:tcPr>
            <w:tcW w:w="12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Film and Television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Film Costs</w:t>
            </w:r>
          </w:p>
        </w:tc>
        <w:tc>
          <w:tcPr>
            <w:tcW w:w="132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Television Costs</w:t>
            </w:r>
          </w:p>
        </w:tc>
        <w:tc>
          <w:tcPr>
            <w:tcW w:w="38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66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16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1,551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2,810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1,314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1,162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3,052</w:t>
            </w:r>
          </w:p>
        </w:tc>
        <w:tc>
          <w:tcPr>
            <w:tcW w:w="3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3,972</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6,631</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licensed programming rights</w:t>
            </w: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166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13,340</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8,933</w:t>
            </w:r>
          </w:p>
        </w:tc>
        <w:tc>
          <w:tcPr>
            <w:tcW w:w="0" w:type="dxa"/>
            <w:vAlign w:val="bottom"/>
          </w:tcPr>
          <w:p>
            <w:pPr>
              <w:spacing w:after="0"/>
              <w:rPr>
                <w:sz w:val="1"/>
                <w:szCs w:val="1"/>
                <w:color w:val="auto"/>
              </w:rPr>
            </w:pPr>
          </w:p>
        </w:tc>
      </w:tr>
      <w:tr>
        <w:trPr>
          <w:trHeight w:val="692"/>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3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84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film and television costs recorded in our consolidated balance sheet as of December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Owned</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Licensed</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not released:</w:t>
            </w: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2021</w:t>
            </w:r>
          </w:p>
        </w:tc>
        <w:tc>
          <w:tcPr>
            <w:tcW w:w="3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 and licensed content:</w:t>
            </w:r>
          </w:p>
        </w:tc>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2021</w:t>
            </w:r>
          </w:p>
        </w:tc>
        <w:tc>
          <w:tcPr>
            <w:tcW w:w="3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1,445</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r>
      <w:tr>
        <w:trPr>
          <w:trHeight w:val="229"/>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2022</w:t>
            </w:r>
          </w:p>
        </w:tc>
        <w:tc>
          <w:tcPr>
            <w:tcW w:w="3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543</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4"/>
        </w:trPr>
        <w:tc>
          <w:tcPr>
            <w:tcW w:w="5240" w:type="dxa"/>
            <w:vAlign w:val="bottom"/>
            <w:tcBorders>
              <w:bottom w:val="single" w:sz="8" w:color="auto"/>
            </w:tcBorders>
          </w:tcPr>
          <w:p>
            <w:pPr>
              <w:jc w:val="right"/>
              <w:ind w:right="4653"/>
              <w:spacing w:after="0"/>
              <w:rPr>
                <w:sz w:val="20"/>
                <w:szCs w:val="20"/>
                <w:color w:val="auto"/>
              </w:rPr>
            </w:pPr>
            <w:r>
              <w:rPr>
                <w:rFonts w:ascii="Times New Roman" w:cs="Times New Roman" w:eastAsia="Times New Roman" w:hAnsi="Times New Roman"/>
                <w:sz w:val="18"/>
                <w:szCs w:val="18"/>
                <w:color w:val="auto"/>
              </w:rPr>
              <w:t>2023</w:t>
            </w:r>
          </w:p>
        </w:tc>
        <w:tc>
          <w:tcPr>
            <w:tcW w:w="3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336</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sports rights and licensed content that are not recognized in our consolidated balance sheet as of December 31, 2020 totaling $38.5 billion and $4.5 billion,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Capitalization and Recognition of Film and Television Content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owned content predominantly monetized on an individual basis and accrued costs associated with participations and residual payments are recorded using the individual film forecast computation method, which recognizes the costs in the same ratio as the associated ultimate revenue. Estimates of ultimate revenue and total costs are based on anticipated release patterns and distribution strategies,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for the portion of the film acquired in these arrangements.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broadcast.</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Owned and licensed content are presented as noncurrent assets in film and television costs. We present amortization of owned and licensed content and accrued costs associated with participation and residual payments in programming and production costs.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owned or licensed content is less than the unamortized costs in the balance sheet, we determine the fair value and record an impairment charge to the extent the unamortized costs exceed the fair value. Owned content is assessed either individually or in identified film groups, for content predominantly monetized on an individual basis or with other content, respectively. The substantial majority of our owned content is evaluated for impairment on an individual title basis. Licensed content that is not part of a film group is generally assessed in packages, channels or dayparts. A daypart is an aggregation of programs broadcast during a particular time of day or programs of a similar type. Licensed content is tested for impairment primarily on a channel, network or platform basis, with the exception of our broadcast networks and owned local broadcast television stations, which are tested on a daypart basis. Estimated fair values of owned and licensed content are generally based on Level 3 inputs including analysis of market participant estimates of future cash flows. We record charges related to impairments or content that is substantively abandoned to programming and production costs. Impairments of capitalized film and television costs were not material in any of the periods presented.</w:t>
      </w:r>
    </w:p>
    <w:p>
      <w:pPr>
        <w:spacing w:after="0" w:line="200" w:lineRule="exact"/>
        <w:rPr>
          <w:sz w:val="20"/>
          <w:szCs w:val="20"/>
          <w:color w:val="auto"/>
        </w:rPr>
      </w:pPr>
    </w:p>
    <w:p>
      <w:pPr>
        <w:spacing w:after="0" w:line="31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Sports Rights</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the ratio of the current period revenue to the estimated ultimate revenue or the terms of the contract. Sports rights are accounted for as executory contracts and are not subject to impairment. When cash payments, including advanced payments, exceed the relative value of the sports rights delivered, we recognize an asset in licensed content. Production costs incurred in advance of airing are also presented with licensed content.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Income Before Income Taxes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9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2019</w:t>
            </w:r>
          </w:p>
        </w:tc>
        <w:tc>
          <w:tcPr>
            <w:tcW w:w="6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1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16,211</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16,646</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(2,146)</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350</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C6DFF"/>
            </w:tcBorders>
          </w:tcPr>
          <w:p>
            <w:pPr>
              <w:spacing w:after="0"/>
              <w:rPr>
                <w:sz w:val="19"/>
                <w:szCs w:val="19"/>
                <w:color w:val="auto"/>
              </w:rPr>
            </w:pPr>
          </w:p>
        </w:tc>
        <w:tc>
          <w:tcPr>
            <w:tcW w:w="192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14,065</w:t>
            </w:r>
          </w:p>
        </w:tc>
        <w:tc>
          <w:tcPr>
            <w:tcW w:w="5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tcPr>
          <w:p>
            <w:pPr>
              <w:jc w:val="right"/>
              <w:ind w:right="73"/>
              <w:spacing w:after="0"/>
              <w:rPr>
                <w:sz w:val="20"/>
                <w:szCs w:val="20"/>
                <w:color w:val="auto"/>
              </w:rPr>
            </w:pPr>
            <w:r>
              <w:rPr>
                <w:rFonts w:ascii="Times New Roman" w:cs="Times New Roman" w:eastAsia="Times New Roman" w:hAnsi="Times New Roman"/>
                <w:sz w:val="18"/>
                <w:szCs w:val="18"/>
                <w:color w:val="auto"/>
              </w:rPr>
              <w:t>16,996</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466"/>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Components of Income Tax (Expense) Benefit</w:t>
            </w:r>
          </w:p>
        </w:tc>
        <w:tc>
          <w:tcPr>
            <w:tcW w:w="1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9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2019</w:t>
            </w: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(2,824)</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(2,085)</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(836)</w:t>
            </w:r>
          </w:p>
        </w:tc>
        <w:tc>
          <w:tcPr>
            <w:tcW w:w="5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(254)</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(3,914)</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(3,110)</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1920" w:type="dxa"/>
            <w:vAlign w:val="bottom"/>
          </w:tcPr>
          <w:p>
            <w:pPr>
              <w:spacing w:after="0"/>
              <w:rPr>
                <w:sz w:val="18"/>
                <w:szCs w:val="18"/>
                <w:color w:val="auto"/>
              </w:rPr>
            </w:pPr>
          </w:p>
        </w:tc>
        <w:tc>
          <w:tcPr>
            <w:tcW w:w="10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111</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71</w:t>
            </w:r>
          </w:p>
        </w:tc>
        <w:tc>
          <w:tcPr>
            <w:tcW w:w="58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368</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324</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550</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(563)</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2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(3,364)</w:t>
            </w:r>
          </w:p>
        </w:tc>
        <w:tc>
          <w:tcPr>
            <w:tcW w:w="5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tcPr>
          <w:p>
            <w:pPr>
              <w:jc w:val="right"/>
              <w:ind w:right="33"/>
              <w:spacing w:after="0"/>
              <w:rPr>
                <w:sz w:val="20"/>
                <w:szCs w:val="20"/>
                <w:color w:val="auto"/>
              </w:rPr>
            </w:pPr>
            <w:r>
              <w:rPr>
                <w:rFonts w:ascii="Times New Roman" w:cs="Times New Roman" w:eastAsia="Times New Roman" w:hAnsi="Times New Roman"/>
                <w:sz w:val="18"/>
                <w:szCs w:val="18"/>
                <w:color w:val="auto"/>
              </w:rPr>
              <w:t>(3,673)</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2019</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(2,954)</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(3,569)</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(265)</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uncertain and effectively settled tax positions, net</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(344)</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1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164</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recognized on share-based compensation</w:t>
            </w:r>
          </w:p>
        </w:tc>
        <w:tc>
          <w:tcPr>
            <w:tcW w:w="1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150</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196</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(91)</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56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(3,364)</w:t>
            </w:r>
          </w:p>
        </w:tc>
        <w:tc>
          <w:tcPr>
            <w:tcW w:w="5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tcPr>
          <w:p>
            <w:pPr>
              <w:jc w:val="right"/>
              <w:ind w:right="32"/>
              <w:spacing w:after="0"/>
              <w:rPr>
                <w:sz w:val="20"/>
                <w:szCs w:val="20"/>
                <w:color w:val="auto"/>
              </w:rPr>
            </w:pPr>
            <w:r>
              <w:rPr>
                <w:rFonts w:ascii="Times New Roman" w:cs="Times New Roman" w:eastAsia="Times New Roman" w:hAnsi="Times New Roman"/>
                <w:sz w:val="18"/>
                <w:szCs w:val="18"/>
                <w:color w:val="auto"/>
              </w:rPr>
              <w:t>(3,673)</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revised estimated tax basis and any estimated settlements with the various tax authorities. The effects of these adjustments are recorded to income tax (expense) benefit.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Deferred Tax Liability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9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2,609</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9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9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3,253</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2,312</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3,550</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18"/>
                <w:szCs w:val="18"/>
                <w:color w:val="auto"/>
              </w:rPr>
            </w:pPr>
          </w:p>
        </w:tc>
        <w:tc>
          <w:tcPr>
            <w:tcW w:w="10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29,829</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 between book and tax basis of property and equipment and intangible assets</w:t>
            </w:r>
          </w:p>
        </w:tc>
        <w:tc>
          <w:tcPr>
            <w:tcW w:w="9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29,387</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 between book and tax basis of investments</w:t>
            </w:r>
          </w:p>
        </w:tc>
        <w:tc>
          <w:tcPr>
            <w:tcW w:w="9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405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 between book and tax basis of long-term debt</w:t>
            </w:r>
          </w:p>
        </w:tc>
        <w:tc>
          <w:tcPr>
            <w:tcW w:w="9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680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Differences between book and tax basis of foreign subsidiaries and undistributed foreign earnings</w:t>
            </w: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468</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31,382</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9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27,832</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28,093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our valuation allowance for deferred tax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Beginning Balance</w:t>
            </w:r>
          </w:p>
        </w:tc>
        <w:tc>
          <w:tcPr>
            <w:tcW w:w="460" w:type="dxa"/>
            <w:vAlign w:val="bottom"/>
          </w:tcPr>
          <w:p>
            <w:pPr>
              <w:spacing w:after="0"/>
              <w:rPr>
                <w:sz w:val="13"/>
                <w:szCs w:val="13"/>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Additions Charged to Income Tax</w:t>
            </w:r>
          </w:p>
        </w:tc>
        <w:tc>
          <w:tcPr>
            <w:tcW w:w="220" w:type="dxa"/>
            <w:vAlign w:val="bottom"/>
          </w:tcPr>
          <w:p>
            <w:pPr>
              <w:spacing w:after="0"/>
              <w:rPr>
                <w:sz w:val="13"/>
                <w:szCs w:val="13"/>
                <w:color w:val="auto"/>
              </w:rPr>
            </w:pPr>
          </w:p>
        </w:tc>
        <w:tc>
          <w:tcPr>
            <w:tcW w:w="18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color w:val="auto"/>
              </w:rPr>
              <w:t>Deductions from Reserves</w:t>
            </w:r>
          </w:p>
        </w:tc>
        <w:tc>
          <w:tcPr>
            <w:tcW w:w="380" w:type="dxa"/>
            <w:vAlign w:val="bottom"/>
          </w:tcPr>
          <w:p>
            <w:pPr>
              <w:spacing w:after="0"/>
              <w:rPr>
                <w:sz w:val="13"/>
                <w:szCs w:val="13"/>
                <w:color w:val="auto"/>
              </w:rPr>
            </w:pPr>
          </w:p>
        </w:tc>
        <w:tc>
          <w:tcPr>
            <w:tcW w:w="17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Expense and Other Accounts</w:t>
            </w: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20" w:type="dxa"/>
            <w:vAlign w:val="bottom"/>
          </w:tcPr>
          <w:p>
            <w:pPr>
              <w:jc w:val="right"/>
              <w:ind w:right="139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2,312</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620" w:type="dxa"/>
            <w:vAlign w:val="bottom"/>
          </w:tcPr>
          <w:p>
            <w:pPr>
              <w:jc w:val="right"/>
              <w:ind w:right="139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34"/>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620" w:type="dxa"/>
            <w:vAlign w:val="bottom"/>
            <w:tcBorders>
              <w:bottom w:val="single" w:sz="8" w:color="auto"/>
            </w:tcBorders>
          </w:tcPr>
          <w:p>
            <w:pPr>
              <w:jc w:val="right"/>
              <w:ind w:right="139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our net deferred tax liability in 2020 that were not recorded as deferred income tax benefit (expense) are primarily related to an increase of $330 million associated with items included in other comprehensive income (loss).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we had federal net operating loss carryforwards of $196 million, and various state net operating loss carryforwards, the majority of which expire in periods through 2040. As of December 31, 2020, we also had foreign net operating loss carryforwards of $7.6 billion related to the foreign operations of Sky and NBCUniversal, the majority of which can be carried forward indefinitely.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2020 and 2019, our valuation allowance was primarily related to foreign and state net operating loss carryforwards.</w:t>
      </w:r>
    </w:p>
    <w:p>
      <w:pPr>
        <w:spacing w:after="0" w:line="200" w:lineRule="exact"/>
        <w:rPr>
          <w:sz w:val="20"/>
          <w:szCs w:val="20"/>
          <w:color w:val="auto"/>
        </w:rPr>
      </w:pPr>
    </w:p>
    <w:p>
      <w:pPr>
        <w:spacing w:after="0" w:line="30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Unrecognized Tax Benefits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2019</w:t>
            </w:r>
          </w:p>
        </w:tc>
        <w:tc>
          <w:tcPr>
            <w:tcW w:w="6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January 1</w:t>
            </w: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1,422</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1,543</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436</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152</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acquired subsidiaries</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due to expiration of statutes of limitations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(76)</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8"/>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4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December 31</w:t>
            </w:r>
          </w:p>
        </w:tc>
        <w:tc>
          <w:tcPr>
            <w:tcW w:w="166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1,879</w:t>
            </w:r>
          </w:p>
        </w:tc>
        <w:tc>
          <w:tcPr>
            <w:tcW w:w="62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color w:val="auto"/>
              </w:rPr>
              <w:t>1,422</w:t>
            </w:r>
          </w:p>
        </w:tc>
        <w:tc>
          <w:tcPr>
            <w:tcW w:w="64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r>
    </w:tbl>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gross unrecognized tax benefits include both amounts related to positions for which we have recorded liabilities for potential payment obligations and those for which tax has been assessed and paid. The amounts exclude the federal benefits on state tax positions that were recorded to deferred income taxes. If we were to recognize our gross unrecognized tax benefits in the future, $1.4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 As of December 31, 2020 and 2019, accrued interest and penalties associated with our liability for uncertain tax positions were not material.</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IRS has completed its examination of our income tax returns for all years through 2016. Various states are examining our state tax returns and the tax years of those tax returns currently under examination vary by state, with most of the periods relating to tax years 2000 and forward. Various foreign jurisdictions are examining our tax returns and the tax years of those tax returns currently under examination vary by country, with most of the periods relating to tax years 2010 and forward.</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6: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380" w:type="dxa"/>
            <w:vAlign w:val="bottom"/>
          </w:tcPr>
          <w:p>
            <w:pPr>
              <w:jc w:val="right"/>
              <w:ind w:right="576"/>
              <w:spacing w:after="0"/>
              <w:rPr>
                <w:sz w:val="20"/>
                <w:szCs w:val="20"/>
                <w:color w:val="auto"/>
              </w:rPr>
            </w:pPr>
            <w:r>
              <w:rPr>
                <w:rFonts w:ascii="Times New Roman" w:cs="Times New Roman" w:eastAsia="Times New Roman" w:hAnsi="Times New Roman"/>
                <w:sz w:val="14"/>
                <w:szCs w:val="14"/>
                <w:color w:val="auto"/>
              </w:rPr>
              <w:t>Weighted-Average Interest</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Interest Rate as of</w:t>
            </w:r>
          </w:p>
        </w:tc>
        <w:tc>
          <w:tcPr>
            <w:tcW w:w="2380" w:type="dxa"/>
            <w:vAlign w:val="bottom"/>
          </w:tcPr>
          <w:p>
            <w:pPr>
              <w:jc w:val="right"/>
              <w:ind w:right="576"/>
              <w:spacing w:after="0"/>
              <w:rPr>
                <w:sz w:val="20"/>
                <w:szCs w:val="20"/>
                <w:color w:val="auto"/>
              </w:rPr>
            </w:pPr>
            <w:r>
              <w:rPr>
                <w:rFonts w:ascii="Times New Roman" w:cs="Times New Roman" w:eastAsia="Times New Roman" w:hAnsi="Times New Roman"/>
                <w:sz w:val="14"/>
                <w:szCs w:val="14"/>
                <w:color w:val="auto"/>
              </w:rPr>
              <w:t>Rate as of December 31,</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8"/>
                <w:szCs w:val="18"/>
                <w:b w:val="1"/>
                <w:bCs w:val="1"/>
                <w:color w:val="auto"/>
                <w:vertAlign w:val="superscript"/>
              </w:rPr>
              <w:t>(b)</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800" w:type="dxa"/>
            <w:vAlign w:val="bottom"/>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2.07 %</w:t>
            </w:r>
          </w:p>
        </w:tc>
        <w:tc>
          <w:tcPr>
            <w:tcW w:w="23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1.87 %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7,641</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with maturities of 5 years or less, at face value</w:t>
            </w:r>
          </w:p>
        </w:tc>
        <w:tc>
          <w:tcPr>
            <w:tcW w:w="1800" w:type="dxa"/>
            <w:vAlign w:val="bottom"/>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3.41 %</w:t>
            </w:r>
          </w:p>
        </w:tc>
        <w:tc>
          <w:tcPr>
            <w:tcW w:w="23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3.29 %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19,190</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notes with maturities between 5 and 10 years, at face</w:t>
            </w:r>
          </w:p>
        </w:tc>
        <w:tc>
          <w:tcPr>
            <w:tcW w:w="1800" w:type="dxa"/>
            <w:vAlign w:val="bottom"/>
            <w:vMerge w:val="restart"/>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3.47 %</w:t>
            </w:r>
          </w:p>
        </w:tc>
        <w:tc>
          <w:tcPr>
            <w:tcW w:w="2380" w:type="dxa"/>
            <w:vAlign w:val="bottom"/>
            <w:vMerge w:val="restart"/>
          </w:tcPr>
          <w:p>
            <w:pPr>
              <w:jc w:val="right"/>
              <w:ind w:right="576"/>
              <w:spacing w:after="0"/>
              <w:rPr>
                <w:sz w:val="20"/>
                <w:szCs w:val="20"/>
                <w:color w:val="auto"/>
              </w:rPr>
            </w:pPr>
            <w:r>
              <w:rPr>
                <w:rFonts w:ascii="Times New Roman" w:cs="Times New Roman" w:eastAsia="Times New Roman" w:hAnsi="Times New Roman"/>
                <w:sz w:val="18"/>
                <w:szCs w:val="18"/>
                <w:color w:val="auto"/>
              </w:rPr>
              <w:t>3.74 %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23,114</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21,683</w:t>
            </w:r>
          </w:p>
        </w:tc>
        <w:tc>
          <w:tcPr>
            <w:tcW w:w="0" w:type="dxa"/>
            <w:vAlign w:val="bottom"/>
          </w:tcPr>
          <w:p>
            <w:pPr>
              <w:spacing w:after="0"/>
              <w:rPr>
                <w:sz w:val="1"/>
                <w:szCs w:val="1"/>
                <w:color w:val="auto"/>
              </w:rPr>
            </w:pPr>
          </w:p>
        </w:tc>
      </w:tr>
      <w:tr>
        <w:trPr>
          <w:trHeight w:val="221"/>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with maturities greater than 10 years, at face value</w:t>
            </w:r>
          </w:p>
        </w:tc>
        <w:tc>
          <w:tcPr>
            <w:tcW w:w="1800" w:type="dxa"/>
            <w:vAlign w:val="bottom"/>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4.03 %</w:t>
            </w:r>
          </w:p>
        </w:tc>
        <w:tc>
          <w:tcPr>
            <w:tcW w:w="23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4.54 %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54,203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46,653</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 obligations</w:t>
            </w:r>
          </w:p>
        </w:tc>
        <w:tc>
          <w:tcPr>
            <w:tcW w:w="1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w:t>
            </w:r>
          </w:p>
        </w:tc>
        <w:tc>
          <w:tcPr>
            <w:tcW w:w="1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for acquisition accounting and hedged positions, net</w:t>
            </w:r>
            <w:r>
              <w:rPr>
                <w:rFonts w:ascii="Times New Roman" w:cs="Times New Roman" w:eastAsia="Times New Roman" w:hAnsi="Times New Roman"/>
                <w:sz w:val="23"/>
                <w:szCs w:val="23"/>
                <w:color w:val="auto"/>
                <w:vertAlign w:val="superscript"/>
              </w:rPr>
              <w:t>(a)</w:t>
            </w:r>
          </w:p>
        </w:tc>
        <w:tc>
          <w:tcPr>
            <w:tcW w:w="18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0" w:type="dxa"/>
            <w:vAlign w:val="bottom"/>
          </w:tcPr>
          <w:p>
            <w:pPr>
              <w:jc w:val="right"/>
              <w:ind w:right="77"/>
              <w:spacing w:after="0" w:line="214" w:lineRule="exact"/>
              <w:rPr>
                <w:sz w:val="20"/>
                <w:szCs w:val="20"/>
                <w:color w:val="auto"/>
              </w:rPr>
            </w:pPr>
            <w:r>
              <w:rPr>
                <w:rFonts w:ascii="Times New Roman" w:cs="Times New Roman" w:eastAsia="Times New Roman" w:hAnsi="Times New Roman"/>
                <w:sz w:val="18"/>
                <w:szCs w:val="18"/>
                <w:b w:val="1"/>
                <w:bCs w:val="1"/>
                <w:color w:val="auto"/>
              </w:rPr>
              <w:t xml:space="preserve">3.60 % </w:t>
            </w:r>
            <w:r>
              <w:rPr>
                <w:rFonts w:ascii="Times New Roman" w:cs="Times New Roman" w:eastAsia="Times New Roman" w:hAnsi="Times New Roman"/>
                <w:sz w:val="23"/>
                <w:szCs w:val="23"/>
                <w:color w:val="auto"/>
                <w:vertAlign w:val="superscript"/>
              </w:rPr>
              <w:t>(a)</w:t>
            </w:r>
          </w:p>
        </w:tc>
        <w:tc>
          <w:tcPr>
            <w:tcW w:w="2380" w:type="dxa"/>
            <w:vAlign w:val="bottom"/>
          </w:tcPr>
          <w:p>
            <w:pPr>
              <w:jc w:val="right"/>
              <w:ind w:right="416"/>
              <w:spacing w:after="0" w:line="214" w:lineRule="exact"/>
              <w:rPr>
                <w:sz w:val="20"/>
                <w:szCs w:val="20"/>
                <w:color w:val="auto"/>
              </w:rPr>
            </w:pPr>
            <w:r>
              <w:rPr>
                <w:rFonts w:ascii="Times New Roman" w:cs="Times New Roman" w:eastAsia="Times New Roman" w:hAnsi="Times New Roman"/>
                <w:sz w:val="18"/>
                <w:szCs w:val="18"/>
                <w:color w:val="auto"/>
              </w:rPr>
              <w:t xml:space="preserve">3.78 % </w:t>
            </w:r>
            <w:r>
              <w:rPr>
                <w:rFonts w:ascii="Times New Roman" w:cs="Times New Roman" w:eastAsia="Times New Roman" w:hAnsi="Times New Roman"/>
                <w:sz w:val="23"/>
                <w:szCs w:val="23"/>
                <w:color w:val="auto"/>
                <w:vertAlign w:val="superscript"/>
              </w:rPr>
              <w:t>(a)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103,760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102,217</w:t>
            </w:r>
          </w:p>
        </w:tc>
        <w:tc>
          <w:tcPr>
            <w:tcW w:w="0" w:type="dxa"/>
            <w:vAlign w:val="bottom"/>
          </w:tcPr>
          <w:p>
            <w:pPr>
              <w:spacing w:after="0"/>
              <w:rPr>
                <w:sz w:val="1"/>
                <w:szCs w:val="1"/>
                <w:color w:val="auto"/>
              </w:rPr>
            </w:pPr>
          </w:p>
        </w:tc>
      </w:tr>
      <w:tr>
        <w:trPr>
          <w:trHeight w:val="238"/>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0" w:type="dxa"/>
            <w:vAlign w:val="bottom"/>
            <w:tcBorders>
              <w:bottom w:val="single" w:sz="8" w:color="0C6DFF"/>
            </w:tcBorders>
          </w:tcPr>
          <w:p>
            <w:pPr>
              <w:spacing w:after="0"/>
              <w:rPr>
                <w:sz w:val="19"/>
                <w:szCs w:val="19"/>
                <w:color w:val="auto"/>
              </w:rPr>
            </w:pPr>
          </w:p>
        </w:tc>
        <w:tc>
          <w:tcPr>
            <w:tcW w:w="2380" w:type="dxa"/>
            <w:vAlign w:val="bottom"/>
            <w:tcBorders>
              <w:bottom w:val="single" w:sz="8" w:color="0C6DFF"/>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100,614</w:t>
            </w:r>
          </w:p>
        </w:tc>
        <w:tc>
          <w:tcPr>
            <w:tcW w:w="320" w:type="dxa"/>
            <w:vAlign w:val="bottom"/>
            <w:tcBorders>
              <w:bottom w:val="single" w:sz="8" w:color="0C6D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97,765</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effects of our derivative financial instruments.</w:t>
      </w:r>
    </w:p>
    <w:p>
      <w:pPr>
        <w:spacing w:after="0" w:line="109" w:lineRule="exact"/>
        <w:rPr>
          <w:rFonts w:ascii="Times New Roman" w:cs="Times New Roman" w:eastAsia="Times New Roman" w:hAnsi="Times New Roman"/>
          <w:sz w:val="14"/>
          <w:szCs w:val="14"/>
          <w:color w:val="auto"/>
        </w:rPr>
      </w:pPr>
    </w:p>
    <w:p>
      <w:pPr>
        <w:jc w:val="both"/>
        <w:ind w:left="260" w:hanging="252"/>
        <w:spacing w:after="0" w:line="261" w:lineRule="auto"/>
        <w:tabs>
          <w:tab w:leader="none" w:pos="2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2020, included in our outstanding debt were foreign currency denominated borrowings with principal amounts of £4.7 billion, €7.3 billion, ¥238.5 billion and ¥16.4 billion RMB. As of December 31, 2019, included in our outstanding debt were foreign currency denominated borrowings with principal amounts of £4.9 billion, €4.9 billion, ¥267 billion and ¥9 billion RMB.</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notes are unsubordinated and unsecured obligations and are subject to parent and/or subsidiary guarantees. As of December 31, 2020 and 2019, our debt had an estimated fair value of $125.6 billion and $115.8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91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34"/>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80,624</w:t>
            </w:r>
          </w:p>
        </w:tc>
      </w:tr>
    </w:tbl>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cross-currency swaps as cash flow hedges for foreign currency denominated debt obligations when those obligations are denominated in a currency other than the functional currency. Cross-currency swaps effectively convert foreign currency denominated debt to debt denominated in the functional currency, which hedge currency exchange risks associated with foreign currency denominated cash flows such as interest and principal debt repayments. As of December 31, 2020 and 2019, we had cross-currency swaps designated as cash flow hedges on $1.7 billion and $3.7 billion of our foreign currency denominated debt, respectively. As of December 31, 2020 and 2019, the aggregate estimated fair values of cross-currency swaps designated as cash flow hedges were a net liability of $45 million and a net asset of $373 million, respectively.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foreign exchange risk on the consolidation of our foreign operations. We have foreign currency denominated debt and cross-currency swaps designated as hedges of our net investments in certain of these subsidiaries. Transaction gains and losses resulting from currency movements on debt and changes in fair value of cross-currency swaps designated as net investment hedges are recorded within the currency translation adjustments component of accumulated other comprehensive income (loss). As of December 31, 2020 and 2019, the amount of our net investment in foreign subsidiaries hedged using foreign currency denominated debt was $10.3 billion and $9.2 billion, respectively, and the amount of our net investment in foreign subsidiaries hedged using cross-currency swaps was $4.0 billion and $4.8 billion, respectively. As of December 31, 2020 and 2019, the aggregate estimated fair value of these cross-currency swaps was a net liability of $376 million and $373 million, respectively. The amount of pre-tax gains (losses) related to net investment hedges recognized in the cumulative translation adjustments component of other comprehensive income (loss) were losses of $686 million in 2020, gains of $343 million in 2019 and losses of $3 million in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Revolving Credit Facilities and Commercial Paper Programs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we had $9.2 billion of revolving credit facilities due 2022 with a syndicate of banks that may be used for general corporate purposes. In June 2019, we amended the terms of our revolving credit facilities to extend their expiration dates from May 26, 2021 to May 26, 2022. We may increase the commitment under the revolving credit facilities up to a total of $12 billion, as well as extend the expiration dates to no later than 2023, subject to approval of the lenders. The interest rates on the revolving credit facilities consist of a base rate plus a borrowing margin that is determined based on Comcast’s credit rating. As of December 31, 2020, the borrowing margin for borrowings based on the London Interbank Offered Rate was 1.00%. Our revolving credit facilities require that we maintain certain financial ratios based on debt and EBITDA, as defined in the revolving credit facilities. We were in compliance with all financial covenants for all periods presented.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commercial paper programs are supported by our revolving credit facility and provides a lower cost source of borrowing to fund short-term working capital requirements.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and 2019, we had no borrowings outstanding under our commercial paper programs or revolving credit facilities. As of December 31, 2020, amounts available under our revolving credit facilities, net of amounts outstanding under our commercial paper programs and outstanding letters of credit and bank guarantees, totaled $9.2 billion.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we and certain of our subsidiaries had undrawn irrevocable standby letters of credit and bank guarantees totaling $320 million to cover potential fundings under various agreements.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006EBF"/>
        </w:rPr>
        <w:t>Sky Transaction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2018, we acquired Sky for £17.28 per Sky share and total cash consideration of £30.2 billion (approximately $39.4 billion using the exchange rates on the purchase dates). We financed the acquisition through a combination of fixed and floating rate senior notes, the issuance of term loans and cash on hand.</w:t>
      </w:r>
    </w:p>
    <w:p>
      <w:pPr>
        <w:spacing w:after="0" w:line="200" w:lineRule="exact"/>
        <w:rPr>
          <w:sz w:val="20"/>
          <w:szCs w:val="20"/>
          <w:color w:val="auto"/>
        </w:rPr>
      </w:pPr>
    </w:p>
    <w:p>
      <w:pPr>
        <w:spacing w:after="0" w:line="30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Acquisition-Related Costs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Sky transaction, we incurred expenses in 2018 related to legal, accounting, valuation and other professional services, which are reflected in other operating and administrative expenses. We also incurred certain financing costs associated with our borrowings, which are reflected in interest expense. The table below presents the amounts related to these expenses included in our consolidated statement of income. The amounts below do not reflect the costs of any integration activities or costs related to synergies that may be achieved as a result of the acquisition.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780" w:type="dxa"/>
            <w:vAlign w:val="bottom"/>
            <w:gridSpan w:val="2"/>
          </w:tcPr>
          <w:p>
            <w:pPr>
              <w:ind w:left="326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auto"/>
            </w:tcBorders>
            <w:vMerge w:val="continue"/>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1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administrative expenses</w:t>
            </w:r>
          </w:p>
        </w:tc>
        <w:tc>
          <w:tcPr>
            <w:tcW w:w="358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58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Unaudited Pro Forma Information</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Sky transaction occurred on January 1, 2017. This information is based on historical results of operations, adjusted for allocation of purchase price and other acquisition accounting adjustments, and is not necessarily indicative of what the results would have been had we operated the business since January 1, 2017. For pro forma purposes, 2018 earnings were adjusted to exclude acquisition-related costs noted above. No pro forma adjustments have been made for cost savings or synergies that have been or may be achieved by the combined businesses. The years ended December 31, 2020 and 2019 are not presented as Sky is included in the consolidated results for those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2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Comcast Corporation</w:t>
            </w:r>
          </w:p>
        </w:tc>
        <w:tc>
          <w:tcPr>
            <w:tcW w:w="2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Comcast Corporation shareholders</w:t>
            </w:r>
          </w:p>
        </w:tc>
        <w:tc>
          <w:tcPr>
            <w:tcW w:w="2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Comcast Corporation shareholders</w:t>
            </w:r>
          </w:p>
        </w:tc>
        <w:tc>
          <w:tcPr>
            <w:tcW w:w="2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we entered into an agreement with a consortium of Chinese state-owned companies to build and operate Universal Beijing Resort, a theme park and resort in Beijing, China.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covenants and a maximum borrowing limit of ¥26.6 billion RMB (approximately $4 billion). The debt financing is secured by the assets of Universal Beijing Resort and the equity interests of the investors. As of December 31, 2020, Universal Beijing Resort had $2.5 billion principal amount of a term loan outstanding under the debt financing agreement.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2018, Universal Beijing Resort received initial equity investments through a combination of cash and noncash contributions from the investors. As of December 31, 2020, our consolidated balance sheet included assets, primarily property and equipment, and liabilities, including the term loan, of Universal Beijing Resort totaling $5.1 billion and $3.6 billion, respectively.</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90</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8: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2019, the Financial Accounting Standards Board (“FASB”) updated the accounting guidance related to film and television content. The updated guidance aligned the accounting for production costs of owned episodic television series with those of films, allowing for costs to be capitalized in excess of amounts of revenue contracted for each episode. The guidance also updated certain presentation and disclosure requirements for capitalized film and television content, and when content is predominantly monetized with other owned or licensed content the guidance requires impairment testing for capitalized film and television content to be performed at a film group level and amortization to be based on usage. We adopted the updated guidance on January 1, 2020 on a prospective basis and as a result, prior period amounts were not adjusted.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adoption, we now present all capitalized film and television content, including licensed content and sports advances previously classified as current programming rights, as noncurrent film and television costs in the consolidated balance sheet. The adoption of the updated accounting guidance did not have a material impact on our consolidated results of operations or financial position. See Note 4 for further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FASB updated the accounting guidance related to the measurement of credit losses on financial instruments, including trade receivables and loans. The updated guidance requires the recognition of credit losses on financial instruments based on an estimate of expected losses, replacing the incurred loss model in the prior guidance. We adopted the updated guidance on January 1, 2020 on a prospective basis, recording $124 million, net of tax, as a cumulative effect adjustment to retained earnings and as a result, prior period amounts were not adjusted. The adoption of the updated accounting guidance did not have a material impact on our consolidated results of operations or financial position for any periods presented.</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9: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 and Other Income (Loss),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(113)</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(505)</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154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1,014</w:t>
            </w:r>
          </w:p>
        </w:tc>
        <w:tc>
          <w:tcPr>
            <w:tcW w:w="660" w:type="dxa"/>
            <w:vAlign w:val="bottom"/>
          </w:tcPr>
          <w:p>
            <w:pPr>
              <w:spacing w:after="0"/>
              <w:rPr>
                <w:sz w:val="19"/>
                <w:szCs w:val="19"/>
                <w:color w:val="auto"/>
              </w:rPr>
            </w:pPr>
          </w:p>
        </w:tc>
        <w:tc>
          <w:tcPr>
            <w:tcW w:w="96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rPr>
              <w:t>656</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8"/>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259</w:t>
            </w: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rPr>
              <w:t>287</w:t>
            </w: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54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1,160</w:t>
            </w:r>
          </w:p>
        </w:tc>
        <w:tc>
          <w:tcPr>
            <w:tcW w:w="66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tcPr>
          <w:p>
            <w:pPr>
              <w:jc w:val="center"/>
              <w:ind w:left="274"/>
              <w:spacing w:after="0"/>
              <w:rPr>
                <w:sz w:val="20"/>
                <w:szCs w:val="20"/>
                <w:color w:val="auto"/>
              </w:rPr>
            </w:pPr>
            <w:r>
              <w:rPr>
                <w:rFonts w:ascii="Times New Roman" w:cs="Times New Roman" w:eastAsia="Times New Roman" w:hAnsi="Times New Roman"/>
                <w:sz w:val="18"/>
                <w:szCs w:val="18"/>
                <w:color w:val="auto"/>
              </w:rPr>
              <w:t>438</w:t>
            </w:r>
          </w:p>
        </w:tc>
        <w:tc>
          <w:tcPr>
            <w:tcW w:w="68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bl>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unrealized gains (losses) recognized in 2020, 2019 and 2018 that related to marketable and nonmarketable equity securities still held as of the end of each reporting period was $339 million, $237 million and $(200) million, respectively.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5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6,006</w:t>
            </w:r>
          </w:p>
        </w:tc>
        <w:tc>
          <w:tcPr>
            <w:tcW w:w="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5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460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15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1,950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8"/>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143</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50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8,559</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15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292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8"/>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Investment securing collateralized obligation</w:t>
            </w:r>
          </w:p>
        </w:tc>
        <w:tc>
          <w:tcPr>
            <w:tcW w:w="1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447</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69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Noncurrent investments</w:t>
            </w:r>
          </w:p>
        </w:tc>
        <w:tc>
          <w:tcPr>
            <w:tcW w:w="1500" w:type="dxa"/>
            <w:vAlign w:val="bottom"/>
            <w:tcBorders>
              <w:bottom w:val="single" w:sz="8" w:color="0C6D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7,820</w:t>
            </w:r>
          </w:p>
        </w:tc>
        <w:tc>
          <w:tcPr>
            <w:tcW w:w="640" w:type="dxa"/>
            <w:vAlign w:val="bottom"/>
            <w:tcBorders>
              <w:bottom w:val="single" w:sz="8" w:color="0C6DFF"/>
            </w:tcBorders>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685"/>
        </w:trPr>
        <w:tc>
          <w:tcPr>
            <w:tcW w:w="694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91</w:t>
            </w:r>
          </w:p>
        </w:tc>
        <w:tc>
          <w:tcPr>
            <w:tcW w:w="150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Comcast 2020 Annual Report on Form 10-K</w:t>
            </w:r>
          </w:p>
        </w:tc>
      </w:tr>
      <w:tr>
        <w:trPr>
          <w:trHeight w:val="328"/>
        </w:trPr>
        <w:tc>
          <w:tcPr>
            <w:tcW w:w="6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2016, we established Atairos Group, Inc., a strategic company focused on investing in and operating companies in a range of industries and business sectors, both domestically and internationally. Atairos is controlled by management companies led by our former CFO through interests that carry all of the voting rights. We are the only third-party investor in Atairos.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2020, we amended our agreement with Atairos, which primarily extended the investment term of the agreement from up to 12 years to up to 16.5 years, extended the period in which capital can be recycled to the full investment period and decreased our commitment to fund Atairos from up to $5 billion to up to $4.5 billion in the aggregate at any one time, subject to certain offsets, with the maximum amount of annual capital calls reduced to $400 million, plus certain amounts previously distributed. In addition, we have separately committed to fund Atairos $45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Atairos may pledge our remaining unfunded capital commitment as security to lenders in connection with certain financing arrangements. This has no effect on our funding commitments. There are no other liquidity arrangements, guarantees or other financial commitments between Comcast and Atairos, and therefore our maximum risk of financial loss is our investment balance and our remaining unfunded capital commitment of $1.3 billion as of December 31, 2020.</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2020, 2019 and 2018, we made cash capital contributions totaling $383 million, $571 million and $282 million, respectively, to Atairos. As of December 31, 2020 and 2019, our investment was $3.9 billion and $3.2 billion,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2018, we sold a controlling interest in our arena management-related businesses to Atairos and received as consideration additional equity interests in Atairos. In connection with the sale of the businesses, we recognized a pre-tax gain of $200 million in other operating gains.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2019, we entered into a series of agreements (the “Hulu Transaction”) with The Walt Disney Company and certain of its subsidiaries, whereby we relinquished our board seats and substantially all voting rights associated with our investment in Hulu, and Disney assumed full operational control. We also acquired our proportionate share of the approximate 10% interest in Hulu previously held by AT&amp;T for approximately $477 million, increasing our ownership interest to approximately 33% from approximately 30%.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92</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Hulu Transaction, we agreed to extend certain licenses of NBCUniversal content until late 2024. We can terminate most of our content license agreements with Hulu beginning in 2022, and beginning in 2020, we have the right to modify certain content licenses that are currently exclusive to Hulu, so that we can exhibit the content on our platforms in return for reducing the license fee.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consolidated balance sheet in the captions “investment securing collateralized obligation” and “collateralized obligation”, respectively. The recorded value of our investment reflects our historical cost in applying the equity method, and as a result, is less than its fair value. As of December 31, 2020, our collateralized obligation had both a carrying value and estimated fair value of $5.2 billion. The estimated fair value was based on Level 2 inputs that use interest rates for debt with similar terms and remaining maturities.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investments with readily determinable fair values that are not accounted for under the equity method as marketable equity securities. The changes in fair value of our marketable equity securities between measurement dates are recorded in realized and unrealized gains (losses) on equity securities, net. The fair values of our marketable equity securities are based on Level 1 inputs that use quoted market prices.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the measurement alternative, adjusting the investments for observable price changes of identical or similar investments of the same issuer, to a majority of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06EBF"/>
        </w:rPr>
        <w:t>AirTouch</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2020, Verizon Americas, Inc., formerly known as AirTouch Communications, Inc. (“AirTouch”), redeemed the two series of preferred stock held by the Company and we received cash payments totaling $1.7 billion. As of December 31, 2019, our investment in AirTouch was $1.6 billion, and was included in other current assets.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2020, we redeemed and repurchased the related three series of preferred shares issued by one of our consolidated subsidiaries and made cash payments totaling $1.8 billion. As of December 31, 2019, the two series of redeemable subsidiary preferred shares and the one series of nonredeemable subsidiary preferred shares were recorded at $1.7 billion and $100 million, respectively, and were included in other current liabilities and in noncontrolling interests, respectively, in our consolidated balance sheet.</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and held to maturity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and our held to maturity investments, we record the impairment to other income (loss), net.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10: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rPr>
              <w:t>Weighted-Average</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rPr>
              <w:t>Original Useful Life</w:t>
            </w: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rPr>
              <w:t>as of December 31, 2020</w:t>
            </w:r>
          </w:p>
        </w:tc>
        <w:tc>
          <w:tcPr>
            <w:tcW w:w="10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30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 xml:space="preserve">11 years   </w:t>
            </w:r>
            <w:r>
              <w:rPr>
                <w:rFonts w:ascii="Times New Roman" w:cs="Times New Roman" w:eastAsia="Times New Roman" w:hAnsi="Times New Roman"/>
                <w:sz w:val="18"/>
                <w:szCs w:val="18"/>
                <w:b w:val="1"/>
                <w:bCs w:val="1"/>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40,861</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6 years</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26,323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theme park infrastructure and leasehold improvements</w:t>
            </w: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31 years</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15,885</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equipment</w:t>
            </w: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9 years</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14,371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0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7,095</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1,848</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106,383</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101,561</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54,388</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53,239</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0" w:type="dxa"/>
            <w:vAlign w:val="bottom"/>
            <w:tcBorders>
              <w:bottom w:val="single" w:sz="8" w:color="0C6DFF"/>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51,995</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 of cash flows.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Cable Communications capitalizes the costs associated with the construction of and improvements to our cable transmission and distribution facilities, including scalable infrastructure and line extensions; costs associated with acquiring and deploying new customer premise equipment; and costs associated with installation of our services, including the customer’s connection to our network, in accordance with the accounting guidance related to cable television companies. Costs capitalized include all direct costs for labor and materials, as well as various indirect costs. Costs incurred in connection with subsequent disconnects, and reconnects of previously deployed customer premise equipment, are expensed as they are incurred.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11: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Goodwill</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193"/>
              <w:spacing w:after="0"/>
              <w:rPr>
                <w:sz w:val="20"/>
                <w:szCs w:val="20"/>
                <w:color w:val="auto"/>
              </w:rPr>
            </w:pPr>
            <w:r>
              <w:rPr>
                <w:rFonts w:ascii="Times New Roman" w:cs="Times New Roman" w:eastAsia="Times New Roman" w:hAnsi="Times New Roman"/>
                <w:sz w:val="14"/>
                <w:szCs w:val="14"/>
                <w:color w:val="auto"/>
              </w:rPr>
              <w:t>NBCUniversal</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Cable</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Cable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Broadcast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Filmed</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Theme</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Networks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Television</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Parks</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Sky</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and Other</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66,154</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3"/>
        </w:trPr>
        <w:tc>
          <w:tcPr>
            <w:tcW w:w="288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4"/>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1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8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68,725</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38"/>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23"/>
        </w:trPr>
        <w:tc>
          <w:tcPr>
            <w:tcW w:w="28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86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15,264</w:t>
            </w:r>
          </w:p>
        </w:tc>
        <w:tc>
          <w:tcPr>
            <w:tcW w:w="22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13,994</w:t>
            </w:r>
          </w:p>
        </w:tc>
        <w:tc>
          <w:tcPr>
            <w:tcW w:w="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200" w:type="dxa"/>
            <w:vAlign w:val="bottom"/>
            <w:tcBorders>
              <w:bottom w:val="single" w:sz="8" w:color="0C6D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3,344</w:t>
            </w:r>
          </w:p>
        </w:tc>
        <w:tc>
          <w:tcPr>
            <w:tcW w:w="22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7,053</w:t>
            </w:r>
          </w:p>
        </w:tc>
        <w:tc>
          <w:tcPr>
            <w:tcW w:w="240" w:type="dxa"/>
            <w:vAlign w:val="bottom"/>
            <w:tcBorders>
              <w:bottom w:val="single" w:sz="8" w:color="0C6D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29,950</w:t>
            </w:r>
          </w:p>
        </w:tc>
        <w:tc>
          <w:tcPr>
            <w:tcW w:w="1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70,669</w:t>
            </w:r>
          </w:p>
        </w:tc>
      </w:tr>
    </w:tbl>
    <w:p>
      <w:pPr>
        <w:spacing w:after="0" w:line="139" w:lineRule="exact"/>
        <w:rPr>
          <w:sz w:val="20"/>
          <w:szCs w:val="20"/>
          <w:color w:val="auto"/>
        </w:rPr>
      </w:pPr>
    </w:p>
    <w:p>
      <w:pPr>
        <w:ind w:left="260" w:right="20" w:hanging="252"/>
        <w:spacing w:after="0" w:line="282"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2019 primarily included 1) measurement period adjustments resulting from finalization of acquisition accounting for Sky and 2) the final assignment of goodwill resulting from the Sky transaction to our reporting units.</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We have not recognized any material impairment charges.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2019</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Weighted-Average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Gross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Original Useful Life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Carrying</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29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as of December 31, 2020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59,365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Franchise rights</w:t>
            </w:r>
          </w:p>
        </w:tc>
        <w:tc>
          <w:tcPr>
            <w:tcW w:w="29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FCC licenses</w:t>
            </w: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2,804</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22,197</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(8,914)</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 years</w:t>
            </w:r>
          </w:p>
        </w:tc>
        <w:tc>
          <w:tcPr>
            <w:tcW w:w="9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2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17,819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38"/>
        </w:trPr>
        <w:tc>
          <w:tcPr>
            <w:tcW w:w="3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agreements and rights</w:t>
            </w:r>
          </w:p>
        </w:tc>
        <w:tc>
          <w:tcPr>
            <w:tcW w:w="29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 years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0C6DFF"/>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114,579</w:t>
            </w:r>
          </w:p>
        </w:tc>
        <w:tc>
          <w:tcPr>
            <w:tcW w:w="28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(19,825)</w:t>
            </w:r>
          </w:p>
        </w:tc>
        <w:tc>
          <w:tcPr>
            <w:tcW w:w="36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112,710</w:t>
            </w:r>
          </w:p>
        </w:tc>
        <w:tc>
          <w:tcPr>
            <w:tcW w:w="320" w:type="dxa"/>
            <w:vAlign w:val="bottom"/>
            <w:tcBorders>
              <w:bottom w:val="single" w:sz="8" w:color="0C6D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95</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The purchase of spectrum rights is presented separately in our consolidated statement of cash flows.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Borders>
              <w:top w:val="single" w:sz="8" w:color="auto"/>
            </w:tcBorders>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2021</w:t>
            </w:r>
          </w:p>
        </w:tc>
        <w:tc>
          <w:tcPr>
            <w:tcW w:w="5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29"/>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2022</w:t>
            </w:r>
          </w:p>
        </w:tc>
        <w:tc>
          <w:tcPr>
            <w:tcW w:w="5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2023</w:t>
            </w:r>
          </w:p>
        </w:tc>
        <w:tc>
          <w:tcPr>
            <w:tcW w:w="5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2024</w:t>
            </w:r>
          </w:p>
        </w:tc>
        <w:tc>
          <w:tcPr>
            <w:tcW w:w="5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4"/>
        </w:trPr>
        <w:tc>
          <w:tcPr>
            <w:tcW w:w="5100" w:type="dxa"/>
            <w:vAlign w:val="bottom"/>
            <w:tcBorders>
              <w:bottom w:val="single" w:sz="8" w:color="auto"/>
            </w:tcBorders>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2025</w:t>
            </w:r>
          </w:p>
        </w:tc>
        <w:tc>
          <w:tcPr>
            <w:tcW w:w="5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acquired in business combinations, software, trade names and intellectual property rights. Our finite-lived intangible assets are amortized primarily on a straight-line basis over their estimated useful life or the term of the associated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2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have purchased life insurance policies to recover a portion of the future payments related to our deferred compensation plans. As of December 31, 2020 and 2019, the cash surrender value of these policies, which is recorded to other noncurrent assets, net, was $481 million and $423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2020, 2019 and 2018, expenses related to these plans totaled $599 million, $573 million and $546 million,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In 2020, 2019 and 2018, the total contributions we made to multiemployer benefit plans were not material.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In the aggregate, holders of our Class A common stock have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and holders of our Class B common stock have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Shares of Common Stock Outstanding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9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Class A</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B</w:t>
            </w:r>
          </w:p>
        </w:tc>
      </w:tr>
      <w:tr>
        <w:trPr>
          <w:trHeight w:val="21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2017</w:t>
            </w:r>
          </w:p>
        </w:tc>
        <w:tc>
          <w:tcPr>
            <w:tcW w:w="3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4,635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and retirements of common stock</w:t>
            </w:r>
          </w:p>
        </w:tc>
        <w:tc>
          <w:tcPr>
            <w:tcW w:w="39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(140)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3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3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4,517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3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3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4,544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compensation plans</w:t>
            </w:r>
          </w:p>
        </w:tc>
        <w:tc>
          <w:tcPr>
            <w:tcW w:w="39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stock purchase plans</w:t>
            </w:r>
          </w:p>
        </w:tc>
        <w:tc>
          <w:tcPr>
            <w:tcW w:w="3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2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3920" w:type="dxa"/>
            <w:vAlign w:val="bottom"/>
            <w:tcBorders>
              <w:bottom w:val="single" w:sz="8" w:color="0C6DFF"/>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4,571</w:t>
            </w:r>
          </w:p>
        </w:tc>
        <w:tc>
          <w:tcPr>
            <w:tcW w:w="10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Weighted-Average Common Shares Outstanding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4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2019</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4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2460" w:type="dxa"/>
            <w:vAlign w:val="bottom"/>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4,574</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4,548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60" w:type="dxa"/>
            <w:vAlign w:val="bottom"/>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50</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63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460" w:type="dxa"/>
            <w:vAlign w:val="bottom"/>
            <w:tcBorders>
              <w:bottom w:val="single" w:sz="8" w:color="0C6DFF"/>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4,624</w:t>
            </w:r>
          </w:p>
        </w:tc>
        <w:tc>
          <w:tcPr>
            <w:tcW w:w="1440" w:type="dxa"/>
            <w:vAlign w:val="bottom"/>
            <w:tcBorders>
              <w:bottom w:val="single" w:sz="8" w:color="0C6DFF"/>
            </w:tcBorders>
          </w:tcPr>
          <w:p>
            <w:pPr>
              <w:jc w:val="right"/>
              <w:ind w:right="455"/>
              <w:spacing w:after="0"/>
              <w:rPr>
                <w:sz w:val="20"/>
                <w:szCs w:val="20"/>
                <w:color w:val="auto"/>
              </w:rPr>
            </w:pPr>
            <w:r>
              <w:rPr>
                <w:rFonts w:ascii="Times New Roman" w:cs="Times New Roman" w:eastAsia="Times New Roman" w:hAnsi="Times New Roman"/>
                <w:sz w:val="18"/>
                <w:szCs w:val="18"/>
                <w:color w:val="auto"/>
              </w:rPr>
              <w:t>4,610</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w:t>
      </w:r>
    </w:p>
    <w:p>
      <w:pPr>
        <w:spacing w:after="0" w:line="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average market price of our common stock. The amount of potential common shares related to our share-based compensation plans that were excluded from diluted EPS because their effect would have been antidilutive was not material in any of the periods presented.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Accumulated Other Comprehensive Income (Loss)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1,790</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1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203</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58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deferred taxes</w:t>
            </w:r>
          </w:p>
        </w:tc>
        <w:tc>
          <w:tcPr>
            <w:tcW w:w="1260" w:type="dxa"/>
            <w:vAlign w:val="bottom"/>
            <w:tcBorders>
              <w:bottom w:val="single" w:sz="8" w:color="0C6DFF"/>
            </w:tcBorders>
          </w:tcPr>
          <w:p>
            <w:pPr>
              <w:spacing w:after="0"/>
              <w:rPr>
                <w:sz w:val="19"/>
                <w:szCs w:val="19"/>
                <w:color w:val="auto"/>
              </w:rPr>
            </w:pPr>
          </w:p>
        </w:tc>
        <w:tc>
          <w:tcPr>
            <w:tcW w:w="940" w:type="dxa"/>
            <w:vAlign w:val="bottom"/>
            <w:tcBorders>
              <w:bottom w:val="single" w:sz="8" w:color="0C6DFF"/>
            </w:tcBorders>
          </w:tcPr>
          <w:p>
            <w:pPr>
              <w:spacing w:after="0"/>
              <w:rPr>
                <w:sz w:val="19"/>
                <w:szCs w:val="19"/>
                <w:color w:val="auto"/>
              </w:rPr>
            </w:pPr>
          </w:p>
        </w:tc>
        <w:tc>
          <w:tcPr>
            <w:tcW w:w="62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1,884</w:t>
            </w:r>
          </w:p>
        </w:tc>
        <w:tc>
          <w:tcPr>
            <w:tcW w:w="64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600"/>
        </w:trPr>
        <w:tc>
          <w:tcPr>
            <w:tcW w:w="5880" w:type="dxa"/>
            <w:vAlign w:val="bottom"/>
          </w:tcPr>
          <w:p>
            <w:pPr>
              <w:ind w:left="20"/>
              <w:spacing w:after="0"/>
              <w:rPr>
                <w:sz w:val="20"/>
                <w:szCs w:val="20"/>
                <w:color w:val="auto"/>
              </w:rPr>
            </w:pPr>
            <w:r>
              <w:rPr>
                <w:rFonts w:ascii="Arial" w:cs="Arial" w:eastAsia="Arial" w:hAnsi="Arial"/>
                <w:sz w:val="22"/>
                <w:szCs w:val="22"/>
                <w:b w:val="1"/>
                <w:bCs w:val="1"/>
                <w:color w:val="006EBF"/>
              </w:rPr>
              <w:t>Note 14: Share-Based Compensation</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9"/>
        </w:trPr>
        <w:tc>
          <w:tcPr>
            <w:tcW w:w="5880" w:type="dxa"/>
            <w:vAlign w:val="bottom"/>
            <w:tcBorders>
              <w:bottom w:val="single" w:sz="8" w:color="0C6DFF"/>
            </w:tcBorders>
          </w:tcPr>
          <w:p>
            <w:pPr>
              <w:spacing w:after="0"/>
              <w:rPr>
                <w:sz w:val="9"/>
                <w:szCs w:val="9"/>
                <w:color w:val="auto"/>
              </w:rPr>
            </w:pPr>
          </w:p>
        </w:tc>
        <w:tc>
          <w:tcPr>
            <w:tcW w:w="1260" w:type="dxa"/>
            <w:vAlign w:val="bottom"/>
            <w:tcBorders>
              <w:bottom w:val="single" w:sz="8" w:color="0C6DFF"/>
            </w:tcBorders>
          </w:tcPr>
          <w:p>
            <w:pPr>
              <w:spacing w:after="0"/>
              <w:rPr>
                <w:sz w:val="9"/>
                <w:szCs w:val="9"/>
                <w:color w:val="auto"/>
              </w:rPr>
            </w:pPr>
          </w:p>
        </w:tc>
        <w:tc>
          <w:tcPr>
            <w:tcW w:w="940" w:type="dxa"/>
            <w:vAlign w:val="bottom"/>
            <w:tcBorders>
              <w:bottom w:val="single" w:sz="8" w:color="0C6DFF"/>
            </w:tcBorders>
          </w:tcPr>
          <w:p>
            <w:pPr>
              <w:spacing w:after="0"/>
              <w:rPr>
                <w:sz w:val="9"/>
                <w:szCs w:val="9"/>
                <w:color w:val="auto"/>
              </w:rPr>
            </w:pPr>
          </w:p>
        </w:tc>
        <w:tc>
          <w:tcPr>
            <w:tcW w:w="620" w:type="dxa"/>
            <w:vAlign w:val="bottom"/>
            <w:tcBorders>
              <w:bottom w:val="single" w:sz="8" w:color="0C6DFF"/>
            </w:tcBorders>
          </w:tcPr>
          <w:p>
            <w:pPr>
              <w:spacing w:after="0"/>
              <w:rPr>
                <w:sz w:val="9"/>
                <w:szCs w:val="9"/>
                <w:color w:val="auto"/>
              </w:rPr>
            </w:pPr>
          </w:p>
        </w:tc>
        <w:tc>
          <w:tcPr>
            <w:tcW w:w="1000" w:type="dxa"/>
            <w:vAlign w:val="bottom"/>
            <w:tcBorders>
              <w:bottom w:val="single" w:sz="8" w:color="0C6DFF"/>
            </w:tcBorders>
          </w:tcPr>
          <w:p>
            <w:pPr>
              <w:spacing w:after="0"/>
              <w:rPr>
                <w:sz w:val="9"/>
                <w:szCs w:val="9"/>
                <w:color w:val="auto"/>
              </w:rPr>
            </w:pPr>
          </w:p>
        </w:tc>
        <w:tc>
          <w:tcPr>
            <w:tcW w:w="640" w:type="dxa"/>
            <w:vAlign w:val="bottom"/>
            <w:tcBorders>
              <w:bottom w:val="single" w:sz="8" w:color="0C6DFF"/>
            </w:tcBorders>
          </w:tcPr>
          <w:p>
            <w:pPr>
              <w:spacing w:after="0"/>
              <w:rPr>
                <w:sz w:val="9"/>
                <w:szCs w:val="9"/>
                <w:color w:val="auto"/>
              </w:rPr>
            </w:pPr>
          </w:p>
        </w:tc>
        <w:tc>
          <w:tcPr>
            <w:tcW w:w="900" w:type="dxa"/>
            <w:vAlign w:val="bottom"/>
            <w:tcBorders>
              <w:bottom w:val="single" w:sz="8" w:color="0C6DFF"/>
            </w:tcBorders>
          </w:tcPr>
          <w:p>
            <w:pPr>
              <w:spacing w:after="0"/>
              <w:rPr>
                <w:sz w:val="9"/>
                <w:szCs w:val="9"/>
                <w:color w:val="auto"/>
              </w:rPr>
            </w:pPr>
          </w:p>
        </w:tc>
      </w:tr>
      <w:tr>
        <w:trPr>
          <w:trHeight w:val="4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tables below provide information on our share-based compensation.</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2"/>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Recognized Share-Based Compensation Expense</w:t>
            </w:r>
          </w:p>
        </w:tc>
        <w:tc>
          <w:tcPr>
            <w:tcW w:w="1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8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2019</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628</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564</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294</w:t>
            </w:r>
          </w:p>
        </w:tc>
        <w:tc>
          <w:tcPr>
            <w:tcW w:w="62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38</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8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0C6DFF"/>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960</w:t>
            </w:r>
          </w:p>
        </w:tc>
        <w:tc>
          <w:tcPr>
            <w:tcW w:w="62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color w:val="auto"/>
              </w:rPr>
              <w:t>825</w:t>
            </w:r>
          </w:p>
        </w:tc>
        <w:tc>
          <w:tcPr>
            <w:tcW w:w="64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2020, all of our stock options outstanding were net settled stock options, which result in fewer shares being issued and no cash proceeds being received by us when the options are exercised.</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jc w:val="right"/>
              <w:ind w:right="675"/>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tcPr>
          <w:p>
            <w:pPr>
              <w:spacing w:after="0"/>
              <w:rPr>
                <w:sz w:val="15"/>
                <w:szCs w:val="15"/>
                <w:color w:val="auto"/>
              </w:rPr>
            </w:pPr>
          </w:p>
        </w:tc>
      </w:tr>
      <w:tr>
        <w:trPr>
          <w:trHeight w:val="207"/>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 of December 31, 2020, unless otherwise stated (in millions, except per share data)</w:t>
            </w:r>
          </w:p>
        </w:tc>
        <w:tc>
          <w:tcPr>
            <w:tcW w:w="2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Options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RSUs</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 during 2020</w:t>
            </w:r>
          </w:p>
        </w:tc>
        <w:tc>
          <w:tcPr>
            <w:tcW w:w="2140" w:type="dxa"/>
            <w:vAlign w:val="bottom"/>
          </w:tcPr>
          <w:p>
            <w:pPr>
              <w:spacing w:after="0"/>
              <w:rPr>
                <w:sz w:val="19"/>
                <w:szCs w:val="19"/>
                <w:color w:val="auto"/>
              </w:rPr>
            </w:pPr>
          </w:p>
        </w:tc>
        <w:tc>
          <w:tcPr>
            <w:tcW w:w="164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awards granted during 2020</w:t>
            </w:r>
          </w:p>
        </w:tc>
        <w:tc>
          <w:tcPr>
            <w:tcW w:w="2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42.42</w:t>
            </w:r>
          </w:p>
        </w:tc>
        <w:tc>
          <w:tcPr>
            <w:tcW w:w="900" w:type="dxa"/>
            <w:vAlign w:val="bottom"/>
            <w:tcBorders>
              <w:bottom w:val="single" w:sz="8" w:color="auto"/>
            </w:tcBorders>
          </w:tcPr>
          <w:p>
            <w:pPr>
              <w:spacing w:after="0"/>
              <w:rPr>
                <w:sz w:val="20"/>
                <w:szCs w:val="20"/>
                <w:color w:val="auto"/>
              </w:rPr>
            </w:pP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 and nonvested RSUs</w:t>
            </w:r>
          </w:p>
        </w:tc>
        <w:tc>
          <w:tcPr>
            <w:tcW w:w="2140" w:type="dxa"/>
            <w:vAlign w:val="bottom"/>
          </w:tcPr>
          <w:p>
            <w:pPr>
              <w:spacing w:after="0"/>
              <w:rPr>
                <w:sz w:val="18"/>
                <w:szCs w:val="18"/>
                <w:color w:val="auto"/>
              </w:rPr>
            </w:pPr>
          </w:p>
        </w:tc>
        <w:tc>
          <w:tcPr>
            <w:tcW w:w="164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stock options outstanding</w:t>
            </w:r>
          </w:p>
        </w:tc>
        <w:tc>
          <w:tcPr>
            <w:tcW w:w="2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35.94</w:t>
            </w:r>
          </w:p>
        </w:tc>
        <w:tc>
          <w:tcPr>
            <w:tcW w:w="900" w:type="dxa"/>
            <w:vAlign w:val="bottom"/>
          </w:tcPr>
          <w:p>
            <w:pPr>
              <w:spacing w:after="0"/>
              <w:rPr>
                <w:sz w:val="19"/>
                <w:szCs w:val="19"/>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grant date of nonvested RSUs</w:t>
            </w:r>
          </w:p>
        </w:tc>
        <w:tc>
          <w:tcPr>
            <w:tcW w:w="2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weighted-average fair value on the date of grant of RSUs and stock options awarded under our various plans and the related weighted-average valuation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2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2019</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fair value</w:t>
            </w:r>
          </w:p>
        </w:tc>
        <w:tc>
          <w:tcPr>
            <w:tcW w:w="2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41.71</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40.42</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fair value</w:t>
            </w:r>
          </w:p>
        </w:tc>
        <w:tc>
          <w:tcPr>
            <w:tcW w:w="2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6.61</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7.91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Valuation Assumptions:</w:t>
            </w:r>
          </w:p>
        </w:tc>
        <w:tc>
          <w:tcPr>
            <w:tcW w:w="2240" w:type="dxa"/>
            <w:vAlign w:val="bottom"/>
          </w:tcPr>
          <w:p>
            <w:pPr>
              <w:spacing w:after="0"/>
              <w:rPr>
                <w:sz w:val="19"/>
                <w:szCs w:val="19"/>
                <w:color w:val="auto"/>
              </w:rPr>
            </w:pPr>
          </w:p>
        </w:tc>
        <w:tc>
          <w:tcPr>
            <w:tcW w:w="11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2.2 %</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22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21.0 %</w:t>
            </w: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22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1.0 %</w:t>
            </w: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6.0</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we had unrecognized pretax compensation expense of $1.2 billion related to nonvested RSUs and unrecognized pretax compensation expense of $560 million related to nonvested stock options that will be recognized over a weighted-average period of approximately 1.5 years and 1.7 years, respectively. In 2020, 2019, and 2018, we recognized $150 million, $196 million and $75 million, respectively, as a reduction to income tax expense as a result of excess tax benefits associated with our share-based compensation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15: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Cash Payments for Interest and Income Taxes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8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3,878</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3,183</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2020:</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$1.9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right="2220" w:firstLine="332"/>
        <w:spacing w:after="0" w:line="375"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$1.1 billion for a quarterly cash dividend of $0.23 per common share paid in January 2021 During 2019: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$1.9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right="2120" w:firstLine="332"/>
        <w:spacing w:after="0" w:line="375"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$956 million for a quarterly cash dividend of $0.21 per common share paid in January 2020 During 2018:</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$860 million for a quarterly cash dividend of $0.19 per common share paid in January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noncash contributions from noncontrolling interests totaling $391 million related to Universal Beijing Resort (see Note 7)</w:t>
      </w:r>
    </w:p>
    <w:p>
      <w:pPr>
        <w:spacing w:after="0" w:line="1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Cash Equivalents and Restricted Cash</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2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11,740</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8"/>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 net</w:t>
            </w:r>
          </w:p>
        </w:tc>
        <w:tc>
          <w:tcPr>
            <w:tcW w:w="2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59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560" w:type="dxa"/>
            <w:vAlign w:val="bottom"/>
            <w:tcBorders>
              <w:bottom w:val="single" w:sz="8" w:color="0C6DFF"/>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11,768</w:t>
            </w:r>
          </w:p>
        </w:tc>
        <w:tc>
          <w:tcPr>
            <w:tcW w:w="640" w:type="dxa"/>
            <w:vAlign w:val="bottom"/>
            <w:tcBorders>
              <w:bottom w:val="single" w:sz="8" w:color="0C6DFF"/>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5,589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16: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Sports Rights and Licensed Content</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sports rights and licensed content. Refer to Note 4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consolidated statement of income for both the periods ended December 31, 2020 and 2019 was $1.1 billion. These amounts do not include lease costs associated with production activities or other amounts capitalized in our consolidated balance sheet, which are not material.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operating lease assets and liabilities recorded in our consolidated balance sheet.</w:t>
      </w:r>
    </w:p>
    <w:p>
      <w:pPr>
        <w:spacing w:after="0" w:line="9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Consolidated Balance Sheet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100" w:type="dxa"/>
            <w:vAlign w:val="bottom"/>
          </w:tcPr>
          <w:p>
            <w:pPr>
              <w:jc w:val="center"/>
              <w:ind w:left="3728"/>
              <w:spacing w:after="0"/>
              <w:rPr>
                <w:sz w:val="20"/>
                <w:szCs w:val="20"/>
                <w:color w:val="auto"/>
              </w:rPr>
            </w:pPr>
            <w:r>
              <w:rPr>
                <w:rFonts w:ascii="Times New Roman" w:cs="Times New Roman" w:eastAsia="Times New Roman" w:hAnsi="Times New Roman"/>
                <w:sz w:val="14"/>
                <w:szCs w:val="14"/>
                <w:color w:val="auto"/>
              </w:rPr>
              <w:t>December 31,</w:t>
            </w:r>
          </w:p>
        </w:tc>
        <w:tc>
          <w:tcPr>
            <w:tcW w:w="10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51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2020</w:t>
            </w: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5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4"/>
        </w:trPr>
        <w:tc>
          <w:tcPr>
            <w:tcW w:w="8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42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our future minimum lease commitments for operating leases as of December 31, 2020.</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9"/>
        </w:trPr>
        <w:tc>
          <w:tcPr>
            <w:tcW w:w="85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1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4"/>
        </w:trPr>
        <w:tc>
          <w:tcPr>
            <w:tcW w:w="8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34"/>
        </w:trPr>
        <w:tc>
          <w:tcPr>
            <w:tcW w:w="8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540" w:type="dxa"/>
            <w:vAlign w:val="bottom"/>
            <w:tcBorders>
              <w:bottom w:val="single" w:sz="8" w:color="0C6DFF"/>
            </w:tcBorders>
          </w:tcPr>
          <w:p>
            <w:pPr>
              <w:spacing w:after="0"/>
              <w:rPr>
                <w:sz w:val="19"/>
                <w:szCs w:val="19"/>
                <w:color w:val="auto"/>
              </w:rPr>
            </w:pPr>
          </w:p>
        </w:tc>
        <w:tc>
          <w:tcPr>
            <w:tcW w:w="760" w:type="dxa"/>
            <w:vAlign w:val="bottom"/>
            <w:tcBorders>
              <w:bottom w:val="single" w:sz="8" w:color="0C6D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0C6DFF"/>
            </w:tcBorders>
          </w:tcPr>
          <w:p>
            <w:pPr>
              <w:spacing w:after="0"/>
              <w:rPr>
                <w:sz w:val="19"/>
                <w:szCs w:val="19"/>
                <w:color w:val="auto"/>
              </w:rPr>
            </w:pPr>
          </w:p>
        </w:tc>
        <w:tc>
          <w:tcPr>
            <w:tcW w:w="13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terms for operating leases and the weighted-average discount rates used to calculate our operating lease liabilities as of December 31, 2020 were 9 years and 3.58%, respectively, and as of December 31, 2019 were 10 years and 3.74%,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2020 and 2019, cash payments for operating leases recorded in the consolidated balance sheet were $936 million and $914 million, respectively. Lease assets and liabilities associated with leases entered into during the year were not material.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2018 rent expense for operating leases using the accounting guidance in effect at that time was $779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460" w:val="left"/>
        </w:tabs>
        <w:rPr>
          <w:sz w:val="20"/>
          <w:szCs w:val="20"/>
          <w:color w:val="auto"/>
        </w:rPr>
      </w:pPr>
      <w:r>
        <w:rPr>
          <w:rFonts w:ascii="Times New Roman" w:cs="Times New Roman" w:eastAsia="Times New Roman" w:hAnsi="Times New Roman"/>
          <w:sz w:val="14"/>
          <w:szCs w:val="14"/>
          <w:color w:val="auto"/>
        </w:rPr>
        <w:t>Comcast 2020 Annual Report on Form 10-K</w:t>
      </w:r>
      <w:r>
        <w:rPr>
          <w:sz w:val="20"/>
          <w:szCs w:val="20"/>
          <w:color w:val="auto"/>
        </w:rPr>
        <w:tab/>
      </w:r>
      <w:r>
        <w:rPr>
          <w:rFonts w:ascii="Times New Roman" w:cs="Times New Roman" w:eastAsia="Times New Roman" w:hAnsi="Times New Roman"/>
          <w:sz w:val="14"/>
          <w:szCs w:val="14"/>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2020, our carrying value was $1.1 billion, and the estimated value of the contractual obligation was $1.7 billion based on inputs to the contractual formula as of that date.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NBCUniversal Enterprise is a holding company that we control and consolidate whose principal assets are its indirect interests in NBCUniversal. The holders of the Series A cumulative preferred stock of NBCUniversal Enterprise have the right to cause NBCUniversal Enterprise to redeem their shares at a price equal to the $725 million aggregate liquidation preference plus accrued but unpaid dividends for a 30 day period beginning March 19, 2020 and thereafter on every third anniversary of such date (each such date, a “put date”). The NBCUniversal Enterprise preferred stock pays dividends at a fixed rate of 5.25% per year. Shares of preferred stock can be called for redemption by NBCUniversal Enterprise at a price equal to the liquidation preference plus accrued but unpaid dividends one year following the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2020 and 2019, the fair value of the NBCUniversal Enterprise redeemable subsidiary preferred stock was $731 million and $749 million, respectively.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17: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First</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Second</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Third</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Fourth</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7"/>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Quarter</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Quarter</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Quarter</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Quarter</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Year</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26,609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23,715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25,532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103,564</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17,493</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2,147</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10,534</w:t>
            </w:r>
          </w:p>
        </w:tc>
        <w:tc>
          <w:tcPr>
            <w:tcW w:w="0" w:type="dxa"/>
            <w:vAlign w:val="bottom"/>
          </w:tcPr>
          <w:p>
            <w:pPr>
              <w:spacing w:after="0"/>
              <w:rPr>
                <w:sz w:val="1"/>
                <w:szCs w:val="1"/>
                <w:color w:val="auto"/>
              </w:rPr>
            </w:pPr>
          </w:p>
        </w:tc>
      </w:tr>
      <w:tr>
        <w:trPr>
          <w:trHeight w:val="184"/>
        </w:trPr>
        <w:tc>
          <w:tcPr>
            <w:tcW w:w="5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w:t>
            </w:r>
          </w:p>
        </w:tc>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0.74</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0" w:type="dxa"/>
            <w:vAlign w:val="bottom"/>
          </w:tcPr>
          <w:p>
            <w:pPr>
              <w:spacing w:after="0"/>
              <w:rPr>
                <w:sz w:val="1"/>
                <w:szCs w:val="1"/>
                <w:color w:val="auto"/>
              </w:rPr>
            </w:pPr>
          </w:p>
        </w:tc>
      </w:tr>
      <w:tr>
        <w:trPr>
          <w:trHeight w:val="221"/>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4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w:t>
            </w:r>
          </w:p>
        </w:tc>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0" w:type="dxa"/>
            <w:vAlign w:val="bottom"/>
          </w:tcPr>
          <w:p>
            <w:pPr>
              <w:spacing w:after="0"/>
              <w:rPr>
                <w:sz w:val="1"/>
                <w:szCs w:val="1"/>
                <w:color w:val="auto"/>
              </w:rPr>
            </w:pPr>
          </w:p>
        </w:tc>
      </w:tr>
      <w:tr>
        <w:trPr>
          <w:trHeight w:val="221"/>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4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108,942</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Comcast Corporation</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Basic earnings per common share attributable to Comcast Corporation</w:t>
            </w:r>
          </w:p>
        </w:tc>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5"/>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4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earnings per common share attributable to Comcast Corporation</w:t>
            </w:r>
          </w:p>
        </w:tc>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5"/>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4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Minor differences may exist due to rounding.</w:t>
      </w:r>
    </w:p>
    <w:p>
      <w:pPr>
        <w:spacing w:after="0" w:line="200" w:lineRule="exact"/>
        <w:rPr>
          <w:sz w:val="20"/>
          <w:szCs w:val="20"/>
          <w:color w:val="auto"/>
        </w:rPr>
      </w:pPr>
    </w:p>
    <w:p>
      <w:pPr>
        <w:spacing w:after="0" w:line="353" w:lineRule="exact"/>
        <w:rPr>
          <w:sz w:val="20"/>
          <w:szCs w:val="20"/>
          <w:color w:val="auto"/>
        </w:rPr>
      </w:pPr>
    </w:p>
    <w:p>
      <w:pPr>
        <w:ind w:left="548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101</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Management’s Report on Internal Control Over Financial Reporting on page 69.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Report of Independent Registered Public Accounting Firm on page 70.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200" w:type="dxa"/>
            <w:vAlign w:val="bottom"/>
          </w:tcPr>
          <w:p>
            <w:pPr>
              <w:jc w:val="right"/>
              <w:ind w:right="5468"/>
              <w:spacing w:after="0"/>
              <w:rPr>
                <w:sz w:val="20"/>
                <w:szCs w:val="20"/>
                <w:color w:val="auto"/>
              </w:rPr>
            </w:pPr>
            <w:r>
              <w:rPr>
                <w:rFonts w:ascii="Times New Roman" w:cs="Times New Roman" w:eastAsia="Times New Roman" w:hAnsi="Times New Roman"/>
                <w:sz w:val="14"/>
                <w:szCs w:val="14"/>
                <w:b w:val="1"/>
                <w:bCs w:val="1"/>
                <w:color w:val="auto"/>
              </w:rPr>
              <w:t>102</w:t>
            </w:r>
          </w:p>
        </w:tc>
      </w:tr>
      <w:tr>
        <w:trPr>
          <w:trHeight w:val="328"/>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We refer to this proxy statement as the 2021 Proxy Statement.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office of each of our executive officers continues until his successor is selected and qualified or until his earlier death, resignation or removal.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positions and tenure, as of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140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4"/>
                <w:szCs w:val="14"/>
                <w:color w:val="auto"/>
              </w:rPr>
              <w:t>Age</w:t>
            </w:r>
          </w:p>
        </w:tc>
        <w:tc>
          <w:tcPr>
            <w:tcW w:w="13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color w:val="auto"/>
              </w:rPr>
              <w:t>Officer Since</w:t>
            </w:r>
          </w:p>
        </w:tc>
        <w:tc>
          <w:tcPr>
            <w:tcW w:w="6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Position with Comcast</w:t>
            </w: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L. Roberts</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61</w:t>
            </w:r>
          </w:p>
        </w:tc>
        <w:tc>
          <w:tcPr>
            <w:tcW w:w="13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1986</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and Chief Executive Officer; President</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Cavanagh</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54</w:t>
            </w:r>
          </w:p>
        </w:tc>
        <w:tc>
          <w:tcPr>
            <w:tcW w:w="13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2015</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Shell</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55</w:t>
            </w:r>
          </w:p>
        </w:tc>
        <w:tc>
          <w:tcPr>
            <w:tcW w:w="13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2020</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 NBCUniversal</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L. Miller</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2020</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Administration Officer; Executive Vice President, NBCUniversal</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N. Watson</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62</w:t>
            </w:r>
          </w:p>
        </w:tc>
        <w:tc>
          <w:tcPr>
            <w:tcW w:w="13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2017</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 Comcast Cable</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Reid</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56</w:t>
            </w:r>
          </w:p>
        </w:tc>
        <w:tc>
          <w:tcPr>
            <w:tcW w:w="13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2019</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4"/>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c>
          <w:tcPr>
            <w:tcW w:w="14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9"/>
              </w:rPr>
              <w:t>47</w:t>
            </w:r>
          </w:p>
        </w:tc>
        <w:tc>
          <w:tcPr>
            <w:tcW w:w="13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2017</w:t>
            </w:r>
          </w:p>
        </w:tc>
        <w:tc>
          <w:tcPr>
            <w:tcW w:w="6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19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Brian L. Roberts </w:t>
      </w:r>
      <w:r>
        <w:rPr>
          <w:rFonts w:ascii="Times New Roman" w:cs="Times New Roman" w:eastAsia="Times New Roman" w:hAnsi="Times New Roman"/>
          <w:sz w:val="18"/>
          <w:szCs w:val="18"/>
          <w:color w:val="auto"/>
        </w:rPr>
        <w:t>has served as a director and as our President, Chairman of the Board and Chief Executive Officer for more than five years.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Mr. Roberts had sole voting power over approximately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two classes of common stock. He is a son of our late founder, Mr. Ralph J. Roberts.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J. Cavanagh </w:t>
      </w:r>
      <w:r>
        <w:rPr>
          <w:rFonts w:ascii="Times New Roman" w:cs="Times New Roman" w:eastAsia="Times New Roman" w:hAnsi="Times New Roman"/>
          <w:sz w:val="18"/>
          <w:szCs w:val="18"/>
          <w:color w:val="auto"/>
        </w:rPr>
        <w:t>has served as the Chief Financial Officer of Comcast Corporation since July 2015. Prior to joining our company, Mr. Cavanagh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Jeffrey S. Shell </w:t>
      </w:r>
      <w:r>
        <w:rPr>
          <w:rFonts w:ascii="Times New Roman" w:cs="Times New Roman" w:eastAsia="Times New Roman" w:hAnsi="Times New Roman"/>
          <w:sz w:val="18"/>
          <w:szCs w:val="18"/>
          <w:color w:val="auto"/>
        </w:rPr>
        <w:t>has served as the Chief Executive Officer of NBCUniversal since January 2020. Previously, Mr. Shell was the Chairman of NBCUniversal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 and Entertainment since January 2019. Prior to that, Mr. Shell served as the Chairman of Universal Filmed Entertainment Group (UFEG) since 2013 and Chairman of NBCUniversal International prior to joining UFEG. Prior to joining NBCUniversal, Mr. Shell served as President of Comcast Programming Group for six years. Prior to joining our company, Mr. Shell was the CEO of Gemstar TV Guide International and President of FOX Cable Networks Group.</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Adam L. Miller </w:t>
      </w:r>
      <w:r>
        <w:rPr>
          <w:rFonts w:ascii="Times New Roman" w:cs="Times New Roman" w:eastAsia="Times New Roman" w:hAnsi="Times New Roman"/>
          <w:sz w:val="18"/>
          <w:szCs w:val="18"/>
          <w:color w:val="auto"/>
        </w:rPr>
        <w:t>has served as Chief Administration Officer of Comcast since February 2020 and Executive Vice President of NBCUniversal since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our company, Mr. Miller was President of The Abernathy MacGregor Group, a leading strategic communications firm headquartered in New York.</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David N. Watson </w:t>
      </w:r>
      <w:r>
        <w:rPr>
          <w:rFonts w:ascii="Times New Roman" w:cs="Times New Roman" w:eastAsia="Times New Roman" w:hAnsi="Times New Roman"/>
          <w:sz w:val="18"/>
          <w:szCs w:val="18"/>
          <w:color w:val="auto"/>
        </w:rPr>
        <w:t>has served as Chief Executive Officer, Comcast Cable since April 2017 and previously had served as Chief Operating Officer, Comcast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Cable for more than five years. Mr. Watson is also a director of Amkor Technology, Inc.</w:t>
      </w:r>
    </w:p>
    <w:p>
      <w:pPr>
        <w:spacing w:after="0" w:line="5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Thomas J. Reid </w:t>
      </w:r>
      <w:r>
        <w:rPr>
          <w:rFonts w:ascii="Times New Roman" w:cs="Times New Roman" w:eastAsia="Times New Roman" w:hAnsi="Times New Roman"/>
          <w:sz w:val="18"/>
          <w:szCs w:val="18"/>
          <w:color w:val="auto"/>
        </w:rPr>
        <w:t>has served as our Chief Legal Officer and Secretary since April 2019. Prior to joining our company, Mr. Reid had served as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Managing Partner of Davis Polk &amp; Wardwell LLP, a global law firm, since 2011. Prior to that, Mr. Reid was a partner at Davis Polk &amp; Wardwell LLP from 2003 to 2011 and a Managing Director in the Investment Banking Division of Morgan Stanley from 2000 to 2003.</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Daniel C. Murdock </w:t>
      </w:r>
      <w:r>
        <w:rPr>
          <w:rFonts w:ascii="Times New Roman" w:cs="Times New Roman" w:eastAsia="Times New Roman" w:hAnsi="Times New Roman"/>
          <w:sz w:val="18"/>
          <w:szCs w:val="18"/>
          <w:color w:val="auto"/>
        </w:rPr>
        <w:t>has served as an Executive Vice President since March 2020, our Chief Accounting Officer since March 2017 and our Controller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2021 Proxy Statement.</w:t>
      </w:r>
    </w:p>
    <w:p>
      <w:pPr>
        <w:spacing w:after="0" w:line="200" w:lineRule="exact"/>
        <w:rPr>
          <w:sz w:val="20"/>
          <w:szCs w:val="20"/>
          <w:color w:val="auto"/>
        </w:rPr>
      </w:pPr>
    </w:p>
    <w:p>
      <w:pPr>
        <w:spacing w:after="0" w:line="343" w:lineRule="exact"/>
        <w:rPr>
          <w:sz w:val="20"/>
          <w:szCs w:val="20"/>
          <w:color w:val="auto"/>
        </w:rPr>
      </w:pPr>
    </w:p>
    <w:p>
      <w:pPr>
        <w:ind w:left="548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103</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340"/>
        <w:spacing w:after="0" w:line="291"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2021 Proxy Statement.</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2021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2021 Proxy Statement.</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200" w:type="dxa"/>
            <w:vAlign w:val="bottom"/>
          </w:tcPr>
          <w:p>
            <w:pPr>
              <w:jc w:val="right"/>
              <w:ind w:right="5468"/>
              <w:spacing w:after="0"/>
              <w:rPr>
                <w:sz w:val="20"/>
                <w:szCs w:val="20"/>
                <w:color w:val="auto"/>
              </w:rPr>
            </w:pPr>
            <w:r>
              <w:rPr>
                <w:rFonts w:ascii="Times New Roman" w:cs="Times New Roman" w:eastAsia="Times New Roman" w:hAnsi="Times New Roman"/>
                <w:sz w:val="14"/>
                <w:szCs w:val="14"/>
                <w:b w:val="1"/>
                <w:bCs w:val="1"/>
                <w:color w:val="auto"/>
              </w:rPr>
              <w:t>104</w:t>
            </w:r>
          </w:p>
        </w:tc>
      </w:tr>
      <w:tr>
        <w:trPr>
          <w:trHeight w:val="327"/>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130" w:lineRule="exact"/>
        <w:rPr>
          <w:sz w:val="20"/>
          <w:szCs w:val="20"/>
          <w:color w:val="auto"/>
        </w:rPr>
      </w:pPr>
    </w:p>
    <w:p>
      <w:pPr>
        <w:jc w:val="both"/>
        <w:ind w:firstLine="8"/>
        <w:spacing w:after="0" w:line="266"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filed as a part of this report on Form 10-K in Item 8, Financial Statements and Supplementary Data, and a list of Comcast’s consolidated financial statements are found on page 68 of this report. Financial statement schedules are omitted because the required information is not applicable, or because the information required is included in the consolidated financial statements and notes thereto.</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to be filed by Item 601 of Regulation S-K (all of which are under Commission File No. 001-32871, except as otherwise noted):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3.1</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Amended and Restated Articles of Incorporation of Comcast Corporation (incorporated by reference to Exhibit 3.1 to Comcast’s Current</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8-K filed on December 15, 2015).</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3.2</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Comcast Corporation (incorporated by reference to Exhibit 3.2 to Comcast’s Annual Report on Form 10-K</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the year ended December 31, 2018).</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4.1</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Specimen Class A Common Stock Certificate (incorporated by reference to Exhibit 4.1 to Comcast’s Annual Report on Form 10-K for the year</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ended December 31, 2002).</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4.2</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Indenture, dated January 7, 2003, between Comcast Corporation, the subsidiary guarantor party thereto, and The Bank of New York Mellon</w:t>
            </w:r>
          </w:p>
        </w:tc>
      </w:tr>
      <w:tr>
        <w:trPr>
          <w:trHeight w:val="176"/>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(f/k/a The Bank of New York), as trustee (incorporated by reference to Exhibit 4.4 to Comcast’s Annual Report on Form 10-K for the year</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ended December 31, 2008).</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4.3</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First Supplemental Indenture, dated March 25, 2003, to the Indenture between Comcast Corporation, the subsidiary guarantors party thereto,</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and The Bank of New York Mellon (f/k/a The Bank of New York), as trustee, dated January 7, 2003 (incorporated by reference to Exhibit 4.5</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Comcast’s Annual Report on Form 10-K for the year ended December 31, 2008).</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4.4</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Second Supplemental Indenture, dated August 31, 2009, to the Indenture between Comcast Corporation, the subsidiary guarantors party</w:t>
            </w:r>
          </w:p>
        </w:tc>
      </w:tr>
      <w:tr>
        <w:trPr>
          <w:trHeight w:val="176"/>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thereto, and The Bank of New York Mellon, as Trustee, dated January 7, 2003, as supplemented by a First Supplemental Indenture dated</w:t>
            </w:r>
          </w:p>
        </w:tc>
      </w:tr>
      <w:tr>
        <w:trPr>
          <w:trHeight w:val="234"/>
        </w:trPr>
        <w:tc>
          <w:tcPr>
            <w:tcW w:w="620" w:type="dxa"/>
            <w:vAlign w:val="bottom"/>
          </w:tcPr>
          <w:p>
            <w:pPr>
              <w:spacing w:after="0"/>
              <w:rPr>
                <w:sz w:val="20"/>
                <w:szCs w:val="20"/>
                <w:color w:val="auto"/>
              </w:rPr>
            </w:pPr>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25, 2003 (incorporated by reference to Exhibit 4.1 to Comcast’s Current Report on Form 8-K filed on September 2, 2009).</w:t>
            </w: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4.5</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Third Supplemental Indenture, dated March 27, 2013, to the Indenture between Comcast Corporation, the subsidiary guarantors party thereto,</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and The Bank of New York Mellon (f/k/a The Bank of New York), as trustee, dated January 7, 2003, as supplemented by a First Supplemental</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Indenture dated March 25, 2003 and a second Supplemental Indenture dated August 31, 2009 (incorporated by reference to Exhibit 4.4 to</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Comcast’s Quarterly Report on Form 10-Q for the quarter ended March 31, 2013).</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4.6</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Fourth Supplemental Indenture, dated October 1, 2015, to the Indenture dated January 7, 2003 between Comcast Corporation, the subsidiary</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guarantors party thereto, and The Bank of New York Mellon (f/k/a The Bank of New York), as trustee, as supplemented by a First</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Supplemental Indenture dated March 25, 2003, a second Supplemental Indenture dated August 31, 2009 and a Third Supplemental Indenture</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dated March 27, 2013 (incorporated by reference to Exhibit 4.1 to Comcast’s Quarterly Report on Form 10-Q for the quarter ended September</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 2015).</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4.7</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Senior Indenture dated September 18, 2013, among Comcast Corporation, the guarantors party thereto and The Bank of New York Mellon, as</w:t>
            </w:r>
          </w:p>
        </w:tc>
      </w:tr>
      <w:tr>
        <w:trPr>
          <w:trHeight w:val="234"/>
        </w:trPr>
        <w:tc>
          <w:tcPr>
            <w:tcW w:w="620" w:type="dxa"/>
            <w:vAlign w:val="bottom"/>
          </w:tcPr>
          <w:p>
            <w:pPr>
              <w:spacing w:after="0"/>
              <w:rPr>
                <w:sz w:val="20"/>
                <w:szCs w:val="20"/>
                <w:color w:val="auto"/>
              </w:rPr>
            </w:pPr>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trustee (incorporated by reference to Exhibit 4.3 to Comcast’s Registration Statement on Form S-3 filed September 18, 2013).</w:t>
            </w: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4.8</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First Supplemental Indenture dated as of November 17, 2015, to the Senior Indenture dated September 18, 2013, among Comcast Corporation,</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the guarantors party thereto, and The Bank of New York Mellon, as trustee (incorporated by reference to Exhibit 4.4 to Post Effective</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2 to Comcast’s Registration Statement on Form S-3 filed November 23, 2015).</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4.9</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Indenture, dated as of April 30, 2010, between NBC Universal, Inc. (n/k/a NBCUniversal Media, LLC) and The Bank of New York Mellon, as</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trustee (incorporated by reference to Exhibit 4 to the Registration Statement on Form S-4 of NBCUniversal Media, LLC (Commission File No.</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333-174175) filed on May 13, 2011).</w:t>
            </w:r>
          </w:p>
        </w:tc>
        <w:tc>
          <w:tcPr>
            <w:tcW w:w="3040" w:type="dxa"/>
            <w:vAlign w:val="bottom"/>
          </w:tcPr>
          <w:p>
            <w:pPr>
              <w:spacing w:after="0"/>
              <w:rPr>
                <w:sz w:val="20"/>
                <w:szCs w:val="20"/>
                <w:color w:val="auto"/>
              </w:rPr>
            </w:pPr>
          </w:p>
        </w:tc>
      </w:tr>
      <w:tr>
        <w:trPr>
          <w:trHeight w:val="225"/>
        </w:trPr>
        <w:tc>
          <w:tcPr>
            <w:tcW w:w="620" w:type="dxa"/>
            <w:vAlign w:val="bottom"/>
          </w:tcPr>
          <w:p>
            <w:pPr>
              <w:ind w:left="20"/>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4.10</w:t>
              </w:r>
            </w:hyperlink>
          </w:p>
        </w:tc>
        <w:tc>
          <w:tcPr>
            <w:tcW w:w="10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First Supplemental Indenture, dated March 27, 2013, to the Indenture between NBCUniversal Media, LLC (f/k/a NBC Universal, Inc.) and</w:t>
            </w:r>
          </w:p>
        </w:tc>
      </w:tr>
      <w:tr>
        <w:trPr>
          <w:trHeight w:val="175"/>
        </w:trPr>
        <w:tc>
          <w:tcPr>
            <w:tcW w:w="620" w:type="dxa"/>
            <w:vAlign w:val="bottom"/>
          </w:tcPr>
          <w:p>
            <w:pPr>
              <w:spacing w:after="0"/>
              <w:rPr>
                <w:sz w:val="15"/>
                <w:szCs w:val="15"/>
                <w:color w:val="auto"/>
              </w:rPr>
            </w:pPr>
          </w:p>
        </w:tc>
        <w:tc>
          <w:tcPr>
            <w:tcW w:w="106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The Bank of New York Mellon, as trustee, dated April 30, 2010 (incorporated by reference to Exhibit 4.3 to Comcast’s Quarterly Report on</w:t>
            </w:r>
          </w:p>
        </w:tc>
      </w:tr>
      <w:tr>
        <w:trPr>
          <w:trHeight w:val="234"/>
        </w:trPr>
        <w:tc>
          <w:tcPr>
            <w:tcW w:w="620" w:type="dxa"/>
            <w:vAlign w:val="bottom"/>
          </w:tcPr>
          <w:p>
            <w:pPr>
              <w:spacing w:after="0"/>
              <w:rPr>
                <w:sz w:val="20"/>
                <w:szCs w:val="20"/>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10-Q for the quarter ended March 31, 2013).</w:t>
            </w:r>
          </w:p>
        </w:tc>
        <w:tc>
          <w:tcPr>
            <w:tcW w:w="3040" w:type="dxa"/>
            <w:vAlign w:val="bottom"/>
          </w:tcPr>
          <w:p>
            <w:pPr>
              <w:spacing w:after="0"/>
              <w:rPr>
                <w:sz w:val="20"/>
                <w:szCs w:val="20"/>
                <w:color w:val="auto"/>
              </w:rPr>
            </w:pPr>
          </w:p>
        </w:tc>
      </w:tr>
      <w:tr>
        <w:trPr>
          <w:trHeight w:val="741"/>
        </w:trPr>
        <w:tc>
          <w:tcPr>
            <w:tcW w:w="620" w:type="dxa"/>
            <w:vAlign w:val="bottom"/>
          </w:tcPr>
          <w:p>
            <w:pPr>
              <w:spacing w:after="0"/>
              <w:rPr>
                <w:sz w:val="24"/>
                <w:szCs w:val="24"/>
                <w:color w:val="auto"/>
              </w:rPr>
            </w:pPr>
          </w:p>
        </w:tc>
        <w:tc>
          <w:tcPr>
            <w:tcW w:w="7580" w:type="dxa"/>
            <w:vAlign w:val="bottom"/>
          </w:tcPr>
          <w:p>
            <w:pPr>
              <w:ind w:left="4860"/>
              <w:spacing w:after="0"/>
              <w:rPr>
                <w:sz w:val="20"/>
                <w:szCs w:val="20"/>
                <w:color w:val="auto"/>
              </w:rPr>
            </w:pPr>
            <w:r>
              <w:rPr>
                <w:rFonts w:ascii="Times New Roman" w:cs="Times New Roman" w:eastAsia="Times New Roman" w:hAnsi="Times New Roman"/>
                <w:sz w:val="14"/>
                <w:szCs w:val="14"/>
                <w:b w:val="1"/>
                <w:bCs w:val="1"/>
                <w:color w:val="auto"/>
              </w:rPr>
              <w:t>105</w:t>
            </w:r>
          </w:p>
        </w:tc>
        <w:tc>
          <w:tcPr>
            <w:tcW w:w="3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Comcast 2020 Annual Report on Form 10-K</w:t>
            </w:r>
          </w:p>
        </w:tc>
      </w:tr>
      <w:tr>
        <w:trPr>
          <w:trHeight w:val="327"/>
        </w:trPr>
        <w:tc>
          <w:tcPr>
            <w:tcW w:w="6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u w:val="single" w:color="auto"/>
            <w:color w:val="0000FF"/>
          </w:rPr>
          <w:t>4.11</w:t>
        </w:r>
      </w:hyperlink>
      <w:r>
        <w:rPr>
          <w:rFonts w:ascii="Times New Roman" w:cs="Times New Roman" w:eastAsia="Times New Roman" w:hAnsi="Times New Roman"/>
          <w:sz w:val="18"/>
          <w:szCs w:val="18"/>
          <w:color w:val="0000FF"/>
        </w:rPr>
        <w:tab/>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to Comcast’s Quarterly Report on Form 10-Q for the quarter ended September 30, 2015).</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u w:val="single" w:color="auto"/>
            <w:color w:val="0000FF"/>
          </w:rPr>
          <w:t>4.12</w:t>
        </w:r>
      </w:hyperlink>
      <w:r>
        <w:rPr>
          <w:rFonts w:ascii="Times New Roman" w:cs="Times New Roman" w:eastAsia="Times New Roman" w:hAnsi="Times New Roman"/>
          <w:sz w:val="18"/>
          <w:szCs w:val="18"/>
          <w:color w:val="0000FF"/>
        </w:rPr>
        <w:tab/>
        <w:t>Indenture, dated March 19, 2013, among NBCUniversal Enterprise, Inc. (f/k/a Navy Holdings, Inc.), Comcast Corporation, the Cable Guarantors party thereto, and The Bank of New York Mellon, as trustee (incorporated by reference to Exhibit 4.1 to Comcast’s Quarterly Report on Form 10-Q for the quarter ended March 31, 2013).</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4.13</w:t>
        </w:r>
      </w:hyperlink>
      <w:r>
        <w:rPr>
          <w:rFonts w:ascii="Times New Roman" w:cs="Times New Roman" w:eastAsia="Times New Roman" w:hAnsi="Times New Roman"/>
          <w:sz w:val="18"/>
          <w:szCs w:val="18"/>
          <w:color w:val="0000FF"/>
        </w:rPr>
        <w:tab/>
        <w:t>Trust Deed dated September 5, 2014 among BSKYB Finance UK plc, British Sky Broadcasting Group plc, the initial guarantors party thereto and BNY Mellon Corporate Trustee Services Limited, as trustee (incorporated by reference to Exhibit 4.13 to Comcast’s Annual Report on Form 10-K for the year ended December 31, 2018).</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u w:val="single" w:color="auto"/>
            <w:color w:val="0000FF"/>
          </w:rPr>
          <w:t>4.14</w:t>
        </w:r>
      </w:hyperlink>
      <w:r>
        <w:rPr>
          <w:rFonts w:ascii="Times New Roman" w:cs="Times New Roman" w:eastAsia="Times New Roman" w:hAnsi="Times New Roman"/>
          <w:sz w:val="18"/>
          <w:szCs w:val="18"/>
          <w:color w:val="0000FF"/>
        </w:rPr>
        <w:tab/>
        <w:t>Supplemental Trust Deed dated March 18, 2015 among Sky Group Finance plc (f/k/a BSKYB Finance UK plc), Sky plc (f/k/a British Sky Broadcasting Group plc), the initial guarantors party thereto and BNY Mellon Corporate Trustee Services Limited, as trustee (incorporated by reference to Exhibit 4.14 to Comcast’s Annual Report on Form 10-K for the year ended December 31, 2018).</w:t>
      </w:r>
    </w:p>
    <w:p>
      <w:pPr>
        <w:spacing w:after="0" w:line="50"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u w:val="single" w:color="auto"/>
            <w:color w:val="0000FF"/>
          </w:rPr>
          <w:t>4.15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Description of Comcast Corporation’s securities registered pursuant to Section 12 of the Securities Exchange Act.</w:t>
      </w:r>
    </w:p>
    <w:p>
      <w:pPr>
        <w:spacing w:after="0" w:line="77" w:lineRule="exact"/>
        <w:rPr>
          <w:sz w:val="20"/>
          <w:szCs w:val="20"/>
          <w:color w:val="auto"/>
        </w:rPr>
      </w:pPr>
    </w:p>
    <w:p>
      <w:pPr>
        <w:jc w:val="both"/>
        <w:ind w:left="900" w:right="20"/>
        <w:spacing w:after="0" w:line="220" w:lineRule="auto"/>
        <w:rPr>
          <w:sz w:val="20"/>
          <w:szCs w:val="20"/>
          <w:color w:val="auto"/>
        </w:rPr>
      </w:pPr>
      <w:r>
        <w:rPr>
          <w:rFonts w:ascii="Times New Roman" w:cs="Times New Roman" w:eastAsia="Times New Roman" w:hAnsi="Times New Roman"/>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51" w:lineRule="exact"/>
        <w:rPr>
          <w:sz w:val="20"/>
          <w:szCs w:val="20"/>
          <w:color w:val="auto"/>
        </w:rPr>
      </w:pPr>
    </w:p>
    <w:p>
      <w:pPr>
        <w:jc w:val="both"/>
        <w:ind w:left="900" w:right="20" w:hanging="876"/>
        <w:spacing w:after="0" w:line="220" w:lineRule="auto"/>
        <w:tabs>
          <w:tab w:leader="none" w:pos="880" w:val="left"/>
        </w:tabs>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May 31, 2016).</w:t>
      </w:r>
    </w:p>
    <w:p>
      <w:pPr>
        <w:spacing w:after="0" w:line="51" w:lineRule="exact"/>
        <w:rPr>
          <w:sz w:val="20"/>
          <w:szCs w:val="20"/>
          <w:color w:val="auto"/>
        </w:rPr>
      </w:pPr>
    </w:p>
    <w:p>
      <w:pPr>
        <w:jc w:val="both"/>
        <w:ind w:left="900" w:right="20" w:hanging="876"/>
        <w:spacing w:after="0" w:line="220" w:lineRule="auto"/>
        <w:tabs>
          <w:tab w:leader="none" w:pos="880" w:val="left"/>
        </w:tabs>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FF"/>
        </w:rPr>
        <w:tab/>
        <w:t>Amendment No. 1 dated April 27, 2018,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April 30, 2018).</w:t>
      </w:r>
    </w:p>
    <w:p>
      <w:pPr>
        <w:spacing w:after="0" w:line="51" w:lineRule="exact"/>
        <w:rPr>
          <w:sz w:val="20"/>
          <w:szCs w:val="20"/>
          <w:color w:val="auto"/>
        </w:rPr>
      </w:pPr>
    </w:p>
    <w:p>
      <w:pPr>
        <w:jc w:val="both"/>
        <w:ind w:left="900" w:right="20" w:hanging="876"/>
        <w:spacing w:after="0" w:line="220" w:lineRule="auto"/>
        <w:tabs>
          <w:tab w:leader="none" w:pos="880" w:val="left"/>
        </w:tabs>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FF"/>
        </w:rPr>
        <w:tab/>
        <w:t>Amendment No. 2 dated June 18, 2019,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June 20, 2019).</w:t>
      </w:r>
    </w:p>
    <w:p>
      <w:pPr>
        <w:spacing w:after="0" w:line="40"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0000FF"/>
        </w:rPr>
        <w:tab/>
        <w:t>Second Amended and Restated Certificate of Incorporation of NBCUniversal Enterprise, Inc. (f/k/a/ Navy Holdings, Inc.), dated March 19,</w:t>
      </w:r>
    </w:p>
    <w:p>
      <w:pPr>
        <w:ind w:left="900"/>
        <w:spacing w:after="0"/>
        <w:rPr>
          <w:sz w:val="20"/>
          <w:szCs w:val="20"/>
          <w:color w:val="auto"/>
        </w:rPr>
      </w:pPr>
      <w:r>
        <w:rPr>
          <w:rFonts w:ascii="Times New Roman" w:cs="Times New Roman" w:eastAsia="Times New Roman" w:hAnsi="Times New Roman"/>
          <w:sz w:val="18"/>
          <w:szCs w:val="18"/>
          <w:color w:val="auto"/>
        </w:rPr>
        <w:t>2013 (incorporated by reference to Exhibit 10.3 to Comcast’s Quarterly Report on Form 10-Q for the quarter ended March 31, 2013).</w:t>
      </w:r>
    </w:p>
    <w:p>
      <w:pPr>
        <w:spacing w:after="0" w:line="57"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t>Certificate of Designations for Series A Cumulative Preferred Stock of NBCUniversal Enterprise, Inc. (f/k/a/ Navy Holdings, Inc.), dated March 19, 2013 (incorporated by reference to Exhibit 10.4 to Comcast’s Quarterly Report on Form 10-Q for the quarter ended March 31, 2013).</w:t>
      </w:r>
    </w:p>
    <w:p>
      <w:pPr>
        <w:spacing w:after="0" w:line="50"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t>Amendment to Certificate of Designations for Series A Cumulative Preferred Stock of NBCUniversal Enterprise, Inc. dated March 19, 2013 (incorporated by reference to Exhibit 10.5 to Comcast’s Quarterly Report on Form 10-Q for the quarter ended March 31, 2013).</w:t>
      </w:r>
    </w:p>
    <w:p>
      <w:pPr>
        <w:spacing w:after="0" w:line="50" w:lineRule="exact"/>
        <w:rPr>
          <w:sz w:val="20"/>
          <w:szCs w:val="20"/>
          <w:color w:val="auto"/>
        </w:rPr>
      </w:pPr>
    </w:p>
    <w:p>
      <w:pPr>
        <w:jc w:val="both"/>
        <w:ind w:left="900" w:right="20" w:hanging="876"/>
        <w:spacing w:after="0" w:line="220" w:lineRule="auto"/>
        <w:tabs>
          <w:tab w:leader="none" w:pos="880" w:val="left"/>
        </w:tabs>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10.1 to Comcast’s Current Report on Form 8-K filed on April 25, 2018).</w:t>
      </w:r>
    </w:p>
    <w:p>
      <w:pPr>
        <w:spacing w:after="0" w:line="40"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Amendment No. 1 dated September 23, 2018, to Term Loan Credit Agreement dated as of April 25, 2018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10.3 to Comcast’s Current Report on Form 8-K filed on September 24, 2018).</w:t>
      </w:r>
    </w:p>
    <w:p>
      <w:pPr>
        <w:spacing w:after="0" w:line="57"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0000FF"/>
        </w:rPr>
        <w:tab/>
        <w:t>Comcast Revolving Credit Agreement Increased Revolving Commitment Activation Notice, dated September 21, 2018 (incorporated by reference to Exhibit 10.1 to Comcast’s Current Report on Form 8-K filed on September 24, 2018).</w:t>
      </w:r>
    </w:p>
    <w:p>
      <w:pPr>
        <w:spacing w:after="0" w:line="50" w:lineRule="exact"/>
        <w:rPr>
          <w:sz w:val="20"/>
          <w:szCs w:val="20"/>
          <w:color w:val="auto"/>
        </w:rPr>
      </w:pPr>
    </w:p>
    <w:p>
      <w:pPr>
        <w:jc w:val="both"/>
        <w:ind w:left="900" w:right="40" w:hanging="876"/>
        <w:spacing w:after="0" w:line="237" w:lineRule="auto"/>
        <w:tabs>
          <w:tab w:leader="none" w:pos="880" w:val="left"/>
        </w:tabs>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t>Comcast Revolving Credit Agreement New Lender Supplement, dated September 21, 2018 (incorporated by reference to Exhibit 10.2 to Comcast’s Current Report on Form 8-K filed on September 24, 2018).</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200" w:type="dxa"/>
            <w:vAlign w:val="bottom"/>
          </w:tcPr>
          <w:p>
            <w:pPr>
              <w:jc w:val="right"/>
              <w:ind w:right="5468"/>
              <w:spacing w:after="0"/>
              <w:rPr>
                <w:sz w:val="20"/>
                <w:szCs w:val="20"/>
                <w:color w:val="auto"/>
              </w:rPr>
            </w:pPr>
            <w:r>
              <w:rPr>
                <w:rFonts w:ascii="Times New Roman" w:cs="Times New Roman" w:eastAsia="Times New Roman" w:hAnsi="Times New Roman"/>
                <w:sz w:val="14"/>
                <w:szCs w:val="14"/>
                <w:b w:val="1"/>
                <w:bCs w:val="1"/>
                <w:color w:val="auto"/>
              </w:rPr>
              <w:t>106</w:t>
            </w:r>
          </w:p>
        </w:tc>
      </w:tr>
      <w:tr>
        <w:trPr>
          <w:trHeight w:val="328"/>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0000FF"/>
        </w:rPr>
        <w:tab/>
        <w:t>Comcast Corporation 2003 Stock Option Plan, as amended and restated April 10, 2020 (incorporated by reference to Exhibit 10.4 to Comcast’s Quarterly Report on Form 10-Q for the quarter ended March 31, 2020).</w:t>
      </w:r>
    </w:p>
    <w:p>
      <w:pPr>
        <w:spacing w:after="0" w:line="50"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w:anchor="page178">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Comcast Corporation 2002 Deferred Compensation Plan, as amended and restated effective October 22, 2020.</w:t>
      </w:r>
    </w:p>
    <w:p>
      <w:pPr>
        <w:spacing w:after="0" w:line="77"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t>Comcast Corporation 2005 Deferred Compensation Plan, as amended and restated effective October 22, 2020 (incorporated by reference to Exhibit 10.1 to Comcast’s Quarterly Report on Form 10-Q for the quarter ended September 30, 2020).</w:t>
      </w:r>
    </w:p>
    <w:p>
      <w:pPr>
        <w:spacing w:after="0" w:line="39"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t>Comcast Corporation 2002 Restricted Stock Plan, as amended and restated effective October 22, 2020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10.3 to Comcast’s Quarterly Report on Form 10-Q for the quarter ended September 30, 2020).</w:t>
      </w:r>
    </w:p>
    <w:p>
      <w:pPr>
        <w:spacing w:after="0" w:line="57"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t>Comcast Corporation 2006 Cash Bonus Plan, as amended and restated effective February 18, 2015 (incorporated by reference to Exhibit 10.11 to Comcast’s Annual Report on Form 10-K for the year ended December 31, 2015).</w:t>
      </w:r>
    </w:p>
    <w:p>
      <w:pPr>
        <w:spacing w:after="0" w:line="5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Comcast Corporation 2002 Non-Employee Director Compensation Plan, as amended and restated effective July 31, 2020 (incorporated by reference to Exhibit 10.2 to Comcast’s Quarterly Report on Form 10-Q for the quarter ended September 30, 2020).</w:t>
      </w:r>
    </w:p>
    <w:p>
      <w:pPr>
        <w:spacing w:after="0" w:line="5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t>Comcast Corporation 2002 Employee Stock Purchase Plan, as amended and restated effective February 22, 2016 (incorporated by reference to Appendix C to our Definitive Proxy Statement on Schedule 14A filed on April 8, 2016).</w:t>
      </w:r>
    </w:p>
    <w:p>
      <w:pPr>
        <w:spacing w:after="0" w:line="5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Comcast-NBCUniversal 2011 Employee Stock Purchase Plan, as amended and restated effective February 22, 2016 (incorporated by reference to Appendix D to our Definitive Proxy Statement on Schedule 14A filed on April 8, 2016).</w:t>
      </w:r>
    </w:p>
    <w:p>
      <w:pPr>
        <w:spacing w:after="0" w:line="5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t>Employment Agreement with Brian L. Roberts, dated as of July 26, 2017 (incorporated by reference to Exhibit 10.2 to Comcast’s Quarterly Report on Form 10-Q for the quarter ended June 30, 2017).</w:t>
      </w:r>
    </w:p>
    <w:p>
      <w:pPr>
        <w:spacing w:after="0" w:line="39"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Amendment No. 1 to Employment Agreement with Brian L. Roberts, dated as of December 16, 2019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10.20 to Comcast’s Annual Report on Form 10-K for the year ended December 31, 2019).</w:t>
      </w:r>
    </w:p>
    <w:p>
      <w:pPr>
        <w:spacing w:after="0" w:line="57"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Employment Agreement between Comcast Corporation and Stephen B. Burke, dated as of December 16, 2009 (incorporated by reference to Exhibit 99.1 to Comcast’s Current Report on Form 8-K filed on December 22, 2009).</w:t>
      </w:r>
    </w:p>
    <w:p>
      <w:pPr>
        <w:spacing w:after="0" w:line="50" w:lineRule="exact"/>
        <w:rPr>
          <w:sz w:val="20"/>
          <w:szCs w:val="20"/>
          <w:color w:val="auto"/>
        </w:rPr>
      </w:pPr>
    </w:p>
    <w:p>
      <w:pPr>
        <w:ind w:left="900" w:right="340" w:hanging="876"/>
        <w:spacing w:after="0" w:line="266" w:lineRule="auto"/>
        <w:tabs>
          <w:tab w:leader="none" w:pos="880" w:val="left"/>
        </w:tabs>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Form of Amendment, dated as of December 14, 2012, to the Employment Agreement with Stephen B. Burke (incorporated by reference to Exhibit 10.41 to Comcast’s Annual Report on Form 10-K for the year ended December 31, 2012).</w:t>
      </w:r>
    </w:p>
    <w:p>
      <w:pPr>
        <w:spacing w:after="0" w:line="54"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t>Amendment No. 2 to Employment Agreement with Stephen B. Burke, dated as of August 16, 2013 (incorporated by reference to Exhibit 99.1 to Comcast’s Current Report on Form 8-K filed on August 16, 2013).</w:t>
      </w:r>
    </w:p>
    <w:p>
      <w:pPr>
        <w:spacing w:after="0" w:line="5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FF"/>
        </w:rPr>
        <w:tab/>
        <w:t>Amendment No. 3 to Employment Agreement with Stephen B. Burke dated as of July 25, 2016 (incorporated by reference to Exhibit 99.1 to Comcast’s Current Report on Form 8-K filed on July 28, 2016).</w:t>
      </w:r>
    </w:p>
    <w:p>
      <w:pPr>
        <w:spacing w:after="0" w:line="39"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t>Amendment No. 4 to Employment Agreement with Stephen B. Burke, dated as of December 16, 2019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10.24 to Comcast’s Annual Report on Form 10-K for the year ended December 31, 2019).</w:t>
      </w:r>
    </w:p>
    <w:p>
      <w:pPr>
        <w:spacing w:after="0" w:line="57"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t>Amendment No. 5 to Employment Agreement with Stephen B. Burke, dated as of July 27, 2020 (incorporated by reference to Exhibit 10.1 to Comcast’s Quarterly Report on Form 10-Q for the quarter ended June 30, 2020).</w:t>
      </w:r>
    </w:p>
    <w:p>
      <w:pPr>
        <w:spacing w:after="0" w:line="50"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Employment Agreement between Comcast Corporation and David L. Cohen, dated as of October 23, 2015 (incorporated by reference to Exhibit 10.1 to Comcast’s Quarterly Report on Form 10-Q for the quarter ended September 30, 2015).</w:t>
      </w:r>
    </w:p>
    <w:p>
      <w:pPr>
        <w:spacing w:after="0" w:line="39"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color w:val="0000FF"/>
        </w:rPr>
        <w:tab/>
        <w:t>Amendment No. 1 to Employment Agreement with David L. Cohen, dated as of December 16, 2019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10.26 to Comcast’s Annual Report on Form 10-K for the year ended December 31, 2019).</w:t>
      </w:r>
    </w:p>
    <w:p>
      <w:pPr>
        <w:spacing w:after="0" w:line="57" w:lineRule="exact"/>
        <w:rPr>
          <w:sz w:val="20"/>
          <w:szCs w:val="20"/>
          <w:color w:val="auto"/>
        </w:rPr>
      </w:pPr>
    </w:p>
    <w:p>
      <w:pPr>
        <w:ind w:left="900" w:hanging="876"/>
        <w:spacing w:after="0" w:line="237" w:lineRule="auto"/>
        <w:tabs>
          <w:tab w:leader="none" w:pos="880" w:val="left"/>
        </w:tabs>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color w:val="0000FF"/>
        </w:rPr>
        <w:tab/>
        <w:t>Amendment No. 2 to Employment Agreement with David L. Cohen, dated as of July 27, 2020 (incorporated by reference to Exhibit 10.2 to Comcast’s Quarterly Report on Form 10-Q for the quarter ended June 30, 2020).</w:t>
      </w:r>
    </w:p>
    <w:p>
      <w:pPr>
        <w:spacing w:after="0" w:line="50" w:lineRule="exact"/>
        <w:rPr>
          <w:sz w:val="20"/>
          <w:szCs w:val="20"/>
          <w:color w:val="auto"/>
        </w:rPr>
      </w:pPr>
    </w:p>
    <w:p>
      <w:pPr>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color w:val="0000FF"/>
        </w:rPr>
        <w:tab/>
        <w:t>Employment Agreement dated as of December 21, 2018 between Comcast Corporation and Michael J. Cavanagh (incorporated by reference to Exhibit 99.1 to Comcast’s Current Report on Form 8-K filed on December 21, 2018).</w:t>
      </w:r>
    </w:p>
    <w:p>
      <w:pPr>
        <w:spacing w:after="0" w:line="39"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color w:val="0000FF"/>
        </w:rPr>
        <w:tab/>
        <w:t>Amendment No. 1 to Employment Agreement with Michael J. Cavanagh, dated as of December 16, 2019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10.29 to Comcast’s Annual Report on Form 10-K for the year ended December 31, 2019).</w:t>
      </w:r>
    </w:p>
    <w:p>
      <w:pPr>
        <w:spacing w:after="0" w:line="200" w:lineRule="exact"/>
        <w:rPr>
          <w:sz w:val="20"/>
          <w:szCs w:val="20"/>
          <w:color w:val="auto"/>
        </w:rPr>
      </w:pPr>
    </w:p>
    <w:p>
      <w:pPr>
        <w:spacing w:after="0" w:line="363" w:lineRule="exact"/>
        <w:rPr>
          <w:sz w:val="20"/>
          <w:szCs w:val="20"/>
          <w:color w:val="auto"/>
        </w:rPr>
      </w:pPr>
    </w:p>
    <w:p>
      <w:pPr>
        <w:ind w:left="548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107</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color w:val="0000FF"/>
        </w:rPr>
        <w:tab/>
        <w:t>Employment Agreement dated as of April 2, 2018 between Comcast Corporation and David N. Watson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10.4 to Comcast’s Quarterly Report on Form 10-Q for the quarter ended June 30, 2018).</w:t>
      </w:r>
    </w:p>
    <w:p>
      <w:pPr>
        <w:spacing w:after="0" w:line="45" w:lineRule="exact"/>
        <w:rPr>
          <w:sz w:val="20"/>
          <w:szCs w:val="20"/>
          <w:color w:val="auto"/>
        </w:rPr>
      </w:pPr>
    </w:p>
    <w:p>
      <w:pPr>
        <w:ind w:left="20"/>
        <w:spacing w:after="0"/>
        <w:tabs>
          <w:tab w:leader="none" w:pos="880" w:val="left"/>
        </w:tabs>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color w:val="0000FF"/>
        </w:rPr>
        <w:tab/>
        <w:t>Amendment No. 1 to Employment Agreement with David N. Watson, dated as of December 16, 2019 (incorporated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10.31 to Comcast’s Annual Report on Form 10-K for the year ended December 31, 2019).</w:t>
      </w:r>
    </w:p>
    <w:p>
      <w:pPr>
        <w:spacing w:after="0" w:line="57"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u w:val="single" w:color="auto"/>
            <w:color w:val="0000FF"/>
          </w:rPr>
          <w:t>10.34*</w:t>
        </w:r>
      </w:hyperlink>
      <w:r>
        <w:rPr>
          <w:rFonts w:ascii="Times New Roman" w:cs="Times New Roman" w:eastAsia="Times New Roman" w:hAnsi="Times New Roman"/>
          <w:sz w:val="18"/>
          <w:szCs w:val="18"/>
          <w:color w:val="0000FF"/>
        </w:rPr>
        <w:tab/>
        <w:t>Amendment No. 2 to Employment Agreement with David N. Watson, dated as of April 29, 2020 (incorporated by reference to Exhibit 10.5 to Comcast’s Quarterly Report on Form 10-Q for the quarter ended March 31, 2020).</w:t>
      </w:r>
    </w:p>
    <w:p>
      <w:pPr>
        <w:spacing w:after="0" w:line="50"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w:anchor="page203">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color w:val="0000FF"/>
        </w:rPr>
        <w:tab/>
        <w:t>Form of Non-Qualified Stock Option and Long-Term Incentive Awards Summary Schedule under the Comcast Corporation 2003 Stock Option Plan.</w:t>
      </w:r>
    </w:p>
    <w:p>
      <w:pPr>
        <w:spacing w:after="0" w:line="50" w:lineRule="exact"/>
        <w:rPr>
          <w:sz w:val="20"/>
          <w:szCs w:val="20"/>
          <w:color w:val="auto"/>
        </w:rPr>
      </w:pPr>
    </w:p>
    <w:p>
      <w:pPr>
        <w:jc w:val="both"/>
        <w:ind w:left="900" w:right="40" w:hanging="876"/>
        <w:spacing w:after="0" w:line="237" w:lineRule="auto"/>
        <w:tabs>
          <w:tab w:leader="none" w:pos="880" w:val="left"/>
        </w:tabs>
        <w:rPr>
          <w:rFonts w:ascii="Times New Roman" w:cs="Times New Roman" w:eastAsia="Times New Roman" w:hAnsi="Times New Roman"/>
          <w:sz w:val="18"/>
          <w:szCs w:val="18"/>
          <w:color w:val="0000FF"/>
        </w:rPr>
      </w:pPr>
      <w:hyperlink w:anchor="page214">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color w:val="0000FF"/>
        </w:rPr>
        <w:tab/>
        <w:t>Form of Restricted Stock Unit Award and Long-Term Incentive Awards Summary Schedule under the Comcast Corporation 2002 Restricted Stock Plan.</w:t>
      </w:r>
    </w:p>
    <w:p>
      <w:pPr>
        <w:spacing w:after="0" w:line="50" w:lineRule="exact"/>
        <w:rPr>
          <w:sz w:val="20"/>
          <w:szCs w:val="20"/>
          <w:color w:val="auto"/>
        </w:rPr>
      </w:pPr>
    </w:p>
    <w:p>
      <w:pPr>
        <w:jc w:val="both"/>
        <w:ind w:left="900" w:right="40" w:hanging="876"/>
        <w:spacing w:after="0" w:line="237" w:lineRule="auto"/>
        <w:tabs>
          <w:tab w:leader="none" w:pos="880" w:val="left"/>
        </w:tabs>
        <w:rPr>
          <w:rFonts w:ascii="Times New Roman" w:cs="Times New Roman" w:eastAsia="Times New Roman" w:hAnsi="Times New Roman"/>
          <w:sz w:val="18"/>
          <w:szCs w:val="18"/>
          <w:color w:val="0000FF"/>
        </w:rPr>
      </w:pPr>
      <w:hyperlink w:anchor="page229">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color w:val="0000FF"/>
        </w:rPr>
        <w:tab/>
        <w:t>Form of Restricted Stock Unit Award and Long-Term Incentive Awards Summary Schedule under the Comcast Corporation 2002 Restricted Stock Plan.</w:t>
      </w:r>
    </w:p>
    <w:p>
      <w:pPr>
        <w:spacing w:after="0" w:line="50" w:lineRule="exact"/>
        <w:rPr>
          <w:sz w:val="20"/>
          <w:szCs w:val="20"/>
          <w:color w:val="auto"/>
        </w:rPr>
      </w:pPr>
    </w:p>
    <w:p>
      <w:pPr>
        <w:jc w:val="both"/>
        <w:ind w:left="900" w:right="40" w:hanging="876"/>
        <w:spacing w:after="0" w:line="237" w:lineRule="auto"/>
        <w:tabs>
          <w:tab w:leader="none" w:pos="880" w:val="left"/>
        </w:tabs>
        <w:rPr>
          <w:rFonts w:ascii="Times New Roman" w:cs="Times New Roman" w:eastAsia="Times New Roman" w:hAnsi="Times New Roman"/>
          <w:sz w:val="18"/>
          <w:szCs w:val="18"/>
          <w:color w:val="0000FF"/>
        </w:rPr>
      </w:pPr>
      <w:hyperlink w:anchor="page242">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color w:val="0000FF"/>
        </w:rPr>
        <w:tab/>
        <w:t>Form of Restricted Stock Unit Award and Long-Term Incentive Awards Summary Schedule under the Comcast Corporation 2002 Restricted Stock Plan.</w:t>
      </w:r>
    </w:p>
    <w:p>
      <w:pPr>
        <w:spacing w:after="0" w:line="50"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color w:val="0000FF"/>
        </w:rPr>
        <w:tab/>
        <w:t>Form of Airplane Time Sharing Agreement (incorporated by reference to Exhibit 10.60 to Comcast’s Annual Report on Form 10-K for the year ended December 31, 2014).</w:t>
      </w:r>
    </w:p>
    <w:p>
      <w:pPr>
        <w:spacing w:after="0" w:line="50"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color w:val="0000FF"/>
        </w:rPr>
        <w:tab/>
        <w:t>Form of Director Indemnification Agreement (incorporated by reference to Exhibit 10.3 to Comcast’s Quarterly Report on Form 10-Q for the quarter ended June 30, 2009).</w:t>
      </w:r>
    </w:p>
    <w:p>
      <w:pPr>
        <w:spacing w:after="0" w:line="50" w:lineRule="exact"/>
        <w:rPr>
          <w:sz w:val="20"/>
          <w:szCs w:val="20"/>
          <w:color w:val="auto"/>
        </w:rPr>
      </w:pPr>
    </w:p>
    <w:p>
      <w:pPr>
        <w:jc w:val="both"/>
        <w:ind w:left="900" w:right="20" w:hanging="876"/>
        <w:spacing w:after="0" w:line="237" w:lineRule="auto"/>
        <w:tabs>
          <w:tab w:leader="none" w:pos="880" w:val="left"/>
        </w:tabs>
        <w:rPr>
          <w:rFonts w:ascii="Times New Roman" w:cs="Times New Roman" w:eastAsia="Times New Roman" w:hAnsi="Times New Roman"/>
          <w:sz w:val="18"/>
          <w:szCs w:val="18"/>
          <w:color w:val="0000FF"/>
        </w:rPr>
      </w:pPr>
      <w:hyperlink w:anchor="page256">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color w:val="0000FF"/>
        </w:rPr>
        <w:tab/>
        <w:t>Third Amended and Restated Shareholders Agreement, dated as of November 26, 2020, among Atairos Group, Inc., Comcast AG Holdings, LLC, Comcast Spectacor Ventures, LLC, Atairos Partners, L.P., Atairos Management, L.P. and Comcast Corporation.</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color w:val="0000FF"/>
        </w:rPr>
        <w:tab/>
        <w:t>Consultant Agreement, dated as of January 20, 1987, between Steven Spielberg and Universal City Florida Partners (incorporated by reference to Exhibit 10.49 to the Registration Statement on Form S-4 of Universal City Development Partners, Ltd. and UCDP Finance, Inc. filed on January 20, 2010 (File No. 333-164431)).</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color w:val="0000FF"/>
        </w:rPr>
        <w:tab/>
        <w:t>Amendment dated February 5, 2001 to the Consultant Agreement dated as of January 20, 1987, between the Consultant and Universal City Florida Partners (incorporated by reference to Exhibit 10.50 to the Registration Statement on Form S-4 of Universal City Development Partners, Ltd. and UCDP Finance, Inc. filed on January 20, 2010 (File No. 333-164431)).</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color w:val="0000FF"/>
        </w:rPr>
        <w:tab/>
        <w:t>Amendment to the Consultant Agreement, dated as of October 18, 2009, between Steven Spielberg, Diamond Lane Productions, Inc. and Universal City Development Partners, Ltd. (incorporated by reference to Exhibit 10.52 to the Registration Statement on Form S-4 of Universal City Development Partners, Ltd. and UCDP Finance, Inc. filed on January 20, 2010 (File No. 333-164431)).</w:t>
      </w:r>
    </w:p>
    <w:p>
      <w:pPr>
        <w:spacing w:after="0" w:line="50" w:lineRule="exact"/>
        <w:rPr>
          <w:sz w:val="20"/>
          <w:szCs w:val="20"/>
          <w:color w:val="auto"/>
        </w:rPr>
      </w:pPr>
    </w:p>
    <w:p>
      <w:pPr>
        <w:jc w:val="both"/>
        <w:ind w:left="900" w:right="20" w:hanging="876"/>
        <w:spacing w:after="0" w:line="226" w:lineRule="auto"/>
        <w:tabs>
          <w:tab w:leader="none" w:pos="880" w:val="left"/>
        </w:tabs>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color w:val="0000FF"/>
        </w:rPr>
        <w:tab/>
        <w:t>Letter Agreement dated July 15, 2003, among Diamond Lane Productions, Vivendi Universal Entertainment LLLP and Universal City Development Partners, Ltd. (incorporated by reference to Exhibit 10.51 to the Registration Statement on Form S-4 of Universal City Development Partners, Ltd. and UCDP Finance, Inc. filed on January 20, 2010 (File No. 333-164431)).</w:t>
      </w:r>
    </w:p>
    <w:p>
      <w:pPr>
        <w:spacing w:after="0" w:line="50" w:lineRule="exact"/>
        <w:rPr>
          <w:sz w:val="20"/>
          <w:szCs w:val="20"/>
          <w:color w:val="auto"/>
        </w:rPr>
      </w:pPr>
    </w:p>
    <w:p>
      <w:pPr>
        <w:ind w:left="900" w:hanging="874"/>
        <w:spacing w:after="0"/>
        <w:tabs>
          <w:tab w:leader="none" w:pos="900" w:val="left"/>
        </w:tabs>
        <w:numPr>
          <w:ilvl w:val="0"/>
          <w:numId w:val="3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76" w:lineRule="exact"/>
        <w:rPr>
          <w:rFonts w:ascii="Times New Roman" w:cs="Times New Roman" w:eastAsia="Times New Roman" w:hAnsi="Times New Roman"/>
          <w:sz w:val="18"/>
          <w:szCs w:val="18"/>
          <w:u w:val="single" w:color="auto"/>
          <w:color w:val="0000FF"/>
        </w:rPr>
      </w:pPr>
    </w:p>
    <w:p>
      <w:pPr>
        <w:ind w:left="900" w:right="20" w:hanging="874"/>
        <w:spacing w:after="0" w:line="237" w:lineRule="auto"/>
        <w:tabs>
          <w:tab w:leader="none" w:pos="900" w:val="left"/>
        </w:tabs>
        <w:numPr>
          <w:ilvl w:val="0"/>
          <w:numId w:val="3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Subsidiary guarantors and issuers of guaranteed securities and affiliates whose securities collateralize securities of the registrant (incorporated by reference to Exhibit 22.1 to Comcast’s Quarterly Report on Form 10-Q for the quarter ended March 31, 2020).</w:t>
      </w:r>
    </w:p>
    <w:p>
      <w:pPr>
        <w:spacing w:after="0" w:line="50"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3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Deloitte &amp; Touche LLP.</w:t>
      </w:r>
    </w:p>
    <w:p>
      <w:pPr>
        <w:spacing w:after="0" w:line="77" w:lineRule="exact"/>
        <w:rPr>
          <w:sz w:val="20"/>
          <w:szCs w:val="20"/>
          <w:color w:val="auto"/>
        </w:rPr>
      </w:pPr>
    </w:p>
    <w:p>
      <w:pPr>
        <w:ind w:left="900" w:hanging="874"/>
        <w:spacing w:after="0"/>
        <w:tabs>
          <w:tab w:leader="none" w:pos="900" w:val="left"/>
        </w:tabs>
        <w:numPr>
          <w:ilvl w:val="0"/>
          <w:numId w:val="3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76"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3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900" w:right="20" w:hanging="874"/>
        <w:spacing w:after="0" w:line="21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Annual Report on Form 10-K for the year ended December 31, 2020, filed with the Securities and Exchange Commission on February 3, 2021, formatted in Inline Extensible Business Reporting Language (iXBRL):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7200" w:type="dxa"/>
            <w:vAlign w:val="bottom"/>
          </w:tcPr>
          <w:p>
            <w:pPr>
              <w:jc w:val="right"/>
              <w:ind w:right="5468"/>
              <w:spacing w:after="0"/>
              <w:rPr>
                <w:sz w:val="20"/>
                <w:szCs w:val="20"/>
                <w:color w:val="auto"/>
              </w:rPr>
            </w:pPr>
            <w:r>
              <w:rPr>
                <w:rFonts w:ascii="Times New Roman" w:cs="Times New Roman" w:eastAsia="Times New Roman" w:hAnsi="Times New Roman"/>
                <w:sz w:val="14"/>
                <w:szCs w:val="14"/>
                <w:b w:val="1"/>
                <w:bCs w:val="1"/>
                <w:color w:val="auto"/>
              </w:rPr>
              <w:t>108</w:t>
            </w:r>
          </w:p>
        </w:tc>
      </w:tr>
      <w:tr>
        <w:trPr>
          <w:trHeight w:val="327"/>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900" w:hanging="874"/>
        <w:spacing w:after="0"/>
        <w:tabs>
          <w:tab w:leader="none" w:pos="9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both"/>
        <w:ind w:left="548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109</w:t>
      </w:r>
      <w:r>
        <w:rPr>
          <w:sz w:val="20"/>
          <w:szCs w:val="20"/>
          <w:color w:val="auto"/>
        </w:rPr>
        <w:tab/>
      </w:r>
      <w:r>
        <w:rPr>
          <w:rFonts w:ascii="Times New Roman" w:cs="Times New Roman" w:eastAsia="Times New Roman" w:hAnsi="Times New Roman"/>
          <w:sz w:val="14"/>
          <w:szCs w:val="14"/>
          <w:color w:val="auto"/>
        </w:rPr>
        <w:t>Comcast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3, 2021.</w:t>
      </w:r>
    </w:p>
    <w:p>
      <w:pPr>
        <w:spacing w:after="0" w:line="94"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L. ROBERTS</w:t>
            </w:r>
          </w:p>
        </w:tc>
      </w:tr>
      <w:tr>
        <w:trPr>
          <w:trHeight w:val="216"/>
        </w:trPr>
        <w:tc>
          <w:tcPr>
            <w:tcW w:w="1120" w:type="dxa"/>
            <w:vAlign w:val="bottom"/>
          </w:tcPr>
          <w:p>
            <w:pPr>
              <w:spacing w:after="0"/>
              <w:rPr>
                <w:sz w:val="18"/>
                <w:szCs w:val="18"/>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L. Roberts</w:t>
            </w:r>
          </w:p>
        </w:tc>
      </w:tr>
      <w:tr>
        <w:trPr>
          <w:trHeight w:val="236"/>
        </w:trPr>
        <w:tc>
          <w:tcPr>
            <w:tcW w:w="11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p>
      <w:pPr>
        <w:ind w:left="1620"/>
        <w:spacing w:after="0"/>
        <w:tabs>
          <w:tab w:leader="none" w:pos="6080" w:val="left"/>
          <w:tab w:leader="none" w:pos="982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Brian L. Roberts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Michael J. Cavanagh</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J. Bacon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Madeline S. Bell</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 NAOMI M.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Naomi M. Bergman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Edward D. Breen</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Gerald L. Hassell</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914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Jeffrey A. Honickman</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MARITZA G.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Maritza G. Montiel</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Asuka Nakahara</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David C. Novak</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Chairman and Chief Executive Officer; 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20" w:type="dxa"/>
            <w:vAlign w:val="bottom"/>
          </w:tcPr>
          <w:p>
            <w:pPr>
              <w:spacing w:after="0"/>
              <w:rPr>
                <w:sz w:val="20"/>
                <w:szCs w:val="20"/>
                <w:color w:val="auto"/>
              </w:rPr>
            </w:pPr>
          </w:p>
        </w:tc>
      </w:tr>
      <w:tr>
        <w:trPr>
          <w:trHeight w:val="292"/>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20" w:type="dxa"/>
            <w:vAlign w:val="bottom"/>
          </w:tcPr>
          <w:p>
            <w:pPr>
              <w:spacing w:after="0"/>
              <w:rPr>
                <w:sz w:val="20"/>
                <w:szCs w:val="20"/>
                <w:color w:val="auto"/>
              </w:rPr>
            </w:pPr>
          </w:p>
        </w:tc>
      </w:tr>
      <w:tr>
        <w:trPr>
          <w:trHeight w:val="360"/>
        </w:trPr>
        <w:tc>
          <w:tcPr>
            <w:tcW w:w="41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Executive Vice President, Chief Accounting</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175"/>
        </w:trPr>
        <w:tc>
          <w:tcPr>
            <w:tcW w:w="4160" w:type="dxa"/>
            <w:vAlign w:val="bottom"/>
          </w:tcPr>
          <w:p>
            <w:pPr>
              <w:jc w:val="center"/>
              <w:ind w:right="590"/>
              <w:spacing w:after="0" w:line="176" w:lineRule="exact"/>
              <w:rPr>
                <w:sz w:val="20"/>
                <w:szCs w:val="20"/>
                <w:color w:val="auto"/>
              </w:rPr>
            </w:pPr>
            <w:r>
              <w:rPr>
                <w:rFonts w:ascii="Times New Roman" w:cs="Times New Roman" w:eastAsia="Times New Roman" w:hAnsi="Times New Roman"/>
                <w:sz w:val="18"/>
                <w:szCs w:val="18"/>
                <w:color w:val="auto"/>
                <w:w w:val="99"/>
              </w:rPr>
              <w:t>Officer and Controller</w:t>
            </w:r>
          </w:p>
        </w:tc>
        <w:tc>
          <w:tcPr>
            <w:tcW w:w="1920" w:type="dxa"/>
            <w:vAlign w:val="bottom"/>
          </w:tcPr>
          <w:p>
            <w:pPr>
              <w:spacing w:after="0"/>
              <w:rPr>
                <w:sz w:val="15"/>
                <w:szCs w:val="15"/>
                <w:color w:val="auto"/>
              </w:rPr>
            </w:pPr>
          </w:p>
        </w:tc>
      </w:tr>
      <w:tr>
        <w:trPr>
          <w:trHeight w:val="23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20" w:type="dxa"/>
            <w:vAlign w:val="bottom"/>
          </w:tcPr>
          <w:p>
            <w:pPr>
              <w:spacing w:after="0"/>
              <w:rPr>
                <w:sz w:val="20"/>
                <w:szCs w:val="20"/>
                <w:color w:val="auto"/>
              </w:rPr>
            </w:pPr>
          </w:p>
        </w:tc>
      </w:tr>
      <w:tr>
        <w:trPr>
          <w:trHeight w:val="279"/>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r>
        <w:trPr>
          <w:trHeight w:val="594"/>
        </w:trPr>
        <w:tc>
          <w:tcPr>
            <w:tcW w:w="41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February 3, 2021</w:t>
            </w:r>
          </w:p>
        </w:tc>
      </w:tr>
    </w:tbl>
    <w:p>
      <w:pPr>
        <w:spacing w:after="0" w:line="483" w:lineRule="exact"/>
        <w:rPr>
          <w:sz w:val="20"/>
          <w:szCs w:val="20"/>
          <w:color w:val="auto"/>
        </w:rPr>
      </w:pPr>
    </w:p>
    <w:p>
      <w:pPr>
        <w:sectPr>
          <w:pgSz w:w="11900" w:h="16838" w:orient="portrait"/>
          <w:cols w:equalWidth="0" w:num="2">
            <w:col w:w="3780" w:space="720"/>
            <w:col w:w="67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Comcast 2020 Annual Report on Form 10-K</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r>
    </w:tbl>
    <w:p>
      <w:pPr>
        <w:sectPr>
          <w:pgSz w:w="11900" w:h="16838" w:orient="portrait"/>
          <w:cols w:equalWidth="0" w:num="1">
            <w:col w:w="11240"/>
          </w:cols>
          <w:pgMar w:left="320" w:top="117" w:right="339"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DESCRIPTION OF COMCAST CORPORATION’S SECURITIES REGISTERED PURSUANT TO SECTION 12 OF THE SECURITIES EXCHANGE ACT OF 1934</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As of December 31, 2020, Comcast Corporation (“Comcast,” the “Company,” “we,” “us” or “our”) had nine classes of securities registered under Section 12 of the Securities Exchange Act of 1934, as amended (the “Exchange Act”): (1) our common stock, (2) our 2.0% Exchangeable Subordinated Debentures due 2029, (3) our 5.50% Notes due 2029, (4) our 9.455% Guaranteed Notes due 2022, (5) our 0.250% Notes due 2027, (6) our 1.500% Notes due 2029, (7) our 0.750% Notes due 2032, (8) our 1.875% Notes due 2036 and (9) our 1.250% Notes due 2040.</w:t>
      </w:r>
    </w:p>
    <w:p>
      <w:pPr>
        <w:spacing w:after="0" w:line="20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COMMON STOCK</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w:t>
      </w:r>
    </w:p>
    <w:p>
      <w:pPr>
        <w:sectPr>
          <w:pgSz w:w="11900" w:h="16838" w:orient="portrait"/>
          <w:cols w:equalWidth="0" w:num="1">
            <w:col w:w="11240"/>
          </w:cols>
          <w:pgMar w:left="320" w:top="12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of, our Class B common stock may also be paid or issued in shares of our Class A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Approval Rights</w:t>
      </w:r>
    </w:p>
    <w:p>
      <w:pPr>
        <w:spacing w:after="0" w:line="25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Conversion of Class B Common Stock</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Class B common stock is convertible share for share into Class A common stock, subject to certain restrictions.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Preference on Liquidation</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ectPr>
          <w:pgSz w:w="11900" w:h="16838" w:orient="portrait"/>
          <w:cols w:equalWidth="0" w:num="1">
            <w:col w:w="11240"/>
          </w:cols>
          <w:pgMar w:left="320" w:top="142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Mergers, Consolidations, Etc.</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2.0% EXCHANGEABLE SUBORDINATED DEBENTURES DUE 2029</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following summary of our 2.0% Exchangeable Subordinated Debentures due 2029 (the “ZONES”) is based on the indenture dated as of June 15, 1999 between Comcast Holdings Corporation (“Comcast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ZONES are unsecured, subordinated obligations of Comcast Holdings and will mature on November 15, 2029.</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w:t>
      </w:r>
    </w:p>
    <w:p>
      <w:pPr>
        <w:sectPr>
          <w:pgSz w:w="11900" w:h="16838" w:orient="portrait"/>
          <w:cols w:equalWidth="0" w:num="1">
            <w:col w:w="11240"/>
          </w:cols>
          <w:pgMar w:left="320" w:top="1418" w:right="339" w:bottom="1440" w:gutter="0" w:footer="0" w:header="0"/>
        </w:sectPr>
      </w:pPr>
    </w:p>
    <w:bookmarkStart w:id="116" w:name="page117"/>
    <w:bookmarkEnd w:id="116"/>
    <w:p>
      <w:pPr>
        <w:jc w:val="both"/>
        <w:spacing w:after="0" w:line="271" w:lineRule="auto"/>
        <w:rPr>
          <w:sz w:val="20"/>
          <w:szCs w:val="20"/>
          <w:color w:val="auto"/>
        </w:rPr>
      </w:pPr>
      <w:r>
        <w:rPr>
          <w:rFonts w:ascii="Times New Roman" w:cs="Times New Roman" w:eastAsia="Times New Roman" w:hAnsi="Times New Roman"/>
          <w:sz w:val="22"/>
          <w:szCs w:val="22"/>
          <w:color w:val="auto"/>
        </w:rPr>
        <w:t>in New York will be the office of the trustee maintained for that purpose. The ZONES are issued in denominations of one ZONES and integral multiples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spacing w:after="0" w:line="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Deferral of interest payments</w:t>
      </w:r>
    </w:p>
    <w:p>
      <w:pPr>
        <w:spacing w:after="0" w:line="25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no event of default has occurred and is continuing under the ZONES, we can, on one or more occasions, defer quarterly interest payments on the ZONES for up to 20 consecutive</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71" w:lineRule="auto"/>
        <w:rPr>
          <w:sz w:val="20"/>
          <w:szCs w:val="20"/>
          <w:color w:val="auto"/>
        </w:rPr>
      </w:pPr>
      <w:r>
        <w:rPr>
          <w:rFonts w:ascii="Times New Roman" w:cs="Times New Roman" w:eastAsia="Times New Roman" w:hAnsi="Times New Roman"/>
          <w:sz w:val="22"/>
          <w:szCs w:val="22"/>
          <w:color w:val="auto"/>
        </w:rPr>
        <w:t>quarterly periods. If we terminate a deferral period and subsequently elect to defer quarterly interest payments, we will again be subject to the 20 consecutive quarterly period limitation.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20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Any deferral of interest payments cannot extend, however, beyond the maturity date of the ZONES. We can never defer distributions of additional interest.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2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254" w:lineRule="exact"/>
        <w:rPr>
          <w:sz w:val="20"/>
          <w:szCs w:val="20"/>
          <w:color w:val="auto"/>
        </w:rPr>
      </w:pPr>
    </w:p>
    <w:p>
      <w:pPr>
        <w:ind w:left="2100" w:hanging="471"/>
        <w:spacing w:after="0"/>
        <w:tabs>
          <w:tab w:leader="none" w:pos="21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next date that interest on the ZONES is payable; or</w:t>
      </w:r>
    </w:p>
    <w:p>
      <w:pPr>
        <w:spacing w:after="0" w:line="287" w:lineRule="exact"/>
        <w:rPr>
          <w:rFonts w:ascii="Times New Roman" w:cs="Times New Roman" w:eastAsia="Times New Roman" w:hAnsi="Times New Roman"/>
          <w:sz w:val="22"/>
          <w:szCs w:val="22"/>
          <w:color w:val="auto"/>
        </w:rPr>
      </w:pPr>
    </w:p>
    <w:p>
      <w:pPr>
        <w:ind w:left="2100" w:right="20" w:hanging="471"/>
        <w:spacing w:after="0" w:line="255" w:lineRule="auto"/>
        <w:tabs>
          <w:tab w:leader="none" w:pos="210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we are required to give notice to the NYSE (or any other applicable self-regulatory organization) or to holders of the ZONES of the record date or the date any quarterly interest payment is payable.</w:t>
      </w:r>
    </w:p>
    <w:p>
      <w:pPr>
        <w:sectPr>
          <w:pgSz w:w="11900" w:h="16838" w:orient="portrait"/>
          <w:cols w:equalWidth="0" w:num="1">
            <w:col w:w="11240"/>
          </w:cols>
          <w:pgMar w:left="320" w:top="1422" w:right="339" w:bottom="1440" w:gutter="0" w:footer="0" w:header="0"/>
        </w:sectPr>
      </w:pPr>
    </w:p>
    <w:bookmarkStart w:id="118" w:name="page119"/>
    <w:bookmarkEnd w:id="118"/>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amount</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 “extraordinary dividend” means a dividend or distribution consisting of cash or any other property (other than additional reference shares), except for regular periodic cash dividends.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i w:val="1"/>
          <w:iCs w:val="1"/>
          <w:color w:val="auto"/>
        </w:rPr>
        <w:t>final period distribution</w:t>
      </w:r>
      <w:r>
        <w:rPr>
          <w:rFonts w:ascii="Times New Roman" w:cs="Times New Roman" w:eastAsia="Times New Roman" w:hAnsi="Times New Roman"/>
          <w:sz w:val="21"/>
          <w:szCs w:val="21"/>
          <w:color w:val="auto"/>
        </w:rPr>
        <w:t>” means, in respect of (a) the maturity date, a distribution determined in accordance with clauses (2), (3) and (4) below, and (b) the redemption date, a distribution determined in accordance with clauses (1), (2), (3) and</w:t>
      </w:r>
    </w:p>
    <w:p>
      <w:pPr>
        <w:spacing w:after="0" w:line="2"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If the redemption date is in connection with a rollover offering, the distribution determined in accordance with clause</w:t>
      </w:r>
    </w:p>
    <w:p>
      <w:pPr>
        <w:spacing w:after="0" w:line="15" w:lineRule="exact"/>
        <w:rPr>
          <w:rFonts w:ascii="Times New Roman" w:cs="Times New Roman" w:eastAsia="Times New Roman" w:hAnsi="Times New Roman"/>
          <w:sz w:val="21"/>
          <w:szCs w:val="21"/>
          <w:color w:val="auto"/>
        </w:rPr>
      </w:pPr>
    </w:p>
    <w:p>
      <w:pPr>
        <w:ind w:right="20" w:firstLine="8"/>
        <w:spacing w:after="0" w:line="248" w:lineRule="auto"/>
        <w:tabs>
          <w:tab w:leader="none" w:pos="33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all dividends and distributions on or in respect of the reference shares which a holder of reference shares on the pricing date (defined below) would be entitled to receive.</w:t>
      </w:r>
    </w:p>
    <w:p>
      <w:pPr>
        <w:spacing w:after="0" w:line="250" w:lineRule="exact"/>
        <w:rPr>
          <w:rFonts w:ascii="Times New Roman" w:cs="Times New Roman" w:eastAsia="Times New Roman" w:hAnsi="Times New Roman"/>
          <w:sz w:val="22"/>
          <w:szCs w:val="22"/>
          <w:color w:val="auto"/>
        </w:rPr>
      </w:pPr>
    </w:p>
    <w:p>
      <w:pPr>
        <w:ind w:left="1480" w:hanging="540"/>
        <w:spacing w:after="0"/>
        <w:tabs>
          <w:tab w:leader="none" w:pos="14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the scheduled redemption date of the ZONES is also a scheduled quarterly interest payment date or</w:t>
      </w:r>
    </w:p>
    <w:p>
      <w:pPr>
        <w:jc w:val="both"/>
        <w:ind w:left="1480" w:right="20" w:hanging="10"/>
        <w:spacing w:after="0" w:line="218" w:lineRule="auto"/>
        <w:tabs>
          <w:tab w:leader="none" w:pos="1811"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interest has been deferred for the then current quarterly dividend period, an amount equal to an annual rate of 2.0% on the original principal amount of the ZONES from the most recent scheduled interest payment date to the date of redemption, plus</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9" w:lineRule="exact"/>
        <w:rPr>
          <w:sz w:val="20"/>
          <w:szCs w:val="20"/>
          <w:color w:val="auto"/>
        </w:rPr>
      </w:pPr>
    </w:p>
    <w:p>
      <w:pPr>
        <w:jc w:val="both"/>
        <w:ind w:left="1480" w:right="20" w:hanging="540"/>
        <w:spacing w:after="0" w:line="220" w:lineRule="auto"/>
        <w:tabs>
          <w:tab w:leader="none" w:pos="14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287" w:lineRule="exact"/>
        <w:rPr>
          <w:rFonts w:ascii="Times New Roman" w:cs="Times New Roman" w:eastAsia="Times New Roman" w:hAnsi="Times New Roman"/>
          <w:sz w:val="22"/>
          <w:szCs w:val="22"/>
          <w:color w:val="auto"/>
        </w:rPr>
      </w:pPr>
    </w:p>
    <w:p>
      <w:pPr>
        <w:jc w:val="both"/>
        <w:ind w:left="1480" w:right="20" w:hanging="540"/>
        <w:spacing w:after="0" w:line="257" w:lineRule="auto"/>
        <w:tabs>
          <w:tab w:leader="none" w:pos="14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53" w:lineRule="exact"/>
        <w:rPr>
          <w:rFonts w:ascii="Times New Roman" w:cs="Times New Roman" w:eastAsia="Times New Roman" w:hAnsi="Times New Roman"/>
          <w:sz w:val="22"/>
          <w:szCs w:val="22"/>
          <w:color w:val="auto"/>
        </w:rPr>
      </w:pPr>
    </w:p>
    <w:p>
      <w:pPr>
        <w:jc w:val="both"/>
        <w:ind w:left="1480" w:right="20" w:hanging="540"/>
        <w:spacing w:after="0" w:line="225" w:lineRule="auto"/>
        <w:tabs>
          <w:tab w:leader="none" w:pos="14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 x (1 - 0.05n)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277" w:lineRule="exact"/>
        <w:rPr>
          <w:sz w:val="20"/>
          <w:szCs w:val="20"/>
          <w:color w:val="auto"/>
        </w:rPr>
      </w:pPr>
    </w:p>
    <w:p>
      <w:pPr>
        <w:jc w:val="both"/>
        <w:ind w:left="1580" w:right="20" w:hanging="586"/>
        <w:spacing w:after="0" w:line="220" w:lineRule="auto"/>
        <w:tabs>
          <w:tab w:leader="none" w:pos="1560" w:val="left"/>
        </w:tabs>
        <w:rPr>
          <w:sz w:val="20"/>
          <w:szCs w:val="20"/>
          <w:color w:val="auto"/>
        </w:rPr>
      </w:pPr>
      <w:r>
        <w:rPr>
          <w:rFonts w:ascii="Times New Roman" w:cs="Times New Roman" w:eastAsia="Times New Roman" w:hAnsi="Times New Roman"/>
          <w:sz w:val="22"/>
          <w:szCs w:val="22"/>
          <w:color w:val="auto"/>
        </w:rPr>
        <w:t>E =</w:t>
        <w:tab/>
        <w:t>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260" w:lineRule="exact"/>
        <w:rPr>
          <w:sz w:val="20"/>
          <w:szCs w:val="20"/>
          <w:color w:val="auto"/>
        </w:rPr>
      </w:pPr>
    </w:p>
    <w:p>
      <w:pPr>
        <w:ind w:left="1580" w:right="20" w:hanging="562"/>
        <w:spacing w:after="0" w:line="236" w:lineRule="auto"/>
        <w:tabs>
          <w:tab w:leader="none" w:pos="1560" w:val="left"/>
        </w:tabs>
        <w:rPr>
          <w:sz w:val="20"/>
          <w:szCs w:val="20"/>
          <w:color w:val="auto"/>
        </w:rPr>
      </w:pPr>
      <w:r>
        <w:rPr>
          <w:rFonts w:ascii="Times New Roman" w:cs="Times New Roman" w:eastAsia="Times New Roman" w:hAnsi="Times New Roman"/>
          <w:sz w:val="22"/>
          <w:szCs w:val="22"/>
          <w:color w:val="auto"/>
        </w:rPr>
        <w:t>n =</w:t>
        <w:tab/>
        <w:t>the number of scheduled trading days that have elapsed in the averaging period with the first trading day of the averaging period being counted as zero.</w:t>
      </w:r>
    </w:p>
    <w:p>
      <w:pPr>
        <w:spacing w:after="0" w:line="33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option</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w:t>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2"/>
          <w:szCs w:val="22"/>
          <w:color w:val="auto"/>
        </w:rPr>
        <w:t>elect, during the pendency of any tender or exchange offer for any of the reference shares, 100% of the exchange market value of the reference shares attributable to each ZONES.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254" w:lineRule="exact"/>
        <w:rPr>
          <w:sz w:val="20"/>
          <w:szCs w:val="20"/>
          <w:color w:val="auto"/>
        </w:rPr>
      </w:pPr>
    </w:p>
    <w:p>
      <w:pPr>
        <w:ind w:left="1960" w:right="20" w:hanging="358"/>
        <w:spacing w:after="0" w:line="236" w:lineRule="auto"/>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manually sign an exchange notice in the form available from the trustee and deliver this notice to the trustee at the office maintained by the trustee for this purpose;</w:t>
      </w:r>
    </w:p>
    <w:p>
      <w:pPr>
        <w:spacing w:after="0" w:line="258"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the ZONES to the trustee;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furnish appropriate endorsement and transfer documents; and</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pay all transfer or similar taxes.</w:t>
      </w:r>
    </w:p>
    <w:p>
      <w:pPr>
        <w:spacing w:after="0" w:line="36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Indenture, the date on which all of the foregoing requirements have been satisfied is the redemption date with respect to the ZONES delivered for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w:t>
      </w:r>
    </w:p>
    <w:p>
      <w:pPr>
        <w:spacing w:after="0" w:line="251"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current market value</w:t>
      </w:r>
      <w:r>
        <w:rPr>
          <w:rFonts w:ascii="Times New Roman" w:cs="Times New Roman" w:eastAsia="Times New Roman" w:hAnsi="Times New Roman"/>
          <w:sz w:val="22"/>
          <w:szCs w:val="22"/>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i w:val="1"/>
          <w:iCs w:val="1"/>
          <w:color w:val="auto"/>
        </w:rPr>
        <w:t>rollover offering</w:t>
      </w:r>
      <w:r>
        <w:rPr>
          <w:rFonts w:ascii="Times New Roman" w:cs="Times New Roman" w:eastAsia="Times New Roman" w:hAnsi="Times New Roman"/>
          <w:sz w:val="21"/>
          <w:szCs w:val="21"/>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 pricing date. We will provide that press release to DTC for dissemination through the DTC broadcast facility.</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closing price</w:t>
      </w:r>
      <w:r>
        <w:rPr>
          <w:rFonts w:ascii="Times New Roman" w:cs="Times New Roman" w:eastAsia="Times New Roman" w:hAnsi="Times New Roman"/>
          <w:sz w:val="22"/>
          <w:szCs w:val="22"/>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w:t>
      </w:r>
    </w:p>
    <w:p>
      <w:pPr>
        <w:sectPr>
          <w:pgSz w:w="11900" w:h="16838" w:orient="portrait"/>
          <w:cols w:equalWidth="0" w:num="1">
            <w:col w:w="11240"/>
          </w:cols>
          <w:pgMar w:left="320" w:top="1416" w:right="339" w:bottom="1440" w:gutter="0" w:footer="0" w:header="0"/>
        </w:sectPr>
      </w:pPr>
    </w:p>
    <w:bookmarkStart w:id="122" w:name="page123"/>
    <w:bookmarkEnd w:id="122"/>
    <w:p>
      <w:pPr>
        <w:jc w:val="both"/>
        <w:spacing w:after="0" w:line="271" w:lineRule="auto"/>
        <w:rPr>
          <w:sz w:val="20"/>
          <w:szCs w:val="20"/>
          <w:color w:val="auto"/>
        </w:rPr>
      </w:pPr>
      <w:r>
        <w:rPr>
          <w:rFonts w:ascii="Times New Roman" w:cs="Times New Roman" w:eastAsia="Times New Roman" w:hAnsi="Times New Roman"/>
          <w:sz w:val="22"/>
          <w:szCs w:val="22"/>
          <w:color w:val="auto"/>
        </w:rPr>
        <w:t>quotation system on which the reference shares are then traded or quoted. All references to 4:00 p.m., New York City time, in the definition of “current market value” shall thereafter be deemed to refer to the then customary determination time.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addition, if at any time on or prior to January 30, 2000, a “</w:t>
      </w:r>
      <w:r>
        <w:rPr>
          <w:rFonts w:ascii="Times New Roman" w:cs="Times New Roman" w:eastAsia="Times New Roman" w:hAnsi="Times New Roman"/>
          <w:sz w:val="22"/>
          <w:szCs w:val="22"/>
          <w:b w:val="1"/>
          <w:bCs w:val="1"/>
          <w:i w:val="1"/>
          <w:iCs w:val="1"/>
          <w:color w:val="auto"/>
        </w:rPr>
        <w:t>tax event</w:t>
      </w:r>
      <w:r>
        <w:rPr>
          <w:rFonts w:ascii="Times New Roman" w:cs="Times New Roman" w:eastAsia="Times New Roman" w:hAnsi="Times New Roman"/>
          <w:sz w:val="22"/>
          <w:szCs w:val="22"/>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20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tax event</w:t>
      </w:r>
      <w:r>
        <w:rPr>
          <w:rFonts w:ascii="Times New Roman" w:cs="Times New Roman" w:eastAsia="Times New Roman" w:hAnsi="Times New Roman"/>
          <w:sz w:val="22"/>
          <w:szCs w:val="22"/>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the redemption date is not a business day, then the redemption amount will be payable on the next business day (and without any interest or other payment in respect of that delay).</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71" w:lineRule="auto"/>
        <w:rPr>
          <w:sz w:val="20"/>
          <w:szCs w:val="20"/>
          <w:color w:val="auto"/>
        </w:rPr>
      </w:pPr>
      <w:r>
        <w:rPr>
          <w:rFonts w:ascii="Times New Roman" w:cs="Times New Roman" w:eastAsia="Times New Roman" w:hAnsi="Times New Roman"/>
          <w:sz w:val="22"/>
          <w:szCs w:val="22"/>
          <w:color w:val="auto"/>
        </w:rPr>
        <w:t>However, if the next business day is in the next calendar year, the redemption amount will be payable on the preceding business day.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compliance with applicable law (including the United States federal securities laws), we and our affiliates may, at any time, purchase outstanding ZONES by tender, in the open market or by private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Subordination</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ZONES are unsecured and junior in right of payment to all senior indebtedness (as we define below). This means that no payment of principal, premium (if any) or interest on the ZONES may be made if:</w:t>
      </w:r>
    </w:p>
    <w:p>
      <w:pPr>
        <w:spacing w:after="0" w:line="239" w:lineRule="exact"/>
        <w:rPr>
          <w:sz w:val="20"/>
          <w:szCs w:val="20"/>
          <w:color w:val="auto"/>
        </w:rPr>
      </w:pPr>
    </w:p>
    <w:p>
      <w:pPr>
        <w:jc w:val="both"/>
        <w:ind w:left="1960" w:right="20" w:hanging="358"/>
        <w:spacing w:after="0" w:line="225" w:lineRule="auto"/>
        <w:tabs>
          <w:tab w:leader="none" w:pos="1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our senior indebtedness is not paid when due, any applicable grace period with respect to any default for non-payment of principal, premium, interest or any other payment due on any senior indebtedness has ended and that default has not been cured or waived or ceased to exist; or</w:t>
      </w:r>
    </w:p>
    <w:p>
      <w:pPr>
        <w:spacing w:after="0" w:line="260"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senior indebtedness has been accelerated because of a default.</w:t>
      </w:r>
    </w:p>
    <w:p>
      <w:pPr>
        <w:spacing w:after="0" w:line="3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21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indebtedness</w:t>
      </w:r>
      <w:r>
        <w:rPr>
          <w:rFonts w:ascii="Times New Roman" w:cs="Times New Roman" w:eastAsia="Times New Roman" w:hAnsi="Times New Roman"/>
          <w:sz w:val="22"/>
          <w:szCs w:val="22"/>
          <w:color w:val="auto"/>
        </w:rPr>
        <w:t>” means the principal of, premium, if any, interest on, and any other payment due pursuant to any of the following, whether outstanding today or incurred by us in the future:</w:t>
      </w:r>
    </w:p>
    <w:p>
      <w:pPr>
        <w:sectPr>
          <w:pgSz w:w="11900" w:h="16838" w:orient="portrait"/>
          <w:cols w:equalWidth="0" w:num="1">
            <w:col w:w="11240"/>
          </w:cols>
          <w:pgMar w:left="320" w:top="1422" w:right="339" w:bottom="1440" w:gutter="0" w:footer="0" w:header="0"/>
        </w:sectPr>
      </w:pPr>
    </w:p>
    <w:bookmarkStart w:id="124" w:name="page125"/>
    <w:bookmarkEnd w:id="124"/>
    <w:p>
      <w:pPr>
        <w:spacing w:after="0" w:line="9" w:lineRule="exact"/>
        <w:rPr>
          <w:sz w:val="20"/>
          <w:szCs w:val="20"/>
          <w:color w:val="auto"/>
        </w:rPr>
      </w:pPr>
    </w:p>
    <w:p>
      <w:pPr>
        <w:jc w:val="both"/>
        <w:ind w:left="1960" w:right="20" w:hanging="358"/>
        <w:spacing w:after="0" w:line="220" w:lineRule="auto"/>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indebtedness evidenced by notes, debentures, bonds or other securities sold by us for money;</w:t>
      </w:r>
    </w:p>
    <w:p>
      <w:pPr>
        <w:spacing w:after="0" w:line="300"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lease obligations which are capitalized on our books in accordance with generally accepted accounting principles;</w:t>
      </w:r>
    </w:p>
    <w:p>
      <w:pPr>
        <w:spacing w:after="0" w:line="258" w:lineRule="exact"/>
        <w:rPr>
          <w:rFonts w:ascii="Times New Roman" w:cs="Times New Roman" w:eastAsia="Times New Roman" w:hAnsi="Times New Roman"/>
          <w:sz w:val="22"/>
          <w:szCs w:val="22"/>
          <w:color w:val="auto"/>
        </w:rPr>
      </w:pPr>
    </w:p>
    <w:p>
      <w:pPr>
        <w:jc w:val="both"/>
        <w:ind w:left="1960" w:right="20" w:hanging="358"/>
        <w:spacing w:after="0" w:line="220" w:lineRule="auto"/>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260"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3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ZONES do not limit our ability or that of our subsidiaries to incur additional indebtedness, including indebtedness that ranks senior in priority of payment to the ZONES.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Amount payable upon bankruptcy</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ectPr>
          <w:pgSz w:w="11900" w:h="16838" w:orient="portrait"/>
          <w:cols w:equalWidth="0" w:num="1">
            <w:col w:w="11240"/>
          </w:cols>
          <w:pgMar w:left="320" w:top="1440" w:right="339" w:bottom="1440" w:gutter="0" w:footer="0" w:header="0"/>
        </w:sectPr>
      </w:pPr>
    </w:p>
    <w:bookmarkStart w:id="125" w:name="page126"/>
    <w:bookmarkEnd w:id="125"/>
    <w:p>
      <w:pPr>
        <w:ind w:firstLine="648"/>
        <w:spacing w:after="0" w:line="271" w:lineRule="auto"/>
        <w:rPr>
          <w:sz w:val="20"/>
          <w:szCs w:val="20"/>
          <w:color w:val="auto"/>
        </w:rPr>
      </w:pPr>
      <w:r>
        <w:rPr>
          <w:rFonts w:ascii="Times New Roman" w:cs="Times New Roman" w:eastAsia="Times New Roman" w:hAnsi="Times New Roman"/>
          <w:sz w:val="22"/>
          <w:szCs w:val="22"/>
          <w:color w:val="auto"/>
        </w:rPr>
        <w:t>Because of the subordination provisions contained in the Indenture, the amount holders actually receive is likely to be substantially less than the amount of their claim.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Dilution adjustments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document, “reference company” means Sprint and any other issuer of a reference share.</w:t>
      </w:r>
    </w:p>
    <w:p>
      <w:pPr>
        <w:spacing w:after="0" w:line="241" w:lineRule="exact"/>
        <w:rPr>
          <w:sz w:val="20"/>
          <w:szCs w:val="20"/>
          <w:color w:val="auto"/>
        </w:rPr>
      </w:pPr>
    </w:p>
    <w:p>
      <w:pPr>
        <w:ind w:left="860" w:hanging="204"/>
        <w:spacing w:after="0"/>
        <w:tabs>
          <w:tab w:leader="none" w:pos="8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reference share</w:t>
      </w:r>
      <w:r>
        <w:rPr>
          <w:rFonts w:ascii="Times New Roman" w:cs="Times New Roman" w:eastAsia="Times New Roman" w:hAnsi="Times New Roman"/>
          <w:sz w:val="22"/>
          <w:szCs w:val="22"/>
          <w:color w:val="auto"/>
        </w:rPr>
        <w:t>” means, collectively:</w:t>
      </w:r>
    </w:p>
    <w:p>
      <w:pPr>
        <w:spacing w:after="0" w:line="306" w:lineRule="exact"/>
        <w:rPr>
          <w:rFonts w:ascii="Times New Roman" w:cs="Times New Roman" w:eastAsia="Times New Roman" w:hAnsi="Times New Roman"/>
          <w:sz w:val="22"/>
          <w:szCs w:val="22"/>
          <w:color w:val="auto"/>
        </w:rPr>
      </w:pPr>
    </w:p>
    <w:p>
      <w:pPr>
        <w:ind w:left="2020" w:hanging="404"/>
        <w:spacing w:after="0"/>
        <w:tabs>
          <w:tab w:leader="none" w:pos="20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initially, one share of Sprint PCS stock; and</w:t>
      </w:r>
    </w:p>
    <w:p>
      <w:pPr>
        <w:spacing w:after="0" w:line="314" w:lineRule="exact"/>
        <w:rPr>
          <w:rFonts w:ascii="Times New Roman" w:cs="Times New Roman" w:eastAsia="Times New Roman" w:hAnsi="Times New Roman"/>
          <w:sz w:val="22"/>
          <w:szCs w:val="22"/>
          <w:color w:val="auto"/>
        </w:rPr>
      </w:pPr>
    </w:p>
    <w:p>
      <w:pPr>
        <w:jc w:val="both"/>
        <w:ind w:left="2020" w:right="20" w:hanging="404"/>
        <w:spacing w:after="0" w:line="250" w:lineRule="auto"/>
        <w:tabs>
          <w:tab w:leader="none" w:pos="20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 following events:</w:t>
      </w:r>
    </w:p>
    <w:p>
      <w:pPr>
        <w:spacing w:after="0" w:line="126" w:lineRule="exact"/>
        <w:rPr>
          <w:rFonts w:ascii="Times New Roman" w:cs="Times New Roman" w:eastAsia="Times New Roman" w:hAnsi="Times New Roman"/>
          <w:sz w:val="22"/>
          <w:szCs w:val="22"/>
          <w:color w:val="auto"/>
        </w:rPr>
      </w:pPr>
    </w:p>
    <w:p>
      <w:pPr>
        <w:ind w:left="3060" w:hanging="514"/>
        <w:spacing w:after="0"/>
        <w:tabs>
          <w:tab w:leader="none" w:pos="30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on or in respect of a reference share in reference shares;</w:t>
      </w:r>
    </w:p>
    <w:p>
      <w:pPr>
        <w:spacing w:after="0" w:line="287" w:lineRule="exact"/>
        <w:rPr>
          <w:rFonts w:ascii="Times New Roman" w:cs="Times New Roman" w:eastAsia="Times New Roman" w:hAnsi="Times New Roman"/>
          <w:sz w:val="22"/>
          <w:szCs w:val="22"/>
          <w:color w:val="auto"/>
        </w:rPr>
      </w:pPr>
    </w:p>
    <w:p>
      <w:pPr>
        <w:ind w:left="3060" w:hanging="514"/>
        <w:spacing w:after="0"/>
        <w:tabs>
          <w:tab w:leader="none" w:pos="30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combination of reference shares into a smaller number of shares or other units;</w:t>
      </w:r>
    </w:p>
    <w:p>
      <w:pPr>
        <w:spacing w:after="0" w:line="287" w:lineRule="exact"/>
        <w:rPr>
          <w:rFonts w:ascii="Times New Roman" w:cs="Times New Roman" w:eastAsia="Times New Roman" w:hAnsi="Times New Roman"/>
          <w:sz w:val="22"/>
          <w:szCs w:val="22"/>
          <w:color w:val="auto"/>
        </w:rPr>
      </w:pPr>
    </w:p>
    <w:p>
      <w:pPr>
        <w:ind w:left="3060" w:hanging="514"/>
        <w:spacing w:after="0"/>
        <w:tabs>
          <w:tab w:leader="none" w:pos="30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subdivision of outstanding shares or other units of reference shares;</w:t>
      </w:r>
    </w:p>
    <w:p>
      <w:pPr>
        <w:spacing w:after="0" w:line="287" w:lineRule="exact"/>
        <w:rPr>
          <w:rFonts w:ascii="Times New Roman" w:cs="Times New Roman" w:eastAsia="Times New Roman" w:hAnsi="Times New Roman"/>
          <w:sz w:val="22"/>
          <w:szCs w:val="22"/>
          <w:color w:val="auto"/>
        </w:rPr>
      </w:pPr>
    </w:p>
    <w:p>
      <w:pPr>
        <w:ind w:left="3060" w:right="20" w:hanging="514"/>
        <w:spacing w:after="0" w:line="236" w:lineRule="auto"/>
        <w:tabs>
          <w:tab w:leader="none" w:pos="30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or reclassification of reference shares by issuance or exchange of other securities;</w:t>
      </w:r>
    </w:p>
    <w:p>
      <w:pPr>
        <w:spacing w:after="0" w:line="258" w:lineRule="exact"/>
        <w:rPr>
          <w:rFonts w:ascii="Times New Roman" w:cs="Times New Roman" w:eastAsia="Times New Roman" w:hAnsi="Times New Roman"/>
          <w:sz w:val="22"/>
          <w:szCs w:val="22"/>
          <w:color w:val="auto"/>
        </w:rPr>
      </w:pPr>
    </w:p>
    <w:p>
      <w:pPr>
        <w:jc w:val="both"/>
        <w:ind w:left="3060" w:right="20" w:hanging="514"/>
        <w:spacing w:after="0" w:line="225" w:lineRule="auto"/>
        <w:tabs>
          <w:tab w:leader="none" w:pos="3060"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ectPr>
          <w:pgSz w:w="11900" w:h="16838" w:orient="portrait"/>
          <w:cols w:equalWidth="0" w:num="1">
            <w:col w:w="11240"/>
          </w:cols>
          <w:pgMar w:left="320" w:top="1422" w:right="339" w:bottom="1440" w:gutter="0" w:footer="0" w:header="0"/>
        </w:sectPr>
      </w:pPr>
    </w:p>
    <w:bookmarkStart w:id="126" w:name="page127"/>
    <w:bookmarkEnd w:id="126"/>
    <w:p>
      <w:pPr>
        <w:spacing w:after="0" w:line="9" w:lineRule="exact"/>
        <w:rPr>
          <w:sz w:val="20"/>
          <w:szCs w:val="20"/>
          <w:color w:val="auto"/>
        </w:rPr>
      </w:pPr>
    </w:p>
    <w:p>
      <w:pPr>
        <w:jc w:val="both"/>
        <w:ind w:left="3060" w:right="20" w:hanging="514"/>
        <w:spacing w:after="0" w:line="215" w:lineRule="auto"/>
        <w:tabs>
          <w:tab w:leader="none" w:pos="30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pacing w:after="0" w:line="260" w:lineRule="exact"/>
        <w:rPr>
          <w:rFonts w:ascii="Times New Roman" w:cs="Times New Roman" w:eastAsia="Times New Roman" w:hAnsi="Times New Roman"/>
          <w:sz w:val="22"/>
          <w:szCs w:val="22"/>
          <w:color w:val="auto"/>
        </w:rPr>
      </w:pPr>
    </w:p>
    <w:p>
      <w:pPr>
        <w:ind w:left="3060" w:right="40" w:hanging="514"/>
        <w:spacing w:after="0" w:line="236" w:lineRule="auto"/>
        <w:tabs>
          <w:tab w:leader="none" w:pos="30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dissolution or winding up of the reference company or any reference company successor.</w:t>
      </w: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the foregoing:</w:t>
      </w:r>
    </w:p>
    <w:p>
      <w:pPr>
        <w:spacing w:after="0" w:line="301" w:lineRule="exact"/>
        <w:rPr>
          <w:sz w:val="20"/>
          <w:szCs w:val="20"/>
          <w:color w:val="auto"/>
        </w:rPr>
      </w:pPr>
    </w:p>
    <w:p>
      <w:pPr>
        <w:jc w:val="both"/>
        <w:ind w:left="1960" w:right="20" w:hanging="358"/>
        <w:spacing w:after="0" w:line="225" w:lineRule="auto"/>
        <w:tabs>
          <w:tab w:leader="none" w:pos="19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 and</w:t>
      </w:r>
    </w:p>
    <w:p>
      <w:pPr>
        <w:spacing w:after="0" w:line="261" w:lineRule="exact"/>
        <w:rPr>
          <w:rFonts w:ascii="Times New Roman" w:cs="Times New Roman" w:eastAsia="Times New Roman" w:hAnsi="Times New Roman"/>
          <w:sz w:val="21"/>
          <w:szCs w:val="21"/>
          <w:color w:val="auto"/>
        </w:rPr>
      </w:pPr>
    </w:p>
    <w:p>
      <w:pPr>
        <w:jc w:val="both"/>
        <w:ind w:left="1960" w:right="20" w:hanging="358"/>
        <w:spacing w:after="0" w:line="217" w:lineRule="auto"/>
        <w:tabs>
          <w:tab w:leader="none" w:pos="19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3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20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reference share offer</w:t>
      </w:r>
      <w:r>
        <w:rPr>
          <w:rFonts w:ascii="Times New Roman" w:cs="Times New Roman" w:eastAsia="Times New Roman" w:hAnsi="Times New Roman"/>
          <w:sz w:val="22"/>
          <w:szCs w:val="22"/>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 reference share offer is made, we may, at our option, either:</w:t>
      </w:r>
    </w:p>
    <w:p>
      <w:pPr>
        <w:spacing w:after="0" w:line="58" w:lineRule="exact"/>
        <w:rPr>
          <w:sz w:val="20"/>
          <w:szCs w:val="20"/>
          <w:color w:val="auto"/>
        </w:rPr>
      </w:pPr>
    </w:p>
    <w:p>
      <w:pPr>
        <w:ind w:left="2040" w:hanging="519"/>
        <w:spacing w:after="0"/>
        <w:tabs>
          <w:tab w:leader="none" w:pos="20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pendency of the offer, increase the early exchange ratio to 100%; or</w:t>
      </w:r>
    </w:p>
    <w:p>
      <w:pPr>
        <w:spacing w:after="0" w:line="273" w:lineRule="exact"/>
        <w:rPr>
          <w:rFonts w:ascii="Times New Roman" w:cs="Times New Roman" w:eastAsia="Times New Roman" w:hAnsi="Times New Roman"/>
          <w:sz w:val="22"/>
          <w:szCs w:val="22"/>
          <w:color w:val="auto"/>
        </w:rPr>
      </w:pPr>
    </w:p>
    <w:p>
      <w:pPr>
        <w:ind w:left="2040" w:hanging="519"/>
        <w:spacing w:after="0"/>
        <w:tabs>
          <w:tab w:leader="none" w:pos="20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reference share offer adjustment.</w:t>
      </w:r>
    </w:p>
    <w:p>
      <w:pPr>
        <w:sectPr>
          <w:pgSz w:w="11900" w:h="16838" w:orient="portrait"/>
          <w:cols w:equalWidth="0" w:num="1">
            <w:col w:w="11240"/>
          </w:cols>
          <w:pgMar w:left="320" w:top="1440" w:right="339" w:bottom="1440" w:gutter="0" w:footer="0" w:header="0"/>
        </w:sectPr>
      </w:pPr>
    </w:p>
    <w:bookmarkStart w:id="127" w:name="page128"/>
    <w:bookmarkEnd w:id="127"/>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reference share offer adjustment</w:t>
      </w:r>
      <w:r>
        <w:rPr>
          <w:rFonts w:ascii="Times New Roman" w:cs="Times New Roman" w:eastAsia="Times New Roman" w:hAnsi="Times New Roman"/>
          <w:sz w:val="22"/>
          <w:szCs w:val="22"/>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20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reference share proportionate reduction</w:t>
      </w:r>
      <w:r>
        <w:rPr>
          <w:rFonts w:ascii="Times New Roman" w:cs="Times New Roman" w:eastAsia="Times New Roman" w:hAnsi="Times New Roman"/>
          <w:sz w:val="22"/>
          <w:szCs w:val="22"/>
          <w:color w:val="auto"/>
        </w:rPr>
        <w:t>” means a proportionate reduction in the number of reference shares which are the subject of the applicable reference share offer and attributable to one ZONES calculated in accordance with the following formula:</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R=X/N</w:t>
      </w:r>
    </w:p>
    <w:p>
      <w:pPr>
        <w:spacing w:after="0" w:line="277" w:lineRule="exact"/>
        <w:rPr>
          <w:sz w:val="20"/>
          <w:szCs w:val="20"/>
          <w:color w:val="auto"/>
        </w:rPr>
      </w:pPr>
    </w:p>
    <w:p>
      <w:pPr>
        <w:ind w:left="1640" w:right="20" w:hanging="598"/>
        <w:spacing w:after="0" w:line="236" w:lineRule="auto"/>
        <w:tabs>
          <w:tab w:leader="none" w:pos="1620" w:val="left"/>
        </w:tabs>
        <w:rPr>
          <w:sz w:val="20"/>
          <w:szCs w:val="20"/>
          <w:color w:val="auto"/>
        </w:rPr>
      </w:pPr>
      <w:r>
        <w:rPr>
          <w:rFonts w:ascii="Times New Roman" w:cs="Times New Roman" w:eastAsia="Times New Roman" w:hAnsi="Times New Roman"/>
          <w:sz w:val="22"/>
          <w:szCs w:val="22"/>
          <w:color w:val="auto"/>
        </w:rPr>
        <w:t>R =</w:t>
        <w:tab/>
        <w:t>the fraction by which the number of reference shares of the class of reference shares subject to the reference share offer and attributable to one ZONES will be reduced.</w:t>
      </w:r>
    </w:p>
    <w:p>
      <w:pPr>
        <w:spacing w:after="0" w:line="258" w:lineRule="exact"/>
        <w:rPr>
          <w:sz w:val="20"/>
          <w:szCs w:val="20"/>
          <w:color w:val="auto"/>
        </w:rPr>
      </w:pPr>
    </w:p>
    <w:p>
      <w:pPr>
        <w:ind w:left="1640" w:right="20" w:hanging="610"/>
        <w:spacing w:after="0" w:line="236" w:lineRule="auto"/>
        <w:tabs>
          <w:tab w:leader="none" w:pos="1620" w:val="left"/>
        </w:tabs>
        <w:rPr>
          <w:sz w:val="20"/>
          <w:szCs w:val="20"/>
          <w:color w:val="auto"/>
        </w:rPr>
      </w:pPr>
      <w:r>
        <w:rPr>
          <w:rFonts w:ascii="Times New Roman" w:cs="Times New Roman" w:eastAsia="Times New Roman" w:hAnsi="Times New Roman"/>
          <w:sz w:val="22"/>
          <w:szCs w:val="22"/>
          <w:color w:val="auto"/>
        </w:rPr>
        <w:t>X =</w:t>
        <w:tab/>
        <w:t>the aggregate number of reference shares of the class of reference shares subject to the reference share offer accepted in the reference share offer.</w:t>
      </w:r>
    </w:p>
    <w:p>
      <w:pPr>
        <w:spacing w:after="0" w:line="258" w:lineRule="exact"/>
        <w:rPr>
          <w:sz w:val="20"/>
          <w:szCs w:val="20"/>
          <w:color w:val="auto"/>
        </w:rPr>
      </w:pPr>
    </w:p>
    <w:p>
      <w:pPr>
        <w:ind w:left="1640" w:right="20" w:hanging="610"/>
        <w:spacing w:after="0" w:line="236" w:lineRule="auto"/>
        <w:tabs>
          <w:tab w:leader="none" w:pos="1620" w:val="left"/>
        </w:tabs>
        <w:rPr>
          <w:sz w:val="20"/>
          <w:szCs w:val="20"/>
          <w:color w:val="auto"/>
        </w:rPr>
      </w:pPr>
      <w:r>
        <w:rPr>
          <w:rFonts w:ascii="Times New Roman" w:cs="Times New Roman" w:eastAsia="Times New Roman" w:hAnsi="Times New Roman"/>
          <w:sz w:val="22"/>
          <w:szCs w:val="22"/>
          <w:color w:val="auto"/>
        </w:rPr>
        <w:t>N =</w:t>
        <w:tab/>
        <w:t>the aggregate number of reference shares of the class of reference shares subject to the reference share offer outstanding immediately prior to the expiration of the reference share offer.</w:t>
      </w:r>
    </w:p>
    <w:p>
      <w:pPr>
        <w:spacing w:after="0" w:line="3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20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w:t>
      </w:r>
    </w:p>
    <w:p>
      <w:pPr>
        <w:sectPr>
          <w:pgSz w:w="11900" w:h="16838" w:orient="portrait"/>
          <w:cols w:equalWidth="0" w:num="1">
            <w:col w:w="11240"/>
          </w:cols>
          <w:pgMar w:left="320" w:top="1416" w:right="339" w:bottom="1440" w:gutter="0" w:footer="0" w:header="0"/>
        </w:sectPr>
      </w:pPr>
    </w:p>
    <w:bookmarkStart w:id="128" w:name="page129"/>
    <w:bookmarkEnd w:id="12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purposes of these adjustments, a material change to the terms of an existing reference share offer will be deemed to be a new reference share offer.</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Calculations in respect of the ZONES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will be responsible for making all calculations called for under the ZONES. These calculations include, but are not limited to, determination of:</w:t>
      </w:r>
    </w:p>
    <w:p>
      <w:pPr>
        <w:spacing w:after="0" w:line="239" w:lineRule="exact"/>
        <w:rPr>
          <w:sz w:val="20"/>
          <w:szCs w:val="20"/>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contingent principal amount of the ZONES;</w:t>
      </w:r>
    </w:p>
    <w:p>
      <w:pPr>
        <w:spacing w:after="0" w:line="287"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market value of the reference shares;</w:t>
      </w:r>
    </w:p>
    <w:p>
      <w:pPr>
        <w:spacing w:after="0" w:line="287"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market value of the reference shares;</w:t>
      </w:r>
    </w:p>
    <w:p>
      <w:pPr>
        <w:spacing w:after="0" w:line="287"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period distribution on the ZONES;</w:t>
      </w:r>
    </w:p>
    <w:p>
      <w:pPr>
        <w:spacing w:after="0" w:line="287"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value of any property distributed on the reference shares;</w:t>
      </w:r>
    </w:p>
    <w:p>
      <w:pPr>
        <w:spacing w:after="0" w:line="287"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transaction consideration in a reference share offer;</w:t>
      </w:r>
    </w:p>
    <w:p>
      <w:pPr>
        <w:spacing w:after="0" w:line="287"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composition of a reference share; and</w:t>
      </w:r>
    </w:p>
    <w:p>
      <w:pPr>
        <w:spacing w:after="0" w:line="273"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accrued interest payable upon redemption or at maturity of the ZONES.</w:t>
      </w:r>
    </w:p>
    <w:p>
      <w:pPr>
        <w:spacing w:after="0" w:line="3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ectPr>
          <w:pgSz w:w="11900" w:h="16838" w:orient="portrait"/>
          <w:cols w:equalWidth="0" w:num="1">
            <w:col w:w="11240"/>
          </w:cols>
          <w:pgMar w:left="320" w:top="1422"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200" w:lineRule="exact"/>
        <w:rPr>
          <w:sz w:val="20"/>
          <w:szCs w:val="20"/>
          <w:color w:val="auto"/>
        </w:rPr>
      </w:pPr>
    </w:p>
    <w:p>
      <w:pPr>
        <w:ind w:firstLine="656"/>
        <w:spacing w:after="0" w:line="271" w:lineRule="auto"/>
        <w:tabs>
          <w:tab w:leader="none" w:pos="95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corporation to the Issuer, or successive successions, and the assumption by the successor corporation of the covenants, agreements and obligations of the Issuer;</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97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pacing w:after="0" w:line="207"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establish the form or terms of securities of any series as permitted by Sections 2.01 and 2.03 to the Base Indenture;</w:t>
      </w:r>
    </w:p>
    <w:p>
      <w:pPr>
        <w:spacing w:after="0" w:line="258" w:lineRule="exact"/>
        <w:rPr>
          <w:rFonts w:ascii="Times New Roman" w:cs="Times New Roman" w:eastAsia="Times New Roman" w:hAnsi="Times New Roman"/>
          <w:sz w:val="21"/>
          <w:szCs w:val="21"/>
          <w:color w:val="auto"/>
        </w:rPr>
      </w:pPr>
    </w:p>
    <w:p>
      <w:pPr>
        <w:jc w:val="both"/>
        <w:ind w:firstLine="656"/>
        <w:spacing w:after="0" w:line="252" w:lineRule="auto"/>
        <w:tabs>
          <w:tab w:leader="none" w:pos="99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20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any requirements in connection with the qualification of the Indenture under the Trust Indenture Act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1939;</w:t>
      </w:r>
    </w:p>
    <w:p>
      <w:pPr>
        <w:spacing w:after="0" w:line="222"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or unregistered securities and to make all appropriate changes for such purpose;</w:t>
      </w:r>
    </w:p>
    <w:p>
      <w:pPr>
        <w:spacing w:after="0" w:line="24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9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by or pursuant to a board resolution or indenture supplemental hereto establishing the terms of one or more series of ZONES;</w:t>
      </w:r>
    </w:p>
    <w:p>
      <w:pPr>
        <w:spacing w:after="0" w:line="184" w:lineRule="exact"/>
        <w:rPr>
          <w:rFonts w:ascii="Times New Roman" w:cs="Times New Roman" w:eastAsia="Times New Roman" w:hAnsi="Times New Roman"/>
          <w:sz w:val="22"/>
          <w:szCs w:val="22"/>
          <w:color w:val="auto"/>
        </w:rPr>
      </w:pPr>
    </w:p>
    <w:p>
      <w:pPr>
        <w:jc w:val="both"/>
        <w:ind w:firstLine="656"/>
        <w:spacing w:after="0" w:line="248" w:lineRule="auto"/>
        <w:tabs>
          <w:tab w:leader="none" w:pos="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w:t>
      </w:r>
    </w:p>
    <w:p>
      <w:pPr>
        <w:sectPr>
          <w:pgSz w:w="11900" w:h="16838" w:orient="portrait"/>
          <w:cols w:equalWidth="0" w:num="1">
            <w:col w:w="11240"/>
          </w:cols>
          <w:pgMar w:left="320" w:top="1418" w:right="339" w:bottom="1440" w:gutter="0" w:footer="0" w:header="0"/>
        </w:sectPr>
      </w:pPr>
    </w:p>
    <w:bookmarkStart w:id="130" w:name="page131"/>
    <w:bookmarkEnd w:id="130"/>
    <w:p>
      <w:pPr>
        <w:jc w:val="both"/>
        <w:spacing w:after="0" w:line="271" w:lineRule="auto"/>
        <w:rPr>
          <w:sz w:val="20"/>
          <w:szCs w:val="20"/>
          <w:color w:val="auto"/>
        </w:rPr>
      </w:pPr>
      <w:r>
        <w:rPr>
          <w:rFonts w:ascii="Times New Roman" w:cs="Times New Roman" w:eastAsia="Times New Roman" w:hAnsi="Times New Roman"/>
          <w:sz w:val="22"/>
          <w:szCs w:val="22"/>
          <w:color w:val="auto"/>
        </w:rPr>
        <w:t>Event of Default or may limit the remedies available to the Trustee upon such an Event of Default or may limit the right of the holders of a majority in aggregate principal amount of the ZONES to waive such an Event of Default; 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 to make any change so long as no ZONES are outstanding.</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ZONES; provided, that no such supplemental indenture shall without the consent of each holder affected thereby:</w:t>
      </w:r>
    </w:p>
    <w:p>
      <w:pPr>
        <w:spacing w:after="0" w:line="214"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stated maturity of the principal of, or any sinking fund obligation or any installment of interest on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ZONES;</w:t>
      </w:r>
    </w:p>
    <w:p>
      <w:pPr>
        <w:spacing w:after="0" w:line="22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thereof or the rate of interest thereon, or any premium payable with respect thereto;</w:t>
      </w:r>
    </w:p>
    <w:p>
      <w:pPr>
        <w:spacing w:after="0" w:line="246" w:lineRule="exact"/>
        <w:rPr>
          <w:rFonts w:ascii="Times New Roman" w:cs="Times New Roman" w:eastAsia="Times New Roman" w:hAnsi="Times New Roman"/>
          <w:sz w:val="22"/>
          <w:szCs w:val="22"/>
          <w:color w:val="auto"/>
        </w:rPr>
      </w:pPr>
    </w:p>
    <w:p>
      <w:pPr>
        <w:ind w:left="660" w:hanging="4"/>
        <w:spacing w:after="0" w:line="271" w:lineRule="auto"/>
        <w:tabs>
          <w:tab w:leader="none" w:pos="96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place of payment where, or the currency in which, any ZONES or any premium or the interest thereon is payable;</w:t>
      </w:r>
    </w:p>
    <w:p>
      <w:pPr>
        <w:spacing w:after="0" w:line="184" w:lineRule="exact"/>
        <w:rPr>
          <w:rFonts w:ascii="Times New Roman" w:cs="Times New Roman" w:eastAsia="Times New Roman" w:hAnsi="Times New Roman"/>
          <w:sz w:val="22"/>
          <w:szCs w:val="22"/>
          <w:color w:val="auto"/>
        </w:rPr>
      </w:pPr>
    </w:p>
    <w:p>
      <w:pPr>
        <w:ind w:left="660" w:hanging="4"/>
        <w:spacing w:after="0" w:line="271" w:lineRule="auto"/>
        <w:tabs>
          <w:tab w:leader="none" w:pos="9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provisions for calculating the optional redemption price, including the definitions relating thereto; make any change to Section 4.07 or 4.10 to the Base Indenture;</w:t>
      </w:r>
    </w:p>
    <w:p>
      <w:pPr>
        <w:spacing w:after="0" w:line="184"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97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199" w:lineRule="exact"/>
        <w:rPr>
          <w:rFonts w:ascii="Times New Roman" w:cs="Times New Roman" w:eastAsia="Times New Roman" w:hAnsi="Times New Roman"/>
          <w:sz w:val="22"/>
          <w:szCs w:val="22"/>
          <w:color w:val="auto"/>
        </w:rPr>
      </w:pPr>
    </w:p>
    <w:p>
      <w:pPr>
        <w:ind w:left="660" w:hanging="4"/>
        <w:spacing w:after="0" w:line="271" w:lineRule="auto"/>
        <w:tabs>
          <w:tab w:leader="none" w:pos="95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or impair the right to convert any ZONES at the rate and upon the terms provided in Article 13 to the Base Indenture;</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in the payment of principal of or interest on any ZONES;</w:t>
      </w:r>
    </w:p>
    <w:p>
      <w:pPr>
        <w:spacing w:after="0" w:line="246" w:lineRule="exact"/>
        <w:rPr>
          <w:rFonts w:ascii="Times New Roman" w:cs="Times New Roman" w:eastAsia="Times New Roman" w:hAnsi="Times New Roman"/>
          <w:sz w:val="22"/>
          <w:szCs w:val="22"/>
          <w:color w:val="auto"/>
        </w:rPr>
      </w:pPr>
    </w:p>
    <w:p>
      <w:pPr>
        <w:ind w:left="660" w:hanging="4"/>
        <w:spacing w:after="0" w:line="271" w:lineRule="auto"/>
        <w:tabs>
          <w:tab w:leader="none" w:pos="99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rights of such holder under any mandatory redemption or repurchase provision or any right of redemption or repurchase at the option of such holder;</w:t>
      </w:r>
    </w:p>
    <w:p>
      <w:pPr>
        <w:spacing w:after="0" w:line="184"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95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ectPr>
          <w:pgSz w:w="11900" w:h="16838" w:orient="portrait"/>
          <w:cols w:equalWidth="0" w:num="1">
            <w:col w:w="11240"/>
          </w:cols>
          <w:pgMar w:left="320" w:top="1422" w:right="339" w:bottom="1440" w:gutter="0" w:footer="0" w:header="0"/>
        </w:sectPr>
      </w:pPr>
    </w:p>
    <w:bookmarkStart w:id="131" w:name="page132"/>
    <w:bookmarkEnd w:id="131"/>
    <w:p>
      <w:pPr>
        <w:spacing w:after="0" w:line="225" w:lineRule="exact"/>
        <w:rPr>
          <w:sz w:val="20"/>
          <w:szCs w:val="20"/>
          <w:color w:val="auto"/>
        </w:rPr>
      </w:pPr>
    </w:p>
    <w:p>
      <w:pPr>
        <w:ind w:left="660" w:hanging="4"/>
        <w:spacing w:after="0" w:line="271" w:lineRule="auto"/>
        <w:tabs>
          <w:tab w:leader="none" w:pos="93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or waive any provision that, pursuant to a board resolution or indenture supplemental hereto establishing the terms of the ZONES, is prohibited to be so changed or waived.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“Event of Default” means each one of the following events which shall have occurred and be continuing:</w:t>
      </w:r>
    </w:p>
    <w:p>
      <w:pPr>
        <w:spacing w:after="0" w:line="200" w:lineRule="exact"/>
        <w:rPr>
          <w:sz w:val="20"/>
          <w:szCs w:val="20"/>
          <w:color w:val="auto"/>
        </w:rPr>
      </w:pPr>
    </w:p>
    <w:p>
      <w:pPr>
        <w:spacing w:after="0" w:line="344" w:lineRule="exact"/>
        <w:rPr>
          <w:sz w:val="20"/>
          <w:szCs w:val="20"/>
          <w:color w:val="auto"/>
        </w:rPr>
      </w:pPr>
    </w:p>
    <w:p>
      <w:pPr>
        <w:ind w:left="2020" w:right="20" w:hanging="515"/>
        <w:spacing w:after="0" w:line="236" w:lineRule="auto"/>
        <w:tabs>
          <w:tab w:leader="none" w:pos="20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installment of interest upon any ZONES as and when the same shall become due and payable, and continuance of such default for a period of 30 days;</w:t>
      </w:r>
    </w:p>
    <w:p>
      <w:pPr>
        <w:spacing w:after="0" w:line="258" w:lineRule="exact"/>
        <w:rPr>
          <w:rFonts w:ascii="Times New Roman" w:cs="Times New Roman" w:eastAsia="Times New Roman" w:hAnsi="Times New Roman"/>
          <w:sz w:val="22"/>
          <w:szCs w:val="22"/>
          <w:color w:val="auto"/>
        </w:rPr>
      </w:pPr>
    </w:p>
    <w:p>
      <w:pPr>
        <w:ind w:left="2020" w:right="20" w:hanging="527"/>
        <w:spacing w:after="0" w:line="236" w:lineRule="auto"/>
        <w:tabs>
          <w:tab w:leader="none" w:pos="20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all or any part of the principal on any ZONES as and when the same shall become due and payable either at maturity, upon redemption, by declaration or otherwise;</w:t>
      </w:r>
    </w:p>
    <w:p>
      <w:pPr>
        <w:spacing w:after="0" w:line="258" w:lineRule="exact"/>
        <w:rPr>
          <w:rFonts w:ascii="Times New Roman" w:cs="Times New Roman" w:eastAsia="Times New Roman" w:hAnsi="Times New Roman"/>
          <w:sz w:val="22"/>
          <w:szCs w:val="22"/>
          <w:color w:val="auto"/>
        </w:rPr>
      </w:pPr>
    </w:p>
    <w:p>
      <w:pPr>
        <w:jc w:val="both"/>
        <w:ind w:left="2020" w:right="20" w:hanging="515"/>
        <w:spacing w:after="0" w:line="213" w:lineRule="auto"/>
        <w:tabs>
          <w:tab w:leader="none" w:pos="20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covenant or warranty of the Issuer in respect of the ZONES (other than a covenant or warranty in respect of the 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 stating that such notice is a “Notice of Default” pursuant to the Indenture;</w:t>
      </w:r>
    </w:p>
    <w:p>
      <w:pPr>
        <w:spacing w:after="0" w:line="264" w:lineRule="exact"/>
        <w:rPr>
          <w:rFonts w:ascii="Times New Roman" w:cs="Times New Roman" w:eastAsia="Times New Roman" w:hAnsi="Times New Roman"/>
          <w:sz w:val="22"/>
          <w:szCs w:val="22"/>
          <w:color w:val="auto"/>
        </w:rPr>
      </w:pPr>
    </w:p>
    <w:p>
      <w:pPr>
        <w:jc w:val="both"/>
        <w:ind w:left="2020" w:right="20" w:hanging="527"/>
        <w:spacing w:after="0" w:line="227" w:lineRule="auto"/>
        <w:tabs>
          <w:tab w:leader="none" w:pos="20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9" w:lineRule="exact"/>
        <w:rPr>
          <w:sz w:val="20"/>
          <w:szCs w:val="20"/>
          <w:color w:val="auto"/>
        </w:rPr>
      </w:pPr>
    </w:p>
    <w:p>
      <w:pPr>
        <w:jc w:val="both"/>
        <w:ind w:left="2020" w:right="20" w:hanging="515"/>
        <w:spacing w:after="0" w:line="217" w:lineRule="auto"/>
        <w:tabs>
          <w:tab w:leader="none" w:pos="20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260" w:lineRule="exact"/>
        <w:rPr>
          <w:rFonts w:ascii="Times New Roman" w:cs="Times New Roman" w:eastAsia="Times New Roman" w:hAnsi="Times New Roman"/>
          <w:sz w:val="22"/>
          <w:szCs w:val="22"/>
          <w:color w:val="auto"/>
        </w:rPr>
      </w:pPr>
    </w:p>
    <w:p>
      <w:pPr>
        <w:ind w:left="2020" w:right="20" w:hanging="491"/>
        <w:spacing w:after="0" w:line="236" w:lineRule="auto"/>
        <w:tabs>
          <w:tab w:leader="none" w:pos="20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of Default provided in the supplemental indenture or resolution of the Board under which such ZONES are issued or in the form of security for such series.</w:t>
      </w:r>
    </w:p>
    <w:p>
      <w:pPr>
        <w:spacing w:after="0" w:line="96" w:lineRule="exact"/>
        <w:rPr>
          <w:sz w:val="20"/>
          <w:szCs w:val="20"/>
          <w:color w:val="auto"/>
        </w:rPr>
      </w:pPr>
    </w:p>
    <w:p>
      <w:pPr>
        <w:jc w:val="both"/>
        <w:ind w:firstLine="1026"/>
        <w:spacing w:after="0" w:line="260" w:lineRule="auto"/>
        <w:rPr>
          <w:sz w:val="20"/>
          <w:szCs w:val="20"/>
          <w:color w:val="auto"/>
        </w:rPr>
      </w:pPr>
      <w:r>
        <w:rPr>
          <w:rFonts w:ascii="Times New Roman" w:cs="Times New Roman" w:eastAsia="Times New Roman" w:hAnsi="Times New Roman"/>
          <w:sz w:val="21"/>
          <w:szCs w:val="21"/>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 and become immediately due and payable, without any notice or other action by any holder or the Trustee, to the full extent permitted by applicable law.</w:t>
      </w:r>
    </w:p>
    <w:p>
      <w:pPr>
        <w:spacing w:after="0" w:line="198"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9.455% GUARANTEED NOTES DUE 2022</w:t>
      </w:r>
    </w:p>
    <w:p>
      <w:pPr>
        <w:spacing w:after="0" w:line="25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following summary of our 9.455% Guaranteed Notes due 2022 (the “2022 Notes”) is based on the indenture dated as of November 14, 2002 between AT&amp;T Broadband Corp., certain guarantors named therein and the Bank of New York (the “Base Indenture”), as amended by the first supplemental indenture dated as of August 31, 2009, the second supplemental indenture dated as of March 27, 2013 and the third supplemental indenture dated as of October 1, 2015 among Comcast Cable Communications, LLC as the obligor (as successor issuer to AT&amp;T Broadband Corp., the “Issuer”), Comcast, NBCUniversal Media, LLC (together with Comcast, the “Guarantors”), and The Bank of New York Mellon (f/k/a The Bank of New York), as trustee (the “Trustee”) (collectively with the Base Indenture, the “Indenture”). This summary does not purport to be complete and is qualified in its entirety by reference to such Indenture. For the purposes of this summary, references to “we” and “our” refer to Comcast Cable Communications, LLC.</w:t>
      </w:r>
    </w:p>
    <w:p>
      <w:pPr>
        <w:spacing w:after="0" w:line="21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2022 Notes are the Issuer’s direct unsecured and unsubordinated obligations and are fully and unconditionally guaranteed by the Guarantors.</w:t>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b w:val="1"/>
          <w:bCs w:val="1"/>
          <w:color w:val="auto"/>
        </w:rPr>
        <w:t>Interest Payments</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2029 Notes bears interest at a rate of 9.455% per annum and the Issuer will pay interest semi-annually in arrears on each May 15 and November 15, commencing May 15, 2003. Interest for the 2022 Notes is computed on the basis of a 360-day year consisting of twelve 30-day months. Interest on the 2022 Notes will accrue from the date of original issuance, or from the most recent interest payment date to which interest has been paid and will be payable semiannually on interest payment dates described of each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guarantees will rank equally with all other general unsecured and unsubordinated obligations of the Guarantors.</w:t>
      </w:r>
    </w:p>
    <w:p>
      <w:pPr>
        <w:spacing w:after="0" w:line="24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guarantees will not contain any restrictions on the ability of any of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Optional Redemption</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2022 Notes will not be subject to optional redemption by the Issuer.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Mandatory Redemption or Sinking Fund</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is no mandatory redemption prior to maturity or sinking fund payments for the 2022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Debt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Indenture does not limit the amount of debt the Issuer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its subsidiaries from paying dividends or incurring additional debt. In addition, the Indenture does not protect holders of notes issued under it in the event of a highly leveraged transaction or a change in control.</w:t>
      </w:r>
    </w:p>
    <w:p>
      <w:pPr>
        <w:sectPr>
          <w:pgSz w:w="11900" w:h="16838" w:orient="portrait"/>
          <w:cols w:equalWidth="0" w:num="1">
            <w:col w:w="11240"/>
          </w:cols>
          <w:pgMar w:left="320" w:top="1417" w:right="339" w:bottom="1440" w:gutter="0" w:footer="0" w:header="0"/>
        </w:sectPr>
      </w:pPr>
    </w:p>
    <w:bookmarkStart w:id="134" w:name="page135"/>
    <w:bookmarkEnd w:id="134"/>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2022 Notes equally and ratably with (or prior to) all Indebtedness secured by such Lien, so long as such Indebtedness shall be so secured.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Neither the Issuer nor any Guarantor shall enter into any Sale and Leaseback Transaction involving any of such person’s assets, including the Capital Stock of its wholly owned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 in the foregoing paragraph shall not apply to any Sale and Leaseback Transaction if:</w:t>
      </w:r>
    </w:p>
    <w:p>
      <w:pPr>
        <w:spacing w:after="0" w:line="301" w:lineRule="exact"/>
        <w:rPr>
          <w:sz w:val="20"/>
          <w:szCs w:val="20"/>
          <w:color w:val="auto"/>
        </w:rPr>
      </w:pPr>
    </w:p>
    <w:p>
      <w:pPr>
        <w:ind w:left="2020" w:hanging="404"/>
        <w:spacing w:after="0"/>
        <w:tabs>
          <w:tab w:leader="none" w:pos="20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for a period of not in excess of three years, including renewal of rights;</w:t>
      </w:r>
    </w:p>
    <w:p>
      <w:pPr>
        <w:spacing w:after="0" w:line="287" w:lineRule="exact"/>
        <w:rPr>
          <w:rFonts w:ascii="Times New Roman" w:cs="Times New Roman" w:eastAsia="Times New Roman" w:hAnsi="Times New Roman"/>
          <w:sz w:val="22"/>
          <w:szCs w:val="22"/>
          <w:color w:val="auto"/>
        </w:rPr>
      </w:pPr>
    </w:p>
    <w:p>
      <w:pPr>
        <w:ind w:left="2020" w:hanging="404"/>
        <w:spacing w:after="0"/>
        <w:tabs>
          <w:tab w:leader="none" w:pos="20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secures or relates to industrial revenue or similar financing;</w:t>
      </w:r>
    </w:p>
    <w:p>
      <w:pPr>
        <w:spacing w:after="0" w:line="287" w:lineRule="exact"/>
        <w:rPr>
          <w:rFonts w:ascii="Times New Roman" w:cs="Times New Roman" w:eastAsia="Times New Roman" w:hAnsi="Times New Roman"/>
          <w:sz w:val="22"/>
          <w:szCs w:val="22"/>
          <w:color w:val="auto"/>
        </w:rPr>
      </w:pPr>
    </w:p>
    <w:p>
      <w:pPr>
        <w:ind w:left="2020" w:hanging="404"/>
        <w:spacing w:after="0"/>
        <w:tabs>
          <w:tab w:leader="none" w:pos="20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solely between the Issuer and a Guarantor or between or among Guarantors; or</w:t>
      </w:r>
    </w:p>
    <w:p>
      <w:pPr>
        <w:spacing w:after="0" w:line="287" w:lineRule="exact"/>
        <w:rPr>
          <w:rFonts w:ascii="Times New Roman" w:cs="Times New Roman" w:eastAsia="Times New Roman" w:hAnsi="Times New Roman"/>
          <w:sz w:val="22"/>
          <w:szCs w:val="22"/>
          <w:color w:val="auto"/>
        </w:rPr>
      </w:pPr>
    </w:p>
    <w:p>
      <w:pPr>
        <w:jc w:val="both"/>
        <w:ind w:left="2020" w:right="20" w:hanging="404"/>
        <w:spacing w:after="0" w:line="220" w:lineRule="auto"/>
        <w:tabs>
          <w:tab w:leader="none" w:pos="20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273" w:lineRule="exact"/>
        <w:rPr>
          <w:rFonts w:ascii="Times New Roman" w:cs="Times New Roman" w:eastAsia="Times New Roman" w:hAnsi="Times New Roman"/>
          <w:sz w:val="22"/>
          <w:szCs w:val="22"/>
          <w:color w:val="auto"/>
        </w:rPr>
      </w:pPr>
    </w:p>
    <w:p>
      <w:pPr>
        <w:jc w:val="both"/>
        <w:ind w:left="2960" w:right="20" w:hanging="414"/>
        <w:spacing w:after="0" w:line="225" w:lineRule="auto"/>
        <w:tabs>
          <w:tab w:leader="none" w:pos="29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(or open market purchase) of notes, other long-term Indebtedness of the Issuer ranking on a parity with or senior to the 2022 Notes or long-term Indebtedness of a Guarantor; or</w:t>
      </w:r>
    </w:p>
    <w:p>
      <w:pPr>
        <w:spacing w:after="0" w:line="260" w:lineRule="exact"/>
        <w:rPr>
          <w:rFonts w:ascii="Times New Roman" w:cs="Times New Roman" w:eastAsia="Times New Roman" w:hAnsi="Times New Roman"/>
          <w:sz w:val="22"/>
          <w:szCs w:val="22"/>
          <w:color w:val="auto"/>
        </w:rPr>
      </w:pPr>
    </w:p>
    <w:p>
      <w:pPr>
        <w:jc w:val="both"/>
        <w:ind w:left="2960" w:right="20" w:hanging="414"/>
        <w:spacing w:after="0" w:line="225" w:lineRule="auto"/>
        <w:tabs>
          <w:tab w:leader="none" w:pos="29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by the Issuer or any Guarantor of other property, plant or equipment related to the business of the Issuer or any Guarantor having a value at least equal to the value of the assets or part thereof leased.</w:t>
      </w:r>
    </w:p>
    <w:p>
      <w:pPr>
        <w:spacing w:after="0" w:line="30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Capitalized Lease</w:t>
      </w:r>
      <w:r>
        <w:rPr>
          <w:rFonts w:ascii="Times New Roman" w:cs="Times New Roman" w:eastAsia="Times New Roman" w:hAnsi="Times New Roman"/>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w:t>
      </w:r>
    </w:p>
    <w:p>
      <w:pPr>
        <w:sectPr>
          <w:pgSz w:w="11900" w:h="16838" w:orient="portrait"/>
          <w:cols w:equalWidth="0" w:num="1">
            <w:col w:w="11240"/>
          </w:cols>
          <w:pgMar w:left="320" w:top="144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such person; and “Capitalized Lease Obligation” is defined to mean the rental obligations, as aforesaid, under such lease.</w:t>
      </w:r>
    </w:p>
    <w:p>
      <w:pPr>
        <w:spacing w:after="0" w:line="24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9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Currency Agreement</w:t>
      </w:r>
      <w:r>
        <w:rPr>
          <w:rFonts w:ascii="Times New Roman" w:cs="Times New Roman" w:eastAsia="Times New Roman" w:hAnsi="Times New Roman"/>
          <w:sz w:val="22"/>
          <w:szCs w:val="22"/>
          <w:color w:val="auto"/>
        </w:rPr>
        <w: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20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w:t>
      </w:r>
      <w:r>
        <w:rPr>
          <w:rFonts w:ascii="Times New Roman" w:cs="Times New Roman" w:eastAsia="Times New Roman" w:hAnsi="Times New Roman"/>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250" w:lineRule="exact"/>
        <w:rPr>
          <w:sz w:val="20"/>
          <w:szCs w:val="20"/>
          <w:color w:val="auto"/>
        </w:rPr>
      </w:pPr>
    </w:p>
    <w:p>
      <w:pPr>
        <w:jc w:val="both"/>
        <w:ind w:left="1960" w:right="20" w:hanging="358"/>
        <w:spacing w:after="0" w:line="220" w:lineRule="auto"/>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60"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purposes of assuring in any other manner the obligee of such Indebtedness or other obligation of the payment thereof or to protect such obligee against loss in respect thereof (in whole or in part);</w:t>
      </w:r>
    </w:p>
    <w:p>
      <w:pPr>
        <w:spacing w:after="0" w:line="34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at any date of determination (without duplication):</w:t>
      </w:r>
    </w:p>
    <w:p>
      <w:pPr>
        <w:spacing w:after="0" w:line="307" w:lineRule="exact"/>
        <w:rPr>
          <w:sz w:val="20"/>
          <w:szCs w:val="20"/>
          <w:color w:val="auto"/>
        </w:rPr>
      </w:pPr>
    </w:p>
    <w:p>
      <w:pPr>
        <w:ind w:left="2040" w:hanging="411"/>
        <w:spacing w:after="0"/>
        <w:tabs>
          <w:tab w:leader="none" w:pos="20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such person for borrowed money;</w:t>
      </w:r>
    </w:p>
    <w:p>
      <w:pPr>
        <w:sectPr>
          <w:pgSz w:w="11900" w:h="16838" w:orient="portrait"/>
          <w:cols w:equalWidth="0" w:num="1">
            <w:col w:w="11240"/>
          </w:cols>
          <w:pgMar w:left="320" w:top="1421" w:right="339" w:bottom="1440" w:gutter="0" w:footer="0" w:header="0"/>
        </w:sectPr>
      </w:pPr>
    </w:p>
    <w:bookmarkStart w:id="136" w:name="page137"/>
    <w:bookmarkEnd w:id="136"/>
    <w:p>
      <w:pPr>
        <w:spacing w:after="0" w:line="9" w:lineRule="exact"/>
        <w:rPr>
          <w:sz w:val="20"/>
          <w:szCs w:val="20"/>
          <w:color w:val="auto"/>
        </w:rPr>
      </w:pPr>
    </w:p>
    <w:p>
      <w:pPr>
        <w:ind w:left="2040" w:hanging="411"/>
        <w:spacing w:after="0"/>
        <w:tabs>
          <w:tab w:leader="none" w:pos="20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evidenced by bonds, debentures, notes, or other similar instruments;</w:t>
      </w:r>
    </w:p>
    <w:p>
      <w:pPr>
        <w:spacing w:after="0" w:line="287" w:lineRule="exact"/>
        <w:rPr>
          <w:rFonts w:ascii="Times New Roman" w:cs="Times New Roman" w:eastAsia="Times New Roman" w:hAnsi="Times New Roman"/>
          <w:sz w:val="22"/>
          <w:szCs w:val="22"/>
          <w:color w:val="auto"/>
        </w:rPr>
      </w:pPr>
    </w:p>
    <w:p>
      <w:pPr>
        <w:ind w:left="2040" w:right="40" w:hanging="411"/>
        <w:spacing w:after="0" w:line="236" w:lineRule="auto"/>
        <w:tabs>
          <w:tab w:leader="none" w:pos="20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letters of credit or other similar instruments (including reimbursement obligations with respect thereto);</w:t>
      </w:r>
    </w:p>
    <w:p>
      <w:pPr>
        <w:spacing w:after="0" w:line="258" w:lineRule="exact"/>
        <w:rPr>
          <w:rFonts w:ascii="Times New Roman" w:cs="Times New Roman" w:eastAsia="Times New Roman" w:hAnsi="Times New Roman"/>
          <w:sz w:val="22"/>
          <w:szCs w:val="22"/>
          <w:color w:val="auto"/>
        </w:rPr>
      </w:pPr>
    </w:p>
    <w:p>
      <w:pPr>
        <w:ind w:left="2040" w:right="20" w:hanging="411"/>
        <w:spacing w:after="0" w:line="236" w:lineRule="auto"/>
        <w:tabs>
          <w:tab w:leader="none" w:pos="20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and unpaid purchase price of property or services (but excluding trade accounts payable or accrued liabilities arising in the ordinary course of business);</w:t>
      </w:r>
    </w:p>
    <w:p>
      <w:pPr>
        <w:spacing w:after="0" w:line="258"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as lessee under Capitalized Leases;</w:t>
      </w:r>
    </w:p>
    <w:p>
      <w:pPr>
        <w:spacing w:after="0" w:line="287" w:lineRule="exact"/>
        <w:rPr>
          <w:rFonts w:ascii="Times New Roman" w:cs="Times New Roman" w:eastAsia="Times New Roman" w:hAnsi="Times New Roman"/>
          <w:sz w:val="22"/>
          <w:szCs w:val="22"/>
          <w:color w:val="auto"/>
        </w:rPr>
      </w:pPr>
    </w:p>
    <w:p>
      <w:pPr>
        <w:jc w:val="both"/>
        <w:ind w:left="2040" w:right="20" w:hanging="411"/>
        <w:spacing w:after="0" w:line="225" w:lineRule="auto"/>
        <w:tabs>
          <w:tab w:leader="none" w:pos="20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secured by a Lien on any asset of such person, whether or not such Indebtedness is assumed by such person; provided that the amount of such Indebtedness shall be the lesser of:</w:t>
      </w:r>
    </w:p>
    <w:p>
      <w:pPr>
        <w:spacing w:after="0" w:line="327" w:lineRule="exact"/>
        <w:rPr>
          <w:rFonts w:ascii="Times New Roman" w:cs="Times New Roman" w:eastAsia="Times New Roman" w:hAnsi="Times New Roman"/>
          <w:sz w:val="22"/>
          <w:szCs w:val="22"/>
          <w:color w:val="auto"/>
        </w:rPr>
      </w:pPr>
    </w:p>
    <w:p>
      <w:pPr>
        <w:ind w:left="2960" w:hanging="414"/>
        <w:spacing w:after="0"/>
        <w:tabs>
          <w:tab w:leader="none" w:pos="296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such asset at such date of determination; and</w:t>
      </w:r>
    </w:p>
    <w:p>
      <w:pPr>
        <w:spacing w:after="0" w:line="287" w:lineRule="exact"/>
        <w:rPr>
          <w:rFonts w:ascii="Times New Roman" w:cs="Times New Roman" w:eastAsia="Times New Roman" w:hAnsi="Times New Roman"/>
          <w:sz w:val="22"/>
          <w:szCs w:val="22"/>
          <w:color w:val="auto"/>
        </w:rPr>
      </w:pPr>
    </w:p>
    <w:p>
      <w:pPr>
        <w:ind w:left="2960" w:hanging="414"/>
        <w:spacing w:after="0"/>
        <w:tabs>
          <w:tab w:leader="none" w:pos="296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Indebtedness;</w:t>
      </w:r>
    </w:p>
    <w:p>
      <w:pPr>
        <w:spacing w:after="0" w:line="354"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Guaranteed by such person to the extent such Indebtedness is Guaranteed by such person; and</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obligations under Currency Agreements and Interest Rate Agreements.</w:t>
      </w:r>
    </w:p>
    <w:p>
      <w:pPr>
        <w:spacing w:after="0" w:line="3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254" w:lineRule="exact"/>
        <w:rPr>
          <w:sz w:val="20"/>
          <w:szCs w:val="20"/>
          <w:color w:val="auto"/>
        </w:rPr>
      </w:pPr>
    </w:p>
    <w:p>
      <w:pPr>
        <w:jc w:val="both"/>
        <w:ind w:left="1960" w:right="20" w:hanging="358"/>
        <w:spacing w:after="0" w:line="225" w:lineRule="auto"/>
        <w:tabs>
          <w:tab w:leader="none" w:pos="1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60"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Indebtedness shall not include any liability for federal, state, local, or other taxes.</w:t>
      </w:r>
    </w:p>
    <w:p>
      <w:pPr>
        <w:spacing w:after="0" w:line="3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Rate Agreements</w:t>
      </w:r>
      <w:r>
        <w:rPr>
          <w:rFonts w:ascii="Times New Roman" w:cs="Times New Roman" w:eastAsia="Times New Roman" w:hAnsi="Times New Roman"/>
          <w:sz w:val="22"/>
          <w:szCs w:val="22"/>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w:t>
      </w:r>
    </w:p>
    <w:p>
      <w:pPr>
        <w:sectPr>
          <w:pgSz w:w="11900" w:h="16838" w:orient="portrait"/>
          <w:cols w:equalWidth="0" w:num="1">
            <w:col w:w="11240"/>
          </w:cols>
          <w:pgMar w:left="320" w:top="1440" w:right="3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22"/>
          <w:szCs w:val="22"/>
          <w:color w:val="auto"/>
        </w:rPr>
        <w:t>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w:t>
      </w:r>
    </w:p>
    <w:p>
      <w:pPr>
        <w:spacing w:after="0" w:line="307" w:lineRule="exact"/>
        <w:rPr>
          <w:sz w:val="20"/>
          <w:szCs w:val="20"/>
          <w:color w:val="auto"/>
        </w:rPr>
      </w:pPr>
    </w:p>
    <w:p>
      <w:pPr>
        <w:ind w:left="2040" w:hanging="411"/>
        <w:spacing w:after="0"/>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 incurred prior to the date of the Indenture;</w:t>
      </w:r>
    </w:p>
    <w:p>
      <w:pPr>
        <w:spacing w:after="0" w:line="287" w:lineRule="exact"/>
        <w:rPr>
          <w:rFonts w:ascii="Times New Roman" w:cs="Times New Roman" w:eastAsia="Times New Roman" w:hAnsi="Times New Roman"/>
          <w:sz w:val="22"/>
          <w:szCs w:val="22"/>
          <w:color w:val="auto"/>
        </w:rPr>
      </w:pPr>
    </w:p>
    <w:p>
      <w:pPr>
        <w:jc w:val="both"/>
        <w:ind w:left="2040" w:right="20" w:hanging="411"/>
        <w:spacing w:after="0" w:line="215" w:lineRule="auto"/>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260" w:lineRule="exact"/>
        <w:rPr>
          <w:rFonts w:ascii="Times New Roman" w:cs="Times New Roman" w:eastAsia="Times New Roman" w:hAnsi="Times New Roman"/>
          <w:sz w:val="22"/>
          <w:szCs w:val="22"/>
          <w:color w:val="auto"/>
        </w:rPr>
      </w:pPr>
    </w:p>
    <w:p>
      <w:pPr>
        <w:ind w:left="2040" w:hanging="411"/>
        <w:spacing w:after="0"/>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in favor of the Issuer or any Guarantor;</w:t>
      </w:r>
    </w:p>
    <w:p>
      <w:pPr>
        <w:spacing w:after="0" w:line="287" w:lineRule="exact"/>
        <w:rPr>
          <w:rFonts w:ascii="Times New Roman" w:cs="Times New Roman" w:eastAsia="Times New Roman" w:hAnsi="Times New Roman"/>
          <w:sz w:val="22"/>
          <w:szCs w:val="22"/>
          <w:color w:val="auto"/>
        </w:rPr>
      </w:pPr>
    </w:p>
    <w:p>
      <w:pPr>
        <w:ind w:left="2040" w:right="20" w:hanging="411"/>
        <w:spacing w:after="0" w:line="236" w:lineRule="auto"/>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assets incurred in connection with the issuance of tax-exempt governmental obligations (including, without limitation, industrial revenue bonds and similar financing);</w:t>
      </w:r>
    </w:p>
    <w:p>
      <w:pPr>
        <w:spacing w:after="0" w:line="258" w:lineRule="exact"/>
        <w:rPr>
          <w:rFonts w:ascii="Times New Roman" w:cs="Times New Roman" w:eastAsia="Times New Roman" w:hAnsi="Times New Roman"/>
          <w:sz w:val="22"/>
          <w:szCs w:val="22"/>
          <w:color w:val="auto"/>
        </w:rPr>
      </w:pPr>
    </w:p>
    <w:p>
      <w:pPr>
        <w:ind w:left="2040" w:right="20" w:hanging="411"/>
        <w:spacing w:after="0" w:line="236" w:lineRule="auto"/>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granted by any Guarantor on assets to the extent limitations on the incurrence of such Liens are prohibited by any agreement to which such Guarantor is subject as of the date of the Indenture; and</w:t>
      </w:r>
    </w:p>
    <w:p>
      <w:pPr>
        <w:spacing w:after="0" w:line="258" w:lineRule="exact"/>
        <w:rPr>
          <w:rFonts w:ascii="Times New Roman" w:cs="Times New Roman" w:eastAsia="Times New Roman" w:hAnsi="Times New Roman"/>
          <w:sz w:val="22"/>
          <w:szCs w:val="22"/>
          <w:color w:val="auto"/>
        </w:rPr>
      </w:pPr>
    </w:p>
    <w:p>
      <w:pPr>
        <w:jc w:val="both"/>
        <w:ind w:left="2040" w:right="20" w:hanging="411"/>
        <w:spacing w:after="0" w:line="220" w:lineRule="auto"/>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33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and Leaseback Transaction</w:t>
      </w:r>
      <w:r>
        <w:rPr>
          <w:rFonts w:ascii="Times New Roman" w:cs="Times New Roman" w:eastAsia="Times New Roman" w:hAnsi="Times New Roman"/>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2022 Notes or later acquired, which has been or is to be sold or</w:t>
      </w:r>
    </w:p>
    <w:p>
      <w:pPr>
        <w:sectPr>
          <w:pgSz w:w="11900" w:h="16838" w:orient="portrait"/>
          <w:cols w:equalWidth="0" w:num="1">
            <w:col w:w="11240"/>
          </w:cols>
          <w:pgMar w:left="320" w:top="1421" w:right="339" w:bottom="1440" w:gutter="0" w:footer="0" w:header="0"/>
        </w:sectPr>
      </w:pPr>
    </w:p>
    <w:bookmarkStart w:id="138" w:name="page139"/>
    <w:bookmarkEnd w:id="13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transferred by the Issuer or such Guarantor to such person or to any other person by whom funds have been or are to be advanced on the security of such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248" w:lineRule="exact"/>
        <w:rPr>
          <w:sz w:val="20"/>
          <w:szCs w:val="20"/>
          <w:color w:val="auto"/>
        </w:rPr>
      </w:pPr>
    </w:p>
    <w:p>
      <w:pPr>
        <w:jc w:val="both"/>
        <w:ind w:left="1960" w:right="20" w:hanging="358"/>
        <w:spacing w:after="0" w:line="217" w:lineRule="auto"/>
        <w:tabs>
          <w:tab w:leader="none" w:pos="19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2022 Notes and under the Indenture;</w:t>
      </w:r>
    </w:p>
    <w:p>
      <w:pPr>
        <w:spacing w:after="0" w:line="260"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or event of default shall have occurred and be continuing; and</w:t>
      </w:r>
    </w:p>
    <w:p>
      <w:pPr>
        <w:spacing w:after="0" w:line="258" w:lineRule="exact"/>
        <w:rPr>
          <w:rFonts w:ascii="Times New Roman" w:cs="Times New Roman" w:eastAsia="Times New Roman" w:hAnsi="Times New Roman"/>
          <w:sz w:val="22"/>
          <w:szCs w:val="22"/>
          <w:color w:val="auto"/>
        </w:rPr>
      </w:pPr>
    </w:p>
    <w:p>
      <w:pPr>
        <w:jc w:val="both"/>
        <w:ind w:left="1960" w:right="20" w:hanging="358"/>
        <w:spacing w:after="0" w:line="220" w:lineRule="auto"/>
        <w:tabs>
          <w:tab w:leader="none" w:pos="19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3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Upon any express assumption of the Issuer’s obligations as described above, the Issuer shall be released and discharged from all obligations and covenants under the Indenture and all the 2022 Notes.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ectPr>
          <w:pgSz w:w="11900" w:h="16838" w:orient="portrait"/>
          <w:cols w:equalWidth="0" w:num="1">
            <w:col w:w="11240"/>
          </w:cols>
          <w:pgMar w:left="320" w:top="1421" w:right="339" w:bottom="1440" w:gutter="0" w:footer="0" w:header="0"/>
        </w:sectPr>
      </w:pPr>
    </w:p>
    <w:bookmarkStart w:id="139" w:name="page140"/>
    <w:bookmarkEnd w:id="139"/>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Issuer and the Trustee may amend or supplement the Indenture or the 2022 Notes without notice to or the consent of any holder:</w:t>
      </w:r>
    </w:p>
    <w:p>
      <w:pPr>
        <w:spacing w:after="0" w:line="239" w:lineRule="exact"/>
        <w:rPr>
          <w:sz w:val="20"/>
          <w:szCs w:val="20"/>
          <w:color w:val="auto"/>
        </w:rPr>
      </w:pPr>
    </w:p>
    <w:p>
      <w:pPr>
        <w:ind w:left="1960" w:right="20" w:hanging="358"/>
        <w:spacing w:after="0" w:line="236" w:lineRule="auto"/>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defect, or inconsistency in the Indenture; provided that such amendments or supplements shall not adversely affect the interests of the holders in any material respect;</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provisions described under “-Certain Covenants-Consolidation, Merger and Sale of Assets;”</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any requirements of the SEC in connection with the qualification of the Indenture under the Trust Indenture Act;</w:t>
      </w:r>
    </w:p>
    <w:p>
      <w:pPr>
        <w:spacing w:after="0" w:line="258"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the form or forms or terms of the 2022 Notes as permitted by the Indenture;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and to make all appropriate changes for such purpose;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87"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60"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so long as no 2022 Notes are outstanding.</w:t>
      </w:r>
    </w:p>
    <w:p>
      <w:pPr>
        <w:spacing w:after="0" w:line="3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Subject to certain conditions, without prior notice to any holder of 2022 Notes, modifications and amendments of the Indenture may be made by the Issuer and the Trustee with respect to any series of 2022 Notes with the written consent of the holders of a majority in principal amount of the affected series of 2022 Notes, and compliance by the Issuer with any provision of the Indenture with respect to any series of 2022 Notes may be waived by written notice to the Trustee by the holders of a majority in principal amount of the affected series of 2022 Notes outstanding; provided, however, that each affected holder must consent to any modification, amendment or waiver that:</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79" w:lineRule="exact"/>
        <w:rPr>
          <w:sz w:val="20"/>
          <w:szCs w:val="20"/>
          <w:color w:val="auto"/>
        </w:rPr>
      </w:pPr>
    </w:p>
    <w:p>
      <w:pPr>
        <w:ind w:left="1960" w:right="40" w:hanging="358"/>
        <w:spacing w:after="0" w:line="236" w:lineRule="auto"/>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stated maturity of the principal of, or any installment of interest on, the 2022 Notes of the affected series;</w:t>
      </w:r>
    </w:p>
    <w:p>
      <w:pPr>
        <w:spacing w:after="0" w:line="258"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principal amount of, or premium, if any, or interest on, the 2022 Notes of the affected series;</w:t>
      </w:r>
    </w:p>
    <w:p>
      <w:pPr>
        <w:spacing w:after="0" w:line="287"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place or currency of payment of principal of, or premium, if any, or interest on, the 2022 Notes of the affected series;</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for calculating the optional redemption price, including the definitions relating thereto;</w:t>
      </w:r>
    </w:p>
    <w:p>
      <w:pPr>
        <w:spacing w:after="0" w:line="258"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relating to the waiver of past defaults or changes or impairs the right of holders to receive payment or to institute suit for the enforcement of any payment of the 2022 Notes of the affected series on or after the due date therefor;</w:t>
      </w:r>
    </w:p>
    <w:p>
      <w:pPr>
        <w:spacing w:after="0" w:line="260" w:lineRule="exact"/>
        <w:rPr>
          <w:rFonts w:ascii="Times New Roman" w:cs="Times New Roman" w:eastAsia="Times New Roman" w:hAnsi="Times New Roman"/>
          <w:sz w:val="22"/>
          <w:szCs w:val="22"/>
          <w:color w:val="auto"/>
        </w:rPr>
      </w:pPr>
    </w:p>
    <w:p>
      <w:pPr>
        <w:ind w:left="1960" w:right="20" w:hanging="358"/>
        <w:spacing w:after="0" w:line="255" w:lineRule="auto"/>
        <w:tabs>
          <w:tab w:leader="none" w:pos="19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reduces the above-stated percentage of outstanding 2022 Notes of the affected series the consent of whose holders is necessary to modify or amend or to waive certain provisions of or defaults under the Indenture;</w:t>
      </w:r>
    </w:p>
    <w:p>
      <w:pPr>
        <w:spacing w:after="0" w:line="242" w:lineRule="exact"/>
        <w:rPr>
          <w:rFonts w:ascii="Times New Roman" w:cs="Times New Roman" w:eastAsia="Times New Roman" w:hAnsi="Times New Roman"/>
          <w:sz w:val="21"/>
          <w:szCs w:val="21"/>
          <w:color w:val="auto"/>
        </w:rPr>
      </w:pPr>
    </w:p>
    <w:p>
      <w:pPr>
        <w:ind w:left="1960" w:hanging="358"/>
        <w:spacing w:after="0"/>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 default in the payment of principal of, premium, if any, or interest on the 2022 Notes; or</w:t>
      </w:r>
    </w:p>
    <w:p>
      <w:pPr>
        <w:spacing w:after="0" w:line="287"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modifies any of the provisions of this paragraph, except to increase any required percentage or to provide that certain other provisions cannot be modified or waived without the consent of the holder of each 2022 Note of the series affected by the modification.</w:t>
      </w:r>
    </w:p>
    <w:p>
      <w:pPr>
        <w:spacing w:after="0" w:line="32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section, the term “Obligor” shall mean each of the Issuer and Guarantors, in each case excluding such entities’ subsidiaries.</w:t>
      </w:r>
    </w:p>
    <w:p>
      <w:pPr>
        <w:sectPr>
          <w:pgSz w:w="11900" w:h="16838" w:orient="portrait"/>
          <w:cols w:equalWidth="0" w:num="1">
            <w:col w:w="11240"/>
          </w:cols>
          <w:pgMar w:left="320" w:top="144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An event of default for a series of 2022 Notes is defined under the Indenture as being:</w:t>
      </w:r>
    </w:p>
    <w:p>
      <w:pPr>
        <w:spacing w:after="0" w:line="301" w:lineRule="exact"/>
        <w:rPr>
          <w:sz w:val="20"/>
          <w:szCs w:val="20"/>
          <w:color w:val="auto"/>
        </w:rPr>
      </w:pPr>
    </w:p>
    <w:p>
      <w:pPr>
        <w:jc w:val="both"/>
        <w:ind w:left="1760" w:hanging="535"/>
        <w:spacing w:after="0" w:line="225" w:lineRule="auto"/>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principal or premium on the 2022 Notes of such series when the same becomes due and payable whether at maturity, upon acceleration, redemption or otherwise;</w:t>
      </w:r>
    </w:p>
    <w:p>
      <w:pPr>
        <w:spacing w:after="0" w:line="260" w:lineRule="exact"/>
        <w:rPr>
          <w:rFonts w:ascii="Times New Roman" w:cs="Times New Roman" w:eastAsia="Times New Roman" w:hAnsi="Times New Roman"/>
          <w:sz w:val="22"/>
          <w:szCs w:val="22"/>
          <w:color w:val="auto"/>
        </w:rPr>
      </w:pPr>
    </w:p>
    <w:p>
      <w:pPr>
        <w:ind w:left="1760" w:hanging="535"/>
        <w:spacing w:after="0" w:line="236" w:lineRule="auto"/>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interest on the 2022 Notes of such series when the same becomes due and payable, if that default continues for a period of 30 days;</w:t>
      </w:r>
    </w:p>
    <w:p>
      <w:pPr>
        <w:spacing w:after="0" w:line="258" w:lineRule="exact"/>
        <w:rPr>
          <w:rFonts w:ascii="Times New Roman" w:cs="Times New Roman" w:eastAsia="Times New Roman" w:hAnsi="Times New Roman"/>
          <w:sz w:val="22"/>
          <w:szCs w:val="22"/>
          <w:color w:val="auto"/>
        </w:rPr>
      </w:pPr>
    </w:p>
    <w:p>
      <w:pPr>
        <w:jc w:val="both"/>
        <w:ind w:left="1760" w:hanging="535"/>
        <w:spacing w:after="0" w:line="217" w:lineRule="auto"/>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of or breach by any Obligor of any of its other covenants or agreements in the Indenture applicable to all the 2022 Notes or applicable to the 2022 Notes of any series and that default or breach continues for a period of 30 consecutive days after written notice is received from the Trustee or from the holders of 25% or more in aggregate principal amount of the 2022 Notes of all affected series;</w:t>
      </w:r>
    </w:p>
    <w:p>
      <w:pPr>
        <w:spacing w:after="0" w:line="260" w:lineRule="exact"/>
        <w:rPr>
          <w:rFonts w:ascii="Times New Roman" w:cs="Times New Roman" w:eastAsia="Times New Roman" w:hAnsi="Times New Roman"/>
          <w:sz w:val="22"/>
          <w:szCs w:val="22"/>
          <w:color w:val="auto"/>
        </w:rPr>
      </w:pPr>
    </w:p>
    <w:p>
      <w:pPr>
        <w:ind w:left="1760" w:hanging="535"/>
        <w:spacing w:after="0"/>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is not in full force and effect;</w:t>
      </w:r>
    </w:p>
    <w:p>
      <w:pPr>
        <w:spacing w:after="0" w:line="287" w:lineRule="exact"/>
        <w:rPr>
          <w:rFonts w:ascii="Times New Roman" w:cs="Times New Roman" w:eastAsia="Times New Roman" w:hAnsi="Times New Roman"/>
          <w:sz w:val="22"/>
          <w:szCs w:val="22"/>
          <w:color w:val="auto"/>
        </w:rPr>
      </w:pPr>
    </w:p>
    <w:p>
      <w:pPr>
        <w:ind w:left="1760" w:hanging="535"/>
        <w:spacing w:after="0"/>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having jurisdiction enters a decree or order for:</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left="2240" w:hanging="353"/>
        <w:spacing w:after="0" w:line="236" w:lineRule="auto"/>
        <w:tabs>
          <w:tab w:leader="none" w:pos="2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relief in respect of any Obligor in an involuntary case under any applicable bankruptcy, insolvency, or other similar law now or hereafter in effect;</w:t>
      </w:r>
    </w:p>
    <w:p>
      <w:pPr>
        <w:spacing w:after="0" w:line="258" w:lineRule="exact"/>
        <w:rPr>
          <w:rFonts w:ascii="Times New Roman" w:cs="Times New Roman" w:eastAsia="Times New Roman" w:hAnsi="Times New Roman"/>
          <w:sz w:val="22"/>
          <w:szCs w:val="22"/>
          <w:color w:val="auto"/>
        </w:rPr>
      </w:pPr>
    </w:p>
    <w:p>
      <w:pPr>
        <w:ind w:left="2240" w:hanging="353"/>
        <w:spacing w:after="0" w:line="236" w:lineRule="auto"/>
        <w:tabs>
          <w:tab w:leader="none" w:pos="2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appointment of a receiver, liquidator, assignee, custodian, Trustee, sequestrator or similar official of any Obligor for any substantial part of such party’s property and assets; or</w:t>
      </w:r>
    </w:p>
    <w:p>
      <w:pPr>
        <w:spacing w:after="0" w:line="258" w:lineRule="exact"/>
        <w:rPr>
          <w:rFonts w:ascii="Times New Roman" w:cs="Times New Roman" w:eastAsia="Times New Roman" w:hAnsi="Times New Roman"/>
          <w:sz w:val="22"/>
          <w:szCs w:val="22"/>
          <w:color w:val="auto"/>
        </w:rPr>
      </w:pPr>
    </w:p>
    <w:p>
      <w:pPr>
        <w:ind w:left="2240" w:hanging="353"/>
        <w:spacing w:after="0" w:line="236" w:lineRule="auto"/>
        <w:tabs>
          <w:tab w:leader="none" w:pos="2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winding up or liquidation of any Obligor’s affairs and such decree or order shall remain unstayed and in effect for a period of 180 consecutive days; or</w:t>
      </w:r>
    </w:p>
    <w:p>
      <w:pPr>
        <w:spacing w:after="0" w:line="393" w:lineRule="exact"/>
        <w:rPr>
          <w:rFonts w:ascii="Times New Roman" w:cs="Times New Roman" w:eastAsia="Times New Roman" w:hAnsi="Times New Roman"/>
          <w:sz w:val="22"/>
          <w:szCs w:val="22"/>
          <w:color w:val="auto"/>
        </w:rPr>
      </w:pPr>
    </w:p>
    <w:p>
      <w:pPr>
        <w:ind w:left="1760" w:hanging="535"/>
        <w:spacing w:after="0"/>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left="2240" w:hanging="353"/>
        <w:spacing w:after="0" w:line="225" w:lineRule="auto"/>
        <w:tabs>
          <w:tab w:leader="none" w:pos="2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under any applicable bankruptcy, insolvency, or other similar law now or hereafter in effect, or consent to the entry of an order for relief in an involuntary case under any such law;</w:t>
      </w:r>
    </w:p>
    <w:p>
      <w:pPr>
        <w:spacing w:after="0" w:line="260" w:lineRule="exact"/>
        <w:rPr>
          <w:rFonts w:ascii="Times New Roman" w:cs="Times New Roman" w:eastAsia="Times New Roman" w:hAnsi="Times New Roman"/>
          <w:sz w:val="22"/>
          <w:szCs w:val="22"/>
          <w:color w:val="auto"/>
        </w:rPr>
      </w:pPr>
    </w:p>
    <w:p>
      <w:pPr>
        <w:jc w:val="both"/>
        <w:ind w:left="2240" w:hanging="353"/>
        <w:spacing w:after="0" w:line="225" w:lineRule="auto"/>
        <w:tabs>
          <w:tab w:leader="none" w:pos="22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or taking possession by a receiver, liquidator, assignee, custodian, trustee, sequestrator, or similar official of such party or for any substantial part of such party’s property; or</w:t>
      </w:r>
    </w:p>
    <w:p>
      <w:pPr>
        <w:sectPr>
          <w:pgSz w:w="11900" w:h="16838" w:orient="portrait"/>
          <w:cols w:equalWidth="0" w:num="1">
            <w:col w:w="10560"/>
          </w:cols>
          <w:pgMar w:left="980" w:top="1421" w:right="359" w:bottom="1440" w:gutter="0" w:footer="0" w:header="0"/>
        </w:sectPr>
      </w:pPr>
    </w:p>
    <w:bookmarkStart w:id="142" w:name="page143"/>
    <w:bookmarkEnd w:id="142"/>
    <w:p>
      <w:pPr>
        <w:spacing w:after="0" w:line="279" w:lineRule="exact"/>
        <w:rPr>
          <w:sz w:val="20"/>
          <w:szCs w:val="20"/>
          <w:color w:val="auto"/>
        </w:rPr>
      </w:pPr>
    </w:p>
    <w:p>
      <w:pPr>
        <w:ind w:left="2900" w:hanging="353"/>
        <w:spacing w:after="0"/>
        <w:tabs>
          <w:tab w:leader="none" w:pos="2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any general assignment for the benefit of creditors.</w:t>
      </w:r>
    </w:p>
    <w:p>
      <w:pPr>
        <w:spacing w:after="0" w:line="3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default under any Obligor’s other indebtedness is not a default under the Indenture.</w:t>
      </w:r>
    </w:p>
    <w:p>
      <w:pPr>
        <w:spacing w:after="0" w:line="24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If an event of default other than an event of default specified in clauses (5) and (6) above occurs with respect to an issue of 2022 Notes and is continuing under the Indenture, then, and in each and every such case, either the Trustee or the holders of not less than 25% in aggregate principal amount of such 2022 Notes then outstanding under the Indenture by written notice to the Issuer and to the Trustee, if such notice is given by the holders, may, and the Trustee at the request of such holders shall, declare the principal amount of and accrued interest, if any, on such 2022 Notes to be immediately due and payable. The amount due upon acceleration shall include only the original issue price of the 2022 Notes and accrued to the date of acceleration and accrued interest, if any. Upon a declaration of acceleration, such principal amount of and accrued interest, if any, on such 2022 Notes shall be immediately due and payable. If an event of default specified in clauses (5) and (6) above occurs with respect to any Obligor, the principal amount of and accrued interest, if any, on each issue of 2022 Notes then outstanding shall be and become immediately due and payable without any notice or other action on the part of the Trustee or any holder.</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Upon certain conditions such declarations may be rescinded and annulled and past defaults may be waived by the holders of a majority in aggregate principal amount of an issue of 2022 Notes that has been accelerated. Furthermore, subject to various provisions in the Indenture, the holders of at least a majority in aggregate principal amount of an issue of 2022 Notes by notice to the Trustee may waive an existing default or event of default with respect to such 2022 Notes and its consequences, except a default in the payment of principal of or interest on such 2022 Notes or in respect of a covenant or provision of the Indenture which cannot be modified or amended without the consent of the holders of each such 2022 Notes. Upon any such waiver, such default shall cease to exist, and any event of default with respect to such 2022 Notes shall be deemed to have been cured, for every purpose of the Indenture; but no such waiver shall extend to any subsequent or other default or event of default or impair any right consequent thereto. For information as to the waiver of defaults, see “-- Modification and Waiver.”</w:t>
      </w:r>
    </w:p>
    <w:p>
      <w:pPr>
        <w:spacing w:after="0" w:line="19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holders of at least a majority in aggregate principal amount of an issue of 2022 Notes may direct the time, method, and place of conducting any proceeding for any remedy available to the Trustee or exercising any trust or power conferred on the Trustee with respect to such 2022 Notes. However, the Trustee may refuse to follow any direction that conflicts with law or the Indenture, that may involve the Trustee in personal liability, or that the Trustee determines in good faith may be unduly prejudicial to the rights of holders of such issue of 2022 Notes not joining in the giving of such direction and may take any other action it deems proper that is not inconsistent with any such direction received from holders of such issue of 2022 Notes. A holder may not pursue any remedy with respect to the Indenture or any series of 2022 Notes unless:</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79" w:lineRule="exact"/>
        <w:rPr>
          <w:sz w:val="20"/>
          <w:szCs w:val="20"/>
          <w:color w:val="auto"/>
        </w:rPr>
      </w:pPr>
    </w:p>
    <w:p>
      <w:pPr>
        <w:ind w:left="1980" w:hanging="364"/>
        <w:spacing w:after="0"/>
        <w:tabs>
          <w:tab w:leader="none" w:pos="1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the Trustee written notice of a continuing event of default;</w:t>
      </w:r>
    </w:p>
    <w:p>
      <w:pPr>
        <w:spacing w:after="0" w:line="287"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such series of 2022 Notes make a written request to the Trustee to pursue the remedy in respect of such event of default;</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requesting holder or holders offer the Trustee indemnity satisfactory to the Trustee against any costs, liability, or expense;</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the request within 60 days after receipt of the request and the offer of indemnity; and</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60-day period, the holders of a majority in aggregate principal amount of such series of 2022 Notes do not give the Trustee a direction that is inconsistent with the request.</w:t>
      </w:r>
    </w:p>
    <w:p>
      <w:pPr>
        <w:spacing w:after="0" w:line="33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These limitations, however, do not apply to the right of any holder of the 2022 Note to receive payment of the principal of, premium, if any, or interest on such the 2022 Note, or to bring suit for the enforcement of any such payment, on or after the due date for the 2022 Notes, which right shall not be impaired or affected without the consent of the holder.</w:t>
      </w:r>
    </w:p>
    <w:p>
      <w:pPr>
        <w:spacing w:after="0" w:line="20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200" w:lineRule="exact"/>
        <w:rPr>
          <w:sz w:val="20"/>
          <w:szCs w:val="20"/>
          <w:color w:val="auto"/>
        </w:rPr>
      </w:pPr>
    </w:p>
    <w:p>
      <w:pPr>
        <w:spacing w:after="0" w:line="221"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5.50% NOTES DUE 2029</w:t>
      </w:r>
    </w:p>
    <w:p>
      <w:pPr>
        <w:spacing w:after="0" w:line="25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following summary of our 5.50% Notes due 2029 (the “2029 Notes”) is based on the indenture dated as of January 7, 2003 among Comcast as the issuer (the “Issuer”), certain guarantors named therein and the Bank of New York (the “Base Indenture”), as amended by the 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ectPr>
          <w:pgSz w:w="11900" w:h="16838" w:orient="portrait"/>
          <w:cols w:equalWidth="0" w:num="1">
            <w:col w:w="11240"/>
          </w:cols>
          <w:pgMar w:left="320" w:top="144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b w:val="1"/>
          <w:bCs w:val="1"/>
          <w:color w:val="auto"/>
        </w:rPr>
        <w:t>Interest Payments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obligations under the 2029 Notes and the Indenture, including the payment of principal, premium, if any, and interest, are fully and unconditionally guaranteed by each of the Guarantors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have the right at our option to redeem any of the 2029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Comparable Government Bond Rate</w:t>
      </w:r>
      <w:r>
        <w:rPr>
          <w:rFonts w:ascii="Times New Roman" w:cs="Times New Roman" w:eastAsia="Times New Roman" w:hAnsi="Times New Roman"/>
          <w:sz w:val="22"/>
          <w:szCs w:val="22"/>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ectPr>
          <w:pgSz w:w="11900" w:h="16838" w:orient="portrait"/>
          <w:cols w:equalWidth="0" w:num="1">
            <w:col w:w="11240"/>
          </w:cols>
          <w:pgMar w:left="320" w:top="1417" w:right="339" w:bottom="1440" w:gutter="0" w:footer="0" w:header="0"/>
        </w:sectPr>
      </w:pPr>
    </w:p>
    <w:bookmarkStart w:id="145" w:name="page146"/>
    <w:bookmarkEnd w:id="145"/>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Comparable Government Bond</w:t>
      </w:r>
      <w:r>
        <w:rPr>
          <w:rFonts w:ascii="Times New Roman" w:cs="Times New Roman" w:eastAsia="Times New Roman" w:hAnsi="Times New Roman"/>
          <w:sz w:val="22"/>
          <w:szCs w:val="22"/>
          <w:color w:val="auto"/>
        </w:rPr>
        <w:t>” means, in relation to any Comparable Government Bond Rate calculation, at the discretion of an independent investment bank selected by us,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20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Additional Amounts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268" w:lineRule="exact"/>
        <w:rPr>
          <w:sz w:val="20"/>
          <w:szCs w:val="20"/>
          <w:color w:val="auto"/>
        </w:rPr>
      </w:pPr>
    </w:p>
    <w:p>
      <w:pPr>
        <w:jc w:val="both"/>
        <w:ind w:left="2420" w:right="20" w:hanging="535"/>
        <w:spacing w:after="0" w:line="220" w:lineRule="auto"/>
        <w:tabs>
          <w:tab w:leader="none" w:pos="24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395" w:lineRule="exact"/>
        <w:rPr>
          <w:rFonts w:ascii="Times New Roman" w:cs="Times New Roman" w:eastAsia="Times New Roman" w:hAnsi="Times New Roman"/>
          <w:sz w:val="22"/>
          <w:szCs w:val="22"/>
          <w:color w:val="auto"/>
        </w:rPr>
      </w:pPr>
    </w:p>
    <w:p>
      <w:pPr>
        <w:ind w:left="2900" w:right="20" w:hanging="517"/>
        <w:spacing w:after="0" w:line="236" w:lineRule="auto"/>
        <w:tabs>
          <w:tab w:leader="none" w:pos="29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engaged in a trade or business in the United States or having or having had a permanent establishment in the United States;</w:t>
      </w:r>
    </w:p>
    <w:p>
      <w:pPr>
        <w:sectPr>
          <w:pgSz w:w="11900" w:h="16838" w:orient="portrait"/>
          <w:cols w:equalWidth="0" w:num="1">
            <w:col w:w="11240"/>
          </w:cols>
          <w:pgMar w:left="320" w:top="1415" w:right="339" w:bottom="1440" w:gutter="0" w:footer="0" w:header="0"/>
        </w:sectPr>
      </w:pPr>
    </w:p>
    <w:bookmarkStart w:id="146" w:name="page147"/>
    <w:bookmarkEnd w:id="146"/>
    <w:p>
      <w:pPr>
        <w:spacing w:after="0" w:line="9" w:lineRule="exact"/>
        <w:rPr>
          <w:sz w:val="20"/>
          <w:szCs w:val="20"/>
          <w:color w:val="auto"/>
        </w:rPr>
      </w:pPr>
    </w:p>
    <w:p>
      <w:pPr>
        <w:jc w:val="both"/>
        <w:ind w:left="1780" w:hanging="529"/>
        <w:spacing w:after="0" w:line="220" w:lineRule="auto"/>
        <w:tabs>
          <w:tab w:leader="none" w:pos="17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 United States;</w:t>
      </w:r>
    </w:p>
    <w:p>
      <w:pPr>
        <w:spacing w:after="0" w:line="260" w:lineRule="exact"/>
        <w:rPr>
          <w:rFonts w:ascii="Times New Roman" w:cs="Times New Roman" w:eastAsia="Times New Roman" w:hAnsi="Times New Roman"/>
          <w:sz w:val="22"/>
          <w:szCs w:val="22"/>
          <w:color w:val="auto"/>
        </w:rPr>
      </w:pPr>
    </w:p>
    <w:p>
      <w:pPr>
        <w:jc w:val="both"/>
        <w:ind w:left="1780" w:hanging="517"/>
        <w:spacing w:after="0" w:line="225" w:lineRule="auto"/>
        <w:tabs>
          <w:tab w:leader="none" w:pos="17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260" w:lineRule="exact"/>
        <w:rPr>
          <w:rFonts w:ascii="Times New Roman" w:cs="Times New Roman" w:eastAsia="Times New Roman" w:hAnsi="Times New Roman"/>
          <w:sz w:val="22"/>
          <w:szCs w:val="22"/>
          <w:color w:val="auto"/>
        </w:rPr>
      </w:pPr>
    </w:p>
    <w:p>
      <w:pPr>
        <w:jc w:val="both"/>
        <w:ind w:left="1780" w:hanging="529"/>
        <w:spacing w:after="0" w:line="225" w:lineRule="auto"/>
        <w:tabs>
          <w:tab w:leader="none" w:pos="17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“10-percent shareholder” of Comcast as defined in section 871(h)(3) of the United States Internal Revenue Code of 1986, as amended (the “Code”) or any successor provision; or</w:t>
      </w:r>
    </w:p>
    <w:p>
      <w:pPr>
        <w:spacing w:after="0" w:line="260" w:lineRule="exact"/>
        <w:rPr>
          <w:rFonts w:ascii="Times New Roman" w:cs="Times New Roman" w:eastAsia="Times New Roman" w:hAnsi="Times New Roman"/>
          <w:sz w:val="22"/>
          <w:szCs w:val="22"/>
          <w:color w:val="auto"/>
        </w:rPr>
      </w:pPr>
    </w:p>
    <w:p>
      <w:pPr>
        <w:ind w:left="1780" w:hanging="517"/>
        <w:spacing w:after="0" w:line="236" w:lineRule="auto"/>
        <w:tabs>
          <w:tab w:leader="none" w:pos="17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bank receiving payments on an extension of credit made pursuant to a loan agreement entered into the ordinary course of its trade or business;</w:t>
      </w:r>
    </w:p>
    <w:p>
      <w:pPr>
        <w:spacing w:after="0" w:line="393" w:lineRule="exact"/>
        <w:rPr>
          <w:rFonts w:ascii="Times New Roman" w:cs="Times New Roman" w:eastAsia="Times New Roman" w:hAnsi="Times New Roman"/>
          <w:sz w:val="22"/>
          <w:szCs w:val="22"/>
          <w:color w:val="auto"/>
        </w:rPr>
      </w:pPr>
    </w:p>
    <w:p>
      <w:pPr>
        <w:jc w:val="both"/>
        <w:ind w:left="1300" w:hanging="535"/>
        <w:spacing w:after="0" w:line="215"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60" w:lineRule="exact"/>
        <w:rPr>
          <w:rFonts w:ascii="Times New Roman" w:cs="Times New Roman" w:eastAsia="Times New Roman" w:hAnsi="Times New Roman"/>
          <w:sz w:val="22"/>
          <w:szCs w:val="22"/>
          <w:color w:val="auto"/>
        </w:rPr>
      </w:pPr>
    </w:p>
    <w:p>
      <w:pPr>
        <w:jc w:val="both"/>
        <w:ind w:left="1300" w:hanging="535"/>
        <w:spacing w:after="0" w:line="213"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64" w:lineRule="exact"/>
        <w:rPr>
          <w:rFonts w:ascii="Times New Roman" w:cs="Times New Roman" w:eastAsia="Times New Roman" w:hAnsi="Times New Roman"/>
          <w:sz w:val="22"/>
          <w:szCs w:val="22"/>
          <w:color w:val="auto"/>
        </w:rPr>
      </w:pPr>
    </w:p>
    <w:p>
      <w:pPr>
        <w:ind w:left="1300" w:hanging="535"/>
        <w:spacing w:after="0" w:line="236"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otherwise than by withholding by us or a paying agent from the payment;</w:t>
      </w:r>
    </w:p>
    <w:p>
      <w:pPr>
        <w:spacing w:after="0" w:line="258" w:lineRule="exact"/>
        <w:rPr>
          <w:rFonts w:ascii="Times New Roman" w:cs="Times New Roman" w:eastAsia="Times New Roman" w:hAnsi="Times New Roman"/>
          <w:sz w:val="22"/>
          <w:szCs w:val="22"/>
          <w:color w:val="auto"/>
        </w:rPr>
      </w:pPr>
    </w:p>
    <w:p>
      <w:pPr>
        <w:jc w:val="both"/>
        <w:ind w:left="1300" w:hanging="535"/>
        <w:spacing w:after="0" w:line="225"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ectPr>
          <w:pgSz w:w="11900" w:h="16838" w:orient="portrait"/>
          <w:cols w:equalWidth="0" w:num="1">
            <w:col w:w="10100"/>
          </w:cols>
          <w:pgMar w:left="1440" w:top="1440" w:right="359" w:bottom="1440" w:gutter="0" w:footer="0" w:header="0"/>
        </w:sectPr>
      </w:pPr>
    </w:p>
    <w:bookmarkStart w:id="147" w:name="page148"/>
    <w:bookmarkEnd w:id="147"/>
    <w:p>
      <w:pPr>
        <w:spacing w:after="0" w:line="9" w:lineRule="exact"/>
        <w:rPr>
          <w:sz w:val="20"/>
          <w:szCs w:val="20"/>
          <w:color w:val="auto"/>
        </w:rPr>
      </w:pPr>
    </w:p>
    <w:p>
      <w:pPr>
        <w:ind w:left="2420" w:right="20" w:hanging="535"/>
        <w:spacing w:after="0" w:line="236" w:lineRule="auto"/>
        <w:tabs>
          <w:tab w:leader="none" w:pos="2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estate, inheritance, gift, sales, excise, transfer, wealth, capital gains or personal property tax or similar tax, assessment or other governmental charge;</w:t>
      </w:r>
    </w:p>
    <w:p>
      <w:pPr>
        <w:spacing w:after="0" w:line="258" w:lineRule="exact"/>
        <w:rPr>
          <w:rFonts w:ascii="Times New Roman" w:cs="Times New Roman" w:eastAsia="Times New Roman" w:hAnsi="Times New Roman"/>
          <w:sz w:val="22"/>
          <w:szCs w:val="22"/>
          <w:color w:val="auto"/>
        </w:rPr>
      </w:pPr>
    </w:p>
    <w:p>
      <w:pPr>
        <w:jc w:val="both"/>
        <w:ind w:left="2420" w:right="20" w:hanging="535"/>
        <w:spacing w:after="0" w:line="225" w:lineRule="auto"/>
        <w:tabs>
          <w:tab w:leader="none" w:pos="2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287" w:lineRule="exact"/>
        <w:rPr>
          <w:rFonts w:ascii="Times New Roman" w:cs="Times New Roman" w:eastAsia="Times New Roman" w:hAnsi="Times New Roman"/>
          <w:sz w:val="22"/>
          <w:szCs w:val="22"/>
          <w:color w:val="auto"/>
        </w:rPr>
      </w:pPr>
    </w:p>
    <w:p>
      <w:pPr>
        <w:jc w:val="both"/>
        <w:ind w:left="2420" w:right="20" w:hanging="535"/>
        <w:spacing w:after="0" w:line="257" w:lineRule="auto"/>
        <w:tabs>
          <w:tab w:leader="none" w:pos="2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53" w:lineRule="exact"/>
        <w:rPr>
          <w:rFonts w:ascii="Times New Roman" w:cs="Times New Roman" w:eastAsia="Times New Roman" w:hAnsi="Times New Roman"/>
          <w:sz w:val="22"/>
          <w:szCs w:val="22"/>
          <w:color w:val="auto"/>
        </w:rPr>
      </w:pPr>
    </w:p>
    <w:p>
      <w:pPr>
        <w:jc w:val="both"/>
        <w:ind w:left="2420" w:right="20" w:hanging="535"/>
        <w:spacing w:after="0" w:line="220" w:lineRule="auto"/>
        <w:tabs>
          <w:tab w:leader="none" w:pos="2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260" w:lineRule="exact"/>
        <w:rPr>
          <w:rFonts w:ascii="Times New Roman" w:cs="Times New Roman" w:eastAsia="Times New Roman" w:hAnsi="Times New Roman"/>
          <w:sz w:val="22"/>
          <w:szCs w:val="22"/>
          <w:color w:val="auto"/>
        </w:rPr>
      </w:pPr>
    </w:p>
    <w:p>
      <w:pPr>
        <w:ind w:left="2420" w:hanging="643"/>
        <w:spacing w:after="0"/>
        <w:tabs>
          <w:tab w:leader="none" w:pos="2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combination of items (1), (2), (3), (4), (5), (6), (7), (8), and (9).</w:t>
      </w:r>
    </w:p>
    <w:p>
      <w:pPr>
        <w:spacing w:after="0" w:line="3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 for Tax Reasons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w:t>
      </w:r>
    </w:p>
    <w:p>
      <w:pPr>
        <w:sectPr>
          <w:pgSz w:w="11900" w:h="16838" w:orient="portrait"/>
          <w:cols w:equalWidth="0" w:num="1">
            <w:col w:w="11240"/>
          </w:cols>
          <w:pgMar w:left="320" w:top="1440" w:right="339" w:bottom="1440" w:gutter="0" w:footer="0" w:header="0"/>
        </w:sectPr>
      </w:pPr>
    </w:p>
    <w:bookmarkStart w:id="148" w:name="page149"/>
    <w:bookmarkEnd w:id="148"/>
    <w:p>
      <w:pPr>
        <w:jc w:val="both"/>
        <w:spacing w:after="0" w:line="248" w:lineRule="auto"/>
        <w:rPr>
          <w:sz w:val="20"/>
          <w:szCs w:val="20"/>
          <w:color w:val="auto"/>
        </w:rPr>
      </w:pPr>
      <w:r>
        <w:rPr>
          <w:rFonts w:ascii="Times New Roman" w:cs="Times New Roman" w:eastAsia="Times New Roman" w:hAnsi="Times New Roman"/>
          <w:sz w:val="22"/>
          <w:szCs w:val="22"/>
          <w:color w:val="auto"/>
        </w:rPr>
        <w:t>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Mandatory Redemption or Sinking Fund</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is no mandatory redemption prior to maturity or sinking fund payments for the 2029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Debt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indenture does not limit the amount of debt we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its subsidiaries from paying dividends or incurring additional debt. In addition, the Indenture will not protect holders of notes issued under it in the event of a highly leveraged transaction or a change in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Neither the Issuer nor any Guarantor shall enter into any Sale and Leaseback Transaction involving any of such person’s assets, including the Capital Stock of its wholly owned subsidiaries.</w:t>
      </w:r>
    </w:p>
    <w:p>
      <w:pPr>
        <w:sectPr>
          <w:pgSz w:w="11900" w:h="16838" w:orient="portrait"/>
          <w:cols w:equalWidth="0" w:num="1">
            <w:col w:w="11240"/>
          </w:cols>
          <w:pgMar w:left="320" w:top="1421"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22"/>
          <w:szCs w:val="22"/>
          <w:color w:val="auto"/>
        </w:rPr>
        <w:t>The restriction in the foregoing paragraph shall not apply to any Sale and Leaseback Transaction if:</w:t>
      </w:r>
    </w:p>
    <w:p>
      <w:pPr>
        <w:spacing w:after="0" w:line="200" w:lineRule="exact"/>
        <w:rPr>
          <w:sz w:val="20"/>
          <w:szCs w:val="20"/>
          <w:color w:val="auto"/>
        </w:rPr>
      </w:pPr>
    </w:p>
    <w:p>
      <w:pPr>
        <w:spacing w:after="0" w:line="344" w:lineRule="exact"/>
        <w:rPr>
          <w:sz w:val="20"/>
          <w:szCs w:val="20"/>
          <w:color w:val="auto"/>
        </w:rPr>
      </w:pPr>
    </w:p>
    <w:p>
      <w:pPr>
        <w:ind w:left="1960" w:hanging="358"/>
        <w:spacing w:after="0"/>
        <w:tabs>
          <w:tab w:leader="none" w:pos="19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for a period of not in excess of three years, including renewal of rights;</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secures or relates to industrial revenue or similar financing;</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solely between the Issuer and a Guarantor or between or among Guarantors; or</w:t>
      </w:r>
    </w:p>
    <w:p>
      <w:pPr>
        <w:spacing w:after="0" w:line="287" w:lineRule="exact"/>
        <w:rPr>
          <w:rFonts w:ascii="Times New Roman" w:cs="Times New Roman" w:eastAsia="Times New Roman" w:hAnsi="Times New Roman"/>
          <w:sz w:val="22"/>
          <w:szCs w:val="22"/>
          <w:color w:val="auto"/>
        </w:rPr>
      </w:pPr>
    </w:p>
    <w:p>
      <w:pPr>
        <w:jc w:val="both"/>
        <w:ind w:left="1960" w:right="20" w:hanging="358"/>
        <w:spacing w:after="0" w:line="220" w:lineRule="auto"/>
        <w:tabs>
          <w:tab w:leader="none" w:pos="19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395" w:lineRule="exact"/>
        <w:rPr>
          <w:rFonts w:ascii="Times New Roman" w:cs="Times New Roman" w:eastAsia="Times New Roman" w:hAnsi="Times New Roman"/>
          <w:sz w:val="22"/>
          <w:szCs w:val="22"/>
          <w:color w:val="auto"/>
        </w:rPr>
      </w:pPr>
    </w:p>
    <w:p>
      <w:pPr>
        <w:jc w:val="both"/>
        <w:ind w:left="2900" w:right="20" w:hanging="354"/>
        <w:spacing w:after="0" w:line="225" w:lineRule="auto"/>
        <w:tabs>
          <w:tab w:leader="none" w:pos="29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(or open market purchase) of notes, other long-term Indebtedness of the Issuer ranking on a parity with or senior to the 2029 Notes or long-term Indebtedness of a Guarantor; or</w:t>
      </w:r>
    </w:p>
    <w:p>
      <w:pPr>
        <w:spacing w:after="0" w:line="260" w:lineRule="exact"/>
        <w:rPr>
          <w:rFonts w:ascii="Times New Roman" w:cs="Times New Roman" w:eastAsia="Times New Roman" w:hAnsi="Times New Roman"/>
          <w:sz w:val="22"/>
          <w:szCs w:val="22"/>
          <w:color w:val="auto"/>
        </w:rPr>
      </w:pPr>
    </w:p>
    <w:p>
      <w:pPr>
        <w:jc w:val="both"/>
        <w:ind w:left="2900" w:right="20" w:hanging="354"/>
        <w:spacing w:after="0" w:line="225" w:lineRule="auto"/>
        <w:tabs>
          <w:tab w:leader="none" w:pos="29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by the Issuer or any Guarantor of other property, plant or equipment related to the business of the Issuer or any Guarantor having a value at least equal to the value of the assets or part thereof leased.</w:t>
      </w:r>
    </w:p>
    <w:p>
      <w:pPr>
        <w:spacing w:after="0" w:line="3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Capitalized Lease</w:t>
      </w:r>
      <w:r>
        <w:rPr>
          <w:rFonts w:ascii="Times New Roman" w:cs="Times New Roman" w:eastAsia="Times New Roman" w:hAnsi="Times New Roman"/>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9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9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Currency Agreement</w:t>
      </w:r>
      <w:r>
        <w:rPr>
          <w:rFonts w:ascii="Times New Roman" w:cs="Times New Roman" w:eastAsia="Times New Roman" w:hAnsi="Times New Roman"/>
          <w:sz w:val="22"/>
          <w:szCs w:val="22"/>
          <w:color w:val="auto"/>
        </w:rPr>
        <w: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7" w:lineRule="auto"/>
        <w:rPr>
          <w:sz w:val="20"/>
          <w:szCs w:val="20"/>
          <w:color w:val="auto"/>
        </w:rPr>
      </w:pPr>
      <w:r>
        <w:rPr>
          <w:rFonts w:ascii="Times New Roman" w:cs="Times New Roman" w:eastAsia="Times New Roman" w:hAnsi="Times New Roman"/>
          <w:sz w:val="22"/>
          <w:szCs w:val="22"/>
          <w:color w:val="auto"/>
        </w:rPr>
        <w:t>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9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w:t>
      </w:r>
      <w:r>
        <w:rPr>
          <w:rFonts w:ascii="Times New Roman" w:cs="Times New Roman" w:eastAsia="Times New Roman" w:hAnsi="Times New Roman"/>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250" w:lineRule="exact"/>
        <w:rPr>
          <w:sz w:val="20"/>
          <w:szCs w:val="20"/>
          <w:color w:val="auto"/>
        </w:rPr>
      </w:pPr>
    </w:p>
    <w:p>
      <w:pPr>
        <w:jc w:val="both"/>
        <w:ind w:left="1960" w:right="20" w:hanging="358"/>
        <w:spacing w:after="0" w:line="220" w:lineRule="auto"/>
        <w:tabs>
          <w:tab w:leader="none" w:pos="19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60"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purposes of assuring in any other manner the obligee of such Indebtedness or other obligation of the payment thereof or to protect such obligee against loss in respect thereof (in whole or in part);</w:t>
      </w:r>
    </w:p>
    <w:p>
      <w:pPr>
        <w:spacing w:after="0" w:line="34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at any date of determination (without duplication):</w:t>
      </w:r>
    </w:p>
    <w:p>
      <w:pPr>
        <w:spacing w:after="0" w:line="200" w:lineRule="exact"/>
        <w:rPr>
          <w:sz w:val="20"/>
          <w:szCs w:val="20"/>
          <w:color w:val="auto"/>
        </w:rPr>
      </w:pPr>
    </w:p>
    <w:p>
      <w:pPr>
        <w:spacing w:after="0" w:line="350" w:lineRule="exact"/>
        <w:rPr>
          <w:sz w:val="20"/>
          <w:szCs w:val="20"/>
          <w:color w:val="auto"/>
        </w:rPr>
      </w:pPr>
    </w:p>
    <w:p>
      <w:pPr>
        <w:ind w:left="1980" w:hanging="364"/>
        <w:spacing w:after="0"/>
        <w:tabs>
          <w:tab w:leader="none" w:pos="1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such person for borrowed money;</w:t>
      </w:r>
    </w:p>
    <w:p>
      <w:pPr>
        <w:spacing w:after="0" w:line="287" w:lineRule="exact"/>
        <w:rPr>
          <w:rFonts w:ascii="Times New Roman" w:cs="Times New Roman" w:eastAsia="Times New Roman" w:hAnsi="Times New Roman"/>
          <w:sz w:val="22"/>
          <w:szCs w:val="22"/>
          <w:color w:val="auto"/>
        </w:rPr>
      </w:pPr>
    </w:p>
    <w:p>
      <w:pPr>
        <w:ind w:left="1980" w:hanging="364"/>
        <w:spacing w:after="0"/>
        <w:tabs>
          <w:tab w:leader="none" w:pos="1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evidenced by bonds, debentures, notes, or other similar instruments;</w:t>
      </w:r>
    </w:p>
    <w:p>
      <w:pPr>
        <w:spacing w:after="0" w:line="287" w:lineRule="exact"/>
        <w:rPr>
          <w:rFonts w:ascii="Times New Roman" w:cs="Times New Roman" w:eastAsia="Times New Roman" w:hAnsi="Times New Roman"/>
          <w:sz w:val="22"/>
          <w:szCs w:val="22"/>
          <w:color w:val="auto"/>
        </w:rPr>
      </w:pPr>
    </w:p>
    <w:p>
      <w:pPr>
        <w:ind w:left="1980" w:right="40" w:hanging="364"/>
        <w:spacing w:after="0" w:line="236" w:lineRule="auto"/>
        <w:tabs>
          <w:tab w:leader="none" w:pos="1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letters of credit or other similar instruments (including reimbursement obligations with respect thereto);</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and unpaid purchase price of property or services (but excluding trade accounts payable or accrued liabilities arising in the ordinary course of business);</w:t>
      </w:r>
    </w:p>
    <w:p>
      <w:pPr>
        <w:spacing w:after="0" w:line="258" w:lineRule="exact"/>
        <w:rPr>
          <w:rFonts w:ascii="Times New Roman" w:cs="Times New Roman" w:eastAsia="Times New Roman" w:hAnsi="Times New Roman"/>
          <w:sz w:val="22"/>
          <w:szCs w:val="22"/>
          <w:color w:val="auto"/>
        </w:rPr>
      </w:pPr>
    </w:p>
    <w:p>
      <w:pPr>
        <w:ind w:left="1980" w:hanging="364"/>
        <w:spacing w:after="0"/>
        <w:tabs>
          <w:tab w:leader="none" w:pos="1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as lessee under Capitalized Leases;</w:t>
      </w:r>
    </w:p>
    <w:p>
      <w:pPr>
        <w:spacing w:after="0" w:line="287" w:lineRule="exact"/>
        <w:rPr>
          <w:rFonts w:ascii="Times New Roman" w:cs="Times New Roman" w:eastAsia="Times New Roman" w:hAnsi="Times New Roman"/>
          <w:sz w:val="22"/>
          <w:szCs w:val="22"/>
          <w:color w:val="auto"/>
        </w:rPr>
      </w:pPr>
    </w:p>
    <w:p>
      <w:pPr>
        <w:jc w:val="both"/>
        <w:ind w:left="1980" w:right="20" w:hanging="364"/>
        <w:spacing w:after="0" w:line="225" w:lineRule="auto"/>
        <w:tabs>
          <w:tab w:leader="none" w:pos="1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secured by a Lien on any asset of such person, whether or not such Indebtedness is assumed by such person; provided that the amount of such Indebtedness shall be the lesser of:</w:t>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200" w:lineRule="exact"/>
        <w:rPr>
          <w:sz w:val="20"/>
          <w:szCs w:val="20"/>
          <w:color w:val="auto"/>
        </w:rPr>
      </w:pPr>
    </w:p>
    <w:p>
      <w:pPr>
        <w:spacing w:after="0" w:line="322" w:lineRule="exact"/>
        <w:rPr>
          <w:sz w:val="20"/>
          <w:szCs w:val="20"/>
          <w:color w:val="auto"/>
        </w:rPr>
      </w:pPr>
    </w:p>
    <w:p>
      <w:pPr>
        <w:ind w:left="2900" w:hanging="354"/>
        <w:spacing w:after="0"/>
        <w:tabs>
          <w:tab w:leader="none" w:pos="29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such asset at such date of determination; and</w:t>
      </w:r>
    </w:p>
    <w:p>
      <w:pPr>
        <w:spacing w:after="0" w:line="287" w:lineRule="exact"/>
        <w:rPr>
          <w:rFonts w:ascii="Times New Roman" w:cs="Times New Roman" w:eastAsia="Times New Roman" w:hAnsi="Times New Roman"/>
          <w:sz w:val="22"/>
          <w:szCs w:val="22"/>
          <w:color w:val="auto"/>
        </w:rPr>
      </w:pPr>
    </w:p>
    <w:p>
      <w:pPr>
        <w:ind w:left="2900" w:hanging="354"/>
        <w:spacing w:after="0"/>
        <w:tabs>
          <w:tab w:leader="none" w:pos="29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Indebtedness;</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Guaranteed by such person to the extent such Indebtedness is Guaranteed by such person; and</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obligations under Currency Agreements and Interest Rate Agreements.</w:t>
      </w:r>
    </w:p>
    <w:p>
      <w:pPr>
        <w:spacing w:after="0" w:line="3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200" w:lineRule="exact"/>
        <w:rPr>
          <w:sz w:val="20"/>
          <w:szCs w:val="20"/>
          <w:color w:val="auto"/>
        </w:rPr>
      </w:pPr>
    </w:p>
    <w:p>
      <w:pPr>
        <w:spacing w:after="0" w:line="297" w:lineRule="exact"/>
        <w:rPr>
          <w:sz w:val="20"/>
          <w:szCs w:val="20"/>
          <w:color w:val="auto"/>
        </w:rPr>
      </w:pPr>
    </w:p>
    <w:p>
      <w:pPr>
        <w:jc w:val="both"/>
        <w:ind w:left="1960" w:right="20" w:hanging="358"/>
        <w:spacing w:after="0" w:line="225" w:lineRule="auto"/>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60"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Indebtedness shall not include any liability for federal, state, local, or other taxes.</w:t>
      </w:r>
    </w:p>
    <w:p>
      <w:pPr>
        <w:spacing w:after="0" w:line="34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Rate Agreements</w:t>
      </w:r>
      <w:r>
        <w:rPr>
          <w:rFonts w:ascii="Times New Roman" w:cs="Times New Roman" w:eastAsia="Times New Roman" w:hAnsi="Times New Roman"/>
          <w:sz w:val="21"/>
          <w:szCs w:val="21"/>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350" w:lineRule="exact"/>
        <w:rPr>
          <w:sz w:val="20"/>
          <w:szCs w:val="20"/>
          <w:color w:val="auto"/>
        </w:rPr>
      </w:pPr>
    </w:p>
    <w:p>
      <w:pPr>
        <w:ind w:left="1960" w:hanging="358"/>
        <w:spacing w:after="0"/>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 incurred prior to the date of the Indenture;</w:t>
      </w:r>
    </w:p>
    <w:p>
      <w:pPr>
        <w:spacing w:after="0" w:line="287" w:lineRule="exact"/>
        <w:rPr>
          <w:rFonts w:ascii="Times New Roman" w:cs="Times New Roman" w:eastAsia="Times New Roman" w:hAnsi="Times New Roman"/>
          <w:sz w:val="22"/>
          <w:szCs w:val="22"/>
          <w:color w:val="auto"/>
        </w:rPr>
      </w:pPr>
    </w:p>
    <w:p>
      <w:pPr>
        <w:jc w:val="both"/>
        <w:ind w:left="1960" w:right="20" w:hanging="358"/>
        <w:spacing w:after="0" w:line="215" w:lineRule="auto"/>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260"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in favor of the Issuer or any Guarantor;</w:t>
      </w:r>
    </w:p>
    <w:p>
      <w:pPr>
        <w:spacing w:after="0" w:line="287"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assets incurred in connection with the issuance of tax-exempt governmental obligations (including, without limitation, industrial revenue bonds and similar financing);</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granted by any Guarantor on assets to the extent limitations on the incurrence of such Liens are prohibited by any agreement to which such Guarantor is subject as of the date of the Indenture; and</w:t>
      </w:r>
    </w:p>
    <w:p>
      <w:pPr>
        <w:spacing w:after="0" w:line="258" w:lineRule="exact"/>
        <w:rPr>
          <w:rFonts w:ascii="Times New Roman" w:cs="Times New Roman" w:eastAsia="Times New Roman" w:hAnsi="Times New Roman"/>
          <w:sz w:val="22"/>
          <w:szCs w:val="22"/>
          <w:color w:val="auto"/>
        </w:rPr>
      </w:pPr>
    </w:p>
    <w:p>
      <w:pPr>
        <w:jc w:val="both"/>
        <w:ind w:left="1960" w:right="20" w:hanging="358"/>
        <w:spacing w:after="0" w:line="220" w:lineRule="auto"/>
        <w:tabs>
          <w:tab w:leader="none" w:pos="1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32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and Leaseback Transaction</w:t>
      </w:r>
      <w:r>
        <w:rPr>
          <w:rFonts w:ascii="Times New Roman" w:cs="Times New Roman" w:eastAsia="Times New Roman" w:hAnsi="Times New Roman"/>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2029 Notes or later acquired, which has been or is to be sold or transferred by the Issuer or such Guarantor to such person or to any other person by whom funds have been or are to be advanced on the security of such property.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71" w:lineRule="auto"/>
        <w:rPr>
          <w:sz w:val="20"/>
          <w:szCs w:val="20"/>
          <w:color w:val="auto"/>
        </w:rPr>
      </w:pPr>
      <w:r>
        <w:rPr>
          <w:rFonts w:ascii="Times New Roman" w:cs="Times New Roman" w:eastAsia="Times New Roman" w:hAnsi="Times New Roman"/>
          <w:sz w:val="22"/>
          <w:szCs w:val="22"/>
          <w:color w:val="auto"/>
        </w:rPr>
        <w:t>other than common stock in the surviving person shall be issued or distributed to the Issuer’s stockholders) or permit any person to merge with or into such party unless:</w:t>
      </w:r>
    </w:p>
    <w:p>
      <w:pPr>
        <w:spacing w:after="0" w:line="239" w:lineRule="exact"/>
        <w:rPr>
          <w:sz w:val="20"/>
          <w:szCs w:val="20"/>
          <w:color w:val="auto"/>
        </w:rPr>
      </w:pPr>
    </w:p>
    <w:p>
      <w:pPr>
        <w:jc w:val="both"/>
        <w:ind w:left="1960" w:right="20" w:hanging="358"/>
        <w:spacing w:after="0" w:line="217" w:lineRule="auto"/>
        <w:tabs>
          <w:tab w:leader="none" w:pos="1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2029 Notes and under the Indenture;</w:t>
      </w:r>
    </w:p>
    <w:p>
      <w:pPr>
        <w:spacing w:after="0" w:line="260"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or event of default shall have occurred and be continuing; and</w:t>
      </w:r>
    </w:p>
    <w:p>
      <w:pPr>
        <w:spacing w:after="0" w:line="258" w:lineRule="exact"/>
        <w:rPr>
          <w:rFonts w:ascii="Times New Roman" w:cs="Times New Roman" w:eastAsia="Times New Roman" w:hAnsi="Times New Roman"/>
          <w:sz w:val="22"/>
          <w:szCs w:val="22"/>
          <w:color w:val="auto"/>
        </w:rPr>
      </w:pPr>
    </w:p>
    <w:p>
      <w:pPr>
        <w:jc w:val="both"/>
        <w:ind w:left="1960" w:right="20" w:hanging="358"/>
        <w:spacing w:after="0" w:line="220" w:lineRule="auto"/>
        <w:tabs>
          <w:tab w:leader="none" w:pos="1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3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Upon any express assumption of the Issuer’s obligations as described above, the Issuer shall be released and discharged from all obligations and covenants under the Indenture and all the 2029 Notes.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and the Trustee may amend or supplement the Indenture or the 2029 Notes without notice to or the consent of any holder:</w:t>
      </w:r>
    </w:p>
    <w:p>
      <w:pPr>
        <w:sectPr>
          <w:pgSz w:w="11900" w:h="16838" w:orient="portrait"/>
          <w:cols w:equalWidth="0" w:num="1">
            <w:col w:w="11240"/>
          </w:cols>
          <w:pgMar w:left="320" w:top="1422" w:right="339" w:bottom="1440" w:gutter="0" w:footer="0" w:header="0"/>
        </w:sectPr>
      </w:pPr>
    </w:p>
    <w:bookmarkStart w:id="154" w:name="page155"/>
    <w:bookmarkEnd w:id="154"/>
    <w:p>
      <w:pPr>
        <w:spacing w:after="0" w:line="279" w:lineRule="exact"/>
        <w:rPr>
          <w:sz w:val="20"/>
          <w:szCs w:val="20"/>
          <w:color w:val="auto"/>
        </w:rPr>
      </w:pPr>
    </w:p>
    <w:p>
      <w:pPr>
        <w:ind w:left="1960" w:right="20" w:hanging="358"/>
        <w:spacing w:after="0" w:line="236" w:lineRule="auto"/>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defect, or inconsistency in the Indenture; provided that such amendments or supplements shall not adversely affect the interests of the holders in any material respect;</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provisions described under “-Certain Covenants-Consolidation, Merger and Sale of Assets;”</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any requirements of the SEC in connection with the qualification of the Indenture under the Trust Indenture Act;</w:t>
      </w:r>
    </w:p>
    <w:p>
      <w:pPr>
        <w:spacing w:after="0" w:line="258"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the form or forms or terms of the 2029 Notes as permitted by the Indenture;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and to make all appropriate changes for such purpose;</w:t>
      </w:r>
    </w:p>
    <w:p>
      <w:pPr>
        <w:spacing w:after="0" w:line="287"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87"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60"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so long as no 2029 Notes are outstanding.</w:t>
      </w:r>
    </w:p>
    <w:p>
      <w:pPr>
        <w:spacing w:after="0" w:line="3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200" w:lineRule="exact"/>
        <w:rPr>
          <w:sz w:val="20"/>
          <w:szCs w:val="20"/>
          <w:color w:val="auto"/>
        </w:rPr>
      </w:pPr>
    </w:p>
    <w:p>
      <w:pPr>
        <w:spacing w:after="0" w:line="311" w:lineRule="exact"/>
        <w:rPr>
          <w:sz w:val="20"/>
          <w:szCs w:val="20"/>
          <w:color w:val="auto"/>
        </w:rPr>
      </w:pPr>
    </w:p>
    <w:p>
      <w:pPr>
        <w:ind w:left="1960" w:right="40" w:hanging="358"/>
        <w:spacing w:after="0" w:line="236" w:lineRule="auto"/>
        <w:tabs>
          <w:tab w:leader="none" w:pos="1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stated maturity of the principal of, or any installment of interest on, the 2029 Notes of the affected series;</w:t>
      </w:r>
    </w:p>
    <w:p>
      <w:pPr>
        <w:spacing w:after="0" w:line="258" w:lineRule="exact"/>
        <w:rPr>
          <w:rFonts w:ascii="Times New Roman" w:cs="Times New Roman" w:eastAsia="Times New Roman" w:hAnsi="Times New Roman"/>
          <w:sz w:val="22"/>
          <w:szCs w:val="22"/>
          <w:color w:val="auto"/>
        </w:rPr>
      </w:pPr>
    </w:p>
    <w:p>
      <w:pPr>
        <w:ind w:left="1960" w:hanging="358"/>
        <w:spacing w:after="0"/>
        <w:tabs>
          <w:tab w:leader="none" w:pos="1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principal amount of, or premium, if any, or interest on, the 2029 Notes of the affected series;</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79" w:lineRule="exact"/>
        <w:rPr>
          <w:sz w:val="20"/>
          <w:szCs w:val="20"/>
          <w:color w:val="auto"/>
        </w:rPr>
      </w:pPr>
    </w:p>
    <w:p>
      <w:pPr>
        <w:ind w:left="1960" w:right="20" w:hanging="358"/>
        <w:spacing w:after="0" w:line="236" w:lineRule="auto"/>
        <w:tabs>
          <w:tab w:leader="none" w:pos="19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place or currency of payment of principal of, or premium, if any, or interest on, the 2029 Notes of the affected series;</w:t>
      </w:r>
    </w:p>
    <w:p>
      <w:pPr>
        <w:spacing w:after="0" w:line="258" w:lineRule="exact"/>
        <w:rPr>
          <w:rFonts w:ascii="Times New Roman" w:cs="Times New Roman" w:eastAsia="Times New Roman" w:hAnsi="Times New Roman"/>
          <w:sz w:val="22"/>
          <w:szCs w:val="22"/>
          <w:color w:val="auto"/>
        </w:rPr>
      </w:pPr>
    </w:p>
    <w:p>
      <w:pPr>
        <w:ind w:left="1960" w:right="20" w:hanging="358"/>
        <w:spacing w:after="0" w:line="236" w:lineRule="auto"/>
        <w:tabs>
          <w:tab w:leader="none" w:pos="19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for calculating the optional redemption price, including the definitions relating thereto;</w:t>
      </w:r>
    </w:p>
    <w:p>
      <w:pPr>
        <w:spacing w:after="0" w:line="258"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relating to the waiver of past defaults or changes or impairs the right of holders to receive payment or to institute suit for the enforcement of any payment of the 2029 Notes of the affected series on or after the due date therefor;</w:t>
      </w:r>
    </w:p>
    <w:p>
      <w:pPr>
        <w:spacing w:after="0" w:line="260" w:lineRule="exact"/>
        <w:rPr>
          <w:rFonts w:ascii="Times New Roman" w:cs="Times New Roman" w:eastAsia="Times New Roman" w:hAnsi="Times New Roman"/>
          <w:sz w:val="22"/>
          <w:szCs w:val="22"/>
          <w:color w:val="auto"/>
        </w:rPr>
      </w:pPr>
    </w:p>
    <w:p>
      <w:pPr>
        <w:ind w:left="1960" w:right="20" w:hanging="358"/>
        <w:spacing w:after="0" w:line="255" w:lineRule="auto"/>
        <w:tabs>
          <w:tab w:leader="none" w:pos="19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reduces the above-stated percentage of outstanding 2029 Notes of the affected series the consent of whose holders is necessary to modify or amend or to waive certain provisions of or defaults under the Indenture;</w:t>
      </w:r>
    </w:p>
    <w:p>
      <w:pPr>
        <w:spacing w:after="0" w:line="242" w:lineRule="exact"/>
        <w:rPr>
          <w:rFonts w:ascii="Times New Roman" w:cs="Times New Roman" w:eastAsia="Times New Roman" w:hAnsi="Times New Roman"/>
          <w:sz w:val="21"/>
          <w:szCs w:val="21"/>
          <w:color w:val="auto"/>
        </w:rPr>
      </w:pPr>
    </w:p>
    <w:p>
      <w:pPr>
        <w:ind w:left="1960" w:hanging="358"/>
        <w:spacing w:after="0"/>
        <w:tabs>
          <w:tab w:leader="none" w:pos="19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 default in the payment of principal of, premium, if any, or interest on the 2029 Notes; or</w:t>
      </w:r>
    </w:p>
    <w:p>
      <w:pPr>
        <w:spacing w:after="0" w:line="287" w:lineRule="exact"/>
        <w:rPr>
          <w:rFonts w:ascii="Times New Roman" w:cs="Times New Roman" w:eastAsia="Times New Roman" w:hAnsi="Times New Roman"/>
          <w:sz w:val="22"/>
          <w:szCs w:val="22"/>
          <w:color w:val="auto"/>
        </w:rPr>
      </w:pPr>
    </w:p>
    <w:p>
      <w:pPr>
        <w:jc w:val="both"/>
        <w:ind w:left="1960" w:right="20" w:hanging="358"/>
        <w:spacing w:after="0" w:line="225" w:lineRule="auto"/>
        <w:tabs>
          <w:tab w:leader="none" w:pos="19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modifies any of the provisions of this paragraph, except to increase any required percentage or to provide that certain other provisions cannot be modified or waived without the consent of the holder of each 2029 Note of the series affected by the modification.</w:t>
      </w:r>
    </w:p>
    <w:p>
      <w:pPr>
        <w:spacing w:after="0" w:line="32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section, the term “Obligor” shall mean each of the Issuer and Guarantors, in each case excluding such entities’ subsidiaries.</w:t>
      </w:r>
    </w:p>
    <w:p>
      <w:pPr>
        <w:sectPr>
          <w:pgSz w:w="11900" w:h="16838" w:orient="portrait"/>
          <w:cols w:equalWidth="0" w:num="1">
            <w:col w:w="11240"/>
          </w:cols>
          <w:pgMar w:left="320" w:top="144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An event of default for a series of 2029 Notes is defined under the Indenture as being:</w:t>
      </w:r>
    </w:p>
    <w:p>
      <w:pPr>
        <w:spacing w:after="0" w:line="200" w:lineRule="exact"/>
        <w:rPr>
          <w:sz w:val="20"/>
          <w:szCs w:val="20"/>
          <w:color w:val="auto"/>
        </w:rPr>
      </w:pPr>
    </w:p>
    <w:p>
      <w:pPr>
        <w:spacing w:after="0" w:line="344" w:lineRule="exact"/>
        <w:rPr>
          <w:sz w:val="20"/>
          <w:szCs w:val="20"/>
          <w:color w:val="auto"/>
        </w:rPr>
      </w:pPr>
    </w:p>
    <w:p>
      <w:pPr>
        <w:jc w:val="both"/>
        <w:ind w:left="1760" w:hanging="535"/>
        <w:spacing w:after="0" w:line="225" w:lineRule="auto"/>
        <w:tabs>
          <w:tab w:leader="none" w:pos="1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principal or premium on the 2029 Notes of such series when the same becomes due and payable whether at maturity, upon acceleration, redemption or otherwise;</w:t>
      </w:r>
    </w:p>
    <w:p>
      <w:pPr>
        <w:spacing w:after="0" w:line="260" w:lineRule="exact"/>
        <w:rPr>
          <w:rFonts w:ascii="Times New Roman" w:cs="Times New Roman" w:eastAsia="Times New Roman" w:hAnsi="Times New Roman"/>
          <w:sz w:val="22"/>
          <w:szCs w:val="22"/>
          <w:color w:val="auto"/>
        </w:rPr>
      </w:pPr>
    </w:p>
    <w:p>
      <w:pPr>
        <w:ind w:left="1760" w:hanging="535"/>
        <w:spacing w:after="0" w:line="236" w:lineRule="auto"/>
        <w:tabs>
          <w:tab w:leader="none" w:pos="1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interest on the 2029 Notes of such series when the same becomes due and payable, if that default continues for a period of 30 days;</w:t>
      </w:r>
    </w:p>
    <w:p>
      <w:pPr>
        <w:spacing w:after="0" w:line="258" w:lineRule="exact"/>
        <w:rPr>
          <w:rFonts w:ascii="Times New Roman" w:cs="Times New Roman" w:eastAsia="Times New Roman" w:hAnsi="Times New Roman"/>
          <w:sz w:val="22"/>
          <w:szCs w:val="22"/>
          <w:color w:val="auto"/>
        </w:rPr>
      </w:pPr>
    </w:p>
    <w:p>
      <w:pPr>
        <w:jc w:val="both"/>
        <w:ind w:left="1760" w:hanging="535"/>
        <w:spacing w:after="0" w:line="217" w:lineRule="auto"/>
        <w:tabs>
          <w:tab w:leader="none" w:pos="1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 affected series;</w:t>
      </w:r>
    </w:p>
    <w:p>
      <w:pPr>
        <w:spacing w:after="0" w:line="260" w:lineRule="exact"/>
        <w:rPr>
          <w:rFonts w:ascii="Times New Roman" w:cs="Times New Roman" w:eastAsia="Times New Roman" w:hAnsi="Times New Roman"/>
          <w:sz w:val="22"/>
          <w:szCs w:val="22"/>
          <w:color w:val="auto"/>
        </w:rPr>
      </w:pPr>
    </w:p>
    <w:p>
      <w:pPr>
        <w:ind w:left="1760" w:hanging="535"/>
        <w:spacing w:after="0"/>
        <w:tabs>
          <w:tab w:leader="none" w:pos="1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is not in full force and effect;</w:t>
      </w:r>
    </w:p>
    <w:p>
      <w:pPr>
        <w:spacing w:after="0" w:line="287" w:lineRule="exact"/>
        <w:rPr>
          <w:rFonts w:ascii="Times New Roman" w:cs="Times New Roman" w:eastAsia="Times New Roman" w:hAnsi="Times New Roman"/>
          <w:sz w:val="22"/>
          <w:szCs w:val="22"/>
          <w:color w:val="auto"/>
        </w:rPr>
      </w:pPr>
    </w:p>
    <w:p>
      <w:pPr>
        <w:ind w:left="1760" w:hanging="535"/>
        <w:spacing w:after="0"/>
        <w:tabs>
          <w:tab w:leader="none" w:pos="1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having jurisdiction enters a decree or order for:</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left="2240" w:hanging="353"/>
        <w:spacing w:after="0" w:line="236"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relief in respect of any Obligor in an involuntary case under any applicable bankruptcy, insolvency, or other similar law now or hereafter in effect;</w:t>
      </w:r>
    </w:p>
    <w:p>
      <w:pPr>
        <w:spacing w:after="0" w:line="285" w:lineRule="exact"/>
        <w:rPr>
          <w:rFonts w:ascii="Times New Roman" w:cs="Times New Roman" w:eastAsia="Times New Roman" w:hAnsi="Times New Roman"/>
          <w:sz w:val="22"/>
          <w:szCs w:val="22"/>
          <w:color w:val="auto"/>
        </w:rPr>
      </w:pPr>
    </w:p>
    <w:p>
      <w:pPr>
        <w:ind w:left="2240" w:hanging="353"/>
        <w:spacing w:after="0" w:line="271"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appointment of a receiver, liquidator, assignee, custodian, Trustee, sequestrator or similar official of any Obligor for any substantial part of such party’s property and assets; or</w:t>
      </w:r>
    </w:p>
    <w:p>
      <w:pPr>
        <w:spacing w:after="0" w:line="238" w:lineRule="exact"/>
        <w:rPr>
          <w:rFonts w:ascii="Times New Roman" w:cs="Times New Roman" w:eastAsia="Times New Roman" w:hAnsi="Times New Roman"/>
          <w:sz w:val="22"/>
          <w:szCs w:val="22"/>
          <w:color w:val="auto"/>
        </w:rPr>
      </w:pPr>
    </w:p>
    <w:p>
      <w:pPr>
        <w:ind w:left="2240" w:hanging="353"/>
        <w:spacing w:after="0" w:line="236"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winding up or liquidation of any Obligor’s affairs and such decree or order shall remain unstayed and in effect for a period of 180 consecutive days; or</w:t>
      </w:r>
    </w:p>
    <w:p>
      <w:pPr>
        <w:spacing w:after="0" w:line="366" w:lineRule="exact"/>
        <w:rPr>
          <w:rFonts w:ascii="Times New Roman" w:cs="Times New Roman" w:eastAsia="Times New Roman" w:hAnsi="Times New Roman"/>
          <w:sz w:val="22"/>
          <w:szCs w:val="22"/>
          <w:color w:val="auto"/>
        </w:rPr>
      </w:pPr>
    </w:p>
    <w:p>
      <w:pPr>
        <w:ind w:left="1760" w:hanging="535"/>
        <w:spacing w:after="0"/>
        <w:tabs>
          <w:tab w:leader="none" w:pos="1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left="2240" w:hanging="353"/>
        <w:spacing w:after="0" w:line="225"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under any applicable bankruptcy, insolvency, or other similar law now or hereafter in effect, or consent to the entry of an order for relief in an involuntary case under any such law;</w:t>
      </w:r>
    </w:p>
    <w:p>
      <w:pPr>
        <w:spacing w:after="0" w:line="260" w:lineRule="exact"/>
        <w:rPr>
          <w:rFonts w:ascii="Times New Roman" w:cs="Times New Roman" w:eastAsia="Times New Roman" w:hAnsi="Times New Roman"/>
          <w:sz w:val="22"/>
          <w:szCs w:val="22"/>
          <w:color w:val="auto"/>
        </w:rPr>
      </w:pPr>
    </w:p>
    <w:p>
      <w:pPr>
        <w:jc w:val="both"/>
        <w:ind w:left="2240" w:hanging="353"/>
        <w:spacing w:after="0" w:line="225" w:lineRule="auto"/>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or taking possession by a receiver, liquidator, assignee, custodian, trustee, sequestrator, or similar official of such party or for any substantial part of such party’s property; or</w:t>
      </w:r>
    </w:p>
    <w:p>
      <w:pPr>
        <w:sectPr>
          <w:pgSz w:w="11900" w:h="16838" w:orient="portrait"/>
          <w:cols w:equalWidth="0" w:num="1">
            <w:col w:w="10560"/>
          </w:cols>
          <w:pgMar w:left="980" w:top="1422" w:right="359" w:bottom="1440" w:gutter="0" w:footer="0" w:header="0"/>
        </w:sectPr>
      </w:pPr>
    </w:p>
    <w:bookmarkStart w:id="157" w:name="page158"/>
    <w:bookmarkEnd w:id="157"/>
    <w:p>
      <w:pPr>
        <w:spacing w:after="0" w:line="279" w:lineRule="exact"/>
        <w:rPr>
          <w:sz w:val="20"/>
          <w:szCs w:val="20"/>
          <w:color w:val="auto"/>
        </w:rPr>
      </w:pPr>
    </w:p>
    <w:p>
      <w:pPr>
        <w:ind w:left="660" w:right="3180" w:firstLine="1887"/>
        <w:spacing w:after="0" w:line="509" w:lineRule="auto"/>
        <w:tabs>
          <w:tab w:leader="none" w:pos="290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effects any general assignment for the benefit of creditors. A default under any Obligor’s other indebtedness is not a default under the Indenture.</w:t>
      </w:r>
    </w:p>
    <w:p>
      <w:pPr>
        <w:spacing w:after="0" w:line="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 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9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 such issue of 2029 Notes not joining in the giving of such direction and may take any other action it deems proper that is not inconsistent with any such direction received from holders of such issue of 2029 Notes. A holder may not pursue any remedy with respect to the Indenture or any series of 2029 Notes unless:</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9" w:lineRule="exact"/>
        <w:rPr>
          <w:sz w:val="20"/>
          <w:szCs w:val="20"/>
          <w:color w:val="auto"/>
        </w:rPr>
      </w:pPr>
    </w:p>
    <w:p>
      <w:pPr>
        <w:ind w:left="1980" w:hanging="364"/>
        <w:spacing w:after="0"/>
        <w:tabs>
          <w:tab w:leader="none" w:pos="19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the Trustee written notice of a continuing event of default;</w:t>
      </w:r>
    </w:p>
    <w:p>
      <w:pPr>
        <w:spacing w:after="0" w:line="287"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such series of 2029 Notes make a written request to the Trustee to pursue the remedy in respect of such event of default;</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requesting holder or holders offer the Trustee indemnity satisfactory to the Trustee against any costs, liability, or expense;</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the request within 60 days after receipt of the request and the offer of indemnity; and</w:t>
      </w:r>
    </w:p>
    <w:p>
      <w:pPr>
        <w:spacing w:after="0" w:line="258" w:lineRule="exact"/>
        <w:rPr>
          <w:rFonts w:ascii="Times New Roman" w:cs="Times New Roman" w:eastAsia="Times New Roman" w:hAnsi="Times New Roman"/>
          <w:sz w:val="22"/>
          <w:szCs w:val="22"/>
          <w:color w:val="auto"/>
        </w:rPr>
      </w:pPr>
    </w:p>
    <w:p>
      <w:pPr>
        <w:ind w:left="1980" w:right="20" w:hanging="364"/>
        <w:spacing w:after="0" w:line="236" w:lineRule="auto"/>
        <w:tabs>
          <w:tab w:leader="none" w:pos="19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60-day period, the holders of a majority in aggregate principal amount of such series of 2029 Notes do not give the Trustee a direction that is inconsistent with the request.</w:t>
      </w:r>
    </w:p>
    <w:p>
      <w:pPr>
        <w:spacing w:after="0" w:line="33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20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178" w:lineRule="exact"/>
        <w:rPr>
          <w:sz w:val="20"/>
          <w:szCs w:val="20"/>
          <w:color w:val="auto"/>
        </w:rPr>
      </w:pPr>
    </w:p>
    <w:p>
      <w:pPr>
        <w:ind w:left="660" w:hanging="652"/>
        <w:spacing w:after="0" w:line="275" w:lineRule="auto"/>
        <w:tabs>
          <w:tab w:leader="none" w:pos="65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0.250% NOTES DUE 2027, OUR 0.750% NOTES DUE 2032, OUR 1.250% NOTES DUE 2040, OUR 1.500% NOTES DUE 2029 AND OUR 1.875% NOTES DUE 2036</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following summary of our 0.250% Notes due 2027 (the “2027 Euro Notes”), our 0.750% Notes due 2032 (the “2032 Euro Notes”), our 1.250% Notes due 2040 (the “2040 Euro Notes”), our 1.500% Notes due 2029 (the “2029 Sterling Notes”) and our 1.875% Notes due 2036 (the “2036 Sterling Notes” and together with the 2027 Euro Notes, the 2032 Euro Notes, the 2040 Euro Notes and the 2029 Sterling Notes, collectively, the “Notes”) is based on the senior indenture dated as of September 18, 2013 among Comcast as issuer (the “Issuer”), Comcast Cable Communications, LLC and NBCUniversal Media, LLC (the “Guarantors”) and The Bank of New York Mellon (f/k/a The Bank of New York), as trustee (the “Trustee”) (the “Base Indenture”), as amended by the first supplemental indenture dated as of November 17, 2015 among the Issuer, the Guarantors and the Trustee (collectively with the Base Indenture, the “Indenture”). This summary does not purport to be complete and is qualified in its entirety by reference to such Indenture.</w:t>
      </w:r>
    </w:p>
    <w:p>
      <w:pPr>
        <w:sectPr>
          <w:pgSz w:w="11900" w:h="16838" w:orient="portrait"/>
          <w:cols w:equalWidth="0" w:num="1">
            <w:col w:w="11240"/>
          </w:cols>
          <w:pgMar w:left="320" w:top="144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b w:val="1"/>
          <w:bCs w:val="1"/>
          <w:color w:val="231F20"/>
        </w:rPr>
        <w:t>Interest Payments</w:t>
      </w:r>
    </w:p>
    <w:p>
      <w:pPr>
        <w:spacing w:after="0" w:line="278" w:lineRule="exact"/>
        <w:rPr>
          <w:sz w:val="20"/>
          <w:szCs w:val="20"/>
          <w:color w:val="auto"/>
        </w:rPr>
      </w:pPr>
    </w:p>
    <w:p>
      <w:pPr>
        <w:jc w:val="both"/>
        <w:ind w:firstLine="612"/>
        <w:spacing w:after="0" w:line="250" w:lineRule="auto"/>
        <w:rPr>
          <w:sz w:val="20"/>
          <w:szCs w:val="20"/>
          <w:color w:val="auto"/>
        </w:rPr>
      </w:pPr>
      <w:r>
        <w:rPr>
          <w:rFonts w:ascii="Times New Roman" w:cs="Times New Roman" w:eastAsia="Times New Roman" w:hAnsi="Times New Roman"/>
          <w:sz w:val="22"/>
          <w:szCs w:val="22"/>
          <w:color w:val="231F20"/>
        </w:rPr>
        <w:t>Interest on the Notes will be computed on the basis of the actual number of days in the period for which interest is being calculated and the actual number of days from and including the last date to which interest was paid on the Notes (or February 20, 2020 if no interest has been paid on the Notes), to but excluding the next scheduled interest payment date. This payment convention is referred to as ACTUAL/ACTUAL (ICMA) as defined in the rulebook of the International Capital Market Association.</w:t>
      </w:r>
    </w:p>
    <w:p>
      <w:pPr>
        <w:spacing w:after="0" w:line="127" w:lineRule="exact"/>
        <w:rPr>
          <w:sz w:val="20"/>
          <w:szCs w:val="20"/>
          <w:color w:val="auto"/>
        </w:rPr>
      </w:pPr>
    </w:p>
    <w:p>
      <w:pPr>
        <w:jc w:val="both"/>
        <w:ind w:firstLine="612"/>
        <w:spacing w:after="0" w:line="257" w:lineRule="auto"/>
        <w:rPr>
          <w:sz w:val="20"/>
          <w:szCs w:val="20"/>
          <w:color w:val="auto"/>
        </w:rPr>
      </w:pPr>
      <w:r>
        <w:rPr>
          <w:rFonts w:ascii="Times New Roman" w:cs="Times New Roman" w:eastAsia="Times New Roman" w:hAnsi="Times New Roman"/>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05" w:lineRule="exact"/>
        <w:rPr>
          <w:sz w:val="20"/>
          <w:szCs w:val="20"/>
          <w:color w:val="auto"/>
        </w:rPr>
      </w:pPr>
    </w:p>
    <w:p>
      <w:pPr>
        <w:jc w:val="both"/>
        <w:ind w:firstLine="612"/>
        <w:spacing w:after="0" w:line="250" w:lineRule="auto"/>
        <w:rPr>
          <w:sz w:val="20"/>
          <w:szCs w:val="20"/>
          <w:color w:val="auto"/>
        </w:rPr>
      </w:pPr>
      <w:r>
        <w:rPr>
          <w:rFonts w:ascii="Times New Roman" w:cs="Times New Roman" w:eastAsia="Times New Roman" w:hAnsi="Times New Roman"/>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2027 Euro Notes, the 2032 Euro Notes and the 2040 Euro Notes (collectively, the “Euro Notes”), on which the Trans-European Automated Real-Time Gross Settlement Express Transfer System (the TARGET2 system) or any successor thereto is open.</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231F20"/>
        </w:rPr>
        <w:t>Issuance in Euro; Issuance in GBP</w:t>
      </w:r>
    </w:p>
    <w:p>
      <w:pPr>
        <w:spacing w:after="0" w:line="170" w:lineRule="exact"/>
        <w:rPr>
          <w:sz w:val="20"/>
          <w:szCs w:val="20"/>
          <w:color w:val="auto"/>
        </w:rPr>
      </w:pPr>
    </w:p>
    <w:p>
      <w:pPr>
        <w:jc w:val="both"/>
        <w:ind w:firstLine="612"/>
        <w:spacing w:after="0" w:line="248"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Euro Notes will be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33" w:lineRule="exact"/>
        <w:rPr>
          <w:sz w:val="20"/>
          <w:szCs w:val="20"/>
          <w:color w:val="auto"/>
        </w:rPr>
      </w:pPr>
    </w:p>
    <w:p>
      <w:pPr>
        <w:jc w:val="both"/>
        <w:ind w:firstLine="612"/>
        <w:spacing w:after="0" w:line="248"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2029 Sterling Notes and the 2036 Sterling Notes (together, the “Sterling Notes”) will be payable in GBP. If GBP is unavailable to the Issuer due to the imposition of exchange controls or other circumstances beyond the Issuer’s control, then all payments in respect of the Sterling Notes will be made in U.S. dollars until GBP is again available to the Issuer.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28" w:lineRule="exact"/>
        <w:rPr>
          <w:sz w:val="20"/>
          <w:szCs w:val="20"/>
          <w:color w:val="auto"/>
        </w:rPr>
      </w:pPr>
    </w:p>
    <w:p>
      <w:pPr>
        <w:jc w:val="both"/>
        <w:ind w:firstLine="612"/>
        <w:spacing w:after="0" w:line="252" w:lineRule="auto"/>
        <w:rPr>
          <w:sz w:val="20"/>
          <w:szCs w:val="20"/>
          <w:color w:val="auto"/>
        </w:rPr>
      </w:pPr>
      <w:r>
        <w:rPr>
          <w:rFonts w:ascii="Times New Roman" w:cs="Times New Roman" w:eastAsia="Times New Roman" w:hAnsi="Times New Roman"/>
          <w:sz w:val="22"/>
          <w:szCs w:val="22"/>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w:t>
      </w:r>
    </w:p>
    <w:p>
      <w:pPr>
        <w:sectPr>
          <w:pgSz w:w="11900" w:h="16838" w:orient="portrait"/>
          <w:cols w:equalWidth="0" w:num="1">
            <w:col w:w="11200"/>
          </w:cols>
          <w:pgMar w:left="360" w:top="1377" w:right="339" w:bottom="1440" w:gutter="0" w:footer="0" w:header="0"/>
        </w:sectPr>
      </w:pPr>
    </w:p>
    <w:bookmarkStart w:id="160" w:name="page161"/>
    <w:bookmarkEnd w:id="160"/>
    <w:p>
      <w:pPr>
        <w:spacing w:after="0" w:line="144"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22"/>
          <w:szCs w:val="22"/>
          <w:color w:val="231F20"/>
        </w:rPr>
        <w:t>paying agent will be responsible for obtaining exchange rates, effecting currency conversions or otherwise handling re-denominations.</w:t>
      </w:r>
    </w:p>
    <w:p>
      <w:pPr>
        <w:spacing w:after="0" w:line="98" w:lineRule="exact"/>
        <w:rPr>
          <w:sz w:val="20"/>
          <w:szCs w:val="20"/>
          <w:color w:val="auto"/>
        </w:rPr>
      </w:pPr>
    </w:p>
    <w:p>
      <w:pPr>
        <w:jc w:val="both"/>
        <w:ind w:left="40" w:firstLine="612"/>
        <w:spacing w:after="0" w:line="260" w:lineRule="auto"/>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Market Exchange Rate</w:t>
      </w:r>
      <w:r>
        <w:rPr>
          <w:rFonts w:ascii="Times New Roman" w:cs="Times New Roman" w:eastAsia="Times New Roman" w:hAnsi="Times New Roman"/>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Guarantees</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Issuer’s obligations, including the payment of principal, premium, if any, and interest, will be fully and unconditionally guaranteed by each of the Guarantors as described in the accompanying prospectus.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Optional Redemption</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231F20"/>
        </w:rPr>
        <w:t>The Issuer will have the right at the Issuer’s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The Issuer will calculate the Redemption Price in connection with any redemption hereunder.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Redemption Price</w:t>
      </w:r>
      <w:r>
        <w:rPr>
          <w:rFonts w:ascii="Times New Roman" w:cs="Times New Roman" w:eastAsia="Times New Roman" w:hAnsi="Times New Roman"/>
          <w:sz w:val="22"/>
          <w:szCs w:val="22"/>
          <w:color w:val="231F20"/>
        </w:rPr>
        <w:t>” means:</w:t>
      </w:r>
    </w:p>
    <w:p>
      <w:pPr>
        <w:spacing w:after="0" w:line="253" w:lineRule="exact"/>
        <w:rPr>
          <w:sz w:val="20"/>
          <w:szCs w:val="20"/>
          <w:color w:val="auto"/>
        </w:rPr>
      </w:pPr>
    </w:p>
    <w:p>
      <w:pPr>
        <w:jc w:val="both"/>
        <w:ind w:left="760" w:hanging="321"/>
        <w:spacing w:after="0" w:line="248" w:lineRule="auto"/>
        <w:tabs>
          <w:tab w:leader="none" w:pos="755"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comparable government bond rate plus 15 basis points; provided that, if the 2027 Euro Notes are redeemed on or after the 2027 Par Call Date, the Redemption Price will equal 100% of the principal amount of such notes;</w:t>
      </w:r>
    </w:p>
    <w:p>
      <w:pPr>
        <w:spacing w:after="0" w:line="222" w:lineRule="exact"/>
        <w:rPr>
          <w:rFonts w:ascii="Times New Roman" w:cs="Times New Roman" w:eastAsia="Times New Roman" w:hAnsi="Times New Roman"/>
          <w:sz w:val="18"/>
          <w:szCs w:val="18"/>
          <w:color w:val="231F20"/>
        </w:rPr>
      </w:pPr>
    </w:p>
    <w:p>
      <w:pPr>
        <w:jc w:val="both"/>
        <w:ind w:left="760" w:hanging="321"/>
        <w:spacing w:after="0" w:line="250" w:lineRule="auto"/>
        <w:tabs>
          <w:tab w:leader="none" w:pos="755"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w:t>
      </w:r>
    </w:p>
    <w:p>
      <w:pPr>
        <w:sectPr>
          <w:pgSz w:w="11900" w:h="16838" w:orient="portrait"/>
          <w:cols w:equalWidth="0" w:num="1">
            <w:col w:w="11240"/>
          </w:cols>
          <w:pgMar w:left="320" w:top="1440" w:right="339" w:bottom="1440" w:gutter="0" w:footer="0" w:header="0"/>
        </w:sectPr>
      </w:pPr>
    </w:p>
    <w:bookmarkStart w:id="161" w:name="page162"/>
    <w:bookmarkEnd w:id="161"/>
    <w:p>
      <w:pPr>
        <w:jc w:val="both"/>
        <w:ind w:left="760"/>
        <w:spacing w:after="0" w:line="257" w:lineRule="auto"/>
        <w:rPr>
          <w:sz w:val="20"/>
          <w:szCs w:val="20"/>
          <w:color w:val="auto"/>
        </w:rPr>
      </w:pPr>
      <w:r>
        <w:rPr>
          <w:rFonts w:ascii="Times New Roman" w:cs="Times New Roman" w:eastAsia="Times New Roman" w:hAnsi="Times New Roman"/>
          <w:sz w:val="22"/>
          <w:szCs w:val="22"/>
          <w:color w:val="231F20"/>
        </w:rPr>
        <w:t>actual (ACTUAL/ACTUAL (ICMA)) basis at a rate equal to the applicable comparable government bond rate plus 20 basis points; provided that, if the 2032 Euro Notes are redeemed on or after the 2032 Par Call Date, the Redemption Price will equal 100% of the principal amount of such notes;</w:t>
      </w:r>
    </w:p>
    <w:p>
      <w:pPr>
        <w:spacing w:after="0" w:line="200" w:lineRule="exact"/>
        <w:rPr>
          <w:sz w:val="20"/>
          <w:szCs w:val="20"/>
          <w:color w:val="auto"/>
        </w:rPr>
      </w:pPr>
    </w:p>
    <w:p>
      <w:pPr>
        <w:jc w:val="both"/>
        <w:ind w:left="760" w:hanging="321"/>
        <w:spacing w:after="0" w:line="248" w:lineRule="auto"/>
        <w:tabs>
          <w:tab w:leader="none" w:pos="755"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comparable government bond rate plus 25 basis points; provided that, if the 2040 Euro Notes are redeemed on or after the 2040 Par Call Date, the Redemption Price will equal 100% of the principal amount of such notes;</w:t>
      </w:r>
    </w:p>
    <w:p>
      <w:pPr>
        <w:spacing w:after="0" w:line="87" w:lineRule="exact"/>
        <w:rPr>
          <w:rFonts w:ascii="Times New Roman" w:cs="Times New Roman" w:eastAsia="Times New Roman" w:hAnsi="Times New Roman"/>
          <w:sz w:val="18"/>
          <w:szCs w:val="18"/>
          <w:color w:val="231F20"/>
        </w:rPr>
      </w:pPr>
    </w:p>
    <w:p>
      <w:pPr>
        <w:jc w:val="both"/>
        <w:ind w:left="760" w:hanging="320"/>
        <w:spacing w:after="0" w:line="254" w:lineRule="auto"/>
        <w:tabs>
          <w:tab w:leader="none" w:pos="755"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2029 Sterling Notes, at any time prior to November 20, 2028 (three months prior to the maturity of the 2029 Sterling Notes) (the “2029 Par Call Date”), the greater of (i) 100% of the principal amount of such notes and</w:t>
      </w:r>
    </w:p>
    <w:p>
      <w:pPr>
        <w:spacing w:after="0" w:line="1" w:lineRule="exact"/>
        <w:rPr>
          <w:rFonts w:ascii="Times New Roman" w:cs="Times New Roman" w:eastAsia="Times New Roman" w:hAnsi="Times New Roman"/>
          <w:sz w:val="18"/>
          <w:szCs w:val="18"/>
          <w:color w:val="231F20"/>
        </w:rPr>
      </w:pPr>
    </w:p>
    <w:p>
      <w:pPr>
        <w:jc w:val="both"/>
        <w:ind w:left="760" w:firstLine="4"/>
        <w:spacing w:after="0" w:line="259" w:lineRule="auto"/>
        <w:tabs>
          <w:tab w:leader="none" w:pos="1091" w:val="left"/>
        </w:tabs>
        <w:numPr>
          <w:ilvl w:val="1"/>
          <w:numId w:val="93"/>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Sterling Notes are redeemed on or after the 2029 Par Call Date, the Redemption Price will equal 100% of the principal amount of such notes; and</w:t>
      </w:r>
    </w:p>
    <w:p>
      <w:pPr>
        <w:spacing w:after="0" w:line="198" w:lineRule="exact"/>
        <w:rPr>
          <w:rFonts w:ascii="Times New Roman" w:cs="Times New Roman" w:eastAsia="Times New Roman" w:hAnsi="Times New Roman"/>
          <w:sz w:val="21"/>
          <w:szCs w:val="21"/>
          <w:color w:val="231F20"/>
        </w:rPr>
      </w:pPr>
    </w:p>
    <w:p>
      <w:pPr>
        <w:jc w:val="both"/>
        <w:ind w:left="760" w:hanging="320"/>
        <w:spacing w:after="0" w:line="254" w:lineRule="auto"/>
        <w:tabs>
          <w:tab w:leader="none" w:pos="755"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2036 Sterling Notes, at any time prior to November 20, 2035 (three months prior to the maturity of the 2036 Sterling Notes) (the “2036 Par Call Date”), the greater of (i) 100% of the principal amount of such notes and</w:t>
      </w:r>
    </w:p>
    <w:p>
      <w:pPr>
        <w:spacing w:after="0" w:line="1" w:lineRule="exact"/>
        <w:rPr>
          <w:rFonts w:ascii="Times New Roman" w:cs="Times New Roman" w:eastAsia="Times New Roman" w:hAnsi="Times New Roman"/>
          <w:sz w:val="18"/>
          <w:szCs w:val="18"/>
          <w:color w:val="231F20"/>
        </w:rPr>
      </w:pPr>
    </w:p>
    <w:p>
      <w:pPr>
        <w:jc w:val="both"/>
        <w:ind w:left="760" w:firstLine="4"/>
        <w:spacing w:after="0" w:line="259" w:lineRule="auto"/>
        <w:tabs>
          <w:tab w:leader="none" w:pos="1091" w:val="left"/>
        </w:tabs>
        <w:numPr>
          <w:ilvl w:val="1"/>
          <w:numId w:val="93"/>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2036 Sterling Notes are redeemed on or after the 2036 Par Call Date, the Redemption Price will equal 100% of the principal amount of such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plus, in each case, accrued and unpaid interest thereon to the date of redemption.</w:t>
      </w: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b w:val="1"/>
          <w:bCs w:val="1"/>
          <w:i w:val="1"/>
          <w:iCs w:val="1"/>
          <w:color w:val="231F20"/>
        </w:rPr>
        <w:t>comparable government bond</w:t>
      </w:r>
      <w:r>
        <w:rPr>
          <w:rFonts w:ascii="Times New Roman" w:cs="Times New Roman" w:eastAsia="Times New Roman" w:hAnsi="Times New Roman"/>
          <w:sz w:val="22"/>
          <w:szCs w:val="22"/>
          <w:color w:val="231F20"/>
        </w:rPr>
        <w:t>”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w:t>
      </w:r>
    </w:p>
    <w:p>
      <w:pPr>
        <w:sectPr>
          <w:pgSz w:w="11900" w:h="16838" w:orient="portrait"/>
          <w:cols w:equalWidth="0" w:num="1">
            <w:col w:w="11240"/>
          </w:cols>
          <w:pgMar w:left="320" w:top="1422" w:right="339" w:bottom="1440" w:gutter="0" w:footer="0" w:header="0"/>
        </w:sectPr>
      </w:pPr>
    </w:p>
    <w:bookmarkStart w:id="162" w:name="page163"/>
    <w:bookmarkEnd w:id="162"/>
    <w:p>
      <w:pPr>
        <w:jc w:val="both"/>
        <w:spacing w:after="0" w:line="246" w:lineRule="auto"/>
        <w:rPr>
          <w:sz w:val="20"/>
          <w:szCs w:val="20"/>
          <w:color w:val="auto"/>
        </w:rPr>
      </w:pPr>
      <w:r>
        <w:rPr>
          <w:rFonts w:ascii="Times New Roman" w:cs="Times New Roman" w:eastAsia="Times New Roman" w:hAnsi="Times New Roman"/>
          <w:sz w:val="22"/>
          <w:szCs w:val="22"/>
          <w:color w:val="231F20"/>
        </w:rPr>
        <w:t>investment banker in its discretion determines that such similar bond is not in issue, such other German government bond as such independent investment banker may, with the advice of three brokers of, and/ 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22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 rate</w:t>
      </w:r>
      <w:r>
        <w:rPr>
          <w:rFonts w:ascii="Times New Roman" w:cs="Times New Roman" w:eastAsia="Times New Roman" w:hAnsi="Times New Roman"/>
          <w:sz w:val="21"/>
          <w:szCs w:val="21"/>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b w:val="1"/>
          <w:bCs w:val="1"/>
          <w:i w:val="1"/>
          <w:iCs w:val="1"/>
          <w:color w:val="231F20"/>
        </w:rPr>
        <w:t>independent investment banker</w:t>
      </w:r>
      <w:r>
        <w:rPr>
          <w:rFonts w:ascii="Times New Roman" w:cs="Times New Roman" w:eastAsia="Times New Roman" w:hAnsi="Times New Roman"/>
          <w:sz w:val="22"/>
          <w:szCs w:val="22"/>
          <w:color w:val="231F20"/>
        </w:rPr>
        <w:t>”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us.</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231F20"/>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Additionally, the Issuer may at any time repurchase Notes in the open market and may hold or surrender such Notes to the Trustee for cancellation.</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ectPr>
          <w:pgSz w:w="11900" w:h="16838" w:orient="portrait"/>
          <w:cols w:equalWidth="0" w:num="1">
            <w:col w:w="11240"/>
          </w:cols>
          <w:pgMar w:left="320" w:top="1422" w:right="339" w:bottom="1440" w:gutter="0" w:footer="0" w:header="0"/>
        </w:sectPr>
      </w:pPr>
    </w:p>
    <w:bookmarkStart w:id="163" w:name="page164"/>
    <w:bookmarkEnd w:id="163"/>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Payment of Additional Amounts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60" w:lineRule="exact"/>
        <w:rPr>
          <w:sz w:val="20"/>
          <w:szCs w:val="20"/>
          <w:color w:val="auto"/>
        </w:rPr>
      </w:pPr>
    </w:p>
    <w:p>
      <w:pPr>
        <w:jc w:val="both"/>
        <w:ind w:left="760" w:hanging="320"/>
        <w:spacing w:after="0" w:line="268" w:lineRule="auto"/>
        <w:tabs>
          <w:tab w:leader="none" w:pos="755" w:val="left"/>
        </w:tabs>
        <w:numPr>
          <w:ilvl w:val="0"/>
          <w:numId w:val="94"/>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22" w:lineRule="exact"/>
        <w:rPr>
          <w:rFonts w:ascii="Times New Roman" w:cs="Times New Roman" w:eastAsia="Times New Roman" w:hAnsi="Times New Roman"/>
          <w:sz w:val="21"/>
          <w:szCs w:val="21"/>
          <w:color w:val="231F20"/>
        </w:rPr>
      </w:pPr>
    </w:p>
    <w:p>
      <w:pPr>
        <w:ind w:left="1200" w:hanging="364"/>
        <w:spacing w:after="0" w:line="271" w:lineRule="auto"/>
        <w:tabs>
          <w:tab w:leader="none" w:pos="1188" w:val="left"/>
        </w:tabs>
        <w:numPr>
          <w:ilvl w:val="1"/>
          <w:numId w:val="9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engaged in a trade or business in the United States or having or having had a permanent establishment in the United States;</w:t>
      </w:r>
    </w:p>
    <w:p>
      <w:pPr>
        <w:spacing w:after="0" w:line="117" w:lineRule="exact"/>
        <w:rPr>
          <w:rFonts w:ascii="Times New Roman" w:cs="Times New Roman" w:eastAsia="Times New Roman" w:hAnsi="Times New Roman"/>
          <w:sz w:val="22"/>
          <w:szCs w:val="22"/>
          <w:color w:val="231F20"/>
        </w:rPr>
      </w:pPr>
    </w:p>
    <w:p>
      <w:pPr>
        <w:jc w:val="both"/>
        <w:ind w:left="1200" w:hanging="364"/>
        <w:spacing w:after="0" w:line="257" w:lineRule="auto"/>
        <w:tabs>
          <w:tab w:leader="none" w:pos="1200" w:val="left"/>
        </w:tabs>
        <w:numPr>
          <w:ilvl w:val="1"/>
          <w:numId w:val="9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32" w:lineRule="exact"/>
        <w:rPr>
          <w:rFonts w:ascii="Times New Roman" w:cs="Times New Roman" w:eastAsia="Times New Roman" w:hAnsi="Times New Roman"/>
          <w:sz w:val="22"/>
          <w:szCs w:val="22"/>
          <w:color w:val="231F20"/>
        </w:rPr>
      </w:pPr>
    </w:p>
    <w:p>
      <w:pPr>
        <w:jc w:val="both"/>
        <w:ind w:left="1200" w:hanging="364"/>
        <w:spacing w:after="0" w:line="257" w:lineRule="auto"/>
        <w:tabs>
          <w:tab w:leader="none" w:pos="1188" w:val="left"/>
        </w:tabs>
        <w:numPr>
          <w:ilvl w:val="1"/>
          <w:numId w:val="9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18" w:lineRule="exact"/>
        <w:rPr>
          <w:rFonts w:ascii="Times New Roman" w:cs="Times New Roman" w:eastAsia="Times New Roman" w:hAnsi="Times New Roman"/>
          <w:sz w:val="22"/>
          <w:szCs w:val="22"/>
          <w:color w:val="231F20"/>
        </w:rPr>
      </w:pPr>
    </w:p>
    <w:p>
      <w:pPr>
        <w:ind w:left="1200" w:hanging="364"/>
        <w:spacing w:after="0"/>
        <w:tabs>
          <w:tab w:leader="none" w:pos="1200" w:val="left"/>
        </w:tabs>
        <w:numPr>
          <w:ilvl w:val="1"/>
          <w:numId w:val="94"/>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being or having been a “10-percent shareholder” of the Issuer or applicable Guarantor as defined in section 871(h)</w:t>
      </w:r>
    </w:p>
    <w:p>
      <w:pPr>
        <w:spacing w:after="0" w:line="39" w:lineRule="exact"/>
        <w:rPr>
          <w:rFonts w:ascii="Times New Roman" w:cs="Times New Roman" w:eastAsia="Times New Roman" w:hAnsi="Times New Roman"/>
          <w:sz w:val="21"/>
          <w:szCs w:val="21"/>
          <w:color w:val="231F20"/>
        </w:rPr>
      </w:pPr>
    </w:p>
    <w:p>
      <w:pPr>
        <w:ind w:left="1200"/>
        <w:spacing w:after="0"/>
        <w:rPr>
          <w:rFonts w:ascii="Times New Roman" w:cs="Times New Roman" w:eastAsia="Times New Roman" w:hAnsi="Times New Roman"/>
          <w:sz w:val="21"/>
          <w:szCs w:val="21"/>
          <w:color w:val="231F20"/>
        </w:rPr>
      </w:pPr>
      <w:r>
        <w:rPr>
          <w:rFonts w:ascii="Times New Roman" w:cs="Times New Roman" w:eastAsia="Times New Roman" w:hAnsi="Times New Roman"/>
          <w:sz w:val="22"/>
          <w:szCs w:val="22"/>
          <w:color w:val="231F20"/>
        </w:rPr>
        <w:t>(3) of the U.S. Internal Revenue Code of 1986, as amended (the “Code”), or any successor provision; or</w:t>
      </w:r>
    </w:p>
    <w:p>
      <w:pPr>
        <w:spacing w:after="0" w:line="155" w:lineRule="exact"/>
        <w:rPr>
          <w:rFonts w:ascii="Times New Roman" w:cs="Times New Roman" w:eastAsia="Times New Roman" w:hAnsi="Times New Roman"/>
          <w:sz w:val="21"/>
          <w:szCs w:val="21"/>
          <w:color w:val="231F20"/>
        </w:rPr>
      </w:pPr>
    </w:p>
    <w:p>
      <w:pPr>
        <w:ind w:left="1200" w:hanging="364"/>
        <w:spacing w:after="0" w:line="271" w:lineRule="auto"/>
        <w:tabs>
          <w:tab w:leader="none" w:pos="1188" w:val="left"/>
        </w:tabs>
        <w:numPr>
          <w:ilvl w:val="1"/>
          <w:numId w:val="9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117" w:lineRule="exact"/>
        <w:rPr>
          <w:rFonts w:ascii="Times New Roman" w:cs="Times New Roman" w:eastAsia="Times New Roman" w:hAnsi="Times New Roman"/>
          <w:sz w:val="22"/>
          <w:szCs w:val="22"/>
          <w:color w:val="231F20"/>
        </w:rPr>
      </w:pPr>
    </w:p>
    <w:p>
      <w:pPr>
        <w:jc w:val="both"/>
        <w:ind w:left="760" w:hanging="320"/>
        <w:spacing w:after="0" w:line="248" w:lineRule="auto"/>
        <w:tabs>
          <w:tab w:leader="none" w:pos="755" w:val="left"/>
        </w:tabs>
        <w:numPr>
          <w:ilvl w:val="0"/>
          <w:numId w:val="94"/>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39" w:lineRule="exact"/>
        <w:rPr>
          <w:sz w:val="20"/>
          <w:szCs w:val="20"/>
          <w:color w:val="auto"/>
        </w:rPr>
      </w:pPr>
    </w:p>
    <w:p>
      <w:pPr>
        <w:jc w:val="both"/>
        <w:ind w:left="320" w:hanging="320"/>
        <w:spacing w:after="0" w:line="248"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78" w:lineRule="exact"/>
        <w:rPr>
          <w:rFonts w:ascii="Times New Roman" w:cs="Times New Roman" w:eastAsia="Times New Roman" w:hAnsi="Times New Roman"/>
          <w:sz w:val="22"/>
          <w:szCs w:val="22"/>
          <w:color w:val="231F20"/>
        </w:rPr>
      </w:pPr>
    </w:p>
    <w:p>
      <w:pPr>
        <w:ind w:left="320" w:hanging="320"/>
        <w:spacing w:after="0" w:line="271"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otherwise than by withholding by the Issuer or an applicable withholding agent from the payment;</w:t>
      </w:r>
    </w:p>
    <w:p>
      <w:pPr>
        <w:spacing w:after="0" w:line="198" w:lineRule="exact"/>
        <w:rPr>
          <w:rFonts w:ascii="Times New Roman" w:cs="Times New Roman" w:eastAsia="Times New Roman" w:hAnsi="Times New Roman"/>
          <w:sz w:val="22"/>
          <w:szCs w:val="22"/>
          <w:color w:val="231F20"/>
        </w:rPr>
      </w:pPr>
    </w:p>
    <w:p>
      <w:pPr>
        <w:jc w:val="both"/>
        <w:ind w:left="320" w:hanging="320"/>
        <w:spacing w:after="0" w:line="257"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99" w:lineRule="exact"/>
        <w:rPr>
          <w:rFonts w:ascii="Times New Roman" w:cs="Times New Roman" w:eastAsia="Times New Roman" w:hAnsi="Times New Roman"/>
          <w:sz w:val="22"/>
          <w:szCs w:val="22"/>
          <w:color w:val="231F20"/>
        </w:rPr>
      </w:pPr>
    </w:p>
    <w:p>
      <w:pPr>
        <w:ind w:left="320" w:hanging="320"/>
        <w:spacing w:after="0" w:line="271"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estate, inheritance, gift, sales, excise, transfer, wealth, capital gains or personal property tax or similar tax, assessment or other governmental charge or excise tax imposed on the transfer of Notes;</w:t>
      </w:r>
    </w:p>
    <w:p>
      <w:pPr>
        <w:spacing w:after="0" w:line="198" w:lineRule="exact"/>
        <w:rPr>
          <w:rFonts w:ascii="Times New Roman" w:cs="Times New Roman" w:eastAsia="Times New Roman" w:hAnsi="Times New Roman"/>
          <w:sz w:val="22"/>
          <w:szCs w:val="22"/>
          <w:color w:val="231F20"/>
        </w:rPr>
      </w:pPr>
    </w:p>
    <w:p>
      <w:pPr>
        <w:jc w:val="both"/>
        <w:ind w:left="320" w:hanging="320"/>
        <w:spacing w:after="0" w:line="257"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13" w:lineRule="exact"/>
        <w:rPr>
          <w:rFonts w:ascii="Times New Roman" w:cs="Times New Roman" w:eastAsia="Times New Roman" w:hAnsi="Times New Roman"/>
          <w:sz w:val="22"/>
          <w:szCs w:val="22"/>
          <w:color w:val="231F20"/>
        </w:rPr>
      </w:pPr>
    </w:p>
    <w:p>
      <w:pPr>
        <w:jc w:val="both"/>
        <w:ind w:left="320" w:hanging="320"/>
        <w:spacing w:after="0" w:line="252"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19" w:lineRule="exact"/>
        <w:rPr>
          <w:rFonts w:ascii="Times New Roman" w:cs="Times New Roman" w:eastAsia="Times New Roman" w:hAnsi="Times New Roman"/>
          <w:sz w:val="22"/>
          <w:szCs w:val="22"/>
          <w:color w:val="231F20"/>
        </w:rPr>
      </w:pPr>
    </w:p>
    <w:p>
      <w:pPr>
        <w:jc w:val="both"/>
        <w:ind w:left="320" w:hanging="320"/>
        <w:spacing w:after="0" w:line="252" w:lineRule="auto"/>
        <w:tabs>
          <w:tab w:leader="none" w:pos="31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06" w:lineRule="exact"/>
        <w:rPr>
          <w:rFonts w:ascii="Times New Roman" w:cs="Times New Roman" w:eastAsia="Times New Roman" w:hAnsi="Times New Roman"/>
          <w:sz w:val="22"/>
          <w:szCs w:val="22"/>
          <w:color w:val="231F20"/>
        </w:rPr>
      </w:pPr>
    </w:p>
    <w:p>
      <w:pPr>
        <w:jc w:val="both"/>
        <w:ind w:left="320" w:hanging="320"/>
        <w:spacing w:after="0" w:line="250" w:lineRule="auto"/>
        <w:tabs>
          <w:tab w:leader="none" w:pos="855" w:val="left"/>
        </w:tabs>
        <w:numPr>
          <w:ilvl w:val="0"/>
          <w:numId w:val="9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ectPr>
          <w:pgSz w:w="11900" w:h="16838" w:orient="portrait"/>
          <w:cols w:equalWidth="0" w:num="1">
            <w:col w:w="10800"/>
          </w:cols>
          <w:pgMar w:left="760" w:top="1440" w:right="339" w:bottom="1440" w:gutter="0" w:footer="0" w:header="0"/>
        </w:sectPr>
      </w:pPr>
    </w:p>
    <w:bookmarkStart w:id="165" w:name="page166"/>
    <w:bookmarkEnd w:id="165"/>
    <w:p>
      <w:pPr>
        <w:spacing w:after="0" w:line="225" w:lineRule="exact"/>
        <w:rPr>
          <w:sz w:val="20"/>
          <w:szCs w:val="20"/>
          <w:color w:val="auto"/>
        </w:rPr>
      </w:pPr>
    </w:p>
    <w:p>
      <w:pPr>
        <w:ind w:left="1300" w:hanging="860"/>
        <w:spacing w:after="0"/>
        <w:tabs>
          <w:tab w:leader="none" w:pos="1300" w:val="left"/>
        </w:tabs>
        <w:numPr>
          <w:ilvl w:val="0"/>
          <w:numId w:val="9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the case of any combination of items (1) through (10) above.</w:t>
      </w:r>
    </w:p>
    <w:p>
      <w:pPr>
        <w:spacing w:after="0" w:line="2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11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Redemption for Tax Reasons</w:t>
      </w:r>
    </w:p>
    <w:p>
      <w:pPr>
        <w:spacing w:after="0" w:line="1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the Issuer becomes or, based upon a written opinion of independent counsel selected by us,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No Mandatory Redemption or Sinking Fund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There will be no mandatory redemption prior to maturity or sinking fund payments for the Notes.</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Additional Debt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 Indenture does not limit the amount of debt the Issuer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The Issuer and the Guarantors have agreed to some restrictions on their activities for the benefit of holders of all series of the Notes issued under the Indenture. The restrictive covenants summarized below will apply, unless the covenants are waived or amended, so long as any of the Notes are outstanding.</w:t>
      </w:r>
    </w:p>
    <w:p>
      <w:pPr>
        <w:spacing w:after="0" w:line="200"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the Issuer’s subsidiaries from paying dividends or incurring additional debt. In addition, the Indenture will not protect holders of Notes issued under it in the event of a highly leveraged transaction or a change in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With respect to the Notes of each series, each Obligor will covenant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206"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as of the date of initial issuance of the Notes of such series;</w:t>
      </w:r>
    </w:p>
    <w:p>
      <w:pPr>
        <w:spacing w:after="0" w:line="246" w:lineRule="exact"/>
        <w:rPr>
          <w:rFonts w:ascii="Times New Roman" w:cs="Times New Roman" w:eastAsia="Times New Roman" w:hAnsi="Times New Roman"/>
          <w:sz w:val="22"/>
          <w:szCs w:val="22"/>
          <w:color w:val="auto"/>
        </w:rPr>
      </w:pPr>
    </w:p>
    <w:p>
      <w:pPr>
        <w:ind w:left="660" w:right="120" w:hanging="328"/>
        <w:spacing w:after="0" w:line="271" w:lineRule="auto"/>
        <w:tabs>
          <w:tab w:leader="none" w:pos="65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after the date of initial issuance of the Notes of such series, created in favor of the registered holders of the Notes of such series;</w:t>
      </w:r>
    </w:p>
    <w:p>
      <w:pPr>
        <w:spacing w:after="0" w:line="198" w:lineRule="exact"/>
        <w:rPr>
          <w:rFonts w:ascii="Times New Roman" w:cs="Times New Roman" w:eastAsia="Times New Roman" w:hAnsi="Times New Roman"/>
          <w:sz w:val="22"/>
          <w:szCs w:val="22"/>
          <w:color w:val="auto"/>
        </w:rPr>
      </w:pPr>
    </w:p>
    <w:p>
      <w:pPr>
        <w:ind w:left="660" w:hanging="328"/>
        <w:spacing w:after="0" w:line="250" w:lineRule="auto"/>
        <w:tabs>
          <w:tab w:leader="none" w:pos="65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20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47"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w:t>
      </w:r>
    </w:p>
    <w:p>
      <w:pPr>
        <w:sectPr>
          <w:pgSz w:w="11900" w:h="16838" w:orient="portrait"/>
          <w:cols w:equalWidth="0" w:num="1">
            <w:col w:w="11220"/>
          </w:cols>
          <w:pgMar w:left="320" w:top="1440" w:right="359" w:bottom="1440" w:gutter="0" w:footer="0" w:header="0"/>
        </w:sectPr>
      </w:pPr>
    </w:p>
    <w:bookmarkStart w:id="167" w:name="page168"/>
    <w:bookmarkEnd w:id="167"/>
    <w:p>
      <w:pPr>
        <w:ind w:right="60"/>
        <w:spacing w:after="0" w:line="250" w:lineRule="auto"/>
        <w:rPr>
          <w:sz w:val="20"/>
          <w:szCs w:val="20"/>
          <w:color w:val="auto"/>
        </w:rPr>
      </w:pPr>
      <w:r>
        <w:rPr>
          <w:rFonts w:ascii="Times New Roman" w:cs="Times New Roman" w:eastAsia="Times New Roman" w:hAnsi="Times New Roman"/>
          <w:sz w:val="22"/>
          <w:szCs w:val="22"/>
          <w:color w:val="auto"/>
        </w:rPr>
        <w:t>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ind w:right="380" w:firstLine="648"/>
        <w:spacing w:after="0" w:line="257" w:lineRule="auto"/>
        <w:rPr>
          <w:sz w:val="20"/>
          <w:szCs w:val="20"/>
          <w:color w:val="auto"/>
        </w:rPr>
      </w:pPr>
      <w:r>
        <w:rPr>
          <w:rFonts w:ascii="Times New Roman" w:cs="Times New Roman" w:eastAsia="Times New Roman" w:hAnsi="Times New Roman"/>
          <w:sz w:val="22"/>
          <w:szCs w:val="22"/>
          <w:color w:val="auto"/>
        </w:rPr>
        <w:t>With respect to the Notes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213"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entered into prior to the date of the initial issuance of the Notes of such series;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for the sale and leasing back to such Obligor of any Property by one of its Subsidiaries;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involves a lease for less than three years;</w:t>
      </w:r>
    </w:p>
    <w:p>
      <w:pPr>
        <w:spacing w:after="0" w:line="246" w:lineRule="exact"/>
        <w:rPr>
          <w:rFonts w:ascii="Times New Roman" w:cs="Times New Roman" w:eastAsia="Times New Roman" w:hAnsi="Times New Roman"/>
          <w:sz w:val="22"/>
          <w:szCs w:val="22"/>
          <w:color w:val="auto"/>
        </w:rPr>
      </w:pPr>
    </w:p>
    <w:p>
      <w:pPr>
        <w:ind w:left="660" w:right="200" w:hanging="328"/>
        <w:spacing w:after="0" w:line="275" w:lineRule="auto"/>
        <w:tabs>
          <w:tab w:leader="none" w:pos="65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195" w:lineRule="exact"/>
        <w:rPr>
          <w:rFonts w:ascii="Times New Roman" w:cs="Times New Roman" w:eastAsia="Times New Roman" w:hAnsi="Times New Roman"/>
          <w:sz w:val="21"/>
          <w:szCs w:val="21"/>
          <w:color w:val="auto"/>
        </w:rPr>
      </w:pPr>
    </w:p>
    <w:p>
      <w:pPr>
        <w:ind w:left="660" w:hanging="328"/>
        <w:spacing w:after="0" w:line="252" w:lineRule="auto"/>
        <w:tabs>
          <w:tab w:leader="none" w:pos="65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206"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Debt</w:t>
      </w:r>
      <w:r>
        <w:rPr>
          <w:rFonts w:ascii="Times New Roman" w:cs="Times New Roman" w:eastAsia="Times New Roman" w:hAnsi="Times New Roman"/>
          <w:sz w:val="22"/>
          <w:szCs w:val="22"/>
          <w:color w:val="auto"/>
        </w:rPr>
        <w:t>” means, with respect to an Obligor, the sum of the following as of the date of determination:</w:t>
      </w:r>
    </w:p>
    <w:p>
      <w:pPr>
        <w:sectPr>
          <w:pgSz w:w="11900" w:h="16838" w:orient="portrait"/>
          <w:cols w:equalWidth="0" w:num="1">
            <w:col w:w="11200"/>
          </w:cols>
          <w:pgMar w:left="320" w:top="1422" w:right="379" w:bottom="1440" w:gutter="0" w:footer="0" w:header="0"/>
        </w:sectPr>
      </w:pPr>
    </w:p>
    <w:bookmarkStart w:id="168" w:name="page169"/>
    <w:bookmarkEnd w:id="168"/>
    <w:p>
      <w:pPr>
        <w:ind w:right="200" w:firstLine="656"/>
        <w:spacing w:after="0" w:line="257" w:lineRule="auto"/>
        <w:tabs>
          <w:tab w:leader="none" w:pos="95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99" w:lineRule="exact"/>
        <w:rPr>
          <w:rFonts w:ascii="Times New Roman" w:cs="Times New Roman" w:eastAsia="Times New Roman" w:hAnsi="Times New Roman"/>
          <w:sz w:val="22"/>
          <w:szCs w:val="22"/>
          <w:color w:val="auto"/>
        </w:rPr>
      </w:pPr>
    </w:p>
    <w:p>
      <w:pPr>
        <w:ind w:right="60" w:firstLine="656"/>
        <w:spacing w:after="0" w:line="271" w:lineRule="auto"/>
        <w:tabs>
          <w:tab w:leader="none" w:pos="95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Obligor’s Attributable Liens in respect of sale and lease-back transactions entered into after the date of the initial issuance of the Notes pursuant to the last paragraph under “—Limitation on Sale and Lease-Back Transactions” above.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Liens</w:t>
      </w:r>
      <w:r>
        <w:rPr>
          <w:rFonts w:ascii="Times New Roman" w:cs="Times New Roman" w:eastAsia="Times New Roman" w:hAnsi="Times New Roman"/>
          <w:sz w:val="22"/>
          <w:szCs w:val="22"/>
          <w:color w:val="auto"/>
        </w:rPr>
        <w:t>” means in connection with a sale and lease-back transaction of an Obligor the lesser of:</w:t>
      </w:r>
    </w:p>
    <w:p>
      <w:pPr>
        <w:spacing w:after="0" w:line="251" w:lineRule="exact"/>
        <w:rPr>
          <w:sz w:val="20"/>
          <w:szCs w:val="20"/>
          <w:color w:val="auto"/>
        </w:rPr>
      </w:pPr>
    </w:p>
    <w:p>
      <w:pPr>
        <w:ind w:right="60" w:firstLine="656"/>
        <w:spacing w:after="0" w:line="271" w:lineRule="auto"/>
        <w:tabs>
          <w:tab w:leader="none" w:pos="95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84" w:lineRule="exact"/>
        <w:rPr>
          <w:rFonts w:ascii="Times New Roman" w:cs="Times New Roman" w:eastAsia="Times New Roman" w:hAnsi="Times New Roman"/>
          <w:sz w:val="22"/>
          <w:szCs w:val="22"/>
          <w:color w:val="auto"/>
        </w:rPr>
      </w:pPr>
    </w:p>
    <w:p>
      <w:pPr>
        <w:jc w:val="both"/>
        <w:ind w:right="160" w:firstLine="656"/>
        <w:spacing w:after="0" w:line="257" w:lineRule="auto"/>
        <w:tabs>
          <w:tab w:leader="none" w:pos="95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9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202"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Worth</w:t>
      </w:r>
      <w:r>
        <w:rPr>
          <w:rFonts w:ascii="Times New Roman" w:cs="Times New Roman" w:eastAsia="Times New Roman" w:hAnsi="Times New Roman"/>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9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Obligations</w:t>
      </w:r>
      <w:r>
        <w:rPr>
          <w:rFonts w:ascii="Times New Roman" w:cs="Times New Roman" w:eastAsia="Times New Roman" w:hAnsi="Times New Roman"/>
          <w:sz w:val="22"/>
          <w:szCs w:val="22"/>
          <w:color w:val="auto"/>
        </w:rPr>
        <w:t>” means, with respect to any specified Person, the obligations of such Person under:</w:t>
      </w:r>
    </w:p>
    <w:p>
      <w:pPr>
        <w:spacing w:after="0" w:line="251" w:lineRule="exact"/>
        <w:rPr>
          <w:sz w:val="20"/>
          <w:szCs w:val="20"/>
          <w:color w:val="auto"/>
        </w:rPr>
      </w:pPr>
    </w:p>
    <w:p>
      <w:pPr>
        <w:ind w:right="180" w:firstLine="656"/>
        <w:spacing w:after="0" w:line="271" w:lineRule="auto"/>
        <w:tabs>
          <w:tab w:leader="none" w:pos="95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interest rate lock agreements and interest rate collar agreements;</w:t>
      </w:r>
    </w:p>
    <w:p>
      <w:pPr>
        <w:sectPr>
          <w:pgSz w:w="11900" w:h="16838" w:orient="portrait"/>
          <w:cols w:equalWidth="0" w:num="1">
            <w:col w:w="11220"/>
          </w:cols>
          <w:pgMar w:left="320" w:top="1422" w:right="359" w:bottom="1440" w:gutter="0" w:footer="0" w:header="0"/>
        </w:sectPr>
      </w:pPr>
    </w:p>
    <w:bookmarkStart w:id="169" w:name="page170"/>
    <w:bookmarkEnd w:id="169"/>
    <w:p>
      <w:pPr>
        <w:ind w:left="960" w:hanging="304"/>
        <w:spacing w:after="0"/>
        <w:tabs>
          <w:tab w:leader="none" w:pos="9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w:t>
      </w:r>
    </w:p>
    <w:p>
      <w:pPr>
        <w:spacing w:after="0" w:line="246" w:lineRule="exact"/>
        <w:rPr>
          <w:rFonts w:ascii="Times New Roman" w:cs="Times New Roman" w:eastAsia="Times New Roman" w:hAnsi="Times New Roman"/>
          <w:sz w:val="22"/>
          <w:szCs w:val="22"/>
          <w:color w:val="auto"/>
        </w:rPr>
      </w:pPr>
    </w:p>
    <w:p>
      <w:pPr>
        <w:ind w:right="160" w:firstLine="656"/>
        <w:spacing w:after="0" w:line="271" w:lineRule="auto"/>
        <w:tabs>
          <w:tab w:leader="none" w:pos="95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or commodity prices; and</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equity prices.</w:t>
      </w:r>
    </w:p>
    <w:p>
      <w:pPr>
        <w:spacing w:after="0" w:line="24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207"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any lien, security interest, charge or encumbrance of any kind (including any conditional sale or other title retention agreement, any lease in the nature thereof, and any agreement to give any security interest).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Obligor</w:t>
      </w:r>
      <w:r>
        <w:rPr>
          <w:rFonts w:ascii="Times New Roman" w:cs="Times New Roman" w:eastAsia="Times New Roman" w:hAnsi="Times New Roman"/>
          <w:sz w:val="22"/>
          <w:szCs w:val="22"/>
          <w:color w:val="auto"/>
        </w:rPr>
        <w:t>” means each of the Issuer and each Guarantor.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with respect to an Obligor:</w:t>
      </w:r>
    </w:p>
    <w:p>
      <w:pPr>
        <w:spacing w:after="0" w:line="251" w:lineRule="exact"/>
        <w:rPr>
          <w:sz w:val="20"/>
          <w:szCs w:val="20"/>
          <w:color w:val="auto"/>
        </w:rPr>
      </w:pPr>
    </w:p>
    <w:p>
      <w:pPr>
        <w:ind w:right="440" w:firstLine="656"/>
        <w:spacing w:after="0" w:line="252" w:lineRule="auto"/>
        <w:tabs>
          <w:tab w:leader="none" w:pos="95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0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212" w:lineRule="exact"/>
        <w:rPr>
          <w:sz w:val="20"/>
          <w:szCs w:val="20"/>
          <w:color w:val="auto"/>
        </w:rPr>
      </w:pPr>
    </w:p>
    <w:p>
      <w:pPr>
        <w:ind w:right="300" w:firstLine="656"/>
        <w:spacing w:after="0" w:line="271" w:lineRule="auto"/>
        <w:tabs>
          <w:tab w:leader="none" w:pos="95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ectPr>
          <w:pgSz w:w="11900" w:h="16838" w:orient="portrait"/>
          <w:cols w:equalWidth="0" w:num="1">
            <w:col w:w="11180"/>
          </w:cols>
          <w:pgMar w:left="320" w:top="1422" w:right="399" w:bottom="1440" w:gutter="0" w:footer="0" w:header="0"/>
        </w:sectPr>
      </w:pPr>
    </w:p>
    <w:bookmarkStart w:id="170" w:name="page171"/>
    <w:bookmarkEnd w:id="170"/>
    <w:p>
      <w:pPr>
        <w:spacing w:after="0" w:line="225" w:lineRule="exact"/>
        <w:rPr>
          <w:sz w:val="20"/>
          <w:szCs w:val="20"/>
          <w:color w:val="auto"/>
        </w:rPr>
      </w:pPr>
    </w:p>
    <w:p>
      <w:pPr>
        <w:ind w:firstLine="656"/>
        <w:spacing w:after="0" w:line="271" w:lineRule="auto"/>
        <w:tabs>
          <w:tab w:leader="none" w:pos="9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contested in good faith by appropriate proceedings, provided that adequate reserves with respect thereto are maintained on such Obligor’s books in conformity with GAAP;</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products and proceeds thereof;</w:t>
      </w:r>
    </w:p>
    <w:p>
      <w:pPr>
        <w:spacing w:after="0" w:line="184" w:lineRule="exact"/>
        <w:rPr>
          <w:rFonts w:ascii="Times New Roman" w:cs="Times New Roman" w:eastAsia="Times New Roman" w:hAnsi="Times New Roman"/>
          <w:sz w:val="22"/>
          <w:szCs w:val="22"/>
          <w:color w:val="auto"/>
        </w:rPr>
      </w:pPr>
    </w:p>
    <w:p>
      <w:pPr>
        <w:ind w:right="140" w:firstLine="656"/>
        <w:spacing w:after="0" w:line="252" w:lineRule="auto"/>
        <w:tabs>
          <w:tab w:leader="none" w:pos="9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20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or any Guarantor;</w:t>
      </w:r>
    </w:p>
    <w:p>
      <w:pPr>
        <w:spacing w:after="0" w:line="246" w:lineRule="exact"/>
        <w:rPr>
          <w:rFonts w:ascii="Times New Roman" w:cs="Times New Roman" w:eastAsia="Times New Roman" w:hAnsi="Times New Roman"/>
          <w:sz w:val="22"/>
          <w:szCs w:val="22"/>
          <w:color w:val="auto"/>
        </w:rPr>
      </w:pPr>
    </w:p>
    <w:p>
      <w:pPr>
        <w:ind w:right="480" w:firstLine="656"/>
        <w:spacing w:after="0" w:line="257" w:lineRule="auto"/>
        <w:tabs>
          <w:tab w:leader="none" w:pos="9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99" w:lineRule="exact"/>
        <w:rPr>
          <w:rFonts w:ascii="Times New Roman" w:cs="Times New Roman" w:eastAsia="Times New Roman" w:hAnsi="Times New Roman"/>
          <w:sz w:val="22"/>
          <w:szCs w:val="22"/>
          <w:color w:val="auto"/>
        </w:rPr>
      </w:pPr>
    </w:p>
    <w:p>
      <w:pPr>
        <w:jc w:val="both"/>
        <w:ind w:right="300" w:firstLine="656"/>
        <w:spacing w:after="0" w:line="257" w:lineRule="auto"/>
        <w:tabs>
          <w:tab w:leader="none" w:pos="9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99" w:lineRule="exact"/>
        <w:rPr>
          <w:rFonts w:ascii="Times New Roman" w:cs="Times New Roman" w:eastAsia="Times New Roman" w:hAnsi="Times New Roman"/>
          <w:sz w:val="22"/>
          <w:szCs w:val="22"/>
          <w:color w:val="auto"/>
        </w:rPr>
      </w:pPr>
    </w:p>
    <w:p>
      <w:pPr>
        <w:ind w:firstLine="656"/>
        <w:spacing w:after="0" w:line="271" w:lineRule="auto"/>
        <w:tabs>
          <w:tab w:leader="none" w:pos="106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84" w:lineRule="exact"/>
        <w:rPr>
          <w:rFonts w:ascii="Times New Roman" w:cs="Times New Roman" w:eastAsia="Times New Roman" w:hAnsi="Times New Roman"/>
          <w:sz w:val="22"/>
          <w:szCs w:val="22"/>
          <w:color w:val="auto"/>
        </w:rPr>
      </w:pPr>
    </w:p>
    <w:p>
      <w:pPr>
        <w:ind w:right="60" w:firstLine="656"/>
        <w:spacing w:after="0" w:line="252" w:lineRule="auto"/>
        <w:tabs>
          <w:tab w:leader="none" w:pos="10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20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such Obligor’s statutory obligations in the ordinary course of its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22" w:lineRule="exact"/>
        <w:rPr>
          <w:rFonts w:ascii="Times New Roman" w:cs="Times New Roman" w:eastAsia="Times New Roman" w:hAnsi="Times New Roman"/>
          <w:sz w:val="22"/>
          <w:szCs w:val="22"/>
          <w:color w:val="auto"/>
        </w:rPr>
      </w:pPr>
    </w:p>
    <w:p>
      <w:pPr>
        <w:ind w:right="340" w:firstLine="656"/>
        <w:spacing w:after="0" w:line="254" w:lineRule="auto"/>
        <w:tabs>
          <w:tab w:leader="none" w:pos="106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(or in lieu of) surety, appeal or customs bonds in proceedings to which such Obligor is a party in the ordinary course of its business, but not in excess of $25,000,000;</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“margin stock” (as defined in Regulation U of the Board of Governors of the Federal Reserve System);</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25" w:lineRule="exact"/>
        <w:rPr>
          <w:sz w:val="20"/>
          <w:szCs w:val="20"/>
          <w:color w:val="auto"/>
        </w:rPr>
      </w:pPr>
    </w:p>
    <w:p>
      <w:pPr>
        <w:ind w:right="700" w:firstLine="656"/>
        <w:spacing w:after="0" w:line="271" w:lineRule="auto"/>
        <w:tabs>
          <w:tab w:leader="none" w:pos="106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sale and lease-back transactions, and any renewals or extensions thereof, so long as the Indebtedness secured thereby does not exceed $300,000,000 in the aggregate;</w:t>
      </w:r>
    </w:p>
    <w:p>
      <w:pPr>
        <w:spacing w:after="0" w:line="184" w:lineRule="exact"/>
        <w:rPr>
          <w:rFonts w:ascii="Times New Roman" w:cs="Times New Roman" w:eastAsia="Times New Roman" w:hAnsi="Times New Roman"/>
          <w:sz w:val="22"/>
          <w:szCs w:val="22"/>
          <w:color w:val="auto"/>
        </w:rPr>
      </w:pPr>
    </w:p>
    <w:p>
      <w:pPr>
        <w:ind w:right="540" w:firstLine="656"/>
        <w:spacing w:after="0" w:line="271" w:lineRule="auto"/>
        <w:tabs>
          <w:tab w:leader="none" w:pos="106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asset securitization transactions, so long as the aggregate outstanding principal amount of the obligations of all Obligors secured thereby does not exceed $300,000,000 at any one time;</w:t>
      </w:r>
    </w:p>
    <w:p>
      <w:pPr>
        <w:spacing w:after="0" w:line="184"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Specified Non-Recourse Debt;</w:t>
      </w:r>
    </w:p>
    <w:p>
      <w:pPr>
        <w:spacing w:after="0" w:line="246" w:lineRule="exact"/>
        <w:rPr>
          <w:rFonts w:ascii="Times New Roman" w:cs="Times New Roman" w:eastAsia="Times New Roman" w:hAnsi="Times New Roman"/>
          <w:sz w:val="22"/>
          <w:szCs w:val="22"/>
          <w:color w:val="auto"/>
        </w:rPr>
      </w:pPr>
    </w:p>
    <w:p>
      <w:pPr>
        <w:ind w:right="320" w:firstLine="656"/>
        <w:spacing w:after="0" w:line="252" w:lineRule="auto"/>
        <w:tabs>
          <w:tab w:leader="none" w:pos="106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0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Take-or-pay obligations arising in the ordinary course of business.</w:t>
      </w:r>
    </w:p>
    <w:p>
      <w:pPr>
        <w:spacing w:after="0" w:line="243"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 w:lineRule="exact"/>
        <w:rPr>
          <w:sz w:val="20"/>
          <w:szCs w:val="20"/>
          <w:color w:val="auto"/>
        </w:rPr>
      </w:pPr>
    </w:p>
    <w:p>
      <w:pPr>
        <w:ind w:right="6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means with respect to any Person any property or asset, whether real, personal or mixed, or tangible or intangible, including shares of capital stock.</w:t>
      </w:r>
    </w:p>
    <w:p>
      <w:pPr>
        <w:spacing w:after="0" w:line="205"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Non-Recourse Debt</w:t>
      </w:r>
      <w:r>
        <w:rPr>
          <w:rFonts w:ascii="Times New Roman" w:cs="Times New Roman" w:eastAsia="Times New Roman" w:hAnsi="Times New Roman"/>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The Issuer will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39" w:lineRule="exact"/>
        <w:rPr>
          <w:sz w:val="20"/>
          <w:szCs w:val="20"/>
          <w:color w:val="auto"/>
        </w:rPr>
      </w:pPr>
    </w:p>
    <w:p>
      <w:pPr>
        <w:ind w:left="660" w:right="20" w:hanging="328"/>
        <w:spacing w:after="0" w:line="252" w:lineRule="auto"/>
        <w:tabs>
          <w:tab w:leader="none" w:pos="6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219" w:lineRule="exact"/>
        <w:rPr>
          <w:rFonts w:ascii="Times New Roman" w:cs="Times New Roman" w:eastAsia="Times New Roman" w:hAnsi="Times New Roman"/>
          <w:sz w:val="22"/>
          <w:szCs w:val="22"/>
          <w:color w:val="auto"/>
        </w:rPr>
      </w:pPr>
    </w:p>
    <w:p>
      <w:pPr>
        <w:ind w:left="660" w:right="640" w:hanging="328"/>
        <w:spacing w:after="0" w:line="295" w:lineRule="auto"/>
        <w:tabs>
          <w:tab w:leader="none" w:pos="65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75" w:lineRule="exact"/>
        <w:rPr>
          <w:rFonts w:ascii="Times New Roman" w:cs="Times New Roman" w:eastAsia="Times New Roman" w:hAnsi="Times New Roman"/>
          <w:sz w:val="21"/>
          <w:szCs w:val="21"/>
          <w:color w:val="auto"/>
        </w:rPr>
      </w:pPr>
    </w:p>
    <w:p>
      <w:pPr>
        <w:ind w:left="660" w:right="180" w:hanging="328"/>
        <w:spacing w:after="0" w:line="271" w:lineRule="auto"/>
        <w:tabs>
          <w:tab w:leader="none" w:pos="6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transactions on a pro forma basis, no default has occurred and is continuing; and</w:t>
      </w:r>
    </w:p>
    <w:p>
      <w:pPr>
        <w:spacing w:after="0" w:line="198" w:lineRule="exact"/>
        <w:rPr>
          <w:rFonts w:ascii="Times New Roman" w:cs="Times New Roman" w:eastAsia="Times New Roman" w:hAnsi="Times New Roman"/>
          <w:sz w:val="22"/>
          <w:szCs w:val="22"/>
          <w:color w:val="auto"/>
        </w:rPr>
      </w:pPr>
    </w:p>
    <w:p>
      <w:pPr>
        <w:ind w:left="660" w:right="100" w:hanging="328"/>
        <w:spacing w:after="0" w:line="275" w:lineRule="auto"/>
        <w:tabs>
          <w:tab w:leader="none" w:pos="65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2"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restrictions in the third bullet above shall not be applicable to:</w:t>
      </w:r>
    </w:p>
    <w:p>
      <w:pPr>
        <w:spacing w:after="0" w:line="260" w:lineRule="exact"/>
        <w:rPr>
          <w:rFonts w:ascii="Times New Roman" w:cs="Times New Roman" w:eastAsia="Times New Roman" w:hAnsi="Times New Roman"/>
          <w:sz w:val="21"/>
          <w:szCs w:val="21"/>
          <w:color w:val="auto"/>
        </w:rPr>
      </w:pPr>
    </w:p>
    <w:p>
      <w:pPr>
        <w:jc w:val="both"/>
        <w:ind w:left="660" w:right="180" w:hanging="328"/>
        <w:spacing w:after="0" w:line="257" w:lineRule="auto"/>
        <w:tabs>
          <w:tab w:leader="none" w:pos="6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213" w:lineRule="exact"/>
        <w:rPr>
          <w:rFonts w:ascii="Times New Roman" w:cs="Times New Roman" w:eastAsia="Times New Roman" w:hAnsi="Times New Roman"/>
          <w:sz w:val="22"/>
          <w:szCs w:val="22"/>
          <w:color w:val="auto"/>
        </w:rPr>
      </w:pPr>
    </w:p>
    <w:p>
      <w:pPr>
        <w:ind w:left="660" w:hanging="328"/>
        <w:spacing w:after="0" w:line="252" w:lineRule="auto"/>
        <w:tabs>
          <w:tab w:leader="none" w:pos="6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208"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Existence. Except as permitted under “—Consolidation, Merger and Sale of Assets,” the Indenture requires the Issuer to do or cause to be done all things necessary to preserve and keep in full force and effect the Issuer’s existence, rights and franchises; provided, however, that the</w:t>
      </w:r>
    </w:p>
    <w:p>
      <w:pPr>
        <w:sectPr>
          <w:pgSz w:w="11900" w:h="16838" w:orient="portrait"/>
          <w:cols w:equalWidth="0" w:num="1">
            <w:col w:w="11220"/>
          </w:cols>
          <w:pgMar w:left="320" w:top="1440" w:right="359" w:bottom="1440" w:gutter="0" w:footer="0" w:header="0"/>
        </w:sectPr>
      </w:pPr>
    </w:p>
    <w:bookmarkStart w:id="173" w:name="page174"/>
    <w:bookmarkEnd w:id="173"/>
    <w:p>
      <w:pPr>
        <w:ind w:right="20"/>
        <w:spacing w:after="0" w:line="271" w:lineRule="auto"/>
        <w:rPr>
          <w:sz w:val="20"/>
          <w:szCs w:val="20"/>
          <w:color w:val="auto"/>
        </w:rPr>
      </w:pPr>
      <w:r>
        <w:rPr>
          <w:rFonts w:ascii="Times New Roman" w:cs="Times New Roman" w:eastAsia="Times New Roman" w:hAnsi="Times New Roman"/>
          <w:sz w:val="22"/>
          <w:szCs w:val="22"/>
          <w:color w:val="auto"/>
        </w:rPr>
        <w:t>Issuer shall not be required to preserve any right or franchise if the Issuer determines that its preservation is no longer desirable in the conduct of business.</w:t>
      </w:r>
    </w:p>
    <w:p>
      <w:pPr>
        <w:spacing w:after="0" w:line="185"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Information. The Issuer will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Issuer, the Guarantors and the Trustee may amend or modify the Indenture or the Notes of any series without notice to or the consent of any holder in order to:</w:t>
      </w:r>
    </w:p>
    <w:p>
      <w:pPr>
        <w:spacing w:after="0" w:line="198" w:lineRule="exact"/>
        <w:rPr>
          <w:sz w:val="20"/>
          <w:szCs w:val="20"/>
          <w:color w:val="auto"/>
        </w:rPr>
      </w:pPr>
    </w:p>
    <w:p>
      <w:pPr>
        <w:ind w:left="660" w:right="100" w:hanging="328"/>
        <w:spacing w:after="0" w:line="271" w:lineRule="auto"/>
        <w:tabs>
          <w:tab w:leader="none" w:pos="65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ambiguities, omissions, defects or inconsistencies in the Indenture in a manner that does not adversely affect the interests of the holders in any material respect;</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would provide any additional rights or benefits to the holders of the Notes;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or add guarantors with respect to the Notes;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of any series;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form or terms of Notes of any series;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and provide for the acceptance of appointment by a successor trustee;</w:t>
      </w:r>
    </w:p>
    <w:p>
      <w:pPr>
        <w:spacing w:after="0" w:line="260" w:lineRule="exact"/>
        <w:rPr>
          <w:rFonts w:ascii="Times New Roman" w:cs="Times New Roman" w:eastAsia="Times New Roman" w:hAnsi="Times New Roman"/>
          <w:sz w:val="22"/>
          <w:szCs w:val="22"/>
          <w:color w:val="auto"/>
        </w:rPr>
      </w:pPr>
    </w:p>
    <w:p>
      <w:pPr>
        <w:ind w:left="660" w:right="960" w:hanging="328"/>
        <w:spacing w:after="0" w:line="271" w:lineRule="auto"/>
        <w:tabs>
          <w:tab w:leader="none" w:pos="65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the Issuer’s successor, if any, to the Issuer’s or their obligations to holders of any outstanding Notes in compliance with the applicable provisions of the Indenture;</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the Indenture under the Trust Indenture Act;</w:t>
      </w:r>
    </w:p>
    <w:p>
      <w:pPr>
        <w:spacing w:after="0" w:line="260" w:lineRule="exact"/>
        <w:rPr>
          <w:rFonts w:ascii="Times New Roman" w:cs="Times New Roman" w:eastAsia="Times New Roman" w:hAnsi="Times New Roman"/>
          <w:sz w:val="22"/>
          <w:szCs w:val="22"/>
          <w:color w:val="auto"/>
        </w:rPr>
      </w:pPr>
    </w:p>
    <w:p>
      <w:pPr>
        <w:ind w:left="660" w:right="400" w:hanging="328"/>
        <w:spacing w:after="0" w:line="295" w:lineRule="auto"/>
        <w:tabs>
          <w:tab w:leader="none" w:pos="65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conform any provision in the Indenture or the terms of the securities of any series to the prospectus, offering memorandum, offering circular or any other document pursuant to which the securities of such series were offered; or</w:t>
      </w:r>
    </w:p>
    <w:p>
      <w:pPr>
        <w:sectPr>
          <w:pgSz w:w="11900" w:h="16838" w:orient="portrait"/>
          <w:cols w:equalWidth="0" w:num="1">
            <w:col w:w="11240"/>
          </w:cols>
          <w:pgMar w:left="320" w:top="1422" w:right="339" w:bottom="1440" w:gutter="0" w:footer="0" w:header="0"/>
        </w:sectPr>
      </w:pPr>
    </w:p>
    <w:bookmarkStart w:id="174" w:name="page175"/>
    <w:bookmarkEnd w:id="174"/>
    <w:p>
      <w:pPr>
        <w:ind w:left="660" w:hanging="328"/>
        <w:spacing w:after="0"/>
        <w:tabs>
          <w:tab w:leader="none" w:pos="6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w:t>
      </w:r>
    </w:p>
    <w:p>
      <w:pPr>
        <w:spacing w:after="0" w:line="247"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226" w:lineRule="exact"/>
        <w:rPr>
          <w:sz w:val="20"/>
          <w:szCs w:val="20"/>
          <w:color w:val="auto"/>
        </w:rPr>
      </w:pPr>
    </w:p>
    <w:p>
      <w:pPr>
        <w:ind w:left="660" w:right="440" w:hanging="328"/>
        <w:spacing w:after="0" w:line="271" w:lineRule="auto"/>
        <w:tabs>
          <w:tab w:leader="none" w:pos="65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or extend the fixed maturity, of the Notes of such series or alter or waive the redemption provisions of the Notes of such series;</w:t>
      </w:r>
    </w:p>
    <w:p>
      <w:pPr>
        <w:spacing w:after="0" w:line="198" w:lineRule="exact"/>
        <w:rPr>
          <w:rFonts w:ascii="Times New Roman" w:cs="Times New Roman" w:eastAsia="Times New Roman" w:hAnsi="Times New Roman"/>
          <w:sz w:val="22"/>
          <w:szCs w:val="22"/>
          <w:color w:val="auto"/>
        </w:rPr>
      </w:pPr>
    </w:p>
    <w:p>
      <w:pPr>
        <w:ind w:left="660" w:right="200" w:hanging="328"/>
        <w:spacing w:after="0" w:line="271" w:lineRule="auto"/>
        <w:tabs>
          <w:tab w:leader="none" w:pos="65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of the Notes of such series to receive payment of principal or interest on the Notes of such series on and after the due dates for such principal or interest;</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60" w:lineRule="exact"/>
        <w:rPr>
          <w:rFonts w:ascii="Times New Roman" w:cs="Times New Roman" w:eastAsia="Times New Roman" w:hAnsi="Times New Roman"/>
          <w:sz w:val="22"/>
          <w:szCs w:val="22"/>
          <w:color w:val="auto"/>
        </w:rPr>
      </w:pPr>
    </w:p>
    <w:p>
      <w:pPr>
        <w:ind w:left="660" w:right="520" w:hanging="328"/>
        <w:spacing w:after="0" w:line="271" w:lineRule="auto"/>
        <w:tabs>
          <w:tab w:leader="none" w:pos="65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such series which must consent to an amendment, supplement or waiver or consent to take any action;</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 of such series;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of such series;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 of such series; or</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such series.</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ectPr>
          <w:pgSz w:w="11900" w:h="16838" w:orient="portrait"/>
          <w:cols w:equalWidth="0" w:num="1">
            <w:col w:w="11240"/>
          </w:cols>
          <w:pgMar w:left="320" w:top="1422"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will constitute an event of default in the Indenture with respect to the Notes of any series:</w:t>
      </w:r>
    </w:p>
    <w:p>
      <w:pPr>
        <w:spacing w:after="0" w:line="247" w:lineRule="exact"/>
        <w:rPr>
          <w:sz w:val="20"/>
          <w:szCs w:val="20"/>
          <w:color w:val="auto"/>
        </w:rPr>
      </w:pPr>
    </w:p>
    <w:p>
      <w:pPr>
        <w:ind w:left="660" w:right="400" w:hanging="328"/>
        <w:spacing w:after="0" w:line="271" w:lineRule="auto"/>
        <w:tabs>
          <w:tab w:leader="none" w:pos="63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of such series when it becomes due and the default continues for a period of 30 days or more;</w:t>
      </w:r>
    </w:p>
    <w:p>
      <w:pPr>
        <w:spacing w:after="0" w:line="184"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on the Notes of such series when due;</w:t>
      </w:r>
    </w:p>
    <w:p>
      <w:pPr>
        <w:spacing w:after="0" w:line="246" w:lineRule="exact"/>
        <w:rPr>
          <w:rFonts w:ascii="Times New Roman" w:cs="Times New Roman" w:eastAsia="Times New Roman" w:hAnsi="Times New Roman"/>
          <w:sz w:val="22"/>
          <w:szCs w:val="22"/>
          <w:color w:val="auto"/>
        </w:rPr>
      </w:pPr>
    </w:p>
    <w:p>
      <w:pPr>
        <w:ind w:left="660" w:hanging="328"/>
        <w:spacing w:after="0" w:line="250" w:lineRule="auto"/>
        <w:tabs>
          <w:tab w:leader="none" w:pos="63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207" w:lineRule="exact"/>
        <w:rPr>
          <w:rFonts w:ascii="Times New Roman" w:cs="Times New Roman" w:eastAsia="Times New Roman" w:hAnsi="Times New Roman"/>
          <w:sz w:val="22"/>
          <w:szCs w:val="22"/>
          <w:color w:val="auto"/>
        </w:rPr>
      </w:pPr>
    </w:p>
    <w:p>
      <w:pPr>
        <w:ind w:left="660" w:right="200" w:hanging="328"/>
        <w:spacing w:after="0" w:line="271" w:lineRule="auto"/>
        <w:tabs>
          <w:tab w:leader="none" w:pos="64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the Issuer or any Obligor have occurred; or</w:t>
      </w:r>
    </w:p>
    <w:p>
      <w:pPr>
        <w:spacing w:after="0" w:line="184"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shall not be (or shall be claimed by the relevant Guarantor not to be) in full force and effect.</w:t>
      </w:r>
    </w:p>
    <w:p>
      <w:pPr>
        <w:spacing w:after="0" w:line="24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20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200"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w:t>
      </w:r>
    </w:p>
    <w:p>
      <w:pPr>
        <w:sectPr>
          <w:pgSz w:w="11900" w:h="16838" w:orient="portrait"/>
          <w:cols w:equalWidth="0" w:num="1">
            <w:col w:w="11220"/>
          </w:cols>
          <w:pgMar w:left="320" w:top="1418"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compensation, expenses, disbursements and advances of the Trustee and its agents and counsel have been paid.</w:t>
      </w:r>
    </w:p>
    <w:p>
      <w:pPr>
        <w:spacing w:after="0" w:line="24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 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20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212"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9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06"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The Issuer is required to furnish to the Trustee an annual statement as to compliance with all conditions and covenants under the Indenture within 120 days of the end of each fiscal year.</w:t>
      </w:r>
    </w:p>
    <w:p>
      <w:pPr>
        <w:sectPr>
          <w:pgSz w:w="11900" w:h="16838" w:orient="portrait"/>
          <w:cols w:equalWidth="0" w:num="1">
            <w:col w:w="11220"/>
          </w:cols>
          <w:pgMar w:left="320" w:top="1422" w:right="35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2002 DEFERRED COMPENSATION PLAN</w:t>
      </w:r>
    </w:p>
    <w:p>
      <w:pPr>
        <w:spacing w:after="0" w:line="192" w:lineRule="exact"/>
        <w:rPr>
          <w:sz w:val="20"/>
          <w:szCs w:val="20"/>
          <w:color w:val="auto"/>
        </w:rPr>
      </w:pPr>
    </w:p>
    <w:p>
      <w:pPr>
        <w:ind w:left="1620" w:right="3820" w:firstLine="2197"/>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1 – COVERAGE OF PLAN </w:t>
      </w: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Background, Continuation and Freeze of Plan</w:t>
      </w:r>
      <w:r>
        <w:rPr>
          <w:rFonts w:ascii="Times New Roman" w:cs="Times New Roman" w:eastAsia="Times New Roman" w:hAnsi="Times New Roman"/>
          <w:sz w:val="22"/>
          <w:szCs w:val="22"/>
          <w:color w:val="auto"/>
        </w:rPr>
        <w:t>.</w:t>
      </w:r>
    </w:p>
    <w:p>
      <w:pPr>
        <w:ind w:right="20" w:firstLine="1952"/>
        <w:spacing w:after="0" w:line="248" w:lineRule="auto"/>
        <w:tabs>
          <w:tab w:leader="none" w:pos="24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Corporation, a Pennsylvania corporation, hereby amends and restates the Comcast Corporation 2002 Deferred Compensation Plan (the “Plan”), effective October 22, 2020. The Plan was initially adopted effective February 12, 1974 and was amended and restated effective August 15, 1996, June 21, 1999, December 19, 2000, October 26, 2001, April 29, 2002, July 9, 2002, November 18, 2002, March 3, 2003, December 1, 2003, January 30, 2004, February 24, 2004, February 16, 2005, December 5, 2006, January 1, 2008 and February 10, 2009. The amendments to the Plan made pursuant to this amendment and restatement of the Plan are not intended to result in a material modification of the Plan within the meaning of Treasury Regulation §1.409A-6(a)(4).</w:t>
      </w:r>
    </w:p>
    <w:p>
      <w:pPr>
        <w:spacing w:after="0" w:line="181" w:lineRule="exact"/>
        <w:rPr>
          <w:rFonts w:ascii="Times New Roman" w:cs="Times New Roman" w:eastAsia="Times New Roman" w:hAnsi="Times New Roman"/>
          <w:sz w:val="22"/>
          <w:szCs w:val="22"/>
          <w:color w:val="auto"/>
        </w:rPr>
      </w:pPr>
    </w:p>
    <w:p>
      <w:pPr>
        <w:ind w:right="40" w:firstLine="1952"/>
        <w:spacing w:after="0" w:line="248" w:lineRule="auto"/>
        <w:tabs>
          <w:tab w:leader="none" w:pos="241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preserve the favorable tax treatment available to deferrals that were made under the Plan before January 1, 2005 in light of the American Jobs Creation Act of 2004 and the regulations issued by the Department of the Treasury thereunder (the “</w:t>
      </w:r>
      <w:r>
        <w:rPr>
          <w:rFonts w:ascii="Times New Roman" w:cs="Times New Roman" w:eastAsia="Times New Roman" w:hAnsi="Times New Roman"/>
          <w:sz w:val="22"/>
          <w:szCs w:val="22"/>
          <w:u w:val="single" w:color="auto"/>
          <w:color w:val="auto"/>
        </w:rPr>
        <w:t>AJCA</w:t>
      </w:r>
      <w:r>
        <w:rPr>
          <w:rFonts w:ascii="Times New Roman" w:cs="Times New Roman" w:eastAsia="Times New Roman" w:hAnsi="Times New Roman"/>
          <w:sz w:val="22"/>
          <w:szCs w:val="22"/>
          <w:color w:val="auto"/>
        </w:rPr>
        <w:t xml:space="preserve">”), no Compensation may be deferred under the Plan pursuant to an Initial Election after December 31, 2004, other than amounts that (i) were subject to an Initial Election before January 1, 2005, (ii) would, but for such Initial Election, have been paid in 2005 and (iii) are treated as earned and vested as of December 31, 2004 under </w:t>
      </w:r>
      <w:r>
        <w:rPr>
          <w:rFonts w:ascii="Times New Roman" w:cs="Times New Roman" w:eastAsia="Times New Roman" w:hAnsi="Times New Roman"/>
          <w:sz w:val="22"/>
          <w:szCs w:val="22"/>
          <w:i w:val="1"/>
          <w:iCs w:val="1"/>
          <w:color w:val="auto"/>
        </w:rPr>
        <w:t>IRS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2005-1</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firstLine="1952"/>
        <w:spacing w:after="0" w:line="245" w:lineRule="auto"/>
        <w:tabs>
          <w:tab w:leader="none" w:pos="23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maintained the Comcast Corporation Supplemental Retirement-Investment Plan (the “Supplemental RIP”), a non-qualified deferred compensation plan pursuant to which eligible employees have been credited with certain account balances that are credited with earnings at the same rate as the earnings rate for active participants in the Plan. Credits to the Supplemental RIP are frozen. Distributions of participants’ account balances credited under the Supplemental RIP are distributable as soon as administratively practicable following a participant’s termination of employment. Effective as of December 5, 2006, the Supplemental RIP is merged with and into the Plan and the separate existence of the Supplemental RIP shall cease, and all undistributed participants’ accounts that had previously been administered pursuant to the Supplemental RIP (hereinafter referred to as “Supplemental RIP Legacy Accounts”) shall be held under the Plan. Supplemental RIP Legacy Accounts shall be subject only to the provisions of this Section 1.1(c) and the other provisions of this Article 1, Section 4.4, Section 5.3, Section 5.4, Article 6, Section 7.2, Article 9, Article 10, Article 11, Article 12 and such portions of Article 2 of the Plan as shall be integral to the interpretation and operation of the Plan provisions listed above. An individual whose Supplemental RIP Legacy Account is held under the Plan as a result of the merger of the Supplemental RIP with and into the Plan shall be a participant in the Plan only for purposes of the Supplemental RIP Legacy Account, unless such individual is otherwise eligible to participate in the Plan and an Account under the Plan has been established for such individual’s benefit. Except for earnings credits, no amounts shall be credited to Supplemental RIP Legacy Accounts administered under the Plan. Except for earnings credited to Supplemental RIP Legacy</w:t>
      </w:r>
    </w:p>
    <w:p>
      <w:pPr>
        <w:sectPr>
          <w:pgSz w:w="11900" w:h="16838" w:orient="portrait"/>
          <w:cols w:equalWidth="0" w:num="1">
            <w:col w:w="11240"/>
          </w:cols>
          <w:pgMar w:left="320" w:top="122" w:right="339" w:bottom="1440" w:gutter="0" w:footer="0" w:header="0"/>
        </w:sectPr>
      </w:pPr>
    </w:p>
    <w:bookmarkStart w:id="178" w:name="page179"/>
    <w:bookmarkEnd w:id="178"/>
    <w:p>
      <w:pPr>
        <w:ind w:right="280"/>
        <w:spacing w:after="0" w:line="257" w:lineRule="auto"/>
        <w:rPr>
          <w:sz w:val="20"/>
          <w:szCs w:val="20"/>
          <w:color w:val="auto"/>
        </w:rPr>
      </w:pPr>
      <w:r>
        <w:rPr>
          <w:rFonts w:ascii="Times New Roman" w:cs="Times New Roman" w:eastAsia="Times New Roman" w:hAnsi="Times New Roman"/>
          <w:sz w:val="22"/>
          <w:szCs w:val="22"/>
          <w:color w:val="auto"/>
        </w:rPr>
        <w:t>Accounts after 2004, Supplemental RIP Legacy Accounts consist solely of deferred compensation credits that were earned and vested before January 1, 2005. Accordingly, Supplemental RIP Legacy Accounts are intended to be treated as grandfathered benefits that are not subject to the AJCA.</w:t>
      </w:r>
    </w:p>
    <w:p>
      <w:pPr>
        <w:spacing w:after="0" w:line="173" w:lineRule="exact"/>
        <w:rPr>
          <w:sz w:val="20"/>
          <w:szCs w:val="20"/>
          <w:color w:val="auto"/>
        </w:rPr>
      </w:pPr>
    </w:p>
    <w:p>
      <w:pPr>
        <w:ind w:firstLine="1952"/>
        <w:spacing w:after="0" w:line="244" w:lineRule="auto"/>
        <w:tabs>
          <w:tab w:leader="none" w:pos="240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Times New Roman" w:cs="Times New Roman" w:eastAsia="Times New Roman" w:hAnsi="Times New Roman"/>
          <w:sz w:val="22"/>
          <w:szCs w:val="22"/>
          <w:i w:val="1"/>
          <w:iCs w:val="1"/>
          <w:color w:val="auto"/>
        </w:rPr>
        <w:t>IRS Notice 2005-1</w:t>
      </w:r>
      <w:r>
        <w:rPr>
          <w:rFonts w:ascii="Times New Roman" w:cs="Times New Roman" w:eastAsia="Times New Roman" w:hAnsi="Times New Roman"/>
          <w:sz w:val="22"/>
          <w:szCs w:val="22"/>
          <w:color w:val="auto"/>
        </w:rPr>
        <w:t xml:space="preserve"> (the “E! Grandfathered Accounts”), the rules of the E! Plan, as amended and restated, effective May 26, 2004 apply. Effective as of January 1, 2008, that portion of the E! Plan that includes the E! Grandfathered Accounts (the “E! Grandfathered Plan”) is merged with and into the Plan and the separate existence of the E! Grandfathered Plan shall cease, and all E! Grandfathered Accounts that had previously been administered pursuant to the E! Grandfathered Plan shall be held under the Plan. E! Grandfathered Accounts shall continue to be subject to the rules of the E! Grandfathered Plan (to the limited extent such rules may be inconsistent with the rules of the Plan) and the merger of the E! Grandfathered Plan with and into the Plan is not intended, in form or operation, to constitute a “material modification” of E! Grandfathered Account, nor to provide any additional benefit, right or feature with respect to E! Grandfathered Accounts. An individual whose E! Grandfathered Account is held under the Plan as a result of the merger of the E! Grandfathered Plan with and into the Plan shall be a participant in the Plan only for purposes of the E! Grandfathered Account. Except for earnings credits, no amounts shall be credited to E! Grandfathered Accounts administered under the Plan. Except for earnings credited with respect to E! Grandfathered Accounts after 2004, E! Grandfathered Accounts consist solely of deferred compensation credits that were earned and vested before January 1, 2005. Accordingly, E! Grandfathered Accounts are intended to be treated as grandfathered benefits that are not subject to the AJCA.</w:t>
      </w:r>
    </w:p>
    <w:p>
      <w:pPr>
        <w:spacing w:after="0" w:line="203"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earned and vested prior to January 1, 2005 are and will remain subject to the terms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of the Plan.</w:t>
      </w:r>
    </w:p>
    <w:p>
      <w:pPr>
        <w:spacing w:after="0" w:line="196"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Plan Unfunded and Limited to Outside Directors and Select Group of Management or Highly Compensated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Employees</w:t>
      </w:r>
      <w:r>
        <w:rPr>
          <w:rFonts w:ascii="Times New Roman" w:cs="Times New Roman" w:eastAsia="Times New Roman" w:hAnsi="Times New Roman"/>
          <w:sz w:val="22"/>
          <w:szCs w:val="22"/>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ARTICLE 2 – DEFINITIONS</w:t>
      </w:r>
    </w:p>
    <w:p>
      <w:pPr>
        <w:spacing w:after="0" w:line="224" w:lineRule="exact"/>
        <w:rPr>
          <w:sz w:val="20"/>
          <w:szCs w:val="20"/>
          <w:color w:val="auto"/>
        </w:rPr>
      </w:pPr>
    </w:p>
    <w:p>
      <w:pPr>
        <w:ind w:right="340" w:firstLine="1296"/>
        <w:spacing w:after="0" w:line="257"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79" w:name="page180"/>
    <w:bookmarkEnd w:id="179"/>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Active Participant</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left="2400" w:hanging="448"/>
        <w:spacing w:after="0"/>
        <w:tabs>
          <w:tab w:leader="none" w:pos="24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who is in active service as an Outside Director; and</w:t>
      </w:r>
    </w:p>
    <w:p>
      <w:pPr>
        <w:spacing w:after="0" w:line="219" w:lineRule="exact"/>
        <w:rPr>
          <w:rFonts w:ascii="Times New Roman" w:cs="Times New Roman" w:eastAsia="Times New Roman" w:hAnsi="Times New Roman"/>
          <w:sz w:val="22"/>
          <w:szCs w:val="22"/>
          <w:color w:val="auto"/>
        </w:rPr>
      </w:pPr>
    </w:p>
    <w:p>
      <w:pPr>
        <w:ind w:left="1300" w:right="400" w:firstLine="652"/>
        <w:spacing w:after="0" w:line="448" w:lineRule="auto"/>
        <w:tabs>
          <w:tab w:leader="none" w:pos="241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who is actively employed by a Participating Company as an Eligible Employee. 2.3.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Committee.</w:t>
      </w:r>
    </w:p>
    <w:p>
      <w:pPr>
        <w:spacing w:after="0" w:line="1"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1" w:lineRule="exact"/>
        <w:rPr>
          <w:sz w:val="20"/>
          <w:szCs w:val="20"/>
          <w:color w:val="auto"/>
        </w:rPr>
      </w:pPr>
    </w:p>
    <w:p>
      <w:pPr>
        <w:ind w:right="620" w:firstLine="1296"/>
        <w:spacing w:after="0" w:line="271"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Annual Rate of Pay</w:t>
      </w:r>
      <w:r>
        <w:rPr>
          <w:rFonts w:ascii="Times New Roman" w:cs="Times New Roman" w:eastAsia="Times New Roman" w:hAnsi="Times New Roman"/>
          <w:sz w:val="22"/>
          <w:szCs w:val="22"/>
          <w:color w:val="auto"/>
        </w:rPr>
        <w:t>” means, as of any date, an employee’s annualized base pay rate. An employee’s Annual Rate of Pay shall not include sales commissions or other similar payments or awards.</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Interest Rate</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left="2400" w:hanging="448"/>
        <w:spacing w:after="0"/>
        <w:tabs>
          <w:tab w:leader="none" w:pos="24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Sections 2.6(b) or (c), the Applicable Interest Rate means:</w:t>
      </w:r>
    </w:p>
    <w:p>
      <w:pPr>
        <w:spacing w:after="0" w:line="219" w:lineRule="exact"/>
        <w:rPr>
          <w:rFonts w:ascii="Times New Roman" w:cs="Times New Roman" w:eastAsia="Times New Roman" w:hAnsi="Times New Roman"/>
          <w:sz w:val="22"/>
          <w:szCs w:val="22"/>
          <w:color w:val="auto"/>
        </w:rPr>
      </w:pPr>
    </w:p>
    <w:p>
      <w:pPr>
        <w:ind w:firstLine="2600"/>
        <w:spacing w:after="0" w:line="257" w:lineRule="auto"/>
        <w:tabs>
          <w:tab w:leader="none" w:pos="301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amounts subject to a Subsequent Election filed before January 1, 2021, the interest rate that, when compounded daily pursuant to rules established by the Administrator from time to time, is mathematically equivalent to 12% per annum, compounded annually; and</w:t>
      </w:r>
    </w:p>
    <w:p>
      <w:pPr>
        <w:spacing w:after="0" w:line="172" w:lineRule="exact"/>
        <w:rPr>
          <w:rFonts w:ascii="Times New Roman" w:cs="Times New Roman" w:eastAsia="Times New Roman" w:hAnsi="Times New Roman"/>
          <w:sz w:val="22"/>
          <w:szCs w:val="22"/>
          <w:color w:val="auto"/>
        </w:rPr>
      </w:pPr>
    </w:p>
    <w:p>
      <w:pPr>
        <w:ind w:firstLine="2600"/>
        <w:spacing w:after="0" w:line="257" w:lineRule="auto"/>
        <w:tabs>
          <w:tab w:leader="none" w:pos="307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amounts subject to a Subsequent Election filed after December 31, 2020, the interest rate that, when compounded daily pursuant to rules established by the Administrator from time to time, is mathematically equivalent to 9% per annum, compounded annually.</w:t>
      </w:r>
    </w:p>
    <w:p>
      <w:pPr>
        <w:spacing w:after="0" w:line="172" w:lineRule="exact"/>
        <w:rPr>
          <w:rFonts w:ascii="Times New Roman" w:cs="Times New Roman" w:eastAsia="Times New Roman" w:hAnsi="Times New Roman"/>
          <w:sz w:val="22"/>
          <w:szCs w:val="22"/>
          <w:color w:val="auto"/>
        </w:rPr>
      </w:pPr>
    </w:p>
    <w:p>
      <w:pPr>
        <w:ind w:right="180" w:firstLine="1952"/>
        <w:spacing w:after="0" w:line="248" w:lineRule="auto"/>
        <w:tabs>
          <w:tab w:leader="none" w:pos="241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or Transition of Service</w:t>
      </w:r>
      <w:r>
        <w:rPr>
          <w:rFonts w:ascii="Times New Roman" w:cs="Times New Roman" w:eastAsia="Times New Roman" w:hAnsi="Times New Roman"/>
          <w:sz w:val="22"/>
          <w:szCs w:val="22"/>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2.6(a) or (y) the Prime Rate plus one percent. A Participant’s re-employment by a Participating Company following an employment termination date shall not affect the Applicable Interest Rate that applies to the part of the Participant’s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180" w:name="page181"/>
    <w:bookmarkEnd w:id="180"/>
    <w:p>
      <w:pPr>
        <w:ind w:right="480"/>
        <w:spacing w:after="0" w:line="252" w:lineRule="auto"/>
        <w:rPr>
          <w:sz w:val="20"/>
          <w:szCs w:val="20"/>
          <w:color w:val="auto"/>
        </w:rPr>
      </w:pPr>
      <w:r>
        <w:rPr>
          <w:rFonts w:ascii="Times New Roman" w:cs="Times New Roman" w:eastAsia="Times New Roman" w:hAnsi="Times New Roman"/>
          <w:sz w:val="22"/>
          <w:szCs w:val="22"/>
          <w:color w:val="auto"/>
        </w:rPr>
        <w:t>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79" w:lineRule="exact"/>
        <w:rPr>
          <w:sz w:val="20"/>
          <w:szCs w:val="20"/>
          <w:color w:val="auto"/>
        </w:rPr>
      </w:pPr>
    </w:p>
    <w:p>
      <w:pPr>
        <w:jc w:val="both"/>
        <w:ind w:right="200" w:firstLine="1952"/>
        <w:spacing w:after="0" w:line="262" w:lineRule="auto"/>
        <w:tabs>
          <w:tab w:leader="none" w:pos="240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w:t>
      </w:r>
    </w:p>
    <w:p>
      <w:pPr>
        <w:spacing w:after="0" w:line="2" w:lineRule="exact"/>
        <w:rPr>
          <w:rFonts w:ascii="Times New Roman" w:cs="Times New Roman" w:eastAsia="Times New Roman" w:hAnsi="Times New Roman"/>
          <w:sz w:val="21"/>
          <w:szCs w:val="21"/>
          <w:color w:val="auto"/>
        </w:rPr>
      </w:pPr>
    </w:p>
    <w:p>
      <w:pPr>
        <w:ind w:right="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Notwithstanding the foregoing, the Administrator may delegate its authority to determine the Applicable Interest Rate under this Section 2.6(c) to an officer of the Company.</w:t>
      </w:r>
    </w:p>
    <w:p>
      <w:pPr>
        <w:spacing w:after="0" w:line="182" w:lineRule="exact"/>
        <w:rPr>
          <w:sz w:val="20"/>
          <w:szCs w:val="20"/>
          <w:color w:val="auto"/>
        </w:rPr>
      </w:pPr>
    </w:p>
    <w:p>
      <w:pPr>
        <w:ind w:right="120" w:firstLine="1296"/>
        <w:spacing w:after="0" w:line="248"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CCCHI</w:t>
      </w:r>
      <w:r>
        <w:rPr>
          <w:rFonts w:ascii="Times New Roman" w:cs="Times New Roman" w:eastAsia="Times New Roman" w:hAnsi="Times New Roman"/>
          <w:sz w:val="21"/>
          <w:szCs w:val="21"/>
          <w:color w:val="auto"/>
        </w:rPr>
        <w:t>” means Comcast Cable Communications Holdings, Inc., formerly known as AT&amp;T Broadband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w:t>
      </w:r>
    </w:p>
    <w:p>
      <w:pPr>
        <w:spacing w:after="0" w:line="19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CHC</w:t>
      </w:r>
      <w:r>
        <w:rPr>
          <w:rFonts w:ascii="Times New Roman" w:cs="Times New Roman" w:eastAsia="Times New Roman" w:hAnsi="Times New Roman"/>
          <w:sz w:val="21"/>
          <w:szCs w:val="21"/>
          <w:color w:val="auto"/>
        </w:rPr>
        <w:t>” means Comcast Holdings Corporation, formerly known as Comcast Corporation.</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 of Directors of the Company.</w:t>
      </w:r>
    </w:p>
    <w:p>
      <w:pPr>
        <w:spacing w:after="0" w:line="220"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as successor to CHC, including any successor thereto by merger, consolidation, acquisition of all or substantially all the assets thereof, or otherwise.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22" w:right="399" w:bottom="1440" w:gutter="0" w:footer="0" w:header="0"/>
        </w:sectPr>
      </w:pPr>
    </w:p>
    <w:bookmarkStart w:id="181" w:name="page182"/>
    <w:bookmarkEnd w:id="181"/>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right="440" w:firstLine="1952"/>
        <w:spacing w:after="0" w:line="271" w:lineRule="auto"/>
        <w:tabs>
          <w:tab w:leader="none" w:pos="24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2.15(b), Comcast Corporation Class A Special Common Stock, par value, $0.01, including a fractional share; and</w:t>
      </w:r>
    </w:p>
    <w:p>
      <w:pPr>
        <w:spacing w:after="0" w:line="157" w:lineRule="exact"/>
        <w:rPr>
          <w:rFonts w:ascii="Times New Roman" w:cs="Times New Roman" w:eastAsia="Times New Roman" w:hAnsi="Times New Roman"/>
          <w:sz w:val="22"/>
          <w:szCs w:val="22"/>
          <w:color w:val="auto"/>
        </w:rPr>
      </w:pPr>
    </w:p>
    <w:p>
      <w:pPr>
        <w:ind w:right="280" w:firstLine="1952"/>
        <w:spacing w:after="0" w:line="257" w:lineRule="auto"/>
        <w:tabs>
          <w:tab w:leader="none" w:pos="241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amounts credited to the Company Stock Fund pursuant to deferral elections by Outside Directors made pursuant to Section 3.1(a), Comcast Corporation Class A Common Stock, par value $0.01, including a fractional share;</w:t>
      </w:r>
    </w:p>
    <w:p>
      <w:pPr>
        <w:spacing w:after="0" w:line="1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2.15. The Committee’s adjustment shall be effective and binding for all purposes of the Plan.</w:t>
      </w:r>
    </w:p>
    <w:p>
      <w:pPr>
        <w:spacing w:after="0" w:line="185"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Company Stock Fund</w:t>
      </w:r>
      <w:r>
        <w:rPr>
          <w:rFonts w:ascii="Times New Roman" w:cs="Times New Roman" w:eastAsia="Times New Roman" w:hAnsi="Times New Roman"/>
          <w:sz w:val="22"/>
          <w:szCs w:val="22"/>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right="80" w:firstLine="1952"/>
        <w:spacing w:after="0" w:line="257" w:lineRule="auto"/>
        <w:tabs>
          <w:tab w:leader="none" w:pos="24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72" w:lineRule="exact"/>
        <w:rPr>
          <w:rFonts w:ascii="Times New Roman" w:cs="Times New Roman" w:eastAsia="Times New Roman" w:hAnsi="Times New Roman"/>
          <w:sz w:val="22"/>
          <w:szCs w:val="22"/>
          <w:color w:val="auto"/>
        </w:rPr>
      </w:pPr>
    </w:p>
    <w:p>
      <w:pPr>
        <w:ind w:right="1080" w:firstLine="1952"/>
        <w:spacing w:after="0" w:line="271" w:lineRule="auto"/>
        <w:tabs>
          <w:tab w:leader="none" w:pos="241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Eligible Employee, the total cash remuneration for services payable by a Participating Company, excluding sales commissions or other similar payments or awards.</w:t>
      </w:r>
    </w:p>
    <w:p>
      <w:pPr>
        <w:spacing w:after="0" w:line="15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Death Tax Clearance Date</w:t>
      </w:r>
      <w:r>
        <w:rPr>
          <w:rFonts w:ascii="Times New Roman" w:cs="Times New Roman" w:eastAsia="Times New Roman" w:hAnsi="Times New Roman"/>
          <w:sz w:val="22"/>
          <w:szCs w:val="22"/>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82" w:name="page183"/>
    <w:bookmarkEnd w:id="182"/>
    <w:p>
      <w:pPr>
        <w:ind w:right="380"/>
        <w:spacing w:after="0" w:line="271" w:lineRule="auto"/>
        <w:rPr>
          <w:sz w:val="20"/>
          <w:szCs w:val="20"/>
          <w:color w:val="auto"/>
        </w:rPr>
      </w:pPr>
      <w:r>
        <w:rPr>
          <w:rFonts w:ascii="Times New Roman" w:cs="Times New Roman" w:eastAsia="Times New Roman" w:hAnsi="Times New Roman"/>
          <w:sz w:val="22"/>
          <w:szCs w:val="22"/>
          <w:color w:val="auto"/>
        </w:rPr>
        <w:t>paid in full and (iii) all potential liability for Death Taxes with respect to the Deceased Participant’s or deceased Beneficiary’s Account has been satisfied.</w:t>
      </w:r>
    </w:p>
    <w:p>
      <w:pPr>
        <w:spacing w:after="0" w:line="158"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Death Taxes</w:t>
      </w:r>
      <w:r>
        <w:rPr>
          <w:rFonts w:ascii="Times New Roman" w:cs="Times New Roman" w:eastAsia="Times New Roman" w:hAnsi="Times New Roman"/>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73"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Deceased Participant</w:t>
      </w:r>
      <w:r>
        <w:rPr>
          <w:rFonts w:ascii="Times New Roman" w:cs="Times New Roman" w:eastAsia="Times New Roman" w:hAnsi="Times New Roman"/>
          <w:sz w:val="22"/>
          <w:szCs w:val="22"/>
          <w:color w:val="auto"/>
        </w:rPr>
        <w:t>” means a Participant whose employment, or, in the case of a Participant who was an Outside Director, a Participant whose service as an Outside Director, is terminated by death.</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 Participant</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right="760" w:firstLine="1952"/>
        <w:spacing w:after="0" w:line="271" w:lineRule="auto"/>
        <w:tabs>
          <w:tab w:leader="none" w:pos="238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whose employment or, in the case of a Participant who is an Outside Director, a Participant whose service as an Outside Director, is terminated by reason of disability;</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duly-appointed legal guardian of an individual described in Section 2.21(a) acting on behalf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individual.</w:t>
      </w:r>
    </w:p>
    <w:p>
      <w:pPr>
        <w:spacing w:after="0" w:line="19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left="2400" w:hanging="448"/>
        <w:spacing w:after="0"/>
        <w:tabs>
          <w:tab w:leader="none" w:pos="240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employee of a Participating Company who, as of December 31, 1989, was eligible to participate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Prior Plan.</w:t>
      </w:r>
    </w:p>
    <w:p>
      <w:pPr>
        <w:spacing w:after="0" w:line="196" w:lineRule="exact"/>
        <w:rPr>
          <w:sz w:val="20"/>
          <w:szCs w:val="20"/>
          <w:color w:val="auto"/>
        </w:rPr>
      </w:pPr>
    </w:p>
    <w:p>
      <w:pPr>
        <w:jc w:val="both"/>
        <w:ind w:right="100" w:firstLine="1952"/>
        <w:spacing w:after="0" w:line="257" w:lineRule="auto"/>
        <w:tabs>
          <w:tab w:leader="none" w:pos="241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72" w:lineRule="exact"/>
        <w:rPr>
          <w:rFonts w:ascii="Times New Roman" w:cs="Times New Roman" w:eastAsia="Times New Roman" w:hAnsi="Times New Roman"/>
          <w:sz w:val="22"/>
          <w:szCs w:val="22"/>
          <w:color w:val="auto"/>
        </w:rPr>
      </w:pPr>
    </w:p>
    <w:p>
      <w:pPr>
        <w:ind w:right="40" w:firstLine="1952"/>
        <w:spacing w:after="0" w:line="257" w:lineRule="auto"/>
        <w:tabs>
          <w:tab w:leader="none" w:pos="24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employee of a Participating Company whose Annual Rate of Pay is $200,000 or more as of both</w:t>
      </w:r>
    </w:p>
    <w:p>
      <w:pPr>
        <w:spacing w:after="0" w:line="39" w:lineRule="exact"/>
        <w:rPr>
          <w:rFonts w:ascii="Times New Roman" w:cs="Times New Roman" w:eastAsia="Times New Roman" w:hAnsi="Times New Roman"/>
          <w:sz w:val="21"/>
          <w:szCs w:val="21"/>
          <w:color w:val="auto"/>
        </w:rPr>
      </w:pPr>
    </w:p>
    <w:p>
      <w:pPr>
        <w:ind w:right="380" w:firstLine="8"/>
        <w:spacing w:after="0" w:line="248" w:lineRule="auto"/>
        <w:tabs>
          <w:tab w:leader="none" w:pos="25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an Initial Election is filed with the Administrator and (ii) the first day of the calendar year in which such Initial Election is filed.</w:t>
      </w:r>
    </w:p>
    <w:p>
      <w:pPr>
        <w:spacing w:after="0" w:line="18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 Key Employee.</w:t>
      </w:r>
    </w:p>
    <w:p>
      <w:pPr>
        <w:spacing w:after="0" w:line="219" w:lineRule="exact"/>
        <w:rPr>
          <w:rFonts w:ascii="Times New Roman" w:cs="Times New Roman" w:eastAsia="Times New Roman" w:hAnsi="Times New Roman"/>
          <w:sz w:val="22"/>
          <w:szCs w:val="22"/>
          <w:color w:val="auto"/>
        </w:rPr>
      </w:pPr>
    </w:p>
    <w:p>
      <w:pPr>
        <w:ind w:right="160" w:firstLine="1952"/>
        <w:spacing w:after="0" w:line="257" w:lineRule="auto"/>
        <w:tabs>
          <w:tab w:leader="none" w:pos="237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83" w:name="page184"/>
    <w:bookmarkEnd w:id="183"/>
    <w:p>
      <w:pPr>
        <w:ind w:right="700"/>
        <w:spacing w:after="0" w:line="271" w:lineRule="auto"/>
        <w:rPr>
          <w:sz w:val="20"/>
          <w:szCs w:val="20"/>
          <w:color w:val="auto"/>
        </w:rPr>
      </w:pPr>
      <w:r>
        <w:rPr>
          <w:rFonts w:ascii="Times New Roman" w:cs="Times New Roman" w:eastAsia="Times New Roman" w:hAnsi="Times New Roman"/>
          <w:sz w:val="22"/>
          <w:szCs w:val="22"/>
          <w:color w:val="auto"/>
        </w:rPr>
        <w:t>December 31, 2002 and extending through any date of determination, has been actively and continuously in service to the Company or an Affiliate.</w:t>
      </w:r>
    </w:p>
    <w:p>
      <w:pPr>
        <w:spacing w:after="0" w:line="158" w:lineRule="exact"/>
        <w:rPr>
          <w:sz w:val="20"/>
          <w:szCs w:val="20"/>
          <w:color w:val="auto"/>
        </w:rPr>
      </w:pPr>
    </w:p>
    <w:p>
      <w:pPr>
        <w:ind w:right="820" w:firstLine="1952"/>
        <w:spacing w:after="0" w:line="271" w:lineRule="auto"/>
        <w:tabs>
          <w:tab w:leader="none" w:pos="241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other employee of a Participating Company who is designated by the Committee, in its discretion, as an Eligible Employee.</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40" w:firstLine="1952"/>
        <w:spacing w:after="0" w:line="257" w:lineRule="auto"/>
        <w:tabs>
          <w:tab w:leader="none" w:pos="24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72" w:lineRule="exact"/>
        <w:rPr>
          <w:rFonts w:ascii="Times New Roman" w:cs="Times New Roman" w:eastAsia="Times New Roman" w:hAnsi="Times New Roman"/>
          <w:sz w:val="22"/>
          <w:szCs w:val="22"/>
          <w:color w:val="auto"/>
        </w:rPr>
      </w:pPr>
    </w:p>
    <w:p>
      <w:pPr>
        <w:ind w:right="40" w:firstLine="1952"/>
        <w:spacing w:after="0" w:line="257" w:lineRule="auto"/>
        <w:tabs>
          <w:tab w:leader="none" w:pos="241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72" w:lineRule="exact"/>
        <w:rPr>
          <w:rFonts w:ascii="Times New Roman" w:cs="Times New Roman" w:eastAsia="Times New Roman" w:hAnsi="Times New Roman"/>
          <w:sz w:val="22"/>
          <w:szCs w:val="22"/>
          <w:color w:val="auto"/>
        </w:rPr>
      </w:pPr>
    </w:p>
    <w:p>
      <w:pPr>
        <w:ind w:right="100" w:firstLine="1952"/>
        <w:spacing w:after="0" w:line="271" w:lineRule="auto"/>
        <w:tabs>
          <w:tab w:leader="none" w:pos="24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of Company Stock are not so listed nor trades of shares so reported, Fair Market Value shall be determined by the Committee in good faith.</w:t>
      </w:r>
    </w:p>
    <w:p>
      <w:pPr>
        <w:spacing w:after="0" w:line="158"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u w:val="single" w:color="auto"/>
          <w:color w:val="auto"/>
        </w:rPr>
        <w:t>Former Eligible Employee</w:t>
      </w:r>
      <w:r>
        <w:rPr>
          <w:rFonts w:ascii="Times New Roman" w:cs="Times New Roman" w:eastAsia="Times New Roman" w:hAnsi="Times New Roman"/>
          <w:sz w:val="22"/>
          <w:szCs w:val="22"/>
          <w:color w:val="auto"/>
        </w:rPr>
        <w:t>” means an employee of a Participating Company who, as of any relevant date, does not satisfy the requirements of an “Eligible Employee” but who previously met such requirements under the Plan or the Prior Plan.</w:t>
      </w:r>
    </w:p>
    <w:p>
      <w:pPr>
        <w:spacing w:after="0" w:line="173"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u w:val="single" w:color="auto"/>
          <w:color w:val="auto"/>
        </w:rPr>
        <w:t>Grandfathered Participant</w:t>
      </w:r>
      <w:r>
        <w:rPr>
          <w:rFonts w:ascii="Times New Roman" w:cs="Times New Roman" w:eastAsia="Times New Roman" w:hAnsi="Times New Roman"/>
          <w:sz w:val="22"/>
          <w:szCs w:val="22"/>
          <w:color w:val="auto"/>
        </w:rPr>
        <w: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7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u w:val="single" w:color="auto"/>
          <w:color w:val="auto"/>
        </w:rPr>
        <w:t>Hardship</w:t>
      </w:r>
      <w:r>
        <w:rPr>
          <w:rFonts w:ascii="Times New Roman" w:cs="Times New Roman" w:eastAsia="Times New Roman" w:hAnsi="Times New Roman"/>
          <w:sz w:val="22"/>
          <w:szCs w:val="22"/>
          <w:color w:val="auto"/>
        </w:rPr>
        <w:t>”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84" w:name="page185"/>
    <w:bookmarkEnd w:id="184"/>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irrevocable trust or under a </w:t>
      </w:r>
      <w:r>
        <w:rPr>
          <w:rFonts w:ascii="Times New Roman" w:cs="Times New Roman" w:eastAsia="Times New Roman" w:hAnsi="Times New Roman"/>
          <w:sz w:val="22"/>
          <w:szCs w:val="22"/>
          <w:i w:val="1"/>
          <w:iCs w:val="1"/>
          <w:color w:val="auto"/>
        </w:rPr>
        <w:t>Uniform Gifts to Minors Act</w:t>
      </w:r>
      <w:r>
        <w:rPr>
          <w:rFonts w:ascii="Times New Roman" w:cs="Times New Roman" w:eastAsia="Times New Roman" w:hAnsi="Times New Roman"/>
          <w:sz w:val="22"/>
          <w:szCs w:val="22"/>
          <w:color w:val="auto"/>
        </w:rPr>
        <w:t xml:space="preserve"> custodianship or </w:t>
      </w:r>
      <w:r>
        <w:rPr>
          <w:rFonts w:ascii="Times New Roman" w:cs="Times New Roman" w:eastAsia="Times New Roman" w:hAnsi="Times New Roman"/>
          <w:sz w:val="22"/>
          <w:szCs w:val="22"/>
          <w:i w:val="1"/>
          <w:iCs w:val="1"/>
          <w:color w:val="auto"/>
        </w:rPr>
        <w:t>Uniform Transfers to Minors Act</w:t>
      </w:r>
      <w:r>
        <w:rPr>
          <w:rFonts w:ascii="Times New Roman" w:cs="Times New Roman" w:eastAsia="Times New Roman" w:hAnsi="Times New Roman"/>
          <w:sz w:val="22"/>
          <w:szCs w:val="22"/>
          <w:color w:val="auto"/>
        </w:rPr>
        <w:t xml:space="preserve">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89" w:lineRule="exact"/>
        <w:rPr>
          <w:sz w:val="20"/>
          <w:szCs w:val="20"/>
          <w:color w:val="auto"/>
        </w:rPr>
      </w:pPr>
    </w:p>
    <w:p>
      <w:pPr>
        <w:ind w:right="360" w:firstLine="1296"/>
        <w:spacing w:after="0" w:line="257"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Inactive Participant</w:t>
      </w:r>
      <w:r>
        <w:rPr>
          <w:rFonts w:ascii="Times New Roman" w:cs="Times New Roman" w:eastAsia="Times New Roman" w:hAnsi="Times New Roman"/>
          <w:sz w:val="22"/>
          <w:szCs w:val="22"/>
          <w:color w:val="auto"/>
        </w:rPr>
        <w:t>” means each Participant (other than a Retired Participant, Deceased Participant or Disabled Participant) who is not in active service as an Outside Director and is not actively employed by a Participating Company.</w:t>
      </w:r>
    </w:p>
    <w:p>
      <w:pPr>
        <w:spacing w:after="0" w:line="173" w:lineRule="exact"/>
        <w:rPr>
          <w:sz w:val="20"/>
          <w:szCs w:val="20"/>
          <w:color w:val="auto"/>
        </w:rPr>
      </w:pPr>
    </w:p>
    <w:p>
      <w:pPr>
        <w:jc w:val="both"/>
        <w:ind w:right="500" w:firstLine="1296"/>
        <w:spacing w:after="0" w:line="257"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u w:val="single" w:color="auto"/>
          <w:color w:val="auto"/>
        </w:rPr>
        <w:t>Income Fund</w:t>
      </w:r>
      <w:r>
        <w:rPr>
          <w:rFonts w:ascii="Times New Roman" w:cs="Times New Roman" w:eastAsia="Times New Roman" w:hAnsi="Times New Roman"/>
          <w:sz w:val="22"/>
          <w:szCs w:val="22"/>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Election</w:t>
      </w:r>
      <w:r>
        <w:rPr>
          <w:rFonts w:ascii="Times New Roman" w:cs="Times New Roman" w:eastAsia="Times New Roman" w:hAnsi="Times New Roman"/>
          <w:sz w:val="21"/>
          <w:szCs w:val="21"/>
          <w:color w:val="auto"/>
        </w:rPr>
        <w:t>” means a written election on a form provided by the Administrator, filed with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in accordance with Article 3, pursuant to which an Outside Director or an Eligible Employee may:</w:t>
      </w:r>
    </w:p>
    <w:p>
      <w:pPr>
        <w:spacing w:after="0" w:line="196" w:lineRule="exact"/>
        <w:rPr>
          <w:sz w:val="20"/>
          <w:szCs w:val="20"/>
          <w:color w:val="auto"/>
        </w:rPr>
      </w:pPr>
    </w:p>
    <w:p>
      <w:pPr>
        <w:ind w:right="280" w:firstLine="1952"/>
        <w:spacing w:after="0" w:line="257" w:lineRule="auto"/>
        <w:tabs>
          <w:tab w:leader="none" w:pos="24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Designate the time of payment of the amount of deferred Compensation to which the Initial Election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relates.</w:t>
      </w:r>
    </w:p>
    <w:p>
      <w:pPr>
        <w:spacing w:after="0" w:line="196" w:lineRule="exact"/>
        <w:rPr>
          <w:sz w:val="20"/>
          <w:szCs w:val="20"/>
          <w:color w:val="auto"/>
        </w:rPr>
      </w:pPr>
    </w:p>
    <w:p>
      <w:pPr>
        <w:ind w:right="780" w:firstLine="1296"/>
        <w:spacing w:after="0" w:line="271"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Insider</w:t>
      </w:r>
      <w:r>
        <w:rPr>
          <w:rFonts w:ascii="Times New Roman" w:cs="Times New Roman" w:eastAsia="Times New Roman" w:hAnsi="Times New Roman"/>
          <w:sz w:val="22"/>
          <w:szCs w:val="22"/>
          <w:color w:val="auto"/>
        </w:rPr>
        <w:t>” means an Eligible Employee or Outside Director who is subject to the short-swing profit recapture rules of section 16(b) of the Securities Exchange Act of 1934, as amended.</w:t>
      </w:r>
    </w:p>
    <w:p>
      <w:pPr>
        <w:spacing w:after="0" w:line="158"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LIBOR</w:t>
      </w:r>
      <w:r>
        <w:rPr>
          <w:rFonts w:ascii="Times New Roman" w:cs="Times New Roman" w:eastAsia="Times New Roman" w:hAnsi="Times New Roman"/>
          <w:sz w:val="22"/>
          <w:szCs w:val="22"/>
          <w:color w:val="auto"/>
        </w:rPr>
        <w:t xml:space="preserve">” 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on the last business day preceding the first day of such calendar year, and as adjusted as of the last business day preceding the first day of each calendar year beginning thereafter.</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Key Employee</w:t>
      </w:r>
      <w:r>
        <w:rPr>
          <w:rFonts w:ascii="Times New Roman" w:cs="Times New Roman" w:eastAsia="Times New Roman" w:hAnsi="Times New Roman"/>
          <w:sz w:val="21"/>
          <w:szCs w:val="21"/>
          <w:color w:val="auto"/>
        </w:rPr>
        <w:t>” means each employee of a Participating Company:</w:t>
      </w:r>
    </w:p>
    <w:p>
      <w:pPr>
        <w:spacing w:after="0" w:line="220" w:lineRule="exact"/>
        <w:rPr>
          <w:sz w:val="20"/>
          <w:szCs w:val="20"/>
          <w:color w:val="auto"/>
        </w:rPr>
      </w:pPr>
    </w:p>
    <w:p>
      <w:pPr>
        <w:ind w:firstLine="1952"/>
        <w:spacing w:after="0" w:line="271" w:lineRule="auto"/>
        <w:tabs>
          <w:tab w:leader="none" w:pos="24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becomes an employee of a Participating Company and has an Annual Rate of Pay of $200,000 or more as of his employment commencement date, 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18" w:right="359" w:bottom="1440" w:gutter="0" w:footer="0" w:header="0"/>
        </w:sectPr>
      </w:pPr>
    </w:p>
    <w:bookmarkStart w:id="185" w:name="page186"/>
    <w:bookmarkEnd w:id="185"/>
    <w:p>
      <w:pPr>
        <w:ind w:right="600" w:firstLine="1952"/>
        <w:spacing w:after="0" w:line="271" w:lineRule="auto"/>
        <w:tabs>
          <w:tab w:leader="none" w:pos="241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has an Annual Rate of Pay that is increased to $200,000 or more and who, immediately preceding such increase, was not an Eligible Employee.</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Normal Retirement</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firstLine="1952"/>
        <w:spacing w:after="0" w:line="257" w:lineRule="auto"/>
        <w:tabs>
          <w:tab w:leader="none" w:pos="24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72" w:lineRule="exact"/>
        <w:rPr>
          <w:rFonts w:ascii="Times New Roman" w:cs="Times New Roman" w:eastAsia="Times New Roman" w:hAnsi="Times New Roman"/>
          <w:sz w:val="22"/>
          <w:szCs w:val="22"/>
          <w:color w:val="auto"/>
        </w:rPr>
      </w:pPr>
    </w:p>
    <w:p>
      <w:pPr>
        <w:ind w:right="80" w:firstLine="1952"/>
        <w:spacing w:after="0" w:line="271" w:lineRule="auto"/>
        <w:tabs>
          <w:tab w:leader="none" w:pos="241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Participant who is an Outside Director immediately preceding his termination of service, his normal retirement from the Board.</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Director</w:t>
      </w:r>
      <w:r>
        <w:rPr>
          <w:rFonts w:ascii="Times New Roman" w:cs="Times New Roman" w:eastAsia="Times New Roman" w:hAnsi="Times New Roman"/>
          <w:sz w:val="21"/>
          <w:szCs w:val="21"/>
          <w:color w:val="auto"/>
        </w:rPr>
        <w:t>” means a member of the Board, who is not an employee of a Participating Company.</w:t>
      </w:r>
    </w:p>
    <w:p>
      <w:pPr>
        <w:spacing w:after="0" w:line="220"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Participating Company</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left="2400" w:hanging="448"/>
        <w:spacing w:after="0"/>
        <w:tabs>
          <w:tab w:leader="none" w:pos="24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CHC;</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Cable Communications, LLC, and its subsidiaries;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International Holdings, Inc.;</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Online Communications, Inc.;</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Business Communications, Inc.;</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CCCHI and its subsidiaries;</w:t>
      </w:r>
    </w:p>
    <w:p>
      <w:pPr>
        <w:spacing w:after="0" w:line="219" w:lineRule="exact"/>
        <w:rPr>
          <w:rFonts w:ascii="Times New Roman" w:cs="Times New Roman" w:eastAsia="Times New Roman" w:hAnsi="Times New Roman"/>
          <w:sz w:val="22"/>
          <w:szCs w:val="22"/>
          <w:color w:val="auto"/>
        </w:rPr>
      </w:pPr>
    </w:p>
    <w:p>
      <w:pPr>
        <w:ind w:right="120" w:firstLine="1952"/>
        <w:spacing w:after="0" w:line="257" w:lineRule="auto"/>
        <w:tabs>
          <w:tab w:leader="none" w:pos="241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172"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entities that are subsidiaries of the Company as designated by the Committee in its sole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w:t>
      </w:r>
    </w:p>
    <w:p>
      <w:pPr>
        <w:spacing w:after="0" w:line="19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a corporation, a partnership, an association, a trust or any other entity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organization.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80"/>
          </w:cols>
          <w:pgMar w:left="320" w:top="1422" w:right="599" w:bottom="1440" w:gutter="0" w:footer="0" w:header="0"/>
        </w:sectPr>
      </w:pPr>
    </w:p>
    <w:bookmarkStart w:id="186" w:name="page187"/>
    <w:bookmarkEnd w:id="186"/>
    <w:p>
      <w:pPr>
        <w:ind w:right="500" w:firstLine="1296"/>
        <w:spacing w:after="0" w:line="271" w:lineRule="auto"/>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Deferred Compensation Plan, as set forth herein, and as amended from time to time.</w:t>
      </w:r>
    </w:p>
    <w:p>
      <w:pPr>
        <w:spacing w:after="0" w:line="158"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21"/>
          <w:szCs w:val="21"/>
          <w:color w:val="auto"/>
        </w:rPr>
        <w:t>2.39. “</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xml:space="preserve"> on the last business day preceding the first day of such calendar year, and as adjusted as of the last business day preceding the first day of each calendar year beginning thereafter.</w:t>
      </w:r>
    </w:p>
    <w:p>
      <w:pPr>
        <w:spacing w:after="0" w:line="163" w:lineRule="exact"/>
        <w:rPr>
          <w:sz w:val="20"/>
          <w:szCs w:val="20"/>
          <w:color w:val="auto"/>
        </w:rPr>
      </w:pPr>
    </w:p>
    <w:p>
      <w:pPr>
        <w:jc w:val="both"/>
        <w:ind w:right="80" w:firstLine="1296"/>
        <w:spacing w:after="0" w:line="295" w:lineRule="auto"/>
        <w:rPr>
          <w:sz w:val="20"/>
          <w:szCs w:val="20"/>
          <w:color w:val="auto"/>
        </w:rPr>
      </w:pPr>
      <w:r>
        <w:rPr>
          <w:rFonts w:ascii="Times New Roman" w:cs="Times New Roman" w:eastAsia="Times New Roman" w:hAnsi="Times New Roman"/>
          <w:sz w:val="21"/>
          <w:szCs w:val="21"/>
          <w:color w:val="auto"/>
        </w:rPr>
        <w:t>2.40. “</w:t>
      </w:r>
      <w:r>
        <w:rPr>
          <w:rFonts w:ascii="Times New Roman" w:cs="Times New Roman" w:eastAsia="Times New Roman" w:hAnsi="Times New Roman"/>
          <w:sz w:val="21"/>
          <w:szCs w:val="21"/>
          <w:u w:val="single" w:color="auto"/>
          <w:color w:val="auto"/>
        </w:rPr>
        <w:t>Prior Plan</w:t>
      </w:r>
      <w:r>
        <w:rPr>
          <w:rFonts w:ascii="Times New Roman" w:cs="Times New Roman" w:eastAsia="Times New Roman" w:hAnsi="Times New Roman"/>
          <w:sz w:val="21"/>
          <w:szCs w:val="21"/>
          <w:color w:val="auto"/>
        </w:rPr>
        <w:t>” means the Comcast Corporation 1996 Deferred Compensation Plan, as in effect immediately preceding the amendment, restatement and renaming of the Plan as the Comcast Corporation 2002 Deferred Compensation Plan.</w:t>
      </w:r>
    </w:p>
    <w:p>
      <w:pPr>
        <w:spacing w:after="0" w:line="13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Retired Participant</w:t>
      </w:r>
      <w:r>
        <w:rPr>
          <w:rFonts w:ascii="Times New Roman" w:cs="Times New Roman" w:eastAsia="Times New Roman" w:hAnsi="Times New Roman"/>
          <w:sz w:val="21"/>
          <w:szCs w:val="21"/>
          <w:color w:val="auto"/>
        </w:rPr>
        <w:t>” means a Participant who has terminated service pursuant to a Normal Retirement.</w:t>
      </w:r>
    </w:p>
    <w:p>
      <w:pPr>
        <w:spacing w:after="0" w:line="220"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73"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u w:val="single" w:color="auto"/>
          <w:color w:val="auto"/>
        </w:rPr>
        <w:t>Subsequent Election</w:t>
      </w:r>
      <w:r>
        <w:rPr>
          <w:rFonts w:ascii="Times New Roman" w:cs="Times New Roman" w:eastAsia="Times New Roman" w:hAnsi="Times New Roman"/>
          <w:sz w:val="22"/>
          <w:szCs w:val="22"/>
          <w:color w:val="auto"/>
        </w:rPr>
        <w:t>”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79" w:lineRule="exact"/>
        <w:rPr>
          <w:sz w:val="20"/>
          <w:szCs w:val="20"/>
          <w:color w:val="auto"/>
        </w:rPr>
      </w:pPr>
    </w:p>
    <w:p>
      <w:pPr>
        <w:ind w:right="540" w:firstLine="1296"/>
        <w:spacing w:after="0" w:line="271" w:lineRule="auto"/>
        <w:rPr>
          <w:sz w:val="20"/>
          <w:szCs w:val="20"/>
          <w:color w:val="auto"/>
        </w:rPr>
      </w:pPr>
      <w:r>
        <w:rPr>
          <w:rFonts w:ascii="Times New Roman" w:cs="Times New Roman" w:eastAsia="Times New Roman" w:hAnsi="Times New Roman"/>
          <w:sz w:val="22"/>
          <w:szCs w:val="22"/>
          <w:color w:val="auto"/>
        </w:rPr>
        <w:t>2.44. “</w:t>
      </w:r>
      <w:r>
        <w:rPr>
          <w:rFonts w:ascii="Times New Roman" w:cs="Times New Roman" w:eastAsia="Times New Roman" w:hAnsi="Times New Roman"/>
          <w:sz w:val="22"/>
          <w:szCs w:val="22"/>
          <w:u w:val="single" w:color="auto"/>
          <w:color w:val="auto"/>
        </w:rPr>
        <w:t>Surviving Spouse</w:t>
      </w:r>
      <w:r>
        <w:rPr>
          <w:rFonts w:ascii="Times New Roman" w:cs="Times New Roman" w:eastAsia="Times New Roman" w:hAnsi="Times New Roman"/>
          <w:sz w:val="22"/>
          <w:szCs w:val="22"/>
          <w:color w:val="auto"/>
        </w:rPr>
        <w:t>” means the widow or widower, as the case may be, of a Deceased Participant or a Deceased Beneficiary (as applicable).</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Terminating Event</w:t>
      </w:r>
      <w:r>
        <w:rPr>
          <w:rFonts w:ascii="Times New Roman" w:cs="Times New Roman" w:eastAsia="Times New Roman" w:hAnsi="Times New Roman"/>
          <w:sz w:val="21"/>
          <w:szCs w:val="21"/>
          <w:color w:val="auto"/>
        </w:rPr>
        <w:t>” means either of the following events:</w:t>
      </w:r>
    </w:p>
    <w:p>
      <w:pPr>
        <w:spacing w:after="0" w:line="220" w:lineRule="exact"/>
        <w:rPr>
          <w:sz w:val="20"/>
          <w:szCs w:val="20"/>
          <w:color w:val="auto"/>
        </w:rPr>
      </w:pPr>
    </w:p>
    <w:p>
      <w:pPr>
        <w:ind w:left="2400" w:hanging="448"/>
        <w:spacing w:after="0"/>
        <w:tabs>
          <w:tab w:leader="none" w:pos="24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of the Company;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w:t>
      </w:r>
    </w:p>
    <w:p>
      <w:pPr>
        <w:spacing w:after="0" w:line="220" w:lineRule="exact"/>
        <w:rPr>
          <w:sz w:val="20"/>
          <w:szCs w:val="20"/>
          <w:color w:val="auto"/>
        </w:rPr>
      </w:pPr>
    </w:p>
    <w:p>
      <w:pPr>
        <w:ind w:right="460" w:firstLine="1296"/>
        <w:spacing w:after="0" w:line="271" w:lineRule="auto"/>
        <w:rPr>
          <w:sz w:val="20"/>
          <w:szCs w:val="20"/>
          <w:color w:val="auto"/>
        </w:rPr>
      </w:pPr>
      <w:r>
        <w:rPr>
          <w:rFonts w:ascii="Times New Roman" w:cs="Times New Roman" w:eastAsia="Times New Roman" w:hAnsi="Times New Roman"/>
          <w:sz w:val="22"/>
          <w:szCs w:val="22"/>
          <w:color w:val="auto"/>
        </w:rPr>
        <w:t>2.46.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together with such Person’s Affiliates, provided that the term “Third Party” shall not include the Company or an Affiliate of the Company.</w:t>
      </w:r>
    </w:p>
    <w:p>
      <w:pPr>
        <w:spacing w:after="0" w:line="15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ARTICLE 3 – INITIAL AND SUBSEQUENT ELECTIONS</w:t>
      </w:r>
    </w:p>
    <w:p>
      <w:pPr>
        <w:spacing w:after="0" w:line="224"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Elections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1952"/>
        <w:spacing w:after="0" w:line="271" w:lineRule="auto"/>
        <w:tabs>
          <w:tab w:leader="none" w:pos="24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Elections</w:t>
      </w:r>
      <w:r>
        <w:rPr>
          <w:rFonts w:ascii="Times New Roman" w:cs="Times New Roman" w:eastAsia="Times New Roman" w:hAnsi="Times New Roman"/>
          <w:sz w:val="22"/>
          <w:szCs w:val="22"/>
          <w:color w:val="auto"/>
        </w:rPr>
        <w:t>. Each Outside Director and Eligible Employee shall have the right to defer all or any portion of the Compensation (including bonuses, if 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187" w:name="page188"/>
    <w:bookmarkEnd w:id="187"/>
    <w:p>
      <w:pPr>
        <w:ind w:right="60"/>
        <w:spacing w:after="0" w:line="258" w:lineRule="auto"/>
        <w:rPr>
          <w:sz w:val="20"/>
          <w:szCs w:val="20"/>
          <w:color w:val="auto"/>
        </w:rPr>
      </w:pPr>
      <w:r>
        <w:rPr>
          <w:rFonts w:ascii="Times New Roman" w:cs="Times New Roman" w:eastAsia="Times New Roman" w:hAnsi="Times New Roman"/>
          <w:sz w:val="21"/>
          <w:szCs w:val="21"/>
          <w:color w:val="auto"/>
        </w:rPr>
        <w:t>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79" w:lineRule="exact"/>
        <w:rPr>
          <w:sz w:val="20"/>
          <w:szCs w:val="20"/>
          <w:color w:val="auto"/>
        </w:rPr>
      </w:pPr>
    </w:p>
    <w:p>
      <w:pPr>
        <w:ind w:firstLine="1952"/>
        <w:spacing w:after="0" w:line="252" w:lineRule="auto"/>
        <w:tabs>
          <w:tab w:leader="none" w:pos="241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Elections</w:t>
      </w:r>
      <w:r>
        <w:rPr>
          <w:rFonts w:ascii="Times New Roman" w:cs="Times New Roman" w:eastAsia="Times New Roman" w:hAnsi="Times New Roman"/>
          <w:sz w:val="22"/>
          <w:szCs w:val="22"/>
          <w:color w:val="auto"/>
        </w:rPr>
        <w:t>.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79"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Filing of Initial Election: General</w:t>
      </w:r>
      <w:r>
        <w:rPr>
          <w:rFonts w:ascii="Times New Roman" w:cs="Times New Roman" w:eastAsia="Times New Roman" w:hAnsi="Times New Roman"/>
          <w:sz w:val="22"/>
          <w:szCs w:val="22"/>
          <w:color w:val="auto"/>
        </w:rPr>
        <w:t>.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Filing of Initial Election by New Key Employees and New Outside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1952"/>
        <w:spacing w:after="0" w:line="248" w:lineRule="auto"/>
        <w:tabs>
          <w:tab w:leader="none" w:pos="24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Key Employees</w:t>
      </w:r>
      <w:r>
        <w:rPr>
          <w:rFonts w:ascii="Times New Roman" w:cs="Times New Roman" w:eastAsia="Times New Roman" w:hAnsi="Times New Roman"/>
          <w:sz w:val="22"/>
          <w:szCs w:val="22"/>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40"/>
          </w:cols>
          <w:pgMar w:left="320" w:top="1422" w:right="439" w:bottom="1440" w:gutter="0" w:footer="0" w:header="0"/>
        </w:sectPr>
      </w:pPr>
    </w:p>
    <w:bookmarkStart w:id="188" w:name="page189"/>
    <w:bookmarkEnd w:id="188"/>
    <w:p>
      <w:pPr>
        <w:ind w:right="60" w:firstLine="1952"/>
        <w:spacing w:after="0" w:line="248" w:lineRule="auto"/>
        <w:tabs>
          <w:tab w:leader="none" w:pos="241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Outside Directors</w:t>
      </w:r>
      <w:r>
        <w:rPr>
          <w:rFonts w:ascii="Times New Roman" w:cs="Times New Roman" w:eastAsia="Times New Roman" w:hAnsi="Times New Roman"/>
          <w:sz w:val="22"/>
          <w:szCs w:val="22"/>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82"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Calendar Years to which Initial Election May Apply</w:t>
      </w:r>
      <w:r>
        <w:rPr>
          <w:rFonts w:ascii="Times New Roman" w:cs="Times New Roman" w:eastAsia="Times New Roman" w:hAnsi="Times New Roman"/>
          <w:sz w:val="22"/>
          <w:szCs w:val="22"/>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81" w:lineRule="exact"/>
        <w:rPr>
          <w:sz w:val="20"/>
          <w:szCs w:val="20"/>
          <w:color w:val="auto"/>
        </w:rPr>
      </w:pPr>
    </w:p>
    <w:p>
      <w:pPr>
        <w:ind w:firstLine="1952"/>
        <w:spacing w:after="0" w:line="248" w:lineRule="auto"/>
        <w:tabs>
          <w:tab w:leader="none" w:pos="24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Election of Distribution Date</w:t>
      </w:r>
      <w:r>
        <w:rPr>
          <w:rFonts w:ascii="Times New Roman" w:cs="Times New Roman" w:eastAsia="Times New Roman" w:hAnsi="Times New Roman"/>
          <w:sz w:val="22"/>
          <w:szCs w:val="22"/>
          <w:color w:val="auto"/>
        </w:rPr>
        <w:t>.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8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Subsequent Elections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320" w:firstLine="1952"/>
        <w:spacing w:after="0" w:line="257" w:lineRule="auto"/>
        <w:tabs>
          <w:tab w:leader="none" w:pos="24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Active Participants</w:t>
      </w:r>
      <w:r>
        <w:rPr>
          <w:rFonts w:ascii="Times New Roman" w:cs="Times New Roman" w:eastAsia="Times New Roman" w:hAnsi="Times New Roman"/>
          <w:sz w:val="22"/>
          <w:szCs w:val="22"/>
          <w:color w:val="auto"/>
        </w:rPr>
        <w:t>. Each Active Participant, who has made an Initial Election, or who has made a Subsequent Election, may elect to change the manner of distribution or defer the time of payment of any part or all of such Participant’s Account—</w:t>
      </w:r>
    </w:p>
    <w:p>
      <w:pPr>
        <w:spacing w:after="0" w:line="172"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2"/>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Subsequent Elections filed on or before December 31, 2020, for a minimum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two (2) and a maximum of ten (10) additional years from the previously-elected payment date;</w:t>
      </w:r>
    </w:p>
    <w:p>
      <w:pPr>
        <w:spacing w:after="0" w:line="195" w:lineRule="exact"/>
        <w:rPr>
          <w:rFonts w:ascii="Times New Roman" w:cs="Times New Roman" w:eastAsia="Times New Roman" w:hAnsi="Times New Roman"/>
          <w:sz w:val="21"/>
          <w:szCs w:val="21"/>
          <w:color w:val="auto"/>
        </w:rPr>
      </w:pPr>
    </w:p>
    <w:p>
      <w:pPr>
        <w:ind w:left="3080" w:hanging="480"/>
        <w:spacing w:after="0"/>
        <w:tabs>
          <w:tab w:leader="none" w:pos="3080"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for a minimum of two</w:t>
      </w:r>
    </w:p>
    <w:p>
      <w:pPr>
        <w:spacing w:after="0" w:line="2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 maximum of seven (7) additional years from the previously-elected payment date;</w:t>
      </w:r>
    </w:p>
    <w:p>
      <w:pPr>
        <w:spacing w:after="0" w:line="196"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22"/>
          <w:szCs w:val="22"/>
          <w:color w:val="auto"/>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22" w:right="379" w:bottom="1440" w:gutter="0" w:footer="0" w:header="0"/>
        </w:sectPr>
      </w:pPr>
    </w:p>
    <w:bookmarkStart w:id="189" w:name="page190"/>
    <w:bookmarkEnd w:id="189"/>
    <w:p>
      <w:pPr>
        <w:ind w:right="40" w:firstLine="1952"/>
        <w:spacing w:after="0" w:line="257" w:lineRule="auto"/>
        <w:tabs>
          <w:tab w:leader="none" w:pos="2412"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Inactive Participants</w:t>
      </w:r>
      <w:r>
        <w:rPr>
          <w:rFonts w:ascii="Times New Roman" w:cs="Times New Roman" w:eastAsia="Times New Roman" w:hAnsi="Times New Roman"/>
          <w:sz w:val="22"/>
          <w:szCs w:val="22"/>
          <w:color w:val="auto"/>
        </w:rPr>
        <w:t>. The Committee may, in its sole and absolute discretion, permit an Inactive Participant to make a Subsequent Election to change the manner of distribution, or defer the time of payment of any part or all of such Inactive Participant’s Account—</w:t>
      </w:r>
    </w:p>
    <w:p>
      <w:pPr>
        <w:spacing w:after="0" w:line="172"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Subsequent Elections filed on or before December 31, 2020, for a minimum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two (2) and a maximum of ten (10) additional years from the previously-elected payment date;</w:t>
      </w:r>
    </w:p>
    <w:p>
      <w:pPr>
        <w:spacing w:after="0" w:line="195" w:lineRule="exact"/>
        <w:rPr>
          <w:rFonts w:ascii="Times New Roman" w:cs="Times New Roman" w:eastAsia="Times New Roman" w:hAnsi="Times New Roman"/>
          <w:sz w:val="21"/>
          <w:szCs w:val="21"/>
          <w:color w:val="auto"/>
        </w:rPr>
      </w:pPr>
    </w:p>
    <w:p>
      <w:pPr>
        <w:ind w:left="3080" w:hanging="480"/>
        <w:spacing w:after="0"/>
        <w:tabs>
          <w:tab w:leader="none" w:pos="308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for a minimum of two</w:t>
      </w:r>
    </w:p>
    <w:p>
      <w:pPr>
        <w:spacing w:after="0" w:line="2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 maximum of seven (7) additional years from the previously-elected payment date;</w:t>
      </w:r>
    </w:p>
    <w:p>
      <w:pPr>
        <w:spacing w:after="0" w:line="196"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2"/>
          <w:szCs w:val="22"/>
          <w:color w:val="auto"/>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79" w:lineRule="exact"/>
        <w:rPr>
          <w:sz w:val="20"/>
          <w:szCs w:val="20"/>
          <w:color w:val="auto"/>
        </w:rPr>
      </w:pPr>
    </w:p>
    <w:p>
      <w:pPr>
        <w:ind w:left="2400" w:hanging="448"/>
        <w:spacing w:after="0"/>
        <w:tabs>
          <w:tab w:leader="none" w:pos="24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Surviving Spouses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40" w:firstLine="2600"/>
        <w:spacing w:after="0" w:line="250" w:lineRule="auto"/>
        <w:tabs>
          <w:tab w:leader="none" w:pos="301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w:t>
      </w:r>
    </w:p>
    <w:p>
      <w:pPr>
        <w:spacing w:after="0" w:line="180"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on or before December 31, 2020,</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for a minimum of two (2) and a maximum of ten (10) additional years from the previously-elected payment date;</w:t>
      </w:r>
    </w:p>
    <w:p>
      <w:pPr>
        <w:spacing w:after="0" w:line="195"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shall be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minimum of two (2) and a maximum of seven (7) additional years from the previously-elected payment date; or</w:t>
      </w:r>
    </w:p>
    <w:p>
      <w:pPr>
        <w:spacing w:after="0" w:line="195"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on or before December 31, 2020,</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Surviving Spouse may elect to defer payment until such Surviving Spouse’s death.</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22" w:right="379" w:bottom="1440" w:gutter="0" w:footer="0" w:header="0"/>
        </w:sectPr>
      </w:pPr>
    </w:p>
    <w:bookmarkStart w:id="190" w:name="page191"/>
    <w:bookmarkEnd w:id="190"/>
    <w:p>
      <w:pPr>
        <w:ind w:right="120" w:firstLine="2600"/>
        <w:spacing w:after="0" w:line="248" w:lineRule="auto"/>
        <w:tabs>
          <w:tab w:leader="none" w:pos="307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 Notwithstanding the above Section 3.5(c)(i),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w:t>
      </w:r>
    </w:p>
    <w:p>
      <w:pPr>
        <w:spacing w:after="0" w:line="186"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on or before December 31, 2020,</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for a minimum of two (2) and a maximum of ten (10) additional years from the previously-elected payment date;</w:t>
      </w:r>
    </w:p>
    <w:p>
      <w:pPr>
        <w:spacing w:after="0" w:line="195"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shall be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minimum of two (2) and a maximum of seven (7) additional years from the previously-elected payment date; or</w:t>
      </w:r>
    </w:p>
    <w:p>
      <w:pPr>
        <w:spacing w:after="0" w:line="195"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on or before December 31, 2020,</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Surviving Spouse may elect to defer payment until such Surviving Spouse’s death.</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179" w:lineRule="exact"/>
        <w:rPr>
          <w:sz w:val="20"/>
          <w:szCs w:val="20"/>
          <w:color w:val="auto"/>
        </w:rPr>
      </w:pPr>
    </w:p>
    <w:p>
      <w:pPr>
        <w:ind w:left="2420" w:hanging="468"/>
        <w:spacing w:after="0"/>
        <w:tabs>
          <w:tab w:leader="none" w:pos="24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 of a Deceased Participant Other Than a Surviving Spouse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2600"/>
        <w:spacing w:after="0" w:line="247" w:lineRule="auto"/>
        <w:tabs>
          <w:tab w:leader="none" w:pos="3012"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185" w:lineRule="exact"/>
        <w:rPr>
          <w:rFonts w:ascii="Times New Roman" w:cs="Times New Roman" w:eastAsia="Times New Roman" w:hAnsi="Times New Roman"/>
          <w:sz w:val="22"/>
          <w:szCs w:val="22"/>
          <w:color w:val="auto"/>
        </w:rPr>
      </w:pPr>
    </w:p>
    <w:p>
      <w:pPr>
        <w:jc w:val="both"/>
        <w:ind w:right="120" w:firstLine="2600"/>
        <w:spacing w:after="0" w:line="275" w:lineRule="auto"/>
        <w:tabs>
          <w:tab w:leader="none" w:pos="307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w:t>
      </w:r>
      <w:r>
        <w:rPr>
          <w:rFonts w:ascii="Times New Roman" w:cs="Times New Roman" w:eastAsia="Times New Roman" w:hAnsi="Times New Roman"/>
          <w:sz w:val="21"/>
          <w:szCs w:val="21"/>
          <w:color w:val="auto"/>
        </w:rPr>
        <w:t>. 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191" w:name="page192"/>
    <w:bookmarkEnd w:id="191"/>
    <w:p>
      <w:pPr>
        <w:ind w:right="220"/>
        <w:spacing w:after="0" w:line="257" w:lineRule="auto"/>
        <w:rPr>
          <w:sz w:val="20"/>
          <w:szCs w:val="20"/>
          <w:color w:val="auto"/>
        </w:rPr>
      </w:pPr>
      <w:r>
        <w:rPr>
          <w:rFonts w:ascii="Times New Roman" w:cs="Times New Roman" w:eastAsia="Times New Roman" w:hAnsi="Times New Roman"/>
          <w:sz w:val="22"/>
          <w:szCs w:val="22"/>
          <w:color w:val="auto"/>
        </w:rPr>
        <w:t>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w:t>
      </w:r>
    </w:p>
    <w:p>
      <w:pPr>
        <w:spacing w:after="0" w:line="173" w:lineRule="exact"/>
        <w:rPr>
          <w:sz w:val="20"/>
          <w:szCs w:val="20"/>
          <w:color w:val="auto"/>
        </w:rPr>
      </w:pPr>
    </w:p>
    <w:p>
      <w:pPr>
        <w:ind w:left="4400" w:hanging="504"/>
        <w:spacing w:after="0"/>
        <w:tabs>
          <w:tab w:leader="none" w:pos="44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on or before December 31, 2020,</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minimum of two (2) and a maximum of ten (10) additional years from the previously-elected payment date;</w:t>
      </w:r>
    </w:p>
    <w:p>
      <w:pPr>
        <w:spacing w:after="0" w:line="195" w:lineRule="exact"/>
        <w:rPr>
          <w:rFonts w:ascii="Times New Roman" w:cs="Times New Roman" w:eastAsia="Times New Roman" w:hAnsi="Times New Roman"/>
          <w:sz w:val="22"/>
          <w:szCs w:val="22"/>
          <w:color w:val="auto"/>
        </w:rPr>
      </w:pPr>
    </w:p>
    <w:p>
      <w:pPr>
        <w:ind w:left="4400" w:hanging="504"/>
        <w:spacing w:after="0"/>
        <w:tabs>
          <w:tab w:leader="none" w:pos="44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for a</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of two (2) and a maximum of seven (7) additional years from the previously-elected payment date;</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73" w:lineRule="exact"/>
        <w:rPr>
          <w:sz w:val="20"/>
          <w:szCs w:val="20"/>
          <w:color w:val="auto"/>
        </w:rPr>
      </w:pPr>
    </w:p>
    <w:p>
      <w:pPr>
        <w:jc w:val="both"/>
        <w:ind w:right="260" w:firstLine="1952"/>
        <w:spacing w:after="0" w:line="252" w:lineRule="auto"/>
        <w:tabs>
          <w:tab w:leader="none" w:pos="24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Deferral and Acceleration by a Beneficiary</w:t>
      </w:r>
      <w:r>
        <w:rPr>
          <w:rFonts w:ascii="Times New Roman" w:cs="Times New Roman" w:eastAsia="Times New Roman" w:hAnsi="Times New Roman"/>
          <w:sz w:val="22"/>
          <w:szCs w:val="22"/>
          <w:color w:val="auto"/>
        </w:rPr>
        <w:t>.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79" w:lineRule="exact"/>
        <w:rPr>
          <w:rFonts w:ascii="Times New Roman" w:cs="Times New Roman" w:eastAsia="Times New Roman" w:hAnsi="Times New Roman"/>
          <w:sz w:val="22"/>
          <w:szCs w:val="22"/>
          <w:color w:val="auto"/>
        </w:rPr>
      </w:pPr>
    </w:p>
    <w:p>
      <w:pPr>
        <w:ind w:right="20" w:firstLine="2600"/>
        <w:spacing w:after="0" w:line="250" w:lineRule="auto"/>
        <w:tabs>
          <w:tab w:leader="none" w:pos="301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80" w:lineRule="exact"/>
        <w:rPr>
          <w:rFonts w:ascii="Times New Roman" w:cs="Times New Roman" w:eastAsia="Times New Roman" w:hAnsi="Times New Roman"/>
          <w:sz w:val="22"/>
          <w:szCs w:val="22"/>
          <w:color w:val="auto"/>
        </w:rPr>
      </w:pPr>
    </w:p>
    <w:p>
      <w:pPr>
        <w:ind w:firstLine="2600"/>
        <w:spacing w:after="0" w:line="248" w:lineRule="auto"/>
        <w:tabs>
          <w:tab w:leader="none" w:pos="30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8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92" w:name="page193"/>
    <w:bookmarkEnd w:id="192"/>
    <w:p>
      <w:pPr>
        <w:ind w:right="80" w:firstLine="1952"/>
        <w:spacing w:after="0" w:line="246" w:lineRule="auto"/>
        <w:tabs>
          <w:tab w:leader="none" w:pos="237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Disabled Participant</w:t>
      </w:r>
      <w:r>
        <w:rPr>
          <w:rFonts w:ascii="Times New Roman" w:cs="Times New Roman" w:eastAsia="Times New Roman" w:hAnsi="Times New Roman"/>
          <w:sz w:val="22"/>
          <w:szCs w:val="22"/>
          <w:color w:val="auto"/>
        </w:rPr>
        <w: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87" w:lineRule="exact"/>
        <w:rPr>
          <w:rFonts w:ascii="Times New Roman" w:cs="Times New Roman" w:eastAsia="Times New Roman" w:hAnsi="Times New Roman"/>
          <w:sz w:val="22"/>
          <w:szCs w:val="22"/>
          <w:color w:val="auto"/>
        </w:rPr>
      </w:pPr>
    </w:p>
    <w:p>
      <w:pPr>
        <w:ind w:right="20" w:firstLine="1952"/>
        <w:spacing w:after="0" w:line="246" w:lineRule="auto"/>
        <w:tabs>
          <w:tab w:leader="none" w:pos="241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Retired Participant</w:t>
      </w:r>
      <w:r>
        <w:rPr>
          <w:rFonts w:ascii="Times New Roman" w:cs="Times New Roman" w:eastAsia="Times New Roman" w:hAnsi="Times New Roman"/>
          <w:sz w:val="22"/>
          <w:szCs w:val="22"/>
          <w:color w:val="auto"/>
        </w:rPr>
        <w: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87" w:lineRule="exact"/>
        <w:rPr>
          <w:rFonts w:ascii="Times New Roman" w:cs="Times New Roman" w:eastAsia="Times New Roman" w:hAnsi="Times New Roman"/>
          <w:sz w:val="22"/>
          <w:szCs w:val="22"/>
          <w:color w:val="auto"/>
        </w:rPr>
      </w:pPr>
    </w:p>
    <w:p>
      <w:pPr>
        <w:ind w:firstLine="1952"/>
        <w:spacing w:after="0" w:line="252" w:lineRule="auto"/>
        <w:tabs>
          <w:tab w:leader="none" w:pos="241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Retired Participants and Disabled Participants</w:t>
      </w:r>
      <w:r>
        <w:rPr>
          <w:rFonts w:ascii="Times New Roman" w:cs="Times New Roman" w:eastAsia="Times New Roman" w:hAnsi="Times New Roman"/>
          <w:sz w:val="22"/>
          <w:szCs w:val="22"/>
          <w:color w:val="auto"/>
        </w:rPr>
        <w:t>.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w:t>
      </w:r>
    </w:p>
    <w:p>
      <w:pPr>
        <w:spacing w:after="0" w:line="179"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Subsequent Elections filed on or before December 31, 2020, for a minimum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two (2) and a maximum of ten (10) additional years from the previously-elected payment date;</w:t>
      </w:r>
    </w:p>
    <w:p>
      <w:pPr>
        <w:spacing w:after="0" w:line="195" w:lineRule="exact"/>
        <w:rPr>
          <w:rFonts w:ascii="Times New Roman" w:cs="Times New Roman" w:eastAsia="Times New Roman" w:hAnsi="Times New Roman"/>
          <w:sz w:val="21"/>
          <w:szCs w:val="21"/>
          <w:color w:val="auto"/>
        </w:rPr>
      </w:pPr>
    </w:p>
    <w:p>
      <w:pPr>
        <w:ind w:left="3080" w:hanging="480"/>
        <w:spacing w:after="0"/>
        <w:tabs>
          <w:tab w:leader="none" w:pos="3080"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for a minimum of two</w:t>
      </w:r>
    </w:p>
    <w:p>
      <w:pPr>
        <w:spacing w:after="0" w:line="2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 maximum of seven (7) additional years from the previously-elected payment date;</w:t>
      </w:r>
    </w:p>
    <w:p>
      <w:pPr>
        <w:spacing w:after="0" w:line="196"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22"/>
          <w:szCs w:val="22"/>
          <w:color w:val="auto"/>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93" w:name="page194"/>
    <w:bookmarkEnd w:id="193"/>
    <w:p>
      <w:pPr>
        <w:ind w:firstLine="1952"/>
        <w:spacing w:after="0" w:line="252" w:lineRule="auto"/>
        <w:tabs>
          <w:tab w:leader="none" w:pos="236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Most Recently Filed Initial Election or Subsequent Election Controlling</w:t>
      </w:r>
      <w:r>
        <w:rPr>
          <w:rFonts w:ascii="Times New Roman" w:cs="Times New Roman" w:eastAsia="Times New Roman" w:hAnsi="Times New Roman"/>
          <w:sz w:val="22"/>
          <w:szCs w:val="22"/>
          <w:color w:val="auto"/>
        </w:rPr>
        <w:t>.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79"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Distribution in Full Upon Terminating Event</w:t>
      </w:r>
      <w:r>
        <w:rPr>
          <w:rFonts w:ascii="Times New Roman" w:cs="Times New Roman" w:eastAsia="Times New Roman" w:hAnsi="Times New Roman"/>
          <w:sz w:val="22"/>
          <w:szCs w:val="22"/>
          <w:color w:val="auto"/>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Withholding and Payment of Death 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1952"/>
        <w:spacing w:after="0" w:line="250" w:lineRule="auto"/>
        <w:tabs>
          <w:tab w:leader="none" w:pos="24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8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Decedent affirmatively has elected, pursuant to Section 3.7(a), that the terms of this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3.7(b) not apply:</w:t>
      </w:r>
    </w:p>
    <w:p>
      <w:pPr>
        <w:spacing w:after="0" w:line="195" w:lineRule="exact"/>
        <w:rPr>
          <w:rFonts w:ascii="Times New Roman" w:cs="Times New Roman" w:eastAsia="Times New Roman" w:hAnsi="Times New Roman"/>
          <w:sz w:val="22"/>
          <w:szCs w:val="22"/>
          <w:color w:val="auto"/>
        </w:rPr>
      </w:pPr>
    </w:p>
    <w:p>
      <w:pPr>
        <w:jc w:val="both"/>
        <w:ind w:right="40" w:firstLine="2600"/>
        <w:spacing w:after="0" w:line="257" w:lineRule="auto"/>
        <w:tabs>
          <w:tab w:leader="none" w:pos="3008"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2" w:lineRule="exact"/>
        <w:rPr>
          <w:rFonts w:ascii="Times New Roman" w:cs="Times New Roman" w:eastAsia="Times New Roman" w:hAnsi="Times New Roman"/>
          <w:sz w:val="22"/>
          <w:szCs w:val="22"/>
          <w:color w:val="auto"/>
        </w:rPr>
      </w:pPr>
    </w:p>
    <w:p>
      <w:pPr>
        <w:ind w:right="100" w:firstLine="2600"/>
        <w:spacing w:after="0" w:line="271" w:lineRule="auto"/>
        <w:tabs>
          <w:tab w:leader="none" w:pos="3068"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defer payment of the Decedent’s Account until the later of the Death Tax Clearance Date and the payment date designated in the Decedent’s Initial Election or Subsequent Election;</w:t>
      </w:r>
    </w:p>
    <w:p>
      <w:pPr>
        <w:spacing w:after="0" w:line="157" w:lineRule="exact"/>
        <w:rPr>
          <w:rFonts w:ascii="Times New Roman" w:cs="Times New Roman" w:eastAsia="Times New Roman" w:hAnsi="Times New Roman"/>
          <w:sz w:val="22"/>
          <w:szCs w:val="22"/>
          <w:color w:val="auto"/>
        </w:rPr>
      </w:pPr>
    </w:p>
    <w:p>
      <w:pPr>
        <w:ind w:right="140" w:firstLine="2600"/>
        <w:spacing w:after="0" w:line="250" w:lineRule="auto"/>
        <w:tabs>
          <w:tab w:leader="none" w:pos="3128"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80" w:lineRule="exact"/>
        <w:rPr>
          <w:rFonts w:ascii="Times New Roman" w:cs="Times New Roman" w:eastAsia="Times New Roman" w:hAnsi="Times New Roman"/>
          <w:sz w:val="22"/>
          <w:szCs w:val="22"/>
          <w:color w:val="auto"/>
        </w:rPr>
      </w:pPr>
    </w:p>
    <w:p>
      <w:pPr>
        <w:ind w:right="80" w:firstLine="2600"/>
        <w:spacing w:after="0" w:line="257" w:lineRule="auto"/>
        <w:tabs>
          <w:tab w:leader="none" w:pos="312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Administrator makes a withdrawal from the Decedent’s Account to pay the Decedent’s Death Taxes and such withdrawal causes the recognition of income to the Beneficiary, the Administrator shall pay to the Beneficiary from the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22" w:right="359" w:bottom="1440" w:gutter="0" w:footer="0" w:header="0"/>
        </w:sectPr>
      </w:pPr>
    </w:p>
    <w:bookmarkStart w:id="194" w:name="page195"/>
    <w:bookmarkEnd w:id="194"/>
    <w:p>
      <w:pPr>
        <w:ind w:right="160"/>
        <w:spacing w:after="0" w:line="265" w:lineRule="auto"/>
        <w:rPr>
          <w:sz w:val="20"/>
          <w:szCs w:val="20"/>
          <w:color w:val="auto"/>
        </w:rPr>
      </w:pPr>
      <w:r>
        <w:rPr>
          <w:rFonts w:ascii="Times New Roman" w:cs="Times New Roman" w:eastAsia="Times New Roman" w:hAnsi="Times New Roman"/>
          <w:sz w:val="21"/>
          <w:szCs w:val="21"/>
          <w:color w:val="auto"/>
        </w:rPr>
        <w:t>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65" w:lineRule="exact"/>
        <w:rPr>
          <w:sz w:val="20"/>
          <w:szCs w:val="20"/>
          <w:color w:val="auto"/>
        </w:rPr>
      </w:pPr>
    </w:p>
    <w:p>
      <w:pPr>
        <w:ind w:right="120" w:firstLine="2600"/>
        <w:spacing w:after="0" w:line="257" w:lineRule="auto"/>
        <w:tabs>
          <w:tab w:leader="none" w:pos="304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72" w:lineRule="exact"/>
        <w:rPr>
          <w:rFonts w:ascii="Times New Roman" w:cs="Times New Roman" w:eastAsia="Times New Roman" w:hAnsi="Times New Roman"/>
          <w:sz w:val="22"/>
          <w:szCs w:val="22"/>
          <w:color w:val="auto"/>
        </w:rPr>
      </w:pPr>
    </w:p>
    <w:p>
      <w:pPr>
        <w:ind w:right="300" w:firstLine="2600"/>
        <w:spacing w:after="0" w:line="257" w:lineRule="auto"/>
        <w:tabs>
          <w:tab w:leader="none" w:pos="311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69" w:lineRule="exact"/>
        <w:rPr>
          <w:sz w:val="20"/>
          <w:szCs w:val="20"/>
          <w:color w:val="auto"/>
        </w:rPr>
      </w:pPr>
    </w:p>
    <w:p>
      <w:pPr>
        <w:ind w:left="1300" w:right="3420" w:firstLine="2155"/>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4 – MANNER OF DISTRIBUTION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Manner of Distribution</w:t>
      </w:r>
      <w:r>
        <w:rPr>
          <w:rFonts w:ascii="Times New Roman" w:cs="Times New Roman" w:eastAsia="Times New Roman" w:hAnsi="Times New Roman"/>
          <w:sz w:val="22"/>
          <w:szCs w:val="22"/>
          <w:color w:val="auto"/>
        </w:rPr>
        <w:t>.</w:t>
      </w:r>
    </w:p>
    <w:p>
      <w:pPr>
        <w:ind w:left="2400" w:hanging="448"/>
        <w:spacing w:after="0"/>
        <w:tabs>
          <w:tab w:leader="none" w:pos="24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credited to an Account shall be distributed:</w:t>
      </w:r>
    </w:p>
    <w:p>
      <w:pPr>
        <w:spacing w:after="0" w:line="219" w:lineRule="exact"/>
        <w:rPr>
          <w:rFonts w:ascii="Times New Roman" w:cs="Times New Roman" w:eastAsia="Times New Roman" w:hAnsi="Times New Roman"/>
          <w:sz w:val="22"/>
          <w:szCs w:val="22"/>
          <w:color w:val="auto"/>
        </w:rPr>
      </w:pPr>
    </w:p>
    <w:p>
      <w:pPr>
        <w:jc w:val="both"/>
        <w:ind w:firstLine="2600"/>
        <w:spacing w:after="0" w:line="257" w:lineRule="auto"/>
        <w:tabs>
          <w:tab w:leader="none" w:pos="3008"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Initial Elections or Subsequent Elections filed on or before December 31, 2020 in either (i) a lump sum payment or (ii) substantially equal annual installments over a five (5), ten (10) or fifteen (15) year period or (iii) substantially equal monthly installments over a period not exceeding fifteen (15) years.</w:t>
      </w:r>
    </w:p>
    <w:p>
      <w:pPr>
        <w:spacing w:after="0" w:line="172" w:lineRule="exact"/>
        <w:rPr>
          <w:rFonts w:ascii="Times New Roman" w:cs="Times New Roman" w:eastAsia="Times New Roman" w:hAnsi="Times New Roman"/>
          <w:sz w:val="22"/>
          <w:szCs w:val="22"/>
          <w:color w:val="auto"/>
        </w:rPr>
      </w:pPr>
    </w:p>
    <w:p>
      <w:pPr>
        <w:ind w:right="20" w:firstLine="2600"/>
        <w:spacing w:after="0" w:line="257" w:lineRule="auto"/>
        <w:tabs>
          <w:tab w:leader="none" w:pos="3068"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Subsequent Elections filed after December 31, 2020, in either (i) a lump sum payment or (ii) substantially equal annual installments over a five- (5) or ten- (10) year period or (iii) substantially equal monthly installments over a period not exceeding ten (10)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Installment distributions payable in the form of shares of Company Stock shall be rounded to the nearest whole share.</w:t>
      </w:r>
    </w:p>
    <w:p>
      <w:pPr>
        <w:spacing w:after="0" w:line="220" w:lineRule="exact"/>
        <w:rPr>
          <w:sz w:val="20"/>
          <w:szCs w:val="20"/>
          <w:color w:val="auto"/>
        </w:rPr>
      </w:pPr>
    </w:p>
    <w:p>
      <w:pPr>
        <w:ind w:left="2420" w:hanging="468"/>
        <w:spacing w:after="0"/>
        <w:tabs>
          <w:tab w:leader="none" w:pos="24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Initial Election or Subsequent Election or any other provision of the Plan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contrary:</w:t>
      </w:r>
    </w:p>
    <w:p>
      <w:pPr>
        <w:spacing w:after="0" w:line="196" w:lineRule="exact"/>
        <w:rPr>
          <w:sz w:val="20"/>
          <w:szCs w:val="20"/>
          <w:color w:val="auto"/>
        </w:rPr>
      </w:pPr>
    </w:p>
    <w:p>
      <w:pPr>
        <w:ind w:right="180" w:firstLine="2600"/>
        <w:spacing w:after="0" w:line="257" w:lineRule="auto"/>
        <w:tabs>
          <w:tab w:leader="none" w:pos="301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72" w:lineRule="exact"/>
        <w:rPr>
          <w:rFonts w:ascii="Times New Roman" w:cs="Times New Roman" w:eastAsia="Times New Roman" w:hAnsi="Times New Roman"/>
          <w:sz w:val="22"/>
          <w:szCs w:val="22"/>
          <w:color w:val="auto"/>
        </w:rPr>
      </w:pPr>
    </w:p>
    <w:p>
      <w:pPr>
        <w:jc w:val="both"/>
        <w:ind w:right="60" w:firstLine="2600"/>
        <w:spacing w:after="0" w:line="257" w:lineRule="auto"/>
        <w:tabs>
          <w:tab w:leader="none" w:pos="307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Participant’s termination of employment for any reason, if the amount credited to the Participant’s Account has a value of $25,000 or less, the Administrator may, in its sole discretion, direct that such amount be distributed to the Participant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422" w:right="379" w:bottom="1440" w:gutter="0" w:footer="0" w:header="0"/>
        </w:sectPr>
      </w:pPr>
    </w:p>
    <w:bookmarkStart w:id="195" w:name="page196"/>
    <w:bookmarkEnd w:id="195"/>
    <w:p>
      <w:pPr>
        <w:ind w:right="340"/>
        <w:spacing w:after="0" w:line="257" w:lineRule="auto"/>
        <w:rPr>
          <w:sz w:val="20"/>
          <w:szCs w:val="20"/>
          <w:color w:val="auto"/>
        </w:rPr>
      </w:pPr>
      <w:r>
        <w:rPr>
          <w:rFonts w:ascii="Times New Roman" w:cs="Times New Roman" w:eastAsia="Times New Roman" w:hAnsi="Times New Roman"/>
          <w:sz w:val="22"/>
          <w:szCs w:val="22"/>
          <w:color w:val="auto"/>
        </w:rPr>
        <w:t>(or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73" w:lineRule="exact"/>
        <w:rPr>
          <w:sz w:val="20"/>
          <w:szCs w:val="20"/>
          <w:color w:val="auto"/>
        </w:rPr>
      </w:pPr>
    </w:p>
    <w:p>
      <w:pPr>
        <w:ind w:right="20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Determination of Account Balances for Purposes of Distribution</w:t>
      </w:r>
      <w:r>
        <w:rPr>
          <w:rFonts w:ascii="Times New Roman" w:cs="Times New Roman" w:eastAsia="Times New Roman" w:hAnsi="Times New Roman"/>
          <w:sz w:val="22"/>
          <w:szCs w:val="22"/>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79"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Plan-to-Plan Transfers</w:t>
      </w:r>
      <w:r>
        <w:rPr>
          <w:rFonts w:ascii="Times New Roman" w:cs="Times New Roman" w:eastAsia="Times New Roman" w:hAnsi="Times New Roman"/>
          <w:sz w:val="22"/>
          <w:szCs w:val="22"/>
          <w:color w:val="auto"/>
        </w:rPr>
        <w:t>. The Administrator may delegate its authority to arrange for plan-to-plan transfers as described in this Section 4.3 to an officer of the Company or committee of two or more officers of the Company.</w:t>
      </w:r>
    </w:p>
    <w:p>
      <w:pPr>
        <w:spacing w:after="0" w:line="158" w:lineRule="exact"/>
        <w:rPr>
          <w:sz w:val="20"/>
          <w:szCs w:val="20"/>
          <w:color w:val="auto"/>
        </w:rPr>
      </w:pPr>
    </w:p>
    <w:p>
      <w:pPr>
        <w:ind w:firstLine="1952"/>
        <w:spacing w:after="0" w:line="248" w:lineRule="auto"/>
        <w:tabs>
          <w:tab w:leader="none" w:pos="239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82" w:lineRule="exact"/>
        <w:rPr>
          <w:rFonts w:ascii="Times New Roman" w:cs="Times New Roman" w:eastAsia="Times New Roman" w:hAnsi="Times New Roman"/>
          <w:sz w:val="22"/>
          <w:szCs w:val="22"/>
          <w:color w:val="auto"/>
        </w:rPr>
      </w:pPr>
    </w:p>
    <w:p>
      <w:pPr>
        <w:ind w:right="40" w:firstLine="1952"/>
        <w:spacing w:after="0" w:line="249" w:lineRule="auto"/>
        <w:tabs>
          <w:tab w:leader="none" w:pos="241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Q-A 19(c) of </w:t>
      </w:r>
      <w:r>
        <w:rPr>
          <w:rFonts w:ascii="Times New Roman" w:cs="Times New Roman" w:eastAsia="Times New Roman" w:hAnsi="Times New Roman"/>
          <w:sz w:val="22"/>
          <w:szCs w:val="22"/>
          <w:i w:val="1"/>
          <w:iCs w:val="1"/>
          <w:color w:val="auto"/>
        </w:rPr>
        <w:t>IRS Notice 2005-1</w:t>
      </w:r>
      <w:r>
        <w:rPr>
          <w:rFonts w:ascii="Times New Roman" w:cs="Times New Roman" w:eastAsia="Times New Roman" w:hAnsi="Times New Roman"/>
          <w:sz w:val="22"/>
          <w:szCs w:val="22"/>
          <w:color w:val="auto"/>
        </w:rPr>
        <w:t>,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 2005 Deferred Compensation Plan, provided that following the completion of such new payment election, such amounts shall not be treated as grandfathered benefits under this Plan, but instead shall be treated as non-grandfathered benefits, subject to the rules of the Comcast Corporation 2005 Deferred Compensation Plan.</w:t>
      </w:r>
    </w:p>
    <w:p>
      <w:pPr>
        <w:spacing w:after="0" w:line="184"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Supplemental RIP Legacy Accounts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60" w:firstLine="1952"/>
        <w:spacing w:after="0" w:line="295" w:lineRule="auto"/>
        <w:tabs>
          <w:tab w:leader="none" w:pos="240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Adjustment</w:t>
      </w:r>
      <w:r>
        <w:rPr>
          <w:rFonts w:ascii="Times New Roman" w:cs="Times New Roman" w:eastAsia="Times New Roman" w:hAnsi="Times New Roman"/>
          <w:sz w:val="21"/>
          <w:szCs w:val="21"/>
          <w:color w:val="auto"/>
        </w:rPr>
        <w:t>. As of the last day of each calendar year, each Supplemental RIP Legacy Account shall be adjusted as if such Account were invested at the rate of 12% per annum, compounded annually.</w:t>
      </w:r>
    </w:p>
    <w:p>
      <w:pPr>
        <w:spacing w:after="0" w:line="135" w:lineRule="exact"/>
        <w:rPr>
          <w:rFonts w:ascii="Times New Roman" w:cs="Times New Roman" w:eastAsia="Times New Roman" w:hAnsi="Times New Roman"/>
          <w:sz w:val="21"/>
          <w:szCs w:val="21"/>
          <w:color w:val="auto"/>
        </w:rPr>
      </w:pPr>
    </w:p>
    <w:p>
      <w:pPr>
        <w:ind w:right="180" w:firstLine="1952"/>
        <w:spacing w:after="0" w:line="252" w:lineRule="auto"/>
        <w:tabs>
          <w:tab w:leader="none" w:pos="241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 Participant with respect to whom a Supplemental RIP Legacy Account has been established under the Plan and whose employment terminates for any reason shall receive distribution of the Participant’s entire Supplemental RIP Legacy Account in one lump sum as soon after such termination of employment as is administratively feasible. The amount distributed shall be the balance of the Participant’s Supplemental RIP Legacy Account as of the preceding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increased by one percent for each completed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22" w:right="359" w:bottom="1440" w:gutter="0" w:footer="0" w:header="0"/>
        </w:sectPr>
      </w:pPr>
    </w:p>
    <w:bookmarkStart w:id="196" w:name="page197"/>
    <w:bookmarkEnd w:id="196"/>
    <w:p>
      <w:pPr>
        <w:ind w:right="380"/>
        <w:spacing w:after="0" w:line="271" w:lineRule="auto"/>
        <w:rPr>
          <w:sz w:val="20"/>
          <w:szCs w:val="20"/>
          <w:color w:val="auto"/>
        </w:rPr>
      </w:pPr>
      <w:r>
        <w:rPr>
          <w:rFonts w:ascii="Times New Roman" w:cs="Times New Roman" w:eastAsia="Times New Roman" w:hAnsi="Times New Roman"/>
          <w:sz w:val="22"/>
          <w:szCs w:val="22"/>
          <w:color w:val="auto"/>
        </w:rPr>
        <w:t>month in the year of distribution preceding the date on which distribution is made, reduced by any applicable payroll taxes or required tax withholding.</w:t>
      </w:r>
    </w:p>
    <w:p>
      <w:pPr>
        <w:spacing w:after="0" w:line="1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ARTICLE 5 – BOOK ACCOUNTS</w:t>
      </w:r>
    </w:p>
    <w:p>
      <w:pPr>
        <w:spacing w:after="0" w:line="22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Deferred Compensation Account</w:t>
      </w:r>
      <w:r>
        <w:rPr>
          <w:rFonts w:ascii="Times New Roman" w:cs="Times New Roman" w:eastAsia="Times New Roman" w:hAnsi="Times New Roman"/>
          <w:sz w:val="22"/>
          <w:szCs w:val="22"/>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7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Crediting of Income, Gains and Losses on Accounts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40" w:firstLine="1952"/>
        <w:spacing w:after="0" w:line="271" w:lineRule="auto"/>
        <w:tabs>
          <w:tab w:leader="none" w:pos="24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this Section 5.2, the Administrator shall credit income, gains and losses with respect to each Participant’s Account as if it were invested in the Income Fund.</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Fund Elections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280" w:firstLine="2600"/>
        <w:spacing w:after="0" w:line="262" w:lineRule="auto"/>
        <w:tabs>
          <w:tab w:leader="none" w:pos="3012"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amounts credited to the Accounts of Participants who are Outside Directors who have elected to defer the receipt of Compensation payable in the form of Company Stock, all amounts credited to Participants’ Accounts on and after July 9, 2002 shall be credited with income, gains and losses as if it were invested in the Income Fund.</w:t>
      </w:r>
    </w:p>
    <w:p>
      <w:pPr>
        <w:spacing w:after="0" w:line="2" w:lineRule="exact"/>
        <w:rPr>
          <w:rFonts w:ascii="Times New Roman" w:cs="Times New Roman" w:eastAsia="Times New Roman" w:hAnsi="Times New Roman"/>
          <w:sz w:val="21"/>
          <w:szCs w:val="21"/>
          <w:color w:val="auto"/>
        </w:rPr>
      </w:pPr>
    </w:p>
    <w:p>
      <w:pPr>
        <w:ind w:right="2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Each Participant who, as of July 9, 2002, has all or any portion of his or her Account credited with income, gains and losses as if it were invested in the Company Stock Fund may direct, as of any business day, to have all or any portion of the amount credited to the Company Stock Fund deemed transferred to the Income Fund, in accordance with procedures established by the Administrator from time to time. No portion of the Participant’s Account credited to the Income Fund may be deemed transferred to the Company Stock Fund.</w:t>
      </w:r>
    </w:p>
    <w:p>
      <w:pPr>
        <w:spacing w:after="0" w:line="188" w:lineRule="exact"/>
        <w:rPr>
          <w:rFonts w:ascii="Times New Roman" w:cs="Times New Roman" w:eastAsia="Times New Roman" w:hAnsi="Times New Roman"/>
          <w:sz w:val="21"/>
          <w:szCs w:val="21"/>
          <w:color w:val="auto"/>
        </w:rPr>
      </w:pPr>
    </w:p>
    <w:p>
      <w:pPr>
        <w:ind w:right="40" w:firstLine="2600"/>
        <w:spacing w:after="0" w:line="246" w:lineRule="auto"/>
        <w:tabs>
          <w:tab w:leader="none" w:pos="3068"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amounts credited to Participants’ 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190" w:lineRule="exact"/>
        <w:rPr>
          <w:rFonts w:ascii="Times New Roman" w:cs="Times New Roman" w:eastAsia="Times New Roman" w:hAnsi="Times New Roman"/>
          <w:sz w:val="22"/>
          <w:szCs w:val="22"/>
          <w:color w:val="auto"/>
        </w:rPr>
      </w:pPr>
    </w:p>
    <w:p>
      <w:pPr>
        <w:ind w:right="200" w:firstLine="2600"/>
        <w:spacing w:after="0" w:line="271" w:lineRule="auto"/>
        <w:tabs>
          <w:tab w:leader="none" w:pos="313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fund elections under this Section 5.2(b) shall be effective as soon as practicable following the Participant’s election, pursuant to procedures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22" w:right="359" w:bottom="1440" w:gutter="0" w:footer="0" w:header="0"/>
        </w:sectPr>
      </w:pPr>
    </w:p>
    <w:bookmarkStart w:id="197" w:name="page198"/>
    <w:bookmarkEnd w:id="197"/>
    <w:p>
      <w:pPr>
        <w:ind w:right="40"/>
        <w:spacing w:after="0" w:line="271" w:lineRule="auto"/>
        <w:rPr>
          <w:sz w:val="20"/>
          <w:szCs w:val="20"/>
          <w:color w:val="auto"/>
        </w:rPr>
      </w:pPr>
      <w:r>
        <w:rPr>
          <w:rFonts w:ascii="Times New Roman" w:cs="Times New Roman" w:eastAsia="Times New Roman" w:hAnsi="Times New Roman"/>
          <w:sz w:val="22"/>
          <w:szCs w:val="22"/>
          <w:color w:val="auto"/>
        </w:rPr>
        <w:t>established by the Administrator. An Active Participant may not make an investment fund election with respect to Compensation to be deferred for a calendar year.</w:t>
      </w:r>
    </w:p>
    <w:p>
      <w:pPr>
        <w:spacing w:after="0" w:line="158" w:lineRule="exact"/>
        <w:rPr>
          <w:sz w:val="20"/>
          <w:szCs w:val="20"/>
          <w:color w:val="auto"/>
        </w:rPr>
      </w:pPr>
    </w:p>
    <w:p>
      <w:pPr>
        <w:jc w:val="both"/>
        <w:ind w:right="100" w:firstLine="2592"/>
        <w:spacing w:after="0" w:line="252" w:lineRule="auto"/>
        <w:rPr>
          <w:sz w:val="20"/>
          <w:szCs w:val="20"/>
          <w:color w:val="auto"/>
        </w:rPr>
      </w:pPr>
      <w:r>
        <w:rPr>
          <w:rFonts w:ascii="Times New Roman" w:cs="Times New Roman" w:eastAsia="Times New Roman" w:hAnsi="Times New Roman"/>
          <w:sz w:val="22"/>
          <w:szCs w:val="22"/>
          <w:color w:val="auto"/>
        </w:rPr>
        <w:t>(iv)Except for amounts described in Section 5.2(c), 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79" w:lineRule="exact"/>
        <w:rPr>
          <w:sz w:val="20"/>
          <w:szCs w:val="20"/>
          <w:color w:val="auto"/>
        </w:rPr>
      </w:pPr>
    </w:p>
    <w:p>
      <w:pPr>
        <w:ind w:firstLine="1952"/>
        <w:spacing w:after="0" w:line="248" w:lineRule="auto"/>
        <w:tabs>
          <w:tab w:leader="none" w:pos="24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Director Stock Fund Credits</w:t>
      </w:r>
      <w:r>
        <w:rPr>
          <w:rFonts w:ascii="Times New Roman" w:cs="Times New Roman" w:eastAsia="Times New Roman" w:hAnsi="Times New Roman"/>
          <w:sz w:val="22"/>
          <w:szCs w:val="22"/>
          <w:color w:val="auto"/>
        </w:rPr>
        <w:t>. Amounts credited to the Accounts of Outside Directors in the form of Company Stock shall be credited with income, gains and losses as if they were invested in the Company Stock Fund. No portion of such Participant’s Account attributable to amounts credited after December 31, 2002 to the Company 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186" w:lineRule="exact"/>
        <w:rPr>
          <w:rFonts w:ascii="Times New Roman" w:cs="Times New Roman" w:eastAsia="Times New Roman" w:hAnsi="Times New Roman"/>
          <w:sz w:val="22"/>
          <w:szCs w:val="22"/>
          <w:color w:val="auto"/>
        </w:rPr>
      </w:pPr>
    </w:p>
    <w:p>
      <w:pPr>
        <w:ind w:right="140" w:firstLine="1952"/>
        <w:spacing w:after="0" w:line="265" w:lineRule="auto"/>
        <w:tabs>
          <w:tab w:leader="none" w:pos="241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of Credits</w:t>
      </w:r>
      <w:r>
        <w:rPr>
          <w:rFonts w:ascii="Times New Roman" w:cs="Times New Roman" w:eastAsia="Times New Roman" w:hAnsi="Times New Roman"/>
          <w:sz w:val="21"/>
          <w:szCs w:val="21"/>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65" w:lineRule="exact"/>
        <w:rPr>
          <w:sz w:val="20"/>
          <w:szCs w:val="20"/>
          <w:color w:val="auto"/>
        </w:rPr>
      </w:pPr>
    </w:p>
    <w:p>
      <w:pPr>
        <w:ind w:right="44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Status of Deferred Amounts</w:t>
      </w:r>
      <w:r>
        <w:rPr>
          <w:rFonts w:ascii="Times New Roman" w:cs="Times New Roman" w:eastAsia="Times New Roman" w:hAnsi="Times New Roman"/>
          <w:sz w:val="21"/>
          <w:szCs w:val="21"/>
          <w:color w:val="auto"/>
        </w:rPr>
        <w:t>. Regardless of whether or not the Company is a Participant’s employer, all Compensation deferred under this Plan shall continue for all purposes to be a part of the general funds of the Company.</w:t>
      </w:r>
    </w:p>
    <w:p>
      <w:pPr>
        <w:spacing w:after="0" w:line="135"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Participants’ Status as General Creditors</w:t>
      </w:r>
      <w:r>
        <w:rPr>
          <w:rFonts w:ascii="Times New Roman" w:cs="Times New Roman" w:eastAsia="Times New Roman" w:hAnsi="Times New Roman"/>
          <w:sz w:val="22"/>
          <w:szCs w:val="22"/>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ARTICLE 6 – NO ALIENATION OF BENEFITS; PAYEE DESIGNATION</w:t>
      </w:r>
    </w:p>
    <w:p>
      <w:pPr>
        <w:spacing w:after="0" w:line="224"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00"/>
          </w:cols>
          <w:pgMar w:left="320" w:top="1422" w:right="379" w:bottom="1440" w:gutter="0" w:footer="0" w:header="0"/>
        </w:sectPr>
      </w:pPr>
    </w:p>
    <w:bookmarkStart w:id="198" w:name="page199"/>
    <w:bookmarkEnd w:id="198"/>
    <w:p>
      <w:pPr>
        <w:ind w:right="40"/>
        <w:spacing w:after="0" w:line="263" w:lineRule="auto"/>
        <w:rPr>
          <w:sz w:val="20"/>
          <w:szCs w:val="20"/>
          <w:color w:val="auto"/>
        </w:rPr>
      </w:pPr>
      <w:r>
        <w:rPr>
          <w:rFonts w:ascii="Times New Roman" w:cs="Times New Roman" w:eastAsia="Times New Roman" w:hAnsi="Times New Roman"/>
          <w:sz w:val="21"/>
          <w:szCs w:val="21"/>
          <w:color w:val="auto"/>
        </w:rPr>
        <w:t>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ARTICLE 7 – DEATH OF PARTICIPANT</w:t>
      </w:r>
    </w:p>
    <w:p>
      <w:pPr>
        <w:spacing w:after="0" w:line="224" w:lineRule="exact"/>
        <w:rPr>
          <w:sz w:val="20"/>
          <w:szCs w:val="20"/>
          <w:color w:val="auto"/>
        </w:rPr>
      </w:pPr>
    </w:p>
    <w:p>
      <w:pPr>
        <w:ind w:right="18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79"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Designation of Beneficiaries</w:t>
      </w:r>
      <w:r>
        <w:rPr>
          <w:rFonts w:ascii="Times New Roman" w:cs="Times New Roman" w:eastAsia="Times New Roman" w:hAnsi="Times New Roman"/>
          <w:sz w:val="22"/>
          <w:szCs w:val="22"/>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ARTICLE 8 – HARDSHIP DISTRIBUTIONS</w:t>
      </w:r>
    </w:p>
    <w:p>
      <w:pPr>
        <w:spacing w:after="0" w:line="224"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22"/>
          <w:szCs w:val="22"/>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ARTICLE 9 – INTERPRETATION</w:t>
      </w:r>
    </w:p>
    <w:p>
      <w:pPr>
        <w:spacing w:after="0" w:line="224" w:lineRule="exact"/>
        <w:rPr>
          <w:sz w:val="20"/>
          <w:szCs w:val="20"/>
          <w:color w:val="auto"/>
        </w:rPr>
      </w:pPr>
    </w:p>
    <w:p>
      <w:pPr>
        <w:jc w:val="both"/>
        <w:ind w:right="2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Authority of Committee</w:t>
      </w:r>
      <w:r>
        <w:rPr>
          <w:rFonts w:ascii="Times New Roman" w:cs="Times New Roman" w:eastAsia="Times New Roman" w:hAnsi="Times New Roman"/>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73"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If an individual (hereinafter referred to as the “Applicant,” which reference shall include the legal representative, if any, of the individual) does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22" w:right="359" w:bottom="1440" w:gutter="0" w:footer="0" w:header="0"/>
        </w:sectPr>
      </w:pPr>
    </w:p>
    <w:bookmarkStart w:id="199" w:name="page200"/>
    <w:bookmarkEnd w:id="199"/>
    <w:p>
      <w:pPr>
        <w:ind w:right="280"/>
        <w:spacing w:after="0" w:line="271" w:lineRule="auto"/>
        <w:rPr>
          <w:sz w:val="20"/>
          <w:szCs w:val="20"/>
          <w:color w:val="auto"/>
        </w:rPr>
      </w:pPr>
      <w:r>
        <w:rPr>
          <w:rFonts w:ascii="Times New Roman" w:cs="Times New Roman" w:eastAsia="Times New Roman" w:hAnsi="Times New Roman"/>
          <w:sz w:val="22"/>
          <w:szCs w:val="22"/>
          <w:color w:val="auto"/>
        </w:rPr>
        <w:t>not receive timely payment of benefits to which the Applicant believes he is entitled under the Plan, the Applicant may make a claim for benefits in the manner hereinafter provided.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An Applicant may file a claim for benefits with the Administrator on a form supplied by the Administrator. If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wholly or partially denies a claim, the Administrator shall provide the Applicant with a written notice stating:</w:t>
      </w:r>
    </w:p>
    <w:p>
      <w:pPr>
        <w:spacing w:after="0" w:line="196" w:lineRule="exact"/>
        <w:rPr>
          <w:sz w:val="20"/>
          <w:szCs w:val="20"/>
          <w:color w:val="auto"/>
        </w:rPr>
      </w:pPr>
    </w:p>
    <w:p>
      <w:pPr>
        <w:ind w:left="2400" w:hanging="448"/>
        <w:spacing w:after="0"/>
        <w:tabs>
          <w:tab w:leader="none" w:pos="24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on which the denial is based;</w:t>
      </w:r>
    </w:p>
    <w:p>
      <w:pPr>
        <w:spacing w:after="0" w:line="219" w:lineRule="exact"/>
        <w:rPr>
          <w:rFonts w:ascii="Times New Roman" w:cs="Times New Roman" w:eastAsia="Times New Roman" w:hAnsi="Times New Roman"/>
          <w:sz w:val="22"/>
          <w:szCs w:val="22"/>
          <w:color w:val="auto"/>
        </w:rPr>
      </w:pPr>
    </w:p>
    <w:p>
      <w:pPr>
        <w:ind w:right="460" w:firstLine="1952"/>
        <w:spacing w:after="0" w:line="271" w:lineRule="auto"/>
        <w:tabs>
          <w:tab w:leader="none" w:pos="238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 perfect the claim and an explanation of why such material or information is necessary; and</w:t>
      </w:r>
    </w:p>
    <w:p>
      <w:pPr>
        <w:spacing w:after="0" w:line="157"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in order to submit a claim for review.</w:t>
      </w:r>
    </w:p>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73"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2" w:lineRule="exact"/>
        <w:rPr>
          <w:sz w:val="20"/>
          <w:szCs w:val="20"/>
          <w:color w:val="auto"/>
        </w:rPr>
      </w:pPr>
    </w:p>
    <w:p>
      <w:pPr>
        <w:ind w:right="480" w:firstLine="1296"/>
        <w:spacing w:after="0" w:line="271" w:lineRule="auto"/>
        <w:rPr>
          <w:sz w:val="20"/>
          <w:szCs w:val="20"/>
          <w:color w:val="auto"/>
        </w:rPr>
      </w:pPr>
      <w:r>
        <w:rPr>
          <w:rFonts w:ascii="Times New Roman" w:cs="Times New Roman" w:eastAsia="Times New Roman" w:hAnsi="Times New Roman"/>
          <w:sz w:val="22"/>
          <w:szCs w:val="22"/>
          <w:color w:val="auto"/>
        </w:rPr>
        <w:t>It is intended that the claims procedures of this Plan be administered in accordance with the claims procedure regulations of the Department of Labor set forth in 29 CFR § 2560.503-1.</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00" w:name="page201"/>
    <w:bookmarkEnd w:id="200"/>
    <w:p>
      <w:pPr>
        <w:ind w:left="3320"/>
        <w:spacing w:after="0"/>
        <w:rPr>
          <w:sz w:val="20"/>
          <w:szCs w:val="20"/>
          <w:color w:val="auto"/>
        </w:rPr>
      </w:pPr>
      <w:r>
        <w:rPr>
          <w:rFonts w:ascii="Times New Roman" w:cs="Times New Roman" w:eastAsia="Times New Roman" w:hAnsi="Times New Roman"/>
          <w:sz w:val="22"/>
          <w:szCs w:val="22"/>
          <w:b w:val="1"/>
          <w:bCs w:val="1"/>
          <w:color w:val="auto"/>
        </w:rPr>
        <w:t>ARTICLE 10 – AMENDMENT OR TERMINATION</w:t>
      </w:r>
    </w:p>
    <w:p>
      <w:pPr>
        <w:spacing w:after="0" w:line="224"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73" w:lineRule="exact"/>
        <w:rPr>
          <w:sz w:val="20"/>
          <w:szCs w:val="20"/>
          <w:color w:val="auto"/>
        </w:rPr>
      </w:pPr>
    </w:p>
    <w:p>
      <w:pPr>
        <w:ind w:right="1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Amendment of Rate of Credited Earnings</w:t>
      </w:r>
      <w:r>
        <w:rPr>
          <w:rFonts w:ascii="Times New Roman" w:cs="Times New Roman" w:eastAsia="Times New Roman" w:hAnsi="Times New Roman"/>
          <w:sz w:val="22"/>
          <w:szCs w:val="22"/>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8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ARTICLE 11 – WITHHOLDING OF TAXES</w:t>
      </w:r>
    </w:p>
    <w:p>
      <w:pPr>
        <w:spacing w:after="0" w:line="224" w:lineRule="exact"/>
        <w:rPr>
          <w:sz w:val="20"/>
          <w:szCs w:val="20"/>
          <w:color w:val="auto"/>
        </w:rPr>
      </w:pPr>
    </w:p>
    <w:p>
      <w:pPr>
        <w:ind w:right="60" w:firstLine="1296"/>
        <w:spacing w:after="0" w:line="246" w:lineRule="auto"/>
        <w:rPr>
          <w:sz w:val="20"/>
          <w:szCs w:val="20"/>
          <w:color w:val="auto"/>
        </w:rPr>
      </w:pPr>
      <w:r>
        <w:rPr>
          <w:rFonts w:ascii="Times New Roman" w:cs="Times New Roman" w:eastAsia="Times New Roman" w:hAnsi="Times New Roman"/>
          <w:sz w:val="22"/>
          <w:szCs w:val="22"/>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8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ARTICLE 12 – MISCELLANEOUS PROVISIONS</w:t>
      </w:r>
    </w:p>
    <w:p>
      <w:pPr>
        <w:spacing w:after="0" w:line="224"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Expenses of Plan</w:t>
      </w:r>
      <w:r>
        <w:rPr>
          <w:rFonts w:ascii="Times New Roman" w:cs="Times New Roman" w:eastAsia="Times New Roman" w:hAnsi="Times New Roman"/>
          <w:sz w:val="21"/>
          <w:szCs w:val="21"/>
          <w:color w:val="auto"/>
        </w:rPr>
        <w:t>. All expenses of the Plan shall be paid by the Participating Companies.</w:t>
      </w:r>
    </w:p>
    <w:p>
      <w:pPr>
        <w:spacing w:after="0" w:line="220"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18" w:right="379" w:bottom="1440" w:gutter="0" w:footer="0" w:header="0"/>
        </w:sectPr>
      </w:pPr>
    </w:p>
    <w:bookmarkStart w:id="201" w:name="page202"/>
    <w:bookmarkEnd w:id="201"/>
    <w:p>
      <w:pPr>
        <w:ind w:right="60" w:firstLine="1296"/>
        <w:spacing w:after="0" w:line="275"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Law Governing Construction</w:t>
      </w:r>
      <w:r>
        <w:rPr>
          <w:rFonts w:ascii="Times New Roman" w:cs="Times New Roman" w:eastAsia="Times New Roman" w:hAnsi="Times New Roman"/>
          <w:sz w:val="21"/>
          <w:szCs w:val="21"/>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55"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Headings Not a Part Hereof</w:t>
      </w:r>
      <w:r>
        <w:rPr>
          <w:rFonts w:ascii="Times New Roman" w:cs="Times New Roman" w:eastAsia="Times New Roman" w:hAnsi="Times New Roman"/>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73"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ARTICLE 13 – EFFECTIVE DATE</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effective date of this amendment and restatement of the Plan shall be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22, 2020.</w:t>
      </w:r>
    </w:p>
    <w:p>
      <w:pPr>
        <w:spacing w:after="0" w:line="223" w:lineRule="exact"/>
        <w:rPr>
          <w:sz w:val="20"/>
          <w:szCs w:val="20"/>
          <w:color w:val="auto"/>
        </w:rPr>
      </w:pPr>
    </w:p>
    <w:p>
      <w:pPr>
        <w:ind w:right="560" w:firstLine="1296"/>
        <w:spacing w:after="0" w:line="274" w:lineRule="auto"/>
        <w:rPr>
          <w:sz w:val="20"/>
          <w:szCs w:val="20"/>
          <w:color w:val="auto"/>
        </w:rPr>
      </w:pPr>
      <w:r>
        <w:rPr>
          <w:rFonts w:ascii="Times New Roman" w:cs="Times New Roman" w:eastAsia="Times New Roman" w:hAnsi="Times New Roman"/>
          <w:sz w:val="22"/>
          <w:szCs w:val="22"/>
          <w:color w:val="auto"/>
        </w:rPr>
        <w:t>IN WITNESS WHEREOF, COMCAST CORPORATION has caused this Plan to be executed by its officers thereunto duly authorized, and its corporate seal to be affixed hereto, as of the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October, 2020.</w:t>
      </w: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-13970</wp:posOffset>
            </wp:positionV>
            <wp:extent cx="13830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ATTEST: /s/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-13970</wp:posOffset>
            </wp:positionV>
            <wp:extent cx="13830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2">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00"/>
          </w:cols>
          <w:pgMar w:left="320" w:top="1422" w:right="37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COMCAST CORPORATION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OPTION AWARD</w:t>
      </w:r>
    </w:p>
    <w:p>
      <w:pPr>
        <w:spacing w:after="0" w:line="2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is a Non-Qualified Stock Option Award dated [●]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from Comcast Corporation (the “</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to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Optionee.</w:t>
      </w:r>
    </w:p>
    <w:p>
      <w:pPr>
        <w:spacing w:after="0" w:line="256" w:lineRule="exact"/>
        <w:rPr>
          <w:sz w:val="20"/>
          <w:szCs w:val="20"/>
          <w:color w:val="auto"/>
        </w:rPr>
      </w:pPr>
    </w:p>
    <w:p>
      <w:pPr>
        <w:ind w:left="340" w:hanging="332"/>
        <w:spacing w:after="0"/>
        <w:tabs>
          <w:tab w:leader="none" w:pos="3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herein:</w:t>
      </w:r>
    </w:p>
    <w:p>
      <w:pPr>
        <w:spacing w:after="0" w:line="107" w:lineRule="exact"/>
        <w:rPr>
          <w:rFonts w:ascii="Times New Roman" w:cs="Times New Roman" w:eastAsia="Times New Roman" w:hAnsi="Times New Roman"/>
          <w:sz w:val="20"/>
          <w:szCs w:val="20"/>
          <w:color w:val="auto"/>
        </w:rPr>
      </w:pPr>
    </w:p>
    <w:p>
      <w:pPr>
        <w:ind w:left="660" w:right="380" w:hanging="328"/>
        <w:spacing w:after="0" w:line="246" w:lineRule="auto"/>
        <w:tabs>
          <w:tab w:leader="none" w:pos="65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Sponsor.</w:t>
      </w:r>
    </w:p>
    <w:p>
      <w:pPr>
        <w:spacing w:after="0" w:line="107" w:lineRule="exact"/>
        <w:rPr>
          <w:rFonts w:ascii="Times New Roman" w:cs="Times New Roman" w:eastAsia="Times New Roman" w:hAnsi="Times New Roman"/>
          <w:sz w:val="20"/>
          <w:szCs w:val="20"/>
          <w:color w:val="auto"/>
        </w:rPr>
      </w:pPr>
    </w:p>
    <w:p>
      <w:pPr>
        <w:ind w:left="660" w:right="80" w:hanging="328"/>
        <w:spacing w:after="0" w:line="263" w:lineRule="auto"/>
        <w:tabs>
          <w:tab w:leader="none" w:pos="650"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xml:space="preserve">” means (i) fraud; (ii) misappropriation; (iii) embezzlement; (iv) gross negligence in the performance of duties; (v) self-dealing; (vi) misrepresentation; (vii) dishonesty;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as to items (ix), (x) and (xi), if capable of being cured, such event or condition remains uncured following 30 days written notice thereof.</w:t>
      </w:r>
    </w:p>
    <w:p>
      <w:pPr>
        <w:spacing w:after="0" w:line="58" w:lineRule="exact"/>
        <w:rPr>
          <w:rFonts w:ascii="Times New Roman" w:cs="Times New Roman" w:eastAsia="Times New Roman" w:hAnsi="Times New Roman"/>
          <w:sz w:val="19"/>
          <w:szCs w:val="19"/>
          <w:color w:val="auto"/>
        </w:rPr>
      </w:pPr>
    </w:p>
    <w:p>
      <w:pPr>
        <w:ind w:left="660" w:right="140" w:hanging="328"/>
        <w:spacing w:after="0" w:line="238" w:lineRule="auto"/>
        <w:tabs>
          <w:tab w:leader="none" w:pos="64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“Change in Control” as defined in the Plan.]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in Control shall occur upon the completion of one or more proposed transactions. The Board’s determination shall be final and binding.]</w:t>
      </w:r>
      <w:r>
        <w:rPr>
          <w:rFonts w:ascii="Times New Roman" w:cs="Times New Roman" w:eastAsia="Times New Roman" w:hAnsi="Times New Roman"/>
          <w:sz w:val="25"/>
          <w:szCs w:val="25"/>
          <w:color w:val="auto"/>
          <w:vertAlign w:val="superscript"/>
        </w:rPr>
        <w:t>2</w:t>
      </w:r>
    </w:p>
    <w:p>
      <w:pPr>
        <w:spacing w:after="0" w:line="4" w:lineRule="exact"/>
        <w:rPr>
          <w:rFonts w:ascii="Times New Roman" w:cs="Times New Roman" w:eastAsia="Times New Roman" w:hAnsi="Times New Roman"/>
          <w:sz w:val="20"/>
          <w:szCs w:val="20"/>
          <w:color w:val="auto"/>
        </w:rPr>
      </w:pPr>
    </w:p>
    <w:p>
      <w:pPr>
        <w:ind w:left="660" w:right="280" w:hanging="328"/>
        <w:spacing w:after="0" w:line="265" w:lineRule="auto"/>
        <w:tabs>
          <w:tab w:leader="none" w:pos="65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means the closing of the acquisition and sale of the Shares as described in, and subject to the provisions of, Paragraph 9 hereof.</w:t>
      </w:r>
    </w:p>
    <w:p>
      <w:pPr>
        <w:spacing w:after="0" w:line="5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of the Closing.</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those members of the Board who have been designated pursuant to the Plan to act in that capacity.</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Sponsor’s Class A Common Stock, par value, $.01 per share.</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the Sponsor and each of its Subsidiaries.</w:t>
      </w:r>
    </w:p>
    <w:p>
      <w:pPr>
        <w:spacing w:after="0" w:line="107"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Exercise</w:t>
      </w:r>
      <w:r>
        <w:rPr>
          <w:rFonts w:ascii="Times New Roman" w:cs="Times New Roman" w:eastAsia="Times New Roman" w:hAnsi="Times New Roman"/>
          <w:sz w:val="20"/>
          <w:szCs w:val="20"/>
          <w:color w:val="auto"/>
        </w:rPr>
        <w:t>” means the date on which the notice required by Paragraph 6 hereof is hand-delivered, placed in the United States mail postage prepaid, or delivered to a telegraph or telex facility.</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date hereof, the date on which the Sponsor awarded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714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7" w:lineRule="exact"/>
        <w:rPr>
          <w:sz w:val="20"/>
          <w:szCs w:val="20"/>
          <w:color w:val="auto"/>
        </w:rPr>
      </w:pPr>
    </w:p>
    <w:p>
      <w:pPr>
        <w:ind w:left="120" w:hanging="112"/>
        <w:spacing w:after="0"/>
        <w:tabs>
          <w:tab w:leader="none" w:pos="120" w:val="left"/>
        </w:tabs>
        <w:numPr>
          <w:ilvl w:val="0"/>
          <w:numId w:val="1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after 2018.</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certain grants prior to 2018.</w:t>
      </w:r>
    </w:p>
    <w:p>
      <w:pPr>
        <w:sectPr>
          <w:pgSz w:w="11900" w:h="16838" w:orient="portrait"/>
          <w:cols w:equalWidth="0" w:num="1">
            <w:col w:w="11240"/>
          </w:cols>
          <w:pgMar w:left="320" w:top="122" w:right="339" w:bottom="1440" w:gutter="0" w:footer="0" w:header="0"/>
        </w:sectPr>
      </w:pPr>
    </w:p>
    <w:bookmarkStart w:id="203" w:name="page204"/>
    <w:bookmarkEnd w:id="203"/>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a disability within the meaning of section 22(e)(3) of the Code.</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means the earliest of the following:</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5"/>
              </w:rPr>
              <w:t>(1)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[If the Optionee’s Termination of Employment with the Company is due to any reason</w:t>
            </w:r>
          </w:p>
        </w:tc>
        <w:tc>
          <w:tcPr>
            <w:tcW w:w="2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than death, Disability,</w:t>
            </w:r>
          </w:p>
        </w:tc>
      </w:tr>
      <w:tr>
        <w:trPr>
          <w:trHeight w:val="229"/>
        </w:trPr>
        <w:tc>
          <w:tcPr>
            <w:tcW w:w="280" w:type="dxa"/>
            <w:vAlign w:val="bottom"/>
          </w:tcPr>
          <w:p>
            <w:pPr>
              <w:spacing w:after="0"/>
              <w:rPr>
                <w:sz w:val="19"/>
                <w:szCs w:val="19"/>
                <w:color w:val="auto"/>
              </w:rPr>
            </w:pPr>
          </w:p>
        </w:tc>
        <w:tc>
          <w:tcPr>
            <w:tcW w:w="10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Retirement, Discharge Without Cause (as defined in the Optionee’s employment agreement with the Company), With Good</w:t>
            </w:r>
          </w:p>
        </w:tc>
      </w:tr>
      <w:tr>
        <w:trPr>
          <w:trHeight w:val="230"/>
        </w:trPr>
        <w:tc>
          <w:tcPr>
            <w:tcW w:w="280" w:type="dxa"/>
            <w:vAlign w:val="bottom"/>
          </w:tcPr>
          <w:p>
            <w:pPr>
              <w:spacing w:after="0"/>
              <w:rPr>
                <w:sz w:val="19"/>
                <w:szCs w:val="19"/>
                <w:color w:val="auto"/>
              </w:rPr>
            </w:pPr>
          </w:p>
        </w:tc>
        <w:tc>
          <w:tcPr>
            <w:tcW w:w="10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Reason (as defined in the Optionee’s Employment Agreement) or Cause, the date 90 days following such Termination of</w:t>
            </w:r>
          </w:p>
        </w:tc>
      </w:tr>
      <w:tr>
        <w:trPr>
          <w:trHeight w:val="258"/>
        </w:trPr>
        <w:tc>
          <w:tcPr>
            <w:tcW w:w="280" w:type="dxa"/>
            <w:vAlign w:val="bottom"/>
          </w:tcPr>
          <w:p>
            <w:pPr>
              <w:spacing w:after="0"/>
              <w:rPr>
                <w:sz w:val="22"/>
                <w:szCs w:val="22"/>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Employment;</w:t>
            </w:r>
          </w:p>
        </w:tc>
        <w:tc>
          <w:tcPr>
            <w:tcW w:w="2960" w:type="dxa"/>
            <w:vAlign w:val="bottom"/>
          </w:tcPr>
          <w:p>
            <w:pPr>
              <w:spacing w:after="0"/>
              <w:rPr>
                <w:sz w:val="22"/>
                <w:szCs w:val="22"/>
                <w:color w:val="auto"/>
              </w:rPr>
            </w:pPr>
          </w:p>
        </w:tc>
      </w:tr>
      <w:tr>
        <w:trPr>
          <w:trHeight w:val="309"/>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5"/>
              </w:rPr>
              <w:t>(2)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If the Optionee’s Termination of Employment with the Company occurs after qualifying</w:t>
            </w:r>
          </w:p>
        </w:tc>
        <w:tc>
          <w:tcPr>
            <w:tcW w:w="29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for Retirement, the date 39 months</w:t>
            </w:r>
          </w:p>
        </w:tc>
      </w:tr>
      <w:tr>
        <w:trPr>
          <w:trHeight w:val="229"/>
        </w:trPr>
        <w:tc>
          <w:tcPr>
            <w:tcW w:w="280" w:type="dxa"/>
            <w:vAlign w:val="bottom"/>
          </w:tcPr>
          <w:p>
            <w:pPr>
              <w:spacing w:after="0"/>
              <w:rPr>
                <w:sz w:val="19"/>
                <w:szCs w:val="19"/>
                <w:color w:val="auto"/>
              </w:rPr>
            </w:pPr>
          </w:p>
        </w:tc>
        <w:tc>
          <w:tcPr>
            <w:tcW w:w="10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after the date of the Optionee’s Termination of Employment, subject to cancellation by the Committee pursuant to Paragraph</w:t>
            </w:r>
          </w:p>
        </w:tc>
      </w:tr>
      <w:tr>
        <w:trPr>
          <w:trHeight w:val="258"/>
        </w:trPr>
        <w:tc>
          <w:tcPr>
            <w:tcW w:w="280" w:type="dxa"/>
            <w:vAlign w:val="bottom"/>
          </w:tcPr>
          <w:p>
            <w:pPr>
              <w:spacing w:after="0"/>
              <w:rPr>
                <w:sz w:val="22"/>
                <w:szCs w:val="22"/>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3[(b)];</w:t>
            </w:r>
          </w:p>
        </w:tc>
        <w:tc>
          <w:tcPr>
            <w:tcW w:w="2960" w:type="dxa"/>
            <w:vAlign w:val="bottom"/>
          </w:tcPr>
          <w:p>
            <w:pPr>
              <w:spacing w:after="0"/>
              <w:rPr>
                <w:sz w:val="22"/>
                <w:szCs w:val="22"/>
                <w:color w:val="auto"/>
              </w:rPr>
            </w:pPr>
          </w:p>
        </w:tc>
      </w:tr>
    </w:tbl>
    <w:p>
      <w:pPr>
        <w:spacing w:after="0" w:line="79" w:lineRule="exact"/>
        <w:rPr>
          <w:sz w:val="20"/>
          <w:szCs w:val="20"/>
          <w:color w:val="auto"/>
        </w:rPr>
      </w:pPr>
    </w:p>
    <w:p>
      <w:pPr>
        <w:ind w:left="980" w:hanging="324"/>
        <w:spacing w:after="0" w:line="264" w:lineRule="auto"/>
        <w:tabs>
          <w:tab w:leader="none" w:pos="108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due to Discharge Without Cause (as defined in the Optionee’s employment agreement) or With Good Reason (as defined in the Optionee’s employment agreement), the date that is 90 days following the first anniversary of the Termination of Employment;]</w:t>
      </w:r>
      <w:r>
        <w:rPr>
          <w:rFonts w:ascii="Times New Roman" w:cs="Times New Roman" w:eastAsia="Times New Roman" w:hAnsi="Times New Roman"/>
          <w:sz w:val="25"/>
          <w:szCs w:val="25"/>
          <w:color w:val="auto"/>
          <w:vertAlign w:val="superscript"/>
        </w:rPr>
        <w:t>3</w:t>
      </w:r>
    </w:p>
    <w:p>
      <w:pPr>
        <w:spacing w:after="0" w:line="109" w:lineRule="exact"/>
        <w:rPr>
          <w:sz w:val="20"/>
          <w:szCs w:val="20"/>
          <w:color w:val="auto"/>
        </w:rPr>
      </w:pPr>
    </w:p>
    <w:p>
      <w:pPr>
        <w:ind w:left="980" w:right="60" w:hanging="324"/>
        <w:spacing w:after="0" w:line="269" w:lineRule="auto"/>
        <w:tabs>
          <w:tab w:leader="none" w:pos="1085"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due to any reason other than death, Disability, Retirement or Cause, the date 90 days following such Termination of Employment;</w:t>
      </w:r>
    </w:p>
    <w:p>
      <w:pPr>
        <w:spacing w:after="0" w:line="51" w:lineRule="exact"/>
        <w:rPr>
          <w:rFonts w:ascii="Times New Roman" w:cs="Times New Roman" w:eastAsia="Times New Roman" w:hAnsi="Times New Roman"/>
          <w:sz w:val="20"/>
          <w:szCs w:val="20"/>
          <w:color w:val="auto"/>
        </w:rPr>
      </w:pPr>
    </w:p>
    <w:p>
      <w:pPr>
        <w:ind w:left="980" w:right="100" w:hanging="324"/>
        <w:spacing w:after="0" w:line="269" w:lineRule="auto"/>
        <w:tabs>
          <w:tab w:leader="none" w:pos="1085"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cancellation by the Committee pursuant to Paragraph 3[(c)], if the Optionee’s Termination of Employment with the Company (other than a Termination of Employment with the Company for Cause) occurs after qualifying for Retirement,</w:t>
      </w:r>
    </w:p>
    <w:p>
      <w:pPr>
        <w:spacing w:after="0" w:line="51" w:lineRule="exact"/>
        <w:rPr>
          <w:rFonts w:ascii="Times New Roman" w:cs="Times New Roman" w:eastAsia="Times New Roman" w:hAnsi="Times New Roman"/>
          <w:sz w:val="20"/>
          <w:szCs w:val="20"/>
          <w:color w:val="auto"/>
        </w:rPr>
      </w:pPr>
    </w:p>
    <w:p>
      <w:pPr>
        <w:ind w:left="1620" w:right="80" w:hanging="316"/>
        <w:spacing w:after="0" w:line="254" w:lineRule="auto"/>
        <w:tabs>
          <w:tab w:leader="none" w:pos="1565" w:val="left"/>
        </w:tabs>
        <w:numPr>
          <w:ilvl w:val="2"/>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third anniversary of the date of the Optionee’s Termination of Employment if, at the time of such Termination of Employment, the Optionee has completed at least ten (10) but less than fifteen (15) years of service with the Company;</w:t>
      </w:r>
    </w:p>
    <w:p>
      <w:pPr>
        <w:spacing w:after="0" w:line="66" w:lineRule="exact"/>
        <w:rPr>
          <w:rFonts w:ascii="Times New Roman" w:cs="Times New Roman" w:eastAsia="Times New Roman" w:hAnsi="Times New Roman"/>
          <w:sz w:val="20"/>
          <w:szCs w:val="20"/>
          <w:color w:val="auto"/>
        </w:rPr>
      </w:pPr>
    </w:p>
    <w:p>
      <w:pPr>
        <w:jc w:val="both"/>
        <w:ind w:left="1620" w:right="100" w:hanging="316"/>
        <w:spacing w:after="0" w:line="254" w:lineRule="auto"/>
        <w:tabs>
          <w:tab w:leader="none" w:pos="1576" w:val="left"/>
        </w:tabs>
        <w:numPr>
          <w:ilvl w:val="2"/>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fifth anniversary of the date of the Optionee’s Termination of Employment if, at the time of such Termination of Employment, the Optionee has completed at least fifteen (15) but less than twenty (20) years of service with the Company; or</w:t>
      </w:r>
    </w:p>
    <w:p>
      <w:pPr>
        <w:spacing w:after="0" w:line="66" w:lineRule="exact"/>
        <w:rPr>
          <w:rFonts w:ascii="Times New Roman" w:cs="Times New Roman" w:eastAsia="Times New Roman" w:hAnsi="Times New Roman"/>
          <w:sz w:val="20"/>
          <w:szCs w:val="20"/>
          <w:color w:val="auto"/>
        </w:rPr>
      </w:pPr>
    </w:p>
    <w:p>
      <w:pPr>
        <w:ind w:left="1620" w:right="60" w:hanging="316"/>
        <w:spacing w:after="0" w:line="256" w:lineRule="auto"/>
        <w:tabs>
          <w:tab w:leader="none" w:pos="1565" w:val="left"/>
        </w:tabs>
        <w:numPr>
          <w:ilvl w:val="2"/>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nine and one-half year anniversary of the date of the Optionee’s Termination of Employment if, at the time of such Termination of Employment, the Optionee has completed twenty (20) or more years of service with the Company;]</w:t>
      </w:r>
      <w:r>
        <w:rPr>
          <w:rFonts w:ascii="Times New Roman" w:cs="Times New Roman" w:eastAsia="Times New Roman" w:hAnsi="Times New Roman"/>
          <w:sz w:val="25"/>
          <w:szCs w:val="25"/>
          <w:color w:val="auto"/>
          <w:vertAlign w:val="superscript"/>
        </w:rPr>
        <w:t>4</w:t>
      </w:r>
    </w:p>
    <w:p>
      <w:pPr>
        <w:spacing w:after="0" w:line="2" w:lineRule="exact"/>
        <w:rPr>
          <w:rFonts w:ascii="Times New Roman" w:cs="Times New Roman" w:eastAsia="Times New Roman" w:hAnsi="Times New Roman"/>
          <w:sz w:val="20"/>
          <w:szCs w:val="20"/>
          <w:color w:val="auto"/>
        </w:rPr>
      </w:pPr>
    </w:p>
    <w:p>
      <w:pPr>
        <w:ind w:left="980" w:right="180" w:hanging="324"/>
        <w:spacing w:after="0" w:line="262" w:lineRule="auto"/>
        <w:tabs>
          <w:tab w:leader="none" w:pos="936"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because of death or Disability, the third anniversary of the date of the Optionee’s Termination of Employment because of such death or Disability;]</w:t>
      </w:r>
      <w:r>
        <w:rPr>
          <w:rFonts w:ascii="Times New Roman" w:cs="Times New Roman" w:eastAsia="Times New Roman" w:hAnsi="Times New Roman"/>
          <w:sz w:val="25"/>
          <w:szCs w:val="25"/>
          <w:color w:val="auto"/>
          <w:vertAlign w:val="superscript"/>
        </w:rPr>
        <w:t>5</w:t>
      </w:r>
    </w:p>
    <w:p>
      <w:pPr>
        <w:spacing w:after="0" w:line="2"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Termination of Employment with the Company is for Cause, the date of such Termination of Employment; or</w:t>
      </w:r>
    </w:p>
    <w:p>
      <w:pPr>
        <w:spacing w:after="0" w:line="104"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day before the tenth anniversary of the Date of Grant.</w:t>
      </w:r>
    </w:p>
    <w:p>
      <w:pPr>
        <w:spacing w:after="0" w:line="107"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the Fair Market Value of a Share, as determined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714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7" w:lineRule="exact"/>
        <w:rPr>
          <w:sz w:val="20"/>
          <w:szCs w:val="20"/>
          <w:color w:val="auto"/>
        </w:rPr>
      </w:pPr>
    </w:p>
    <w:p>
      <w:pPr>
        <w:ind w:left="120" w:hanging="112"/>
        <w:spacing w:after="0"/>
        <w:tabs>
          <w:tab w:leader="none" w:pos="120" w:val="left"/>
        </w:tabs>
        <w:numPr>
          <w:ilvl w:val="0"/>
          <w:numId w:val="1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prior to 2016.</w:t>
      </w:r>
    </w:p>
    <w:p>
      <w:pPr>
        <w:ind w:left="120" w:hanging="112"/>
        <w:spacing w:after="0" w:line="196" w:lineRule="auto"/>
        <w:tabs>
          <w:tab w:leader="none" w:pos="120" w:val="left"/>
        </w:tabs>
        <w:numPr>
          <w:ilvl w:val="0"/>
          <w:numId w:val="1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after 2016.</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For grants during and after 2018.</w:t>
      </w:r>
    </w:p>
    <w:p>
      <w:pPr>
        <w:sectPr>
          <w:pgSz w:w="11900" w:h="16838" w:orient="portrait"/>
          <w:cols w:equalWidth="0" w:num="1">
            <w:col w:w="11140"/>
          </w:cols>
          <w:pgMar w:left="320" w:top="1413" w:right="439" w:bottom="1440" w:gutter="0" w:footer="0" w:header="0"/>
        </w:sectPr>
      </w:pPr>
    </w:p>
    <w:bookmarkStart w:id="204" w:name="page205"/>
    <w:bookmarkEnd w:id="204"/>
    <w:p>
      <w:pPr>
        <w:ind w:left="660" w:right="600" w:hanging="328"/>
        <w:spacing w:after="0" w:line="264" w:lineRule="auto"/>
        <w:tabs>
          <w:tab w:leader="none" w:pos="61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vesting and exercise of the Option.]</w:t>
      </w:r>
      <w:r>
        <w:rPr>
          <w:rFonts w:ascii="Times New Roman" w:cs="Times New Roman" w:eastAsia="Times New Roman" w:hAnsi="Times New Roman"/>
          <w:sz w:val="25"/>
          <w:szCs w:val="25"/>
          <w:color w:val="auto"/>
          <w:vertAlign w:val="superscript"/>
        </w:rPr>
        <w:t>6</w:t>
      </w:r>
    </w:p>
    <w:p>
      <w:pPr>
        <w:spacing w:after="0" w:line="1"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means the option hereby granted.</w:t>
      </w:r>
    </w:p>
    <w:p>
      <w:pPr>
        <w:spacing w:after="0" w:line="104" w:lineRule="exact"/>
        <w:rPr>
          <w:rFonts w:ascii="Times New Roman" w:cs="Times New Roman" w:eastAsia="Times New Roman" w:hAnsi="Times New Roman"/>
          <w:sz w:val="20"/>
          <w:szCs w:val="20"/>
          <w:color w:val="auto"/>
        </w:rPr>
      </w:pPr>
    </w:p>
    <w:p>
      <w:pPr>
        <w:ind w:left="660" w:right="340" w:hanging="328"/>
        <w:spacing w:after="0" w:line="238" w:lineRule="auto"/>
        <w:tabs>
          <w:tab w:leader="none" w:pos="58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 Price</w:t>
      </w:r>
      <w:r>
        <w:rPr>
          <w:rFonts w:ascii="Times New Roman" w:cs="Times New Roman" w:eastAsia="Times New Roman" w:hAnsi="Times New Roman"/>
          <w:sz w:val="20"/>
          <w:szCs w:val="20"/>
          <w:color w:val="auto"/>
        </w:rPr>
        <w:t>” [means the «strike price» per Share, as calculated pursuant to the Plan.]</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xml:space="preserve"> [means the per Share exercise price of the Option, as calculated pursuant to the Plan and set forth on the attached Long-Term Incentive Awards Summary Schedule.]</w:t>
      </w:r>
      <w:r>
        <w:rPr>
          <w:rFonts w:ascii="Times New Roman" w:cs="Times New Roman" w:eastAsia="Times New Roman" w:hAnsi="Times New Roman"/>
          <w:sz w:val="25"/>
          <w:szCs w:val="25"/>
          <w:color w:val="auto"/>
          <w:vertAlign w:val="superscript"/>
        </w:rPr>
        <w:t>6</w:t>
      </w:r>
    </w:p>
    <w:p>
      <w:pPr>
        <w:ind w:left="660" w:right="300" w:hanging="328"/>
        <w:spacing w:after="0" w:line="262" w:lineRule="auto"/>
        <w:tabs>
          <w:tab w:leader="none" w:pos="59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Optionee</w:t>
      </w:r>
      <w:r>
        <w:rPr>
          <w:rFonts w:ascii="Times New Roman" w:cs="Times New Roman" w:eastAsia="Times New Roman" w:hAnsi="Times New Roman"/>
          <w:sz w:val="20"/>
          <w:szCs w:val="20"/>
          <w:color w:val="auto"/>
        </w:rPr>
        <w:t>” means the individual to whom the Option has been granted as identified on the attached Long-Term Incentive Awards Summary Schedule.]</w:t>
      </w:r>
      <w:r>
        <w:rPr>
          <w:rFonts w:ascii="Times New Roman" w:cs="Times New Roman" w:eastAsia="Times New Roman" w:hAnsi="Times New Roman"/>
          <w:sz w:val="25"/>
          <w:szCs w:val="25"/>
          <w:color w:val="auto"/>
          <w:vertAlign w:val="superscript"/>
        </w:rPr>
        <w:t>6</w:t>
      </w:r>
    </w:p>
    <w:p>
      <w:pPr>
        <w:spacing w:after="0" w:line="2" w:lineRule="exact"/>
        <w:rPr>
          <w:rFonts w:ascii="Times New Roman" w:cs="Times New Roman" w:eastAsia="Times New Roman" w:hAnsi="Times New Roman"/>
          <w:sz w:val="20"/>
          <w:szCs w:val="20"/>
          <w:color w:val="auto"/>
        </w:rPr>
      </w:pPr>
    </w:p>
    <w:p>
      <w:pPr>
        <w:ind w:left="560" w:hanging="228"/>
        <w:spacing w:after="0"/>
        <w:tabs>
          <w:tab w:leader="none" w:pos="5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corporation, a partnership, an association, a trust or any other entity or organization.</w:t>
      </w:r>
    </w:p>
    <w:p>
      <w:pPr>
        <w:spacing w:after="0" w:line="104"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Comcast Corporation 2003 Stock Option Plan, incorporated herein by reference.</w:t>
      </w:r>
    </w:p>
    <w:p>
      <w:pPr>
        <w:spacing w:after="0" w:line="107" w:lineRule="exact"/>
        <w:rPr>
          <w:rFonts w:ascii="Times New Roman" w:cs="Times New Roman" w:eastAsia="Times New Roman" w:hAnsi="Times New Roman"/>
          <w:sz w:val="20"/>
          <w:szCs w:val="20"/>
          <w:color w:val="auto"/>
        </w:rPr>
      </w:pPr>
    </w:p>
    <w:p>
      <w:pPr>
        <w:ind w:left="660" w:right="580" w:hanging="328"/>
        <w:spacing w:after="0" w:line="269" w:lineRule="auto"/>
        <w:tabs>
          <w:tab w:leader="none" w:pos="61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An Optionee will be qualified for Retirement after reaching age [62][●] and completing [10][●] or more years of service with the Company.</w:t>
      </w:r>
    </w:p>
    <w:p>
      <w:pPr>
        <w:spacing w:after="0" w:line="51" w:lineRule="exact"/>
        <w:rPr>
          <w:rFonts w:ascii="Times New Roman" w:cs="Times New Roman" w:eastAsia="Times New Roman" w:hAnsi="Times New Roman"/>
          <w:sz w:val="20"/>
          <w:szCs w:val="20"/>
          <w:color w:val="auto"/>
        </w:rPr>
      </w:pPr>
    </w:p>
    <w:p>
      <w:pPr>
        <w:ind w:left="660" w:right="120" w:hanging="328"/>
        <w:spacing w:after="0" w:line="238" w:lineRule="auto"/>
        <w:tabs>
          <w:tab w:leader="none" w:pos="6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the «Total Options» shares of Common Stock, which are the subject of the Option hereby granted.]</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xml:space="preserve"> [mean the total number of shares of Common Stock, which are the subject of the Option hereby granted, as set forth on the attached Long-Term Incentive Awards Summary Schedule.]</w:t>
      </w:r>
      <w:r>
        <w:rPr>
          <w:rFonts w:ascii="Times New Roman" w:cs="Times New Roman" w:eastAsia="Times New Roman" w:hAnsi="Times New Roman"/>
          <w:sz w:val="25"/>
          <w:szCs w:val="25"/>
          <w:color w:val="auto"/>
          <w:vertAlign w:val="superscript"/>
        </w:rPr>
        <w:t>6</w:t>
      </w:r>
    </w:p>
    <w:p>
      <w:pPr>
        <w:spacing w:after="0" w:line="1" w:lineRule="exact"/>
        <w:rPr>
          <w:rFonts w:ascii="Times New Roman" w:cs="Times New Roman" w:eastAsia="Times New Roman" w:hAnsi="Times New Roman"/>
          <w:sz w:val="20"/>
          <w:szCs w:val="20"/>
          <w:color w:val="auto"/>
        </w:rPr>
      </w:pPr>
    </w:p>
    <w:p>
      <w:pPr>
        <w:ind w:left="660" w:right="580" w:hanging="328"/>
        <w:spacing w:after="0" w:line="265" w:lineRule="auto"/>
        <w:tabs>
          <w:tab w:leader="none" w:pos="61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means Comcast Corporation, a Pennsylvania corporation, including any successor thereto by merger, consolidation, acquisition of all or substantially all the assets thereof, or otherwise.</w:t>
      </w:r>
    </w:p>
    <w:p>
      <w:pPr>
        <w:spacing w:after="0" w:line="55" w:lineRule="exact"/>
        <w:rPr>
          <w:rFonts w:ascii="Times New Roman" w:cs="Times New Roman" w:eastAsia="Times New Roman" w:hAnsi="Times New Roman"/>
          <w:sz w:val="20"/>
          <w:szCs w:val="20"/>
          <w:color w:val="auto"/>
        </w:rPr>
      </w:pPr>
    </w:p>
    <w:p>
      <w:pPr>
        <w:ind w:left="660" w:right="440" w:hanging="328"/>
        <w:spacing w:after="0" w:line="269" w:lineRule="auto"/>
        <w:tabs>
          <w:tab w:leader="none" w:pos="61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business entity that, at the time in question, is a subsidiary of the Sponsor within the meaning of section 424(f) of the Code.</w:t>
      </w:r>
    </w:p>
    <w:p>
      <w:pPr>
        <w:spacing w:after="0" w:line="51" w:lineRule="exact"/>
        <w:rPr>
          <w:rFonts w:ascii="Times New Roman" w:cs="Times New Roman" w:eastAsia="Times New Roman" w:hAnsi="Times New Roman"/>
          <w:sz w:val="20"/>
          <w:szCs w:val="20"/>
          <w:color w:val="auto"/>
        </w:rPr>
      </w:pPr>
    </w:p>
    <w:p>
      <w:pPr>
        <w:ind w:left="660" w:right="120" w:hanging="328"/>
        <w:spacing w:after="0" w:line="249" w:lineRule="auto"/>
        <w:tabs>
          <w:tab w:leader="none" w:pos="60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Ten Percent Shareholder</w:t>
      </w:r>
      <w:r>
        <w:rPr>
          <w:rFonts w:ascii="Times New Roman" w:cs="Times New Roman" w:eastAsia="Times New Roman" w:hAnsi="Times New Roman"/>
          <w:sz w:val="20"/>
          <w:szCs w:val="20"/>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employer corporation is the Sponsor or a Subsidiary.</w:t>
      </w:r>
    </w:p>
    <w:p>
      <w:pPr>
        <w:spacing w:after="0" w:line="72" w:lineRule="exact"/>
        <w:rPr>
          <w:sz w:val="20"/>
          <w:szCs w:val="20"/>
          <w:color w:val="auto"/>
        </w:rPr>
      </w:pPr>
    </w:p>
    <w:p>
      <w:pPr>
        <w:ind w:left="680" w:hanging="348"/>
        <w:spacing w:after="0"/>
        <w:tabs>
          <w:tab w:leader="none" w:pos="68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Terminating Event</w:t>
      </w:r>
      <w:r>
        <w:rPr>
          <w:rFonts w:ascii="Times New Roman" w:cs="Times New Roman" w:eastAsia="Times New Roman" w:hAnsi="Times New Roman"/>
          <w:sz w:val="20"/>
          <w:szCs w:val="20"/>
          <w:color w:val="auto"/>
        </w:rPr>
        <w:t>” means any of the following events:</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of the Sponsor; or</w:t>
      </w:r>
    </w:p>
    <w:p>
      <w:pPr>
        <w:spacing w:after="0" w:line="21"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w:t>
      </w:r>
    </w:p>
    <w:p>
      <w:pPr>
        <w:spacing w:after="0" w:line="85" w:lineRule="exact"/>
        <w:rPr>
          <w:rFonts w:ascii="Times New Roman" w:cs="Times New Roman" w:eastAsia="Times New Roman" w:hAnsi="Times New Roman"/>
          <w:sz w:val="20"/>
          <w:szCs w:val="20"/>
          <w:color w:val="auto"/>
        </w:rPr>
      </w:pPr>
    </w:p>
    <w:p>
      <w:pPr>
        <w:ind w:left="660" w:right="180" w:hanging="328"/>
        <w:spacing w:after="0" w:line="260" w:lineRule="auto"/>
        <w:tabs>
          <w:tab w:leader="none" w:pos="715"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of Employment</w:t>
      </w:r>
      <w:r>
        <w:rPr>
          <w:rFonts w:ascii="Times New Roman" w:cs="Times New Roman" w:eastAsia="Times New Roman" w:hAnsi="Times New Roman"/>
          <w:sz w:val="19"/>
          <w:szCs w:val="19"/>
          <w:color w:val="auto"/>
        </w:rPr>
        <w: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w:t>
      </w:r>
    </w:p>
    <w:p>
      <w:pPr>
        <w:ind w:left="660" w:hanging="4"/>
        <w:spacing w:after="0" w:line="241" w:lineRule="auto"/>
        <w:tabs>
          <w:tab w:leader="none" w:pos="951"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0" w:lineRule="exact"/>
        <w:rPr>
          <w:sz w:val="20"/>
          <w:szCs w:val="20"/>
          <w:color w:val="auto"/>
        </w:rPr>
      </w:pPr>
    </w:p>
    <w:p>
      <w:pPr>
        <w:ind w:left="120" w:hanging="112"/>
        <w:spacing w:after="0"/>
        <w:tabs>
          <w:tab w:leader="none" w:pos="120" w:val="left"/>
        </w:tabs>
        <w:numPr>
          <w:ilvl w:val="0"/>
          <w:numId w:val="1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after 2016.</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For certain grants prior to 2016.</w:t>
      </w:r>
    </w:p>
    <w:p>
      <w:pPr>
        <w:sectPr>
          <w:pgSz w:w="11900" w:h="16838" w:orient="portrait"/>
          <w:cols w:equalWidth="0" w:num="1">
            <w:col w:w="11220"/>
          </w:cols>
          <w:pgMar w:left="320" w:top="1413" w:right="359" w:bottom="1440" w:gutter="0" w:footer="0" w:header="0"/>
        </w:sectPr>
      </w:pPr>
    </w:p>
    <w:bookmarkStart w:id="205" w:name="page206"/>
    <w:bookmarkEnd w:id="205"/>
    <w:p>
      <w:pPr>
        <w:ind w:left="652"/>
        <w:spacing w:after="0"/>
        <w:rPr>
          <w:sz w:val="20"/>
          <w:szCs w:val="20"/>
          <w:color w:val="auto"/>
        </w:rPr>
      </w:pPr>
      <w:r>
        <w:rPr>
          <w:rFonts w:ascii="Times New Roman" w:cs="Times New Roman" w:eastAsia="Times New Roman" w:hAnsi="Times New Roman"/>
          <w:sz w:val="20"/>
          <w:szCs w:val="20"/>
          <w:color w:val="auto"/>
        </w:rPr>
        <w:t>date of the Optionee’s termination of employment for purposes of this Award, that date shall apply.</w:t>
      </w:r>
    </w:p>
    <w:p>
      <w:pPr>
        <w:spacing w:after="0" w:line="108" w:lineRule="exact"/>
        <w:rPr>
          <w:sz w:val="20"/>
          <w:szCs w:val="20"/>
          <w:color w:val="auto"/>
        </w:rPr>
      </w:pPr>
    </w:p>
    <w:p>
      <w:pPr>
        <w:ind w:left="652" w:right="60" w:hanging="328"/>
        <w:spacing w:after="0" w:line="269" w:lineRule="auto"/>
        <w:tabs>
          <w:tab w:leader="none" w:pos="685"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means any Person other than a Company, together with such Person’s Affiliates, provided that the term “Third Party” shall not include the Sponsor or an Affiliate of the Sponsor.</w:t>
      </w:r>
    </w:p>
    <w:p>
      <w:pPr>
        <w:spacing w:after="0" w:line="51" w:lineRule="exact"/>
        <w:rPr>
          <w:rFonts w:ascii="Times New Roman" w:cs="Times New Roman" w:eastAsia="Times New Roman" w:hAnsi="Times New Roman"/>
          <w:sz w:val="20"/>
          <w:szCs w:val="20"/>
          <w:color w:val="auto"/>
        </w:rPr>
      </w:pPr>
    </w:p>
    <w:p>
      <w:pPr>
        <w:ind w:left="712" w:hanging="388"/>
        <w:spacing w:after="0"/>
        <w:tabs>
          <w:tab w:leader="none" w:pos="712"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1933 Act</w:t>
      </w:r>
      <w:r>
        <w:rPr>
          <w:rFonts w:ascii="Times New Roman" w:cs="Times New Roman" w:eastAsia="Times New Roman" w:hAnsi="Times New Roman"/>
          <w:sz w:val="20"/>
          <w:szCs w:val="20"/>
          <w:color w:val="auto"/>
        </w:rPr>
        <w:t>” means the Securities Act of 1933, as amended.</w:t>
      </w:r>
    </w:p>
    <w:p>
      <w:pPr>
        <w:spacing w:after="0" w:line="107" w:lineRule="exact"/>
        <w:rPr>
          <w:rFonts w:ascii="Times New Roman" w:cs="Times New Roman" w:eastAsia="Times New Roman" w:hAnsi="Times New Roman"/>
          <w:sz w:val="20"/>
          <w:szCs w:val="20"/>
          <w:color w:val="auto"/>
        </w:rPr>
      </w:pPr>
    </w:p>
    <w:p>
      <w:pPr>
        <w:ind w:left="672" w:hanging="348"/>
        <w:spacing w:after="0"/>
        <w:tabs>
          <w:tab w:leader="none" w:pos="672"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107" w:lineRule="exact"/>
        <w:rPr>
          <w:rFonts w:ascii="Times New Roman" w:cs="Times New Roman" w:eastAsia="Times New Roman" w:hAnsi="Times New Roman"/>
          <w:sz w:val="20"/>
          <w:szCs w:val="20"/>
          <w:color w:val="auto"/>
        </w:rPr>
      </w:pPr>
    </w:p>
    <w:p>
      <w:pPr>
        <w:ind w:left="332" w:hanging="332"/>
        <w:spacing w:after="0" w:line="269" w:lineRule="auto"/>
        <w:tabs>
          <w:tab w:leader="none" w:pos="20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Subject to the terms and conditions set forth herein and in the Plan, the Sponsor hereby grants to the Optionee the Option to purchase any or all of the Shares.</w:t>
      </w:r>
    </w:p>
    <w:p>
      <w:pPr>
        <w:spacing w:after="0" w:line="51"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Exercise of Options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52" w:right="60" w:hanging="328"/>
        <w:spacing w:after="0" w:line="269" w:lineRule="auto"/>
        <w:tabs>
          <w:tab w:leader="none" w:pos="597"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Paragraph 3(b) or 4, the Option may be exercised after such time or times as set forth below, and shall remain exercisable until the Expiration Date, when the right to exercise shall terminate absolutely:</w:t>
      </w:r>
    </w:p>
    <w:p>
      <w:pPr>
        <w:spacing w:after="0" w:line="5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«Vest_Year_2» [●] of the Shares subject to the Option may be exercised following the second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«Vest_Year_3» [●] of the Shares subject to the Option may be exercised following the third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«Vest_Year_4» [●] of the Shares subject to the Option may be exercised following the fourth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«Vest_Year_5» [●] of the Shares subject to the Option may be exercised following the fifth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«Vest_Year_6» [●] of the Shares subject to the Option may be exercised following the sixth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«Vest_Year_7» [●] of the Shares subject to the Option may be exercised following the seventh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«Vest_Year_8» [●] of the Shares subject to the Option may be exercised following the eighth anniversary of the Date of Grant.</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«Vest_Year_9» [●] of the Shares subject to the Option may be exercised following the ninth anniversary of the Date of Grant.</w:t>
      </w:r>
    </w:p>
    <w:p>
      <w:pPr>
        <w:spacing w:after="0" w:line="108" w:lineRule="exact"/>
        <w:rPr>
          <w:sz w:val="20"/>
          <w:szCs w:val="20"/>
          <w:color w:val="auto"/>
        </w:rPr>
      </w:pPr>
    </w:p>
    <w:p>
      <w:pPr>
        <w:ind w:left="652" w:right="240"/>
        <w:spacing w:after="0" w:line="269" w:lineRule="auto"/>
        <w:rPr>
          <w:sz w:val="20"/>
          <w:szCs w:val="20"/>
          <w:color w:val="auto"/>
        </w:rPr>
      </w:pPr>
      <w:r>
        <w:rPr>
          <w:rFonts w:ascii="Times New Roman" w:cs="Times New Roman" w:eastAsia="Times New Roman" w:hAnsi="Times New Roman"/>
          <w:sz w:val="20"/>
          <w:szCs w:val="20"/>
          <w:color w:val="auto"/>
        </w:rPr>
        <w:t>«Vest_Year_9.5» [●] of the Shares subject to the Option may be exercised following the nine years, six months anniversary of the Date of Grant.</w:t>
      </w:r>
    </w:p>
    <w:p>
      <w:pPr>
        <w:spacing w:after="0" w:line="51" w:lineRule="exact"/>
        <w:rPr>
          <w:sz w:val="20"/>
          <w:szCs w:val="20"/>
          <w:color w:val="auto"/>
        </w:rPr>
      </w:pPr>
    </w:p>
    <w:p>
      <w:pPr>
        <w:ind w:left="652" w:right="40" w:hanging="328"/>
        <w:spacing w:after="0" w:line="244" w:lineRule="auto"/>
        <w:tabs>
          <w:tab w:leader="none" w:pos="6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subject to the Option shall first become exercisable following the Optionee’s Termination of Employment for any reason other than death or Disability, after qualifying for Retirement or due to Discharge Without Cause (as defined in the Optionee’s employment agreement) or With Good Reason (as defined in the Optionee’s employment agreement). All Shares subject to the Option shall vest and become exercisable upon the Optionee’s Termination of Employment because of death or Disability. Furthermore, the Option shall continue to vest and become exercisable in accordance with Paragraph 3(a) for a period of three years following the Optionee’s Termination of Employment after a qualifying retirement; provided, however, that the Option will be subject to cancellation by the Committee, in its sole discretion, if the Optionee</w:t>
      </w:r>
    </w:p>
    <w:p>
      <w:pPr>
        <w:sectPr>
          <w:pgSz w:w="11900" w:h="16838" w:orient="portrait"/>
          <w:cols w:equalWidth="0" w:num="1">
            <w:col w:w="11152"/>
          </w:cols>
          <w:pgMar w:left="328" w:top="1413" w:right="419" w:bottom="1440" w:gutter="0" w:footer="0" w:header="0"/>
        </w:sectPr>
      </w:pPr>
    </w:p>
    <w:bookmarkStart w:id="206" w:name="page207"/>
    <w:bookmarkEnd w:id="206"/>
    <w:p>
      <w:pPr>
        <w:spacing w:after="0" w:line="81" w:lineRule="exact"/>
        <w:rPr>
          <w:sz w:val="20"/>
          <w:szCs w:val="20"/>
          <w:color w:val="auto"/>
        </w:rPr>
      </w:pPr>
    </w:p>
    <w:p>
      <w:pPr>
        <w:ind w:left="660" w:right="420"/>
        <w:spacing w:after="0" w:line="264" w:lineRule="auto"/>
        <w:rPr>
          <w:sz w:val="20"/>
          <w:szCs w:val="20"/>
          <w:color w:val="auto"/>
        </w:rPr>
      </w:pPr>
      <w:r>
        <w:rPr>
          <w:rFonts w:ascii="Times New Roman" w:cs="Times New Roman" w:eastAsia="Times New Roman" w:hAnsi="Times New Roman"/>
          <w:sz w:val="20"/>
          <w:szCs w:val="20"/>
          <w:color w:val="auto"/>
        </w:rPr>
        <w:t>breaches either of the following non-solicitation or non-competition obligations during the [39][●]-month period following such Termination of Employment:]</w:t>
      </w:r>
      <w:r>
        <w:rPr>
          <w:rFonts w:ascii="Times New Roman" w:cs="Times New Roman" w:eastAsia="Times New Roman" w:hAnsi="Times New Roman"/>
          <w:sz w:val="25"/>
          <w:szCs w:val="25"/>
          <w:color w:val="auto"/>
          <w:vertAlign w:val="superscript"/>
        </w:rPr>
        <w:t>8</w:t>
      </w:r>
    </w:p>
    <w:p>
      <w:pPr>
        <w:spacing w:after="0" w:line="1" w:lineRule="exact"/>
        <w:rPr>
          <w:sz w:val="20"/>
          <w:szCs w:val="20"/>
          <w:color w:val="auto"/>
        </w:rPr>
      </w:pPr>
    </w:p>
    <w:p>
      <w:pPr>
        <w:ind w:left="660" w:right="80" w:hanging="328"/>
        <w:spacing w:after="0" w:line="248" w:lineRule="auto"/>
        <w:tabs>
          <w:tab w:leader="none" w:pos="65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Optionee fails to accept (i) this Award document and (ii) the Employee Assignment of Inventions and Intellectual Property Rights Agreement in accordance with the online grant acceptance procedures described in the Cover Memorandum to this Award on or before Friday, September 2, 2016 at 5:00 p.m. Eastern Daylight Time, the grant will lapse, the Option granted under this Award will be forfeited and this Award shall be deemed canceled.</w:t>
      </w:r>
    </w:p>
    <w:p>
      <w:pPr>
        <w:spacing w:after="0" w:line="72" w:lineRule="exact"/>
        <w:rPr>
          <w:rFonts w:ascii="Times New Roman" w:cs="Times New Roman" w:eastAsia="Times New Roman" w:hAnsi="Times New Roman"/>
          <w:sz w:val="20"/>
          <w:szCs w:val="20"/>
          <w:color w:val="auto"/>
        </w:rPr>
      </w:pPr>
    </w:p>
    <w:p>
      <w:pPr>
        <w:ind w:left="660" w:right="180" w:hanging="328"/>
        <w:spacing w:after="0" w:line="233" w:lineRule="auto"/>
        <w:tabs>
          <w:tab w:leader="none" w:pos="6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Optionee has timely satisfied the online grant acceptance condition described in Paragraph 3(a), and]</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20"/>
          <w:szCs w:val="20"/>
          <w:color w:val="auto"/>
        </w:rPr>
        <w:t xml:space="preserve"> except as provided in Paragraphs 3(b), 3(c) or 4, the Option may be exercised after such time or times as set forth on the attached Long-Term Incentive Awards Summary Schedule, and shall remain exercisable until the Expiration Date, when the right to exercise shall terminate absolutely. No Shares subject to the Option shall first become exercisable following the Optionee’s Termination of Employment for any reason other than death or Disability or after qualifying for Retirement.</w:t>
      </w:r>
    </w:p>
    <w:p>
      <w:pPr>
        <w:spacing w:after="0" w:line="83" w:lineRule="exact"/>
        <w:rPr>
          <w:rFonts w:ascii="Times New Roman" w:cs="Times New Roman" w:eastAsia="Times New Roman" w:hAnsi="Times New Roman"/>
          <w:sz w:val="20"/>
          <w:szCs w:val="20"/>
          <w:color w:val="auto"/>
        </w:rPr>
      </w:pPr>
    </w:p>
    <w:p>
      <w:pPr>
        <w:ind w:left="660" w:hanging="328"/>
        <w:spacing w:after="0" w:line="249" w:lineRule="auto"/>
        <w:tabs>
          <w:tab w:leader="none" w:pos="65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subject to the Option shall vest and become exercisable upon the Optionee’s Termination of Employment because of death or Disability. Furthermore, the Option shall continue to vest and become exercisable in accordance with the attached Long-Term Incentive Awards Summary Schedule following the Optionee’s Termination of Employment (other than a Termination of Employment with the Company for Cause) after qualifying for Retirement for a period of:</w:t>
      </w:r>
    </w:p>
    <w:p>
      <w:pPr>
        <w:spacing w:after="0" w:line="67"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 1:</w:t>
      </w:r>
    </w:p>
    <w:p>
      <w:pPr>
        <w:spacing w:after="0" w:line="111" w:lineRule="exact"/>
        <w:rPr>
          <w:rFonts w:ascii="Times New Roman" w:cs="Times New Roman" w:eastAsia="Times New Roman" w:hAnsi="Times New Roman"/>
          <w:sz w:val="20"/>
          <w:szCs w:val="20"/>
          <w:color w:val="auto"/>
        </w:rPr>
      </w:pPr>
    </w:p>
    <w:p>
      <w:pPr>
        <w:ind w:left="980" w:right="80" w:hanging="324"/>
        <w:spacing w:after="0" w:line="269" w:lineRule="auto"/>
        <w:tabs>
          <w:tab w:leader="none" w:pos="93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years following such Termination of Employment if, at the time of such Termination of Employment, the Optionee has completed at least [ten 10] [●] but less than [fifteen (15)] [●] years of service with the Company;</w:t>
      </w:r>
    </w:p>
    <w:p>
      <w:pPr>
        <w:spacing w:after="0" w:line="51" w:lineRule="exact"/>
        <w:rPr>
          <w:rFonts w:ascii="Times New Roman" w:cs="Times New Roman" w:eastAsia="Times New Roman" w:hAnsi="Times New Roman"/>
          <w:sz w:val="20"/>
          <w:szCs w:val="20"/>
          <w:color w:val="auto"/>
        </w:rPr>
      </w:pPr>
    </w:p>
    <w:p>
      <w:pPr>
        <w:ind w:left="980" w:right="240" w:hanging="324"/>
        <w:spacing w:after="0" w:line="269" w:lineRule="auto"/>
        <w:tabs>
          <w:tab w:leader="none" w:pos="93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(5) years following such Termination of Employment if, at the time of such Termination of Employment, the Optionee has completed at least [fifteen (15)][●] but less than [twenty (20)][●] years of service with the Company; or</w:t>
      </w:r>
    </w:p>
    <w:p>
      <w:pPr>
        <w:spacing w:after="0" w:line="51" w:lineRule="exact"/>
        <w:rPr>
          <w:rFonts w:ascii="Times New Roman" w:cs="Times New Roman" w:eastAsia="Times New Roman" w:hAnsi="Times New Roman"/>
          <w:sz w:val="20"/>
          <w:szCs w:val="20"/>
          <w:color w:val="auto"/>
        </w:rPr>
      </w:pPr>
    </w:p>
    <w:p>
      <w:pPr>
        <w:ind w:left="980" w:right="100" w:hanging="324"/>
        <w:spacing w:after="0" w:line="223" w:lineRule="auto"/>
        <w:tabs>
          <w:tab w:leader="none" w:pos="93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nine and one-half (9½) years following such Termination of Employment if, at the time of such Termination of Employment, the Optionee has completed [twenty (20)][●] or more years of service with the Company.]</w:t>
      </w:r>
      <w:r>
        <w:rPr>
          <w:rFonts w:ascii="Times New Roman" w:cs="Times New Roman" w:eastAsia="Times New Roman" w:hAnsi="Times New Roman"/>
          <w:sz w:val="25"/>
          <w:szCs w:val="25"/>
          <w:color w:val="auto"/>
          <w:vertAlign w:val="superscript"/>
        </w:rPr>
        <w:t>10</w:t>
      </w:r>
    </w:p>
    <w:p>
      <w:pPr>
        <w:ind w:left="660"/>
        <w:spacing w:after="0"/>
        <w:rPr>
          <w:sz w:val="20"/>
          <w:szCs w:val="20"/>
          <w:color w:val="auto"/>
        </w:rPr>
      </w:pPr>
      <w:r>
        <w:rPr>
          <w:rFonts w:ascii="Times New Roman" w:cs="Times New Roman" w:eastAsia="Times New Roman" w:hAnsi="Times New Roman"/>
          <w:sz w:val="20"/>
          <w:szCs w:val="20"/>
          <w:i w:val="1"/>
          <w:iCs w:val="1"/>
          <w:color w:val="auto"/>
        </w:rPr>
        <w:t>OPTION 2:</w:t>
      </w:r>
    </w:p>
    <w:p>
      <w:pPr>
        <w:spacing w:after="0" w:line="86" w:lineRule="exact"/>
        <w:rPr>
          <w:sz w:val="20"/>
          <w:szCs w:val="20"/>
          <w:color w:val="auto"/>
        </w:rPr>
      </w:pPr>
    </w:p>
    <w:p>
      <w:pPr>
        <w:ind w:left="980" w:right="480" w:hanging="324"/>
        <w:spacing w:after="0" w:line="269" w:lineRule="auto"/>
        <w:tabs>
          <w:tab w:leader="none" w:pos="96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years following such Termination of Employment if, at the time of such Termination of Employment, the Optionee has completed at least [ten (10)][●] but less than [fifteen (15)][●] years of service with the Company;</w:t>
      </w:r>
    </w:p>
    <w:p>
      <w:pPr>
        <w:spacing w:after="0" w:line="51" w:lineRule="exact"/>
        <w:rPr>
          <w:rFonts w:ascii="Times New Roman" w:cs="Times New Roman" w:eastAsia="Times New Roman" w:hAnsi="Times New Roman"/>
          <w:sz w:val="20"/>
          <w:szCs w:val="20"/>
          <w:color w:val="auto"/>
        </w:rPr>
      </w:pPr>
    </w:p>
    <w:p>
      <w:pPr>
        <w:ind w:left="980" w:right="540" w:hanging="324"/>
        <w:spacing w:after="0" w:line="269" w:lineRule="auto"/>
        <w:tabs>
          <w:tab w:leader="none" w:pos="96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years following such Termination of Employment if, at the time of such Termination of Employment, the Optionee has completed at least [fifteen (15)][●] but less than [twenty (20)][●] years of service with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1" w:lineRule="exact"/>
        <w:rPr>
          <w:sz w:val="20"/>
          <w:szCs w:val="20"/>
          <w:color w:val="auto"/>
        </w:rPr>
      </w:pPr>
    </w:p>
    <w:p>
      <w:pPr>
        <w:ind w:left="120" w:hanging="112"/>
        <w:spacing w:after="0"/>
        <w:tabs>
          <w:tab w:leader="none" w:pos="120" w:val="left"/>
        </w:tabs>
        <w:numPr>
          <w:ilvl w:val="0"/>
          <w:numId w:val="1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prior to 2016.</w:t>
      </w:r>
    </w:p>
    <w:p>
      <w:pPr>
        <w:spacing w:after="0" w:line="1" w:lineRule="exact"/>
        <w:rPr>
          <w:rFonts w:ascii="Times New Roman" w:cs="Times New Roman" w:eastAsia="Times New Roman" w:hAnsi="Times New Roman"/>
          <w:sz w:val="23"/>
          <w:szCs w:val="23"/>
          <w:color w:val="auto"/>
          <w:vertAlign w:val="superscript"/>
        </w:rPr>
      </w:pP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For certain grants during 2016.</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For certain grants during and after 2016.</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81" w:lineRule="exact"/>
        <w:rPr>
          <w:sz w:val="20"/>
          <w:szCs w:val="20"/>
          <w:color w:val="auto"/>
        </w:rPr>
      </w:pPr>
    </w:p>
    <w:p>
      <w:pPr>
        <w:ind w:left="972" w:right="560" w:hanging="324"/>
        <w:spacing w:after="0" w:line="223" w:lineRule="auto"/>
        <w:tabs>
          <w:tab w:leader="none" w:pos="9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years following such Termination of Employment if, at the time of such Termination of Employment, the Optionee has completed [twenty (20)][●] or more years of service with the Company.]</w:t>
      </w:r>
      <w:r>
        <w:rPr>
          <w:rFonts w:ascii="Times New Roman" w:cs="Times New Roman" w:eastAsia="Times New Roman" w:hAnsi="Times New Roman"/>
          <w:sz w:val="25"/>
          <w:szCs w:val="25"/>
          <w:color w:val="auto"/>
          <w:vertAlign w:val="superscript"/>
        </w:rPr>
        <w:t>11</w:t>
      </w:r>
    </w:p>
    <w:p>
      <w:pPr>
        <w:ind w:left="652" w:right="300" w:hanging="328"/>
        <w:spacing w:after="0" w:line="249" w:lineRule="auto"/>
        <w:tabs>
          <w:tab w:leader="none" w:pos="64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Option will be subject to cancellation by the Committee, in its sole discretion, if the Optionee breaches either of the following non-solicitation or non-competition obligations during the period following Termination of Employment in which the Option remains exercisable by the Optionee pursuant to the terms of this Award:]</w:t>
      </w:r>
      <w:r>
        <w:rPr>
          <w:rFonts w:ascii="Times New Roman" w:cs="Times New Roman" w:eastAsia="Times New Roman" w:hAnsi="Times New Roman"/>
          <w:sz w:val="25"/>
          <w:szCs w:val="25"/>
          <w:color w:val="auto"/>
          <w:vertAlign w:val="superscript"/>
        </w:rPr>
        <w:t>12</w:t>
      </w:r>
    </w:p>
    <w:p>
      <w:pPr>
        <w:spacing w:after="0" w:line="2" w:lineRule="exact"/>
        <w:rPr>
          <w:rFonts w:ascii="Times New Roman" w:cs="Times New Roman" w:eastAsia="Times New Roman" w:hAnsi="Times New Roman"/>
          <w:sz w:val="20"/>
          <w:szCs w:val="20"/>
          <w:color w:val="auto"/>
        </w:rPr>
      </w:pPr>
    </w:p>
    <w:p>
      <w:pPr>
        <w:ind w:left="972" w:right="580" w:hanging="324"/>
        <w:spacing w:after="0" w:line="252" w:lineRule="auto"/>
        <w:tabs>
          <w:tab w:leader="none" w:pos="92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68" w:lineRule="exact"/>
        <w:rPr>
          <w:rFonts w:ascii="Times New Roman" w:cs="Times New Roman" w:eastAsia="Times New Roman" w:hAnsi="Times New Roman"/>
          <w:sz w:val="20"/>
          <w:szCs w:val="20"/>
          <w:color w:val="auto"/>
        </w:rPr>
      </w:pPr>
    </w:p>
    <w:p>
      <w:pPr>
        <w:ind w:left="972" w:right="100" w:hanging="324"/>
        <w:spacing w:after="0" w:line="236" w:lineRule="auto"/>
        <w:tabs>
          <w:tab w:leader="none" w:pos="92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[one percent (1%)]</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[five percent (5%)]</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of any class of equity security of an entity whose securities are traded on a national securities exchange or market.]</w:t>
      </w:r>
    </w:p>
    <w:p>
      <w:pPr>
        <w:spacing w:after="0" w:line="85" w:lineRule="exact"/>
        <w:rPr>
          <w:rFonts w:ascii="Times New Roman" w:cs="Times New Roman" w:eastAsia="Times New Roman" w:hAnsi="Times New Roman"/>
          <w:sz w:val="20"/>
          <w:szCs w:val="20"/>
          <w:color w:val="auto"/>
        </w:rPr>
      </w:pPr>
    </w:p>
    <w:p>
      <w:pPr>
        <w:ind w:left="652" w:right="460" w:hanging="328"/>
        <w:spacing w:after="0" w:line="256" w:lineRule="auto"/>
        <w:tabs>
          <w:tab w:leader="none" w:pos="64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shall continue to vest and become exercisable for a period of one year following the Optionee’s Termination of Employment due to a Discharge Without Cause (as defined in the Optionee’s employment agreement) or With Good Reason (as defined in the Optionee’s employment agreement).]</w:t>
      </w:r>
      <w:r>
        <w:rPr>
          <w:rFonts w:ascii="Times New Roman" w:cs="Times New Roman" w:eastAsia="Times New Roman" w:hAnsi="Times New Roman"/>
          <w:sz w:val="25"/>
          <w:szCs w:val="25"/>
          <w:color w:val="auto"/>
          <w:vertAlign w:val="superscript"/>
        </w:rPr>
        <w:t>13</w:t>
      </w:r>
    </w:p>
    <w:p>
      <w:pPr>
        <w:spacing w:after="0" w:line="2" w:lineRule="exact"/>
        <w:rPr>
          <w:rFonts w:ascii="Times New Roman" w:cs="Times New Roman" w:eastAsia="Times New Roman" w:hAnsi="Times New Roman"/>
          <w:sz w:val="20"/>
          <w:szCs w:val="20"/>
          <w:color w:val="auto"/>
        </w:rPr>
      </w:pPr>
    </w:p>
    <w:p>
      <w:pPr>
        <w:ind w:left="652" w:hanging="328"/>
        <w:spacing w:after="0" w:line="272" w:lineRule="auto"/>
        <w:tabs>
          <w:tab w:leader="none" w:pos="64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Option remains unexercised immediately before the time at which the Option is scheduled to expire in accordance with the rules of the Plan and this grant document, the Option shall be deemed automatically exercised in accordance with Paragraph [7(h)(ii)] of the Plan immediately before the time at which the Option is scheduled to expire, if the Option satisfies the following conditions:</w:t>
      </w:r>
    </w:p>
    <w:p>
      <w:pPr>
        <w:spacing w:after="0" w:line="50" w:lineRule="exact"/>
        <w:rPr>
          <w:rFonts w:ascii="Times New Roman" w:cs="Times New Roman" w:eastAsia="Times New Roman" w:hAnsi="Times New Roman"/>
          <w:sz w:val="19"/>
          <w:szCs w:val="19"/>
          <w:color w:val="auto"/>
        </w:rPr>
      </w:pPr>
    </w:p>
    <w:p>
      <w:pPr>
        <w:ind w:left="1132" w:hanging="484"/>
        <w:spacing w:after="0"/>
        <w:tabs>
          <w:tab w:leader="none" w:pos="1132"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is covered by a then current registration statement or a Notification under Regulation A under the 1933 Act.</w:t>
      </w:r>
    </w:p>
    <w:p>
      <w:pPr>
        <w:spacing w:after="0" w:line="107" w:lineRule="exact"/>
        <w:rPr>
          <w:rFonts w:ascii="Times New Roman" w:cs="Times New Roman" w:eastAsia="Times New Roman" w:hAnsi="Times New Roman"/>
          <w:sz w:val="20"/>
          <w:szCs w:val="20"/>
          <w:color w:val="auto"/>
        </w:rPr>
      </w:pPr>
    </w:p>
    <w:p>
      <w:pPr>
        <w:jc w:val="both"/>
        <w:ind w:left="972" w:right="140" w:hanging="324"/>
        <w:spacing w:after="0" w:line="274" w:lineRule="auto"/>
        <w:tabs>
          <w:tab w:leader="none" w:pos="1122"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last reported sale price of a Share on the principal exchange on which Shares are listed on the date of determination, or if such date is not a trading day, the last preceding trading day, exceeds the Option Price by such amount as may be determined by the Committee or its delegate from time to time. Absent a contrary determination, such excess per Share shall be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714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0" w:lineRule="exact"/>
        <w:rPr>
          <w:sz w:val="20"/>
          <w:szCs w:val="20"/>
          <w:color w:val="auto"/>
        </w:rPr>
      </w:pPr>
    </w:p>
    <w:p>
      <w:pPr>
        <w:ind w:left="152" w:hanging="152"/>
        <w:spacing w:after="0"/>
        <w:tabs>
          <w:tab w:leader="none" w:pos="152" w:val="left"/>
        </w:tabs>
        <w:numPr>
          <w:ilvl w:val="0"/>
          <w:numId w:val="1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2021.</w:t>
      </w:r>
    </w:p>
    <w:p>
      <w:pPr>
        <w:spacing w:after="0" w:line="1" w:lineRule="exact"/>
        <w:rPr>
          <w:rFonts w:ascii="Times New Roman" w:cs="Times New Roman" w:eastAsia="Times New Roman" w:hAnsi="Times New Roman"/>
          <w:sz w:val="22"/>
          <w:szCs w:val="22"/>
          <w:color w:val="auto"/>
          <w:vertAlign w:val="superscript"/>
        </w:rPr>
      </w:pPr>
    </w:p>
    <w:p>
      <w:pPr>
        <w:ind w:left="152" w:hanging="152"/>
        <w:spacing w:after="0" w:line="203" w:lineRule="auto"/>
        <w:tabs>
          <w:tab w:leader="none" w:pos="152" w:val="left"/>
        </w:tabs>
        <w:numPr>
          <w:ilvl w:val="0"/>
          <w:numId w:val="1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pacing w:after="0" w:line="2" w:lineRule="exact"/>
        <w:rPr>
          <w:rFonts w:ascii="Times New Roman" w:cs="Times New Roman" w:eastAsia="Times New Roman" w:hAnsi="Times New Roman"/>
          <w:sz w:val="22"/>
          <w:szCs w:val="22"/>
          <w:color w:val="auto"/>
          <w:vertAlign w:val="superscript"/>
        </w:rPr>
      </w:pPr>
    </w:p>
    <w:p>
      <w:pPr>
        <w:ind w:left="152" w:hanging="152"/>
        <w:spacing w:after="0" w:line="203" w:lineRule="auto"/>
        <w:tabs>
          <w:tab w:leader="none" w:pos="152" w:val="left"/>
        </w:tabs>
        <w:numPr>
          <w:ilvl w:val="0"/>
          <w:numId w:val="1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prior to 2016.</w:t>
      </w:r>
    </w:p>
    <w:p>
      <w:pPr>
        <w:sectPr>
          <w:pgSz w:w="11900" w:h="16838" w:orient="portrait"/>
          <w:cols w:equalWidth="0" w:num="1">
            <w:col w:w="11232"/>
          </w:cols>
          <w:pgMar w:left="328" w:top="1440" w:right="339" w:bottom="1440" w:gutter="0" w:footer="0" w:header="0"/>
        </w:sectPr>
      </w:pPr>
    </w:p>
    <w:bookmarkStart w:id="208" w:name="page209"/>
    <w:bookmarkEnd w:id="208"/>
    <w:p>
      <w:pPr>
        <w:ind w:left="972" w:right="160" w:hanging="324"/>
        <w:spacing w:after="0" w:line="269" w:lineRule="auto"/>
        <w:tabs>
          <w:tab w:leader="none" w:pos="117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51" w:lineRule="exact"/>
        <w:rPr>
          <w:sz w:val="20"/>
          <w:szCs w:val="20"/>
          <w:color w:val="auto"/>
        </w:rPr>
      </w:pPr>
    </w:p>
    <w:p>
      <w:pPr>
        <w:ind w:left="652" w:right="80"/>
        <w:spacing w:after="0" w:line="247" w:lineRule="auto"/>
        <w:rPr>
          <w:sz w:val="20"/>
          <w:szCs w:val="20"/>
          <w:color w:val="auto"/>
        </w:rPr>
      </w:pPr>
      <w:r>
        <w:rPr>
          <w:rFonts w:ascii="Times New Roman" w:cs="Times New Roman" w:eastAsia="Times New Roman" w:hAnsi="Times New Roman"/>
          <w:sz w:val="20"/>
          <w:szCs w:val="20"/>
          <w:color w:val="auto"/>
        </w:rPr>
        <w:t>An Option subject to this Paragraph 3(d)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of the Plan) for such exercise; provided that in connection with such cashless exercise that would not result in the issuance of a whole number of Shares, the Company shall pay cash in lieu of any fractional Share.]</w:t>
      </w:r>
      <w:r>
        <w:rPr>
          <w:rFonts w:ascii="Times New Roman" w:cs="Times New Roman" w:eastAsia="Times New Roman" w:hAnsi="Times New Roman"/>
          <w:sz w:val="25"/>
          <w:szCs w:val="25"/>
          <w:color w:val="auto"/>
          <w:vertAlign w:val="superscript"/>
        </w:rPr>
        <w:t>14</w:t>
      </w:r>
    </w:p>
    <w:p>
      <w:pPr>
        <w:spacing w:after="0" w:line="2" w:lineRule="exact"/>
        <w:rPr>
          <w:sz w:val="20"/>
          <w:szCs w:val="20"/>
          <w:color w:val="auto"/>
        </w:rPr>
      </w:pPr>
    </w:p>
    <w:p>
      <w:pPr>
        <w:ind w:left="192" w:hanging="192"/>
        <w:spacing w:after="0"/>
        <w:tabs>
          <w:tab w:leader="none" w:pos="19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Terminating Event</w:t>
      </w:r>
      <w:r>
        <w:rPr>
          <w:rFonts w:ascii="Times New Roman" w:cs="Times New Roman" w:eastAsia="Times New Roman" w:hAnsi="Times New Roman"/>
          <w:sz w:val="20"/>
          <w:szCs w:val="20"/>
          <w:color w:val="auto"/>
        </w:rPr>
        <w:t>.</w:t>
      </w:r>
    </w:p>
    <w:p>
      <w:pPr>
        <w:spacing w:after="0" w:line="104" w:lineRule="exact"/>
        <w:rPr>
          <w:rFonts w:ascii="Times New Roman" w:cs="Times New Roman" w:eastAsia="Times New Roman" w:hAnsi="Times New Roman"/>
          <w:sz w:val="20"/>
          <w:szCs w:val="20"/>
          <w:color w:val="auto"/>
        </w:rPr>
      </w:pPr>
    </w:p>
    <w:p>
      <w:pPr>
        <w:ind w:left="652" w:right="120" w:hanging="328"/>
        <w:spacing w:after="0" w:line="242" w:lineRule="auto"/>
        <w:tabs>
          <w:tab w:leader="none" w:pos="597"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84" w:lineRule="exact"/>
        <w:rPr>
          <w:rFonts w:ascii="Times New Roman" w:cs="Times New Roman" w:eastAsia="Times New Roman" w:hAnsi="Times New Roman"/>
          <w:sz w:val="20"/>
          <w:szCs w:val="20"/>
          <w:color w:val="auto"/>
        </w:rPr>
      </w:pPr>
    </w:p>
    <w:p>
      <w:pPr>
        <w:ind w:left="652" w:hanging="328"/>
        <w:spacing w:after="0" w:line="269" w:lineRule="auto"/>
        <w:tabs>
          <w:tab w:leader="none" w:pos="60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51" w:lineRule="exact"/>
        <w:rPr>
          <w:rFonts w:ascii="Times New Roman" w:cs="Times New Roman" w:eastAsia="Times New Roman" w:hAnsi="Times New Roman"/>
          <w:sz w:val="20"/>
          <w:szCs w:val="20"/>
          <w:color w:val="auto"/>
        </w:rPr>
      </w:pPr>
    </w:p>
    <w:p>
      <w:pPr>
        <w:ind w:left="332" w:right="20" w:hanging="332"/>
        <w:spacing w:after="0" w:line="243" w:lineRule="auto"/>
        <w:tabs>
          <w:tab w:leader="none" w:pos="20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for Shares</w:t>
      </w:r>
      <w:r>
        <w:rPr>
          <w:rFonts w:ascii="Times New Roman" w:cs="Times New Roman" w:eastAsia="Times New Roman" w:hAnsi="Times New Roman"/>
          <w:sz w:val="20"/>
          <w:szCs w:val="20"/>
          <w:color w:val="auto"/>
        </w:rPr>
        <w:t xml:space="preserve">. Full payment for Shares purchased upon the exercise of an Option shall be made via cashless exercise, such that subject to the other terms and conditions of the Award and the Plan,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14 of the Award and Paragraph 15(b) of the Plan) for such exercise,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connection with a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14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152" w:hanging="152"/>
        <w:spacing w:after="0"/>
        <w:tabs>
          <w:tab w:leader="none" w:pos="152" w:val="left"/>
        </w:tabs>
        <w:numPr>
          <w:ilvl w:val="0"/>
          <w:numId w:val="1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2016.</w:t>
      </w:r>
    </w:p>
    <w:p>
      <w:pPr>
        <w:sectPr>
          <w:pgSz w:w="11900" w:h="16838" w:orient="portrait"/>
          <w:cols w:equalWidth="0" w:num="1">
            <w:col w:w="11232"/>
          </w:cols>
          <w:pgMar w:left="328" w:top="1413" w:right="339" w:bottom="1440" w:gutter="0" w:footer="0" w:header="0"/>
        </w:sectPr>
      </w:pPr>
    </w:p>
    <w:bookmarkStart w:id="209" w:name="page210"/>
    <w:bookmarkEnd w:id="209"/>
    <w:p>
      <w:pPr>
        <w:ind w:left="332" w:right="160" w:hanging="332"/>
        <w:spacing w:after="0" w:line="254" w:lineRule="auto"/>
        <w:tabs>
          <w:tab w:leader="none" w:pos="20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The Option shall be exercised by giving written notice of exercise in accordance with the manner prescribed by the Committee. Such notice shall be deemed to have been given when hand-delivered, telecopied or mailed, first class postage prepaid, and shall be irrevocable once given.</w:t>
      </w:r>
    </w:p>
    <w:p>
      <w:pPr>
        <w:spacing w:after="0" w:line="66" w:lineRule="exact"/>
        <w:rPr>
          <w:rFonts w:ascii="Times New Roman" w:cs="Times New Roman" w:eastAsia="Times New Roman" w:hAnsi="Times New Roman"/>
          <w:sz w:val="20"/>
          <w:szCs w:val="20"/>
          <w:color w:val="auto"/>
        </w:rPr>
      </w:pPr>
    </w:p>
    <w:p>
      <w:pPr>
        <w:ind w:left="332" w:right="60" w:hanging="332"/>
        <w:spacing w:after="0" w:line="246" w:lineRule="auto"/>
        <w:tabs>
          <w:tab w:leader="none" w:pos="20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Option</w:t>
      </w:r>
      <w:r>
        <w:rPr>
          <w:rFonts w:ascii="Times New Roman" w:cs="Times New Roman" w:eastAsia="Times New Roman" w:hAnsi="Times New Roman"/>
          <w:sz w:val="20"/>
          <w:szCs w:val="20"/>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76" w:lineRule="exact"/>
        <w:rPr>
          <w:rFonts w:ascii="Times New Roman" w:cs="Times New Roman" w:eastAsia="Times New Roman" w:hAnsi="Times New Roman"/>
          <w:sz w:val="20"/>
          <w:szCs w:val="20"/>
          <w:color w:val="auto"/>
        </w:rPr>
      </w:pPr>
    </w:p>
    <w:p>
      <w:pPr>
        <w:ind w:left="332" w:hanging="332"/>
        <w:spacing w:after="0" w:line="243" w:lineRule="auto"/>
        <w:tabs>
          <w:tab w:leader="none" w:pos="20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77" w:lineRule="exact"/>
        <w:rPr>
          <w:rFonts w:ascii="Times New Roman" w:cs="Times New Roman" w:eastAsia="Times New Roman" w:hAnsi="Times New Roman"/>
          <w:sz w:val="20"/>
          <w:szCs w:val="20"/>
          <w:color w:val="auto"/>
        </w:rPr>
      </w:pPr>
    </w:p>
    <w:p>
      <w:pPr>
        <w:ind w:left="332" w:right="380" w:hanging="332"/>
        <w:spacing w:after="0" w:line="274" w:lineRule="auto"/>
        <w:tabs>
          <w:tab w:leader="none" w:pos="206"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 of Certificate at Closing</w:t>
      </w:r>
      <w:r>
        <w:rPr>
          <w:rFonts w:ascii="Times New Roman" w:cs="Times New Roman" w:eastAsia="Times New Roman" w:hAnsi="Times New Roman"/>
          <w:sz w:val="19"/>
          <w:szCs w:val="19"/>
          <w:color w:val="auto"/>
        </w:rPr>
        <w:t>.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w:t>
      </w:r>
    </w:p>
    <w:p>
      <w:pPr>
        <w:spacing w:after="0" w:line="48" w:lineRule="exact"/>
        <w:rPr>
          <w:rFonts w:ascii="Times New Roman" w:cs="Times New Roman" w:eastAsia="Times New Roman" w:hAnsi="Times New Roman"/>
          <w:sz w:val="19"/>
          <w:szCs w:val="19"/>
          <w:color w:val="auto"/>
        </w:rPr>
      </w:pPr>
    </w:p>
    <w:p>
      <w:pPr>
        <w:ind w:left="332" w:hanging="332"/>
        <w:spacing w:after="0" w:line="246" w:lineRule="auto"/>
        <w:tabs>
          <w:tab w:leader="none" w:pos="30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Prior to Exercise</w:t>
      </w:r>
      <w:r>
        <w:rPr>
          <w:rFonts w:ascii="Times New Roman" w:cs="Times New Roman" w:eastAsia="Times New Roman" w:hAnsi="Times New Roman"/>
          <w:sz w:val="20"/>
          <w:szCs w:val="20"/>
          <w:color w:val="auto"/>
        </w:rPr>
        <w:t>. The Optionee shall not have any right as a stockholder with respect to any Shares subject to his Options until the Option shall have been exercised in accordance with the terms of the Plan and the Award and the Company shall have delivered the Shares.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Shares.</w:t>
      </w:r>
    </w:p>
    <w:p>
      <w:pPr>
        <w:spacing w:after="0" w:line="76" w:lineRule="exact"/>
        <w:rPr>
          <w:rFonts w:ascii="Times New Roman" w:cs="Times New Roman" w:eastAsia="Times New Roman" w:hAnsi="Times New Roman"/>
          <w:sz w:val="20"/>
          <w:szCs w:val="20"/>
          <w:color w:val="auto"/>
        </w:rPr>
      </w:pPr>
    </w:p>
    <w:p>
      <w:pPr>
        <w:jc w:val="both"/>
        <w:ind w:left="332" w:right="20" w:hanging="332"/>
        <w:spacing w:after="0" w:line="246" w:lineRule="auto"/>
        <w:tabs>
          <w:tab w:leader="none" w:pos="297"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Option; Interpretation</w:t>
      </w:r>
      <w:r>
        <w:rPr>
          <w:rFonts w:ascii="Times New Roman" w:cs="Times New Roman" w:eastAsia="Times New Roman" w:hAnsi="Times New Roman"/>
          <w:sz w:val="20"/>
          <w:szCs w:val="20"/>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76" w:lineRule="exact"/>
        <w:rPr>
          <w:rFonts w:ascii="Times New Roman" w:cs="Times New Roman" w:eastAsia="Times New Roman" w:hAnsi="Times New Roman"/>
          <w:sz w:val="20"/>
          <w:szCs w:val="20"/>
          <w:color w:val="auto"/>
        </w:rPr>
      </w:pPr>
    </w:p>
    <w:p>
      <w:pPr>
        <w:ind w:left="332" w:right="200" w:hanging="332"/>
        <w:spacing w:after="0" w:line="269" w:lineRule="auto"/>
        <w:tabs>
          <w:tab w:leader="none" w:pos="30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Not to Affect Employment</w:t>
      </w:r>
      <w:r>
        <w:rPr>
          <w:rFonts w:ascii="Times New Roman" w:cs="Times New Roman" w:eastAsia="Times New Roman" w:hAnsi="Times New Roman"/>
          <w:sz w:val="20"/>
          <w:szCs w:val="20"/>
          <w:color w:val="auto"/>
        </w:rPr>
        <w:t>. The Option granted hereunder shall not confer upon the Optionee any right to continue in service as an employee, officer or director of the Sponsor or any subsidiary of the Sponsor.</w:t>
      </w:r>
    </w:p>
    <w:p>
      <w:pPr>
        <w:spacing w:after="0" w:line="51" w:lineRule="exact"/>
        <w:rPr>
          <w:rFonts w:ascii="Times New Roman" w:cs="Times New Roman" w:eastAsia="Times New Roman" w:hAnsi="Times New Roman"/>
          <w:sz w:val="20"/>
          <w:szCs w:val="20"/>
          <w:color w:val="auto"/>
        </w:rPr>
      </w:pPr>
    </w:p>
    <w:p>
      <w:pPr>
        <w:ind w:left="292" w:hanging="292"/>
        <w:spacing w:after="0"/>
        <w:tabs>
          <w:tab w:leader="none" w:pos="29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52" w:right="140" w:hanging="328"/>
        <w:spacing w:after="0" w:line="269" w:lineRule="auto"/>
        <w:tabs>
          <w:tab w:leader="none" w:pos="59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for the Optionee to which notice, demands and other communications to be given or delivered under or by reason of the provisions hereof shall be the address contained in the</w:t>
      </w:r>
    </w:p>
    <w:p>
      <w:pPr>
        <w:sectPr>
          <w:pgSz w:w="11900" w:h="16838" w:orient="portrait"/>
          <w:cols w:equalWidth="0" w:num="1">
            <w:col w:w="11212"/>
          </w:cols>
          <w:pgMar w:left="328" w:top="1413" w:right="359" w:bottom="1440" w:gutter="0" w:footer="0" w:header="0"/>
        </w:sectPr>
      </w:pPr>
    </w:p>
    <w:bookmarkStart w:id="210" w:name="page211"/>
    <w:bookmarkEnd w:id="210"/>
    <w:p>
      <w:pPr>
        <w:ind w:left="652"/>
        <w:spacing w:after="0"/>
        <w:rPr>
          <w:sz w:val="20"/>
          <w:szCs w:val="20"/>
          <w:color w:val="auto"/>
        </w:rPr>
      </w:pPr>
      <w:r>
        <w:rPr>
          <w:rFonts w:ascii="Times New Roman" w:cs="Times New Roman" w:eastAsia="Times New Roman" w:hAnsi="Times New Roman"/>
          <w:sz w:val="20"/>
          <w:szCs w:val="20"/>
          <w:color w:val="auto"/>
        </w:rPr>
        <w:t>Company’s personnel records, or such other address as the Optionee may provide to the Company by written notice.</w:t>
      </w:r>
    </w:p>
    <w:p>
      <w:pPr>
        <w:spacing w:after="0" w:line="108" w:lineRule="exact"/>
        <w:rPr>
          <w:sz w:val="20"/>
          <w:szCs w:val="20"/>
          <w:color w:val="auto"/>
        </w:rPr>
      </w:pPr>
    </w:p>
    <w:p>
      <w:pPr>
        <w:ind w:left="612" w:hanging="288"/>
        <w:spacing w:after="0"/>
        <w:tabs>
          <w:tab w:leader="none" w:pos="612"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may be executed in one or more counterparts all of which taken together will constitute one and the same instrument.</w:t>
      </w:r>
    </w:p>
    <w:p>
      <w:pPr>
        <w:spacing w:after="0" w:line="107" w:lineRule="exact"/>
        <w:rPr>
          <w:rFonts w:ascii="Times New Roman" w:cs="Times New Roman" w:eastAsia="Times New Roman" w:hAnsi="Times New Roman"/>
          <w:sz w:val="20"/>
          <w:szCs w:val="20"/>
          <w:color w:val="auto"/>
        </w:rPr>
      </w:pPr>
    </w:p>
    <w:p>
      <w:pPr>
        <w:ind w:left="652" w:right="1140" w:hanging="328"/>
        <w:spacing w:after="0" w:line="269" w:lineRule="auto"/>
        <w:tabs>
          <w:tab w:leader="none" w:pos="59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performance, construction and effect of this Award shall be governed by the laws of the Commonwealth of Pennsylvania, without giving effect to principles of conflicts of law.</w:t>
      </w:r>
    </w:p>
    <w:p>
      <w:pPr>
        <w:spacing w:after="0" w:line="51" w:lineRule="exact"/>
        <w:rPr>
          <w:rFonts w:ascii="Times New Roman" w:cs="Times New Roman" w:eastAsia="Times New Roman" w:hAnsi="Times New Roman"/>
          <w:sz w:val="20"/>
          <w:szCs w:val="20"/>
          <w:color w:val="auto"/>
        </w:rPr>
      </w:pPr>
    </w:p>
    <w:p>
      <w:pPr>
        <w:ind w:left="652" w:hanging="328"/>
        <w:spacing w:after="0" w:line="243" w:lineRule="auto"/>
        <w:tabs>
          <w:tab w:leader="none" w:pos="608"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77" w:lineRule="exact"/>
        <w:rPr>
          <w:rFonts w:ascii="Times New Roman" w:cs="Times New Roman" w:eastAsia="Times New Roman" w:hAnsi="Times New Roman"/>
          <w:sz w:val="20"/>
          <w:szCs w:val="20"/>
          <w:color w:val="auto"/>
        </w:rPr>
      </w:pPr>
    </w:p>
    <w:p>
      <w:pPr>
        <w:ind w:left="332" w:right="20" w:hanging="332"/>
        <w:spacing w:after="0" w:line="258" w:lineRule="auto"/>
        <w:tabs>
          <w:tab w:leader="none" w:pos="305"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of Taxes</w:t>
      </w:r>
      <w:r>
        <w:rPr>
          <w:rFonts w:ascii="Times New Roman" w:cs="Times New Roman" w:eastAsia="Times New Roman" w:hAnsi="Times New Roman"/>
          <w:sz w:val="19"/>
          <w:szCs w:val="19"/>
          <w:color w:val="auto"/>
        </w:rPr>
        <w:t>. Whenever the Sponsor proposes or is required to deliver or transfer Shares in connection with the exercise of the Option, the Sponsor shall have the right to (a) withhold Shares subject to the Optionee’s exercise of the Option as provided in Paragraph 5 of the Award and Paragraph 15(b) of the Plan, (b) require the Optionee to remit to the Sponsor an amount sufficient to satisfy any federal, state and/or local withholding tax requirements prior to the delivery or transfer of any certificate or certificates for such Shares or</w:t>
      </w:r>
    </w:p>
    <w:p>
      <w:pPr>
        <w:ind w:left="592" w:hanging="268"/>
        <w:spacing w:after="0"/>
        <w:tabs>
          <w:tab w:leader="none" w:pos="592"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whatever action it deems necessary to protect its interests with respect to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20"/>
          <w:szCs w:val="20"/>
          <w:color w:val="auto"/>
        </w:rPr>
        <w:t>IN WITNESS WHEREOF, the Sponsor has granted this Award on the day and year first above written.</w:t>
      </w:r>
    </w:p>
    <w:p>
      <w:pPr>
        <w:spacing w:after="0" w:line="324"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0"/>
          <w:szCs w:val="20"/>
          <w:color w:val="auto"/>
        </w:rPr>
        <w:t>COMCAST CORPORATION</w:t>
      </w:r>
    </w:p>
    <w:p>
      <w:pPr>
        <w:spacing w:after="0" w:line="283"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0"/>
          <w:szCs w:val="20"/>
          <w:color w:val="auto"/>
        </w:rPr>
        <w:t>BY:</w:t>
      </w:r>
    </w:p>
    <w:p>
      <w:pPr>
        <w:spacing w:after="0" w:line="200" w:lineRule="exact"/>
        <w:rPr>
          <w:sz w:val="20"/>
          <w:szCs w:val="20"/>
          <w:color w:val="auto"/>
        </w:rPr>
      </w:pPr>
    </w:p>
    <w:p>
      <w:pPr>
        <w:spacing w:after="0" w:line="340"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0"/>
          <w:szCs w:val="20"/>
          <w:color w:val="auto"/>
        </w:rPr>
        <w:t>BY:</w:t>
      </w:r>
    </w:p>
    <w:p>
      <w:pPr>
        <w:spacing w:after="0" w:line="243"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0"/>
          <w:szCs w:val="20"/>
          <w:color w:val="auto"/>
        </w:rPr>
        <w:t>ATTEST: ________________________________</w:t>
      </w:r>
    </w:p>
    <w:p>
      <w:pPr>
        <w:sectPr>
          <w:pgSz w:w="11900" w:h="16838" w:orient="portrait"/>
          <w:cols w:equalWidth="0" w:num="1">
            <w:col w:w="11232"/>
          </w:cols>
          <w:pgMar w:left="328" w:top="1413" w:right="339" w:bottom="1440" w:gutter="0" w:footer="0" w:header="0"/>
        </w:sectPr>
      </w:pPr>
    </w:p>
    <w:bookmarkStart w:id="211" w:name="page212"/>
    <w:bookmarkEnd w:id="21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FORM OF LONG-TERM INCENTIVE AWARDS SUMMARY SCHEDULE</w:t>
      </w:r>
      <w:r>
        <w:rPr>
          <w:rFonts w:ascii="Times New Roman" w:cs="Times New Roman" w:eastAsia="Times New Roman" w:hAnsi="Times New Roman"/>
          <w:sz w:val="25"/>
          <w:szCs w:val="25"/>
          <w:b w:val="1"/>
          <w:bCs w:val="1"/>
          <w:color w:val="auto"/>
          <w:vertAlign w:val="superscript"/>
        </w:rPr>
        <w:t>15</w:t>
      </w:r>
    </w:p>
    <w:p>
      <w:pPr>
        <w:spacing w:after="0" w:line="23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This Long-Term Incentive Awards Summary Schedule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provides certain information related to the Non-Qualified Stock Options and Restricted Stock Units you were granted by Comcast Corporation on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This Schedule is intended to be, and shall at all times be interpreted as, part of your Comcast Corporation Non-Qualified Option award document.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Non-Qualified Stock Option Award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1:</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5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w:t>
            </w:r>
          </w:p>
        </w:tc>
        <w:tc>
          <w:tcPr>
            <w:tcW w:w="1600" w:type="dxa"/>
            <w:vAlign w:val="bottom"/>
            <w:tcBorders>
              <w:top w:val="single" w:sz="8" w:color="auto"/>
              <w:righ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25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r>
      <w:tr>
        <w:trPr>
          <w:trHeight w:val="283"/>
        </w:trPr>
        <w:tc>
          <w:tcPr>
            <w:tcW w:w="25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p>
        </w:tc>
        <w:tc>
          <w:tcPr>
            <w:tcW w:w="160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25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r>
      <w:tr>
        <w:trPr>
          <w:trHeight w:val="283"/>
        </w:trPr>
        <w:tc>
          <w:tcPr>
            <w:tcW w:w="25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w:t>
            </w:r>
          </w:p>
        </w:tc>
        <w:tc>
          <w:tcPr>
            <w:tcW w:w="160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34"/>
        </w:trPr>
        <w:tc>
          <w:tcPr>
            <w:tcW w:w="25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r>
      <w:tr>
        <w:trPr>
          <w:trHeight w:val="283"/>
        </w:trPr>
        <w:tc>
          <w:tcPr>
            <w:tcW w:w="25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Per Share Option Price</w:t>
            </w:r>
            <w:r>
              <w:rPr>
                <w:rFonts w:ascii="Times New Roman" w:cs="Times New Roman" w:eastAsia="Times New Roman" w:hAnsi="Times New Roman"/>
                <w:sz w:val="20"/>
                <w:szCs w:val="20"/>
                <w:color w:val="auto"/>
              </w:rPr>
              <w:t>:</w:t>
            </w:r>
          </w:p>
        </w:tc>
        <w:tc>
          <w:tcPr>
            <w:tcW w:w="160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25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Shares Subject to Option</w:t>
            </w:r>
            <w:r>
              <w:rPr>
                <w:rFonts w:ascii="Times New Roman" w:cs="Times New Roman" w:eastAsia="Times New Roman" w:hAnsi="Times New Roman"/>
                <w:sz w:val="20"/>
                <w:szCs w:val="20"/>
                <w:color w:val="auto"/>
              </w:rPr>
              <w:t>:</w:t>
            </w:r>
          </w:p>
        </w:tc>
        <w:tc>
          <w:tcPr>
            <w:tcW w:w="1600" w:type="dxa"/>
            <w:vAlign w:val="bottom"/>
            <w:tcBorders>
              <w:right w:val="single" w:sz="8" w:color="auto"/>
            </w:tcBorders>
          </w:tcPr>
          <w:p>
            <w:pPr>
              <w:spacing w:after="0"/>
              <w:rPr>
                <w:sz w:val="23"/>
                <w:szCs w:val="23"/>
                <w:color w:val="auto"/>
              </w:rPr>
            </w:pPr>
          </w:p>
        </w:tc>
        <w:tc>
          <w:tcPr>
            <w:tcW w:w="6860" w:type="dxa"/>
            <w:vAlign w:val="bottom"/>
            <w:tcBorders>
              <w:right w:val="single" w:sz="8" w:color="auto"/>
            </w:tcBorders>
          </w:tcPr>
          <w:p>
            <w:pPr>
              <w:spacing w:after="0"/>
              <w:rPr>
                <w:sz w:val="23"/>
                <w:szCs w:val="23"/>
                <w:color w:val="auto"/>
              </w:rPr>
            </w:pPr>
          </w:p>
        </w:tc>
      </w:tr>
      <w:tr>
        <w:trPr>
          <w:trHeight w:val="34"/>
        </w:trPr>
        <w:tc>
          <w:tcPr>
            <w:tcW w:w="25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r>
      <w:tr>
        <w:trPr>
          <w:trHeight w:val="283"/>
        </w:trPr>
        <w:tc>
          <w:tcPr>
            <w:tcW w:w="418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Vesting Dates/Exercisability of Option</w:t>
            </w:r>
            <w:r>
              <w:rPr>
                <w:rFonts w:ascii="Times New Roman" w:cs="Times New Roman" w:eastAsia="Times New Roman" w:hAnsi="Times New Roman"/>
                <w:sz w:val="20"/>
                <w:szCs w:val="20"/>
                <w:color w:val="auto"/>
              </w:rPr>
              <w:t>:</w:t>
            </w:r>
          </w:p>
        </w:tc>
        <w:tc>
          <w:tcPr>
            <w:tcW w:w="6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of the Shares subject to the Option may be exercised following [●].</w:t>
            </w:r>
          </w:p>
        </w:tc>
      </w:tr>
      <w:tr>
        <w:trPr>
          <w:trHeight w:val="34"/>
        </w:trPr>
        <w:tc>
          <w:tcPr>
            <w:tcW w:w="2580" w:type="dxa"/>
            <w:vAlign w:val="bottom"/>
            <w:tcBorders>
              <w:left w:val="single" w:sz="8" w:color="auto"/>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60" w:type="dxa"/>
            <w:vAlign w:val="bottom"/>
            <w:tcBorders>
              <w:bottom w:val="single" w:sz="8" w:color="auto"/>
              <w:right w:val="single" w:sz="8" w:color="auto"/>
            </w:tcBorders>
          </w:tcPr>
          <w:p>
            <w:pPr>
              <w:spacing w:after="0"/>
              <w:rPr>
                <w:sz w:val="3"/>
                <w:szCs w:val="3"/>
                <w:color w:val="auto"/>
              </w:rPr>
            </w:pPr>
          </w:p>
        </w:tc>
      </w:tr>
      <w:tr>
        <w:trPr>
          <w:trHeight w:val="195"/>
        </w:trPr>
        <w:tc>
          <w:tcPr>
            <w:tcW w:w="2580" w:type="dxa"/>
            <w:vAlign w:val="bottom"/>
            <w:tcBorders>
              <w:left w:val="single" w:sz="8" w:color="auto"/>
            </w:tcBorders>
          </w:tcPr>
          <w:p>
            <w:pPr>
              <w:ind w:left="40"/>
              <w:spacing w:after="0" w:line="195" w:lineRule="exact"/>
              <w:rPr>
                <w:sz w:val="20"/>
                <w:szCs w:val="20"/>
                <w:color w:val="auto"/>
              </w:rPr>
            </w:pPr>
            <w:r>
              <w:rPr>
                <w:rFonts w:ascii="Times New Roman" w:cs="Times New Roman" w:eastAsia="Times New Roman" w:hAnsi="Times New Roman"/>
                <w:sz w:val="20"/>
                <w:szCs w:val="20"/>
                <w:b w:val="1"/>
                <w:bCs w:val="1"/>
                <w:color w:val="auto"/>
              </w:rPr>
              <w:t>Option Term</w:t>
            </w:r>
            <w:r>
              <w:rPr>
                <w:rFonts w:ascii="Times New Roman" w:cs="Times New Roman" w:eastAsia="Times New Roman" w:hAnsi="Times New Roman"/>
                <w:sz w:val="20"/>
                <w:szCs w:val="20"/>
                <w:color w:val="auto"/>
              </w:rPr>
              <w:t>:</w:t>
            </w:r>
          </w:p>
        </w:tc>
        <w:tc>
          <w:tcPr>
            <w:tcW w:w="1600" w:type="dxa"/>
            <w:vAlign w:val="bottom"/>
            <w:tcBorders>
              <w:right w:val="single" w:sz="8" w:color="auto"/>
            </w:tcBorders>
          </w:tcPr>
          <w:p>
            <w:pPr>
              <w:spacing w:after="0"/>
              <w:rPr>
                <w:sz w:val="16"/>
                <w:szCs w:val="16"/>
                <w:color w:val="auto"/>
              </w:rPr>
            </w:pPr>
          </w:p>
        </w:tc>
        <w:tc>
          <w:tcPr>
            <w:tcW w:w="686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20"/>
                <w:szCs w:val="20"/>
                <w:color w:val="auto"/>
              </w:rPr>
              <w:t>10 Years, except as otherwise provided in your Comcast Corporation Non-Qualified</w:t>
            </w:r>
          </w:p>
        </w:tc>
      </w:tr>
      <w:tr>
        <w:trPr>
          <w:trHeight w:val="230"/>
        </w:trPr>
        <w:tc>
          <w:tcPr>
            <w:tcW w:w="2580" w:type="dxa"/>
            <w:vAlign w:val="bottom"/>
            <w:tcBorders>
              <w:left w:val="single" w:sz="8" w:color="auto"/>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Option award document.</w:t>
            </w:r>
          </w:p>
        </w:tc>
      </w:tr>
      <w:tr>
        <w:trPr>
          <w:trHeight w:val="607"/>
        </w:trPr>
        <w:tc>
          <w:tcPr>
            <w:tcW w:w="25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OPTION 2</w:t>
            </w:r>
            <w:r>
              <w:rPr>
                <w:rFonts w:ascii="Times New Roman" w:cs="Times New Roman" w:eastAsia="Times New Roman" w:hAnsi="Times New Roman"/>
                <w:sz w:val="20"/>
                <w:szCs w:val="20"/>
                <w:color w:val="auto"/>
              </w:rPr>
              <w:t>:</w:t>
            </w:r>
          </w:p>
        </w:tc>
        <w:tc>
          <w:tcPr>
            <w:tcW w:w="16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278"/>
        </w:trPr>
        <w:tc>
          <w:tcPr>
            <w:tcW w:w="2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Optionee:</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860" w:type="dxa"/>
            <w:vAlign w:val="bottom"/>
            <w:tcBorders>
              <w:bottom w:val="single" w:sz="8" w:color="auto"/>
              <w:right w:val="single" w:sz="8" w:color="auto"/>
            </w:tcBorders>
          </w:tcPr>
          <w:p>
            <w:pPr>
              <w:spacing w:after="0"/>
              <w:rPr>
                <w:sz w:val="20"/>
                <w:szCs w:val="20"/>
                <w:color w:val="auto"/>
              </w:rPr>
            </w:pPr>
          </w:p>
        </w:tc>
      </w:tr>
      <w:tr>
        <w:trPr>
          <w:trHeight w:val="237"/>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of Grant:</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860" w:type="dxa"/>
            <w:vAlign w:val="bottom"/>
            <w:tcBorders>
              <w:bottom w:val="single" w:sz="8" w:color="auto"/>
              <w:right w:val="single" w:sz="8" w:color="auto"/>
            </w:tcBorders>
          </w:tcPr>
          <w:p>
            <w:pPr>
              <w:spacing w:after="0"/>
              <w:rPr>
                <w:sz w:val="20"/>
                <w:szCs w:val="20"/>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84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Comcast Corporation Class A Common Stock</w:t>
            </w:r>
          </w:p>
        </w:tc>
      </w:tr>
      <w:tr>
        <w:trPr>
          <w:trHeight w:val="237"/>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Per Share Option Price:</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860" w:type="dxa"/>
            <w:vAlign w:val="bottom"/>
            <w:tcBorders>
              <w:bottom w:val="single" w:sz="8" w:color="auto"/>
              <w:right w:val="single" w:sz="8" w:color="auto"/>
            </w:tcBorders>
          </w:tcPr>
          <w:p>
            <w:pPr>
              <w:spacing w:after="0"/>
              <w:rPr>
                <w:sz w:val="20"/>
                <w:szCs w:val="20"/>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Shares Subject to Option:</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86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160" w:hanging="152"/>
        <w:spacing w:after="0"/>
        <w:tabs>
          <w:tab w:leader="none" w:pos="160" w:val="left"/>
        </w:tabs>
        <w:numPr>
          <w:ilvl w:val="0"/>
          <w:numId w:val="18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grants during and after 2016.</w:t>
      </w:r>
    </w:p>
    <w:p>
      <w:pPr>
        <w:sectPr>
          <w:pgSz w:w="11900" w:h="16838" w:orient="portrait"/>
          <w:cols w:equalWidth="0" w:num="1">
            <w:col w:w="11160"/>
          </w:cols>
          <w:pgMar w:left="320" w:top="1436" w:right="419" w:bottom="1440" w:gutter="0" w:footer="0" w:header="0"/>
        </w:sectPr>
      </w:pPr>
    </w:p>
    <w:bookmarkStart w:id="212" w:name="page213"/>
    <w:bookmarkEnd w:id="2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580" w:type="dxa"/>
            <w:vAlign w:val="bottom"/>
            <w:tcBorders>
              <w:top w:val="single" w:sz="8" w:color="auto"/>
              <w:left w:val="single" w:sz="8" w:color="auto"/>
              <w:right w:val="single" w:sz="8" w:color="auto"/>
            </w:tcBorders>
          </w:tcPr>
          <w:p>
            <w:pPr>
              <w:spacing w:after="0"/>
              <w:rPr>
                <w:sz w:val="24"/>
                <w:szCs w:val="24"/>
                <w:color w:val="auto"/>
              </w:rPr>
            </w:pPr>
          </w:p>
        </w:tc>
        <w:tc>
          <w:tcPr>
            <w:tcW w:w="8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second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third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fourth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fifth anniversary of the</w:t>
            </w:r>
          </w:p>
        </w:tc>
        <w:tc>
          <w:tcPr>
            <w:tcW w:w="0" w:type="dxa"/>
            <w:vAlign w:val="bottom"/>
          </w:tcPr>
          <w:p>
            <w:pPr>
              <w:spacing w:after="0"/>
              <w:rPr>
                <w:sz w:val="1"/>
                <w:szCs w:val="1"/>
                <w:color w:val="auto"/>
              </w:rPr>
            </w:pPr>
          </w:p>
        </w:tc>
      </w:tr>
      <w:tr>
        <w:trPr>
          <w:trHeight w:val="256"/>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sixth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seventh anniversary of</w:t>
            </w:r>
          </w:p>
        </w:tc>
        <w:tc>
          <w:tcPr>
            <w:tcW w:w="0" w:type="dxa"/>
            <w:vAlign w:val="bottom"/>
          </w:tcPr>
          <w:p>
            <w:pPr>
              <w:spacing w:after="0"/>
              <w:rPr>
                <w:sz w:val="1"/>
                <w:szCs w:val="1"/>
                <w:color w:val="auto"/>
              </w:rPr>
            </w:pPr>
          </w:p>
        </w:tc>
      </w:tr>
      <w:tr>
        <w:trPr>
          <w:trHeight w:val="256"/>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eighth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ninth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Vesting Dates /Exercisability</w:t>
            </w: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nine and one-half year</w:t>
            </w:r>
          </w:p>
        </w:tc>
        <w:tc>
          <w:tcPr>
            <w:tcW w:w="0" w:type="dxa"/>
            <w:vAlign w:val="bottom"/>
          </w:tcPr>
          <w:p>
            <w:pPr>
              <w:spacing w:after="0"/>
              <w:rPr>
                <w:sz w:val="1"/>
                <w:szCs w:val="1"/>
                <w:color w:val="auto"/>
              </w:rPr>
            </w:pPr>
          </w:p>
        </w:tc>
      </w:tr>
      <w:tr>
        <w:trPr>
          <w:trHeight w:val="54"/>
        </w:trPr>
        <w:tc>
          <w:tcPr>
            <w:tcW w:w="2580" w:type="dxa"/>
            <w:vAlign w:val="bottom"/>
            <w:tcBorders>
              <w:left w:val="single" w:sz="8" w:color="auto"/>
              <w:right w:val="single" w:sz="8" w:color="auto"/>
            </w:tcBorders>
            <w:vMerge w:val="continue"/>
          </w:tcPr>
          <w:p>
            <w:pPr>
              <w:spacing w:after="0"/>
              <w:rPr>
                <w:sz w:val="4"/>
                <w:szCs w:val="4"/>
                <w:color w:val="auto"/>
              </w:rPr>
            </w:pPr>
          </w:p>
        </w:tc>
        <w:tc>
          <w:tcPr>
            <w:tcW w:w="8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anniversary of the Date of Grant.</w:t>
            </w: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of Option:</w:t>
            </w:r>
          </w:p>
        </w:tc>
        <w:tc>
          <w:tcPr>
            <w:tcW w:w="84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Option Term:</w:t>
            </w:r>
          </w:p>
        </w:tc>
        <w:tc>
          <w:tcPr>
            <w:tcW w:w="846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20"/>
                <w:szCs w:val="20"/>
                <w:color w:val="auto"/>
              </w:rPr>
              <w:t>10 Years, except as otherwise provided in your Comcast Corporation Non-Qualified Option award</w:t>
            </w: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document.</w:t>
            </w:r>
          </w:p>
        </w:tc>
        <w:tc>
          <w:tcPr>
            <w:tcW w:w="0" w:type="dxa"/>
            <w:vAlign w:val="bottom"/>
          </w:tcPr>
          <w:p>
            <w:pPr>
              <w:spacing w:after="0"/>
              <w:rPr>
                <w:sz w:val="1"/>
                <w:szCs w:val="1"/>
                <w:color w:val="auto"/>
              </w:rPr>
            </w:pPr>
          </w:p>
        </w:tc>
      </w:tr>
      <w:tr>
        <w:trPr>
          <w:trHeight w:val="689"/>
        </w:trPr>
        <w:tc>
          <w:tcPr>
            <w:tcW w:w="25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OPTION 3</w:t>
            </w:r>
            <w:r>
              <w:rPr>
                <w:rFonts w:ascii="Times New Roman" w:cs="Times New Roman" w:eastAsia="Times New Roman" w:hAnsi="Times New Roman"/>
                <w:sz w:val="25"/>
                <w:szCs w:val="25"/>
                <w:i w:val="1"/>
                <w:iCs w:val="1"/>
                <w:color w:val="auto"/>
                <w:vertAlign w:val="superscript"/>
              </w:rPr>
              <w:t>16</w:t>
            </w:r>
            <w:r>
              <w:rPr>
                <w:rFonts w:ascii="Times New Roman" w:cs="Times New Roman" w:eastAsia="Times New Roman" w:hAnsi="Times New Roman"/>
                <w:sz w:val="20"/>
                <w:szCs w:val="20"/>
                <w:color w:val="auto"/>
              </w:rPr>
              <w:t>:</w:t>
            </w: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auto"/>
            </w:tcBorders>
          </w:tcPr>
          <w:p>
            <w:pPr>
              <w:spacing w:after="0"/>
              <w:rPr>
                <w:sz w:val="16"/>
                <w:szCs w:val="16"/>
                <w:color w:val="auto"/>
              </w:rPr>
            </w:pPr>
          </w:p>
        </w:tc>
        <w:tc>
          <w:tcPr>
            <w:tcW w:w="8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Optionee:</w:t>
            </w: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of Grant:</w:t>
            </w: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0" w:type="dxa"/>
            <w:vAlign w:val="bottom"/>
          </w:tcPr>
          <w:p>
            <w:pPr>
              <w:spacing w:after="0"/>
              <w:rPr>
                <w:sz w:val="1"/>
                <w:szCs w:val="1"/>
                <w:color w:val="auto"/>
              </w:rPr>
            </w:pPr>
          </w:p>
        </w:tc>
      </w:tr>
      <w:tr>
        <w:trPr>
          <w:trHeight w:val="237"/>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Per Share Option Price:</w:t>
            </w: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Shares Subject to Option:</w:t>
            </w: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second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third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6"/>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fourth anniversary of the</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tcPr>
          <w:p>
            <w:pPr>
              <w:spacing w:after="0"/>
              <w:rPr>
                <w:sz w:val="22"/>
                <w:szCs w:val="2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57"/>
        </w:trPr>
        <w:tc>
          <w:tcPr>
            <w:tcW w:w="2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Vesting Dates /Exercisability</w:t>
            </w: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Shares subject to the Option may be exercised following the fifth anniversary of the</w:t>
            </w:r>
          </w:p>
        </w:tc>
        <w:tc>
          <w:tcPr>
            <w:tcW w:w="0" w:type="dxa"/>
            <w:vAlign w:val="bottom"/>
          </w:tcPr>
          <w:p>
            <w:pPr>
              <w:spacing w:after="0"/>
              <w:rPr>
                <w:sz w:val="1"/>
                <w:szCs w:val="1"/>
                <w:color w:val="auto"/>
              </w:rPr>
            </w:pPr>
          </w:p>
        </w:tc>
      </w:tr>
      <w:tr>
        <w:trPr>
          <w:trHeight w:val="54"/>
        </w:trPr>
        <w:tc>
          <w:tcPr>
            <w:tcW w:w="2580" w:type="dxa"/>
            <w:vAlign w:val="bottom"/>
            <w:tcBorders>
              <w:left w:val="single" w:sz="8" w:color="auto"/>
              <w:right w:val="single" w:sz="8" w:color="auto"/>
            </w:tcBorders>
            <w:vMerge w:val="continue"/>
          </w:tcPr>
          <w:p>
            <w:pPr>
              <w:spacing w:after="0"/>
              <w:rPr>
                <w:sz w:val="4"/>
                <w:szCs w:val="4"/>
                <w:color w:val="auto"/>
              </w:rPr>
            </w:pPr>
          </w:p>
        </w:tc>
        <w:tc>
          <w:tcPr>
            <w:tcW w:w="8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of Option:</w:t>
            </w:r>
          </w:p>
        </w:tc>
        <w:tc>
          <w:tcPr>
            <w:tcW w:w="84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Option Term:</w:t>
            </w:r>
          </w:p>
        </w:tc>
        <w:tc>
          <w:tcPr>
            <w:tcW w:w="846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20"/>
                <w:szCs w:val="20"/>
                <w:color w:val="auto"/>
              </w:rPr>
              <w:t>10 Years, except as otherwise provided in your Comcast Corporation Non-Qualified Option award</w:t>
            </w: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8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714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60" w:hanging="152"/>
        <w:spacing w:after="0"/>
        <w:tabs>
          <w:tab w:leader="none" w:pos="160" w:val="left"/>
        </w:tabs>
        <w:numPr>
          <w:ilvl w:val="0"/>
          <w:numId w:val="1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grants during and after 2021.</w:t>
      </w:r>
    </w:p>
    <w:p>
      <w:pPr>
        <w:sectPr>
          <w:pgSz w:w="11900" w:h="16838" w:orient="portrait"/>
          <w:cols w:equalWidth="0" w:num="1">
            <w:col w:w="11020"/>
          </w:cols>
          <w:pgMar w:left="320" w:top="1440" w:right="55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2"/>
          <w:szCs w:val="22"/>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COMCAST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w:t>
      </w:r>
    </w:p>
    <w:p>
      <w:pPr>
        <w:spacing w:after="0" w:line="194"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This is a Restricted Stock Unit Award (the “Award”) dated [Grant Date], [Year 1]/[Year 0]/[2016]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77" w:lineRule="exact"/>
        <w:rPr>
          <w:sz w:val="20"/>
          <w:szCs w:val="20"/>
          <w:color w:val="auto"/>
        </w:rPr>
      </w:pPr>
    </w:p>
    <w:p>
      <w:pPr>
        <w:ind w:left="340" w:hanging="332"/>
        <w:spacing w:after="0"/>
        <w:tabs>
          <w:tab w:leader="none" w:pos="34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herein are defined below or, if not defined below, have the meanings given to them in the Plan.</w:t>
      </w:r>
    </w:p>
    <w:p>
      <w:pPr>
        <w:spacing w:after="0" w:line="107" w:lineRule="exact"/>
        <w:rPr>
          <w:rFonts w:ascii="Times New Roman" w:cs="Times New Roman" w:eastAsia="Times New Roman" w:hAnsi="Times New Roman"/>
          <w:sz w:val="20"/>
          <w:szCs w:val="20"/>
          <w:color w:val="auto"/>
        </w:rPr>
      </w:pPr>
    </w:p>
    <w:p>
      <w:pPr>
        <w:ind w:left="660" w:right="100" w:hanging="328"/>
        <w:spacing w:after="0" w:line="249" w:lineRule="auto"/>
        <w:tabs>
          <w:tab w:leader="none" w:pos="65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means an unfunded bookkeeping account established pursuant to Paragraph 6(d)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7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the award of Restricted Stock Units hereby granted.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107" w:lineRule="exact"/>
        <w:rPr>
          <w:rFonts w:ascii="Times New Roman" w:cs="Times New Roman" w:eastAsia="Times New Roman" w:hAnsi="Times New Roman"/>
          <w:sz w:val="20"/>
          <w:szCs w:val="20"/>
          <w:color w:val="auto"/>
        </w:rPr>
      </w:pPr>
    </w:p>
    <w:p>
      <w:pPr>
        <w:ind w:left="660" w:right="80" w:hanging="328"/>
        <w:spacing w:after="0" w:line="263" w:lineRule="auto"/>
        <w:tabs>
          <w:tab w:leader="none" w:pos="64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58"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Compensation Committee of the Board or its delegate.</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means the date first set forth above, on which the Company awarded the Restricted Stock Units.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Stock Units</w:t>
      </w:r>
      <w:r>
        <w:rPr>
          <w:rFonts w:ascii="Times New Roman" w:cs="Times New Roman" w:eastAsia="Times New Roman" w:hAnsi="Times New Roman"/>
          <w:sz w:val="20"/>
          <w:szCs w:val="20"/>
          <w:color w:val="auto"/>
        </w:rPr>
        <w:t>” means the number of hypothetical Shares subject to an Election.</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Disabled Grantee</w:t>
      </w:r>
      <w:r>
        <w:rPr>
          <w:rFonts w:ascii="Times New Roman" w:cs="Times New Roman" w:eastAsia="Times New Roman" w:hAnsi="Times New Roman"/>
          <w:sz w:val="20"/>
          <w:szCs w:val="20"/>
          <w:color w:val="auto"/>
        </w:rPr>
        <w:t>” means:</w:t>
      </w:r>
    </w:p>
    <w:p>
      <w:pPr>
        <w:spacing w:after="0" w:line="107"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if Grantee’s employment by a Participating Company terminates by reason of Disability; or</w:t>
      </w:r>
    </w:p>
    <w:p>
      <w:pPr>
        <w:spacing w:after="0" w:line="107" w:lineRule="exact"/>
        <w:rPr>
          <w:rFonts w:ascii="Times New Roman" w:cs="Times New Roman" w:eastAsia="Times New Roman" w:hAnsi="Times New Roman"/>
          <w:sz w:val="20"/>
          <w:szCs w:val="20"/>
          <w:color w:val="auto"/>
        </w:rPr>
      </w:pPr>
    </w:p>
    <w:p>
      <w:pPr>
        <w:ind w:left="980" w:right="600" w:hanging="324"/>
        <w:spacing w:after="0" w:line="269" w:lineRule="auto"/>
        <w:tabs>
          <w:tab w:leader="none" w:pos="936"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Grantee’s duly-appointed legal guardian following Grantee’s termination of employment by reason of Disability, acting on Grantee’s behalf.</w:t>
      </w:r>
    </w:p>
    <w:p>
      <w:pPr>
        <w:spacing w:after="0" w:line="51" w:lineRule="exact"/>
        <w:rPr>
          <w:rFonts w:ascii="Times New Roman" w:cs="Times New Roman" w:eastAsia="Times New Roman" w:hAnsi="Times New Roman"/>
          <w:sz w:val="20"/>
          <w:szCs w:val="20"/>
          <w:color w:val="auto"/>
        </w:rPr>
      </w:pPr>
    </w:p>
    <w:p>
      <w:pPr>
        <w:ind w:left="660" w:right="560" w:hanging="328"/>
        <w:spacing w:after="0" w:line="269" w:lineRule="auto"/>
        <w:tabs>
          <w:tab w:leader="none" w:pos="65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or the subsidiary or affiliate of the Company for which Grantee is performing services on the Vesting Date.</w:t>
      </w:r>
    </w:p>
    <w:p>
      <w:pPr>
        <w:spacing w:after="0" w:line="51" w:lineRule="exact"/>
        <w:rPr>
          <w:rFonts w:ascii="Times New Roman" w:cs="Times New Roman" w:eastAsia="Times New Roman" w:hAnsi="Times New Roman"/>
          <w:sz w:val="20"/>
          <w:szCs w:val="20"/>
          <w:color w:val="auto"/>
        </w:rPr>
      </w:pPr>
    </w:p>
    <w:p>
      <w:pPr>
        <w:ind w:left="660" w:right="420" w:hanging="328"/>
        <w:spacing w:after="0" w:line="269" w:lineRule="auto"/>
        <w:tabs>
          <w:tab w:leader="none" w:pos="6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means the individual to whom this Award has been granted as identified on the attached Long-Term Incentive Awards Summary Schedule.</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HSR Act</w:t>
      </w:r>
      <w:r>
        <w:rPr>
          <w:rFonts w:ascii="Times New Roman" w:cs="Times New Roman" w:eastAsia="Times New Roman" w:hAnsi="Times New Roman"/>
          <w:sz w:val="20"/>
          <w:szCs w:val="20"/>
          <w:color w:val="auto"/>
        </w:rPr>
        <w:t>” means the Hart-Scott-Rodino Antitrust Improvements Act of 1976, as amended.</w:t>
      </w:r>
    </w:p>
    <w:p>
      <w:pPr>
        <w:sectPr>
          <w:pgSz w:w="11900" w:h="16838" w:orient="portrait"/>
          <w:cols w:equalWidth="0" w:num="1">
            <w:col w:w="11240"/>
          </w:cols>
          <w:pgMar w:left="320" w:top="122" w:right="339" w:bottom="1440" w:gutter="0" w:footer="0" w:header="0"/>
        </w:sectPr>
      </w:pPr>
    </w:p>
    <w:bookmarkStart w:id="214" w:name="page215"/>
    <w:bookmarkEnd w:id="214"/>
    <w:p>
      <w:pPr>
        <w:ind w:left="652" w:right="620" w:hanging="328"/>
        <w:spacing w:after="0" w:line="269" w:lineRule="auto"/>
        <w:tabs>
          <w:tab w:leader="none" w:pos="64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Long-Term Incentive Awards Summary Schedule</w:t>
      </w:r>
      <w:r>
        <w:rPr>
          <w:rFonts w:ascii="Times New Roman" w:cs="Times New Roman" w:eastAsia="Times New Roman" w:hAnsi="Times New Roman"/>
          <w:sz w:val="20"/>
          <w:szCs w:val="20"/>
          <w:color w:val="auto"/>
        </w:rPr>
        <w:t>” means the schedule attached hereto, which sets forth specific information relating to the grant and vesting of this Award.</w:t>
      </w:r>
    </w:p>
    <w:p>
      <w:pPr>
        <w:spacing w:after="0" w:line="51"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means the 12-consecutive-month period ending [March 31]/[June 30]/[September 30]/[December 31], [●].</w:t>
      </w:r>
      <w:r>
        <w:rPr>
          <w:rFonts w:ascii="Times New Roman" w:cs="Times New Roman" w:eastAsia="Times New Roman" w:hAnsi="Times New Roman"/>
          <w:sz w:val="25"/>
          <w:szCs w:val="25"/>
          <w:color w:val="auto"/>
          <w:vertAlign w:val="superscript"/>
        </w:rPr>
        <w:t>1</w:t>
      </w:r>
    </w:p>
    <w:p>
      <w:pPr>
        <w:spacing w:after="0" w:line="53" w:lineRule="exact"/>
        <w:rPr>
          <w:rFonts w:ascii="Times New Roman" w:cs="Times New Roman" w:eastAsia="Times New Roman" w:hAnsi="Times New Roman"/>
          <w:sz w:val="20"/>
          <w:szCs w:val="20"/>
          <w:color w:val="auto"/>
        </w:rPr>
      </w:pPr>
    </w:p>
    <w:p>
      <w:pPr>
        <w:ind w:left="652" w:right="40" w:hanging="328"/>
        <w:spacing w:after="0" w:line="265" w:lineRule="auto"/>
        <w:tabs>
          <w:tab w:leader="none" w:pos="64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Normal Retirement</w:t>
      </w:r>
      <w:r>
        <w:rPr>
          <w:rFonts w:ascii="Times New Roman" w:cs="Times New Roman" w:eastAsia="Times New Roman" w:hAnsi="Times New Roman"/>
          <w:sz w:val="20"/>
          <w:szCs w:val="20"/>
          <w:color w:val="auto"/>
        </w:rPr>
        <w:t>” means Grantee’s termination of employment that is treated by the Participating Company as a retirement under its employment policies and practices as in effect from time to time.</w:t>
      </w:r>
    </w:p>
    <w:p>
      <w:pPr>
        <w:spacing w:after="0" w:line="55" w:lineRule="exact"/>
        <w:rPr>
          <w:rFonts w:ascii="Times New Roman" w:cs="Times New Roman" w:eastAsia="Times New Roman" w:hAnsi="Times New Roman"/>
          <w:sz w:val="20"/>
          <w:szCs w:val="20"/>
          <w:color w:val="auto"/>
        </w:rPr>
      </w:pPr>
    </w:p>
    <w:p>
      <w:pPr>
        <w:ind w:left="692" w:hanging="368"/>
        <w:spacing w:after="0"/>
        <w:tabs>
          <w:tab w:leader="none" w:pos="69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Operating Cash Flow</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972" w:right="240" w:hanging="324"/>
        <w:spacing w:after="0" w:line="254" w:lineRule="auto"/>
        <w:tabs>
          <w:tab w:leader="none" w:pos="92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In general, “Operating Cash Flow” means operating income before depreciation and amortization for the Company and those of its affiliates that are included with the Company in its consolidated financial statements, as determined by the Committee.</w:t>
      </w:r>
    </w:p>
    <w:p>
      <w:pPr>
        <w:spacing w:after="0" w:line="66" w:lineRule="exact"/>
        <w:rPr>
          <w:rFonts w:ascii="Times New Roman" w:cs="Times New Roman" w:eastAsia="Times New Roman" w:hAnsi="Times New Roman"/>
          <w:sz w:val="20"/>
          <w:szCs w:val="20"/>
          <w:color w:val="auto"/>
        </w:rPr>
      </w:pPr>
    </w:p>
    <w:p>
      <w:pPr>
        <w:ind w:left="972" w:right="40" w:hanging="324"/>
        <w:spacing w:after="0" w:line="242" w:lineRule="auto"/>
        <w:tabs>
          <w:tab w:leader="none" w:pos="92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Comparability of Operating Cash Flow Between [Calendar Years][Performance Periods]</w:t>
      </w:r>
      <w:r>
        <w:rPr>
          <w:rFonts w:ascii="Times New Roman" w:cs="Times New Roman" w:eastAsia="Times New Roman" w:hAnsi="Times New Roman"/>
          <w:sz w:val="20"/>
          <w:szCs w:val="20"/>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Operating Cash Flow, the Committee shall adjust the Operating Cash Flow for the prior [calendar year]/[Performance Periods] and the [year][Performance Period] to which the performance condition applies to take into account the impact of such acquisition or disposition on a pro forma basis such that the measurement of Operating Cash Flow for the [year][Performance Period] to which the performance condition applies is comparable to that for the prior [calendar year]/[Performance Periods]. Such adjustment shall be based upon the historical equivalent of Operating Cash Flow of the assets so acquired or disposed of for the prior [calendar year]/[Performance Periods], as shown by such records as are available to the Company, as further adjusted to reflect any aspects of the transaction that should be taken into account to ensure comparability between amounts in the prior [calendar year]/[Performance Periods] and the [year]/[Performance Periods] to which the performance condition applies.</w:t>
      </w:r>
    </w:p>
    <w:p>
      <w:pPr>
        <w:spacing w:after="0" w:line="81"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Goal</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52" w:right="4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[means Operating Cash Flow for a [calendar year][Measurement Period] that equals or exceeds [101%]/[●%] of Operating Cash Flow for the immediately preceding calendar year.</w:t>
      </w:r>
    </w:p>
    <w:p>
      <w:pPr>
        <w:spacing w:after="0" w:line="47" w:lineRule="exact"/>
        <w:rPr>
          <w:rFonts w:ascii="Times New Roman" w:cs="Times New Roman" w:eastAsia="Times New Roman" w:hAnsi="Times New Roman"/>
          <w:sz w:val="20"/>
          <w:szCs w:val="20"/>
          <w:color w:val="auto"/>
        </w:rPr>
      </w:pPr>
    </w:p>
    <w:p>
      <w:pPr>
        <w:ind w:left="65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OPTION A</w:t>
      </w:r>
      <w:r>
        <w:rPr>
          <w:rFonts w:ascii="Times New Roman" w:cs="Times New Roman" w:eastAsia="Times New Roman" w:hAnsi="Times New Roman"/>
          <w:sz w:val="20"/>
          <w:szCs w:val="20"/>
          <w:color w:val="auto"/>
        </w:rPr>
        <w:t>: Accordingly:</w:t>
      </w:r>
    </w:p>
    <w:p>
      <w:pPr>
        <w:spacing w:after="0" w:line="111" w:lineRule="exact"/>
        <w:rPr>
          <w:rFonts w:ascii="Times New Roman" w:cs="Times New Roman" w:eastAsia="Times New Roman" w:hAnsi="Times New Roman"/>
          <w:sz w:val="20"/>
          <w:szCs w:val="20"/>
          <w:color w:val="auto"/>
        </w:rPr>
      </w:pPr>
    </w:p>
    <w:p>
      <w:pPr>
        <w:ind w:left="972" w:right="220" w:hanging="324"/>
        <w:spacing w:after="0" w:line="269" w:lineRule="auto"/>
        <w:tabs>
          <w:tab w:leader="none" w:pos="92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First Performance Goal</w:t>
      </w:r>
      <w:r>
        <w:rPr>
          <w:rFonts w:ascii="Times New Roman" w:cs="Times New Roman" w:eastAsia="Times New Roman" w:hAnsi="Times New Roman"/>
          <w:sz w:val="20"/>
          <w:szCs w:val="20"/>
          <w:color w:val="auto"/>
        </w:rPr>
        <w:t>” will be satisfied if Operating Cash Flow for [the Measurement Period ending in] [2016]/[Year 1] equals or exceeds [101%]/[●%] of Operating Cash Flow for [the Measurement Period ending in] [2015]/[Year 0];</w:t>
      </w:r>
    </w:p>
    <w:p>
      <w:pPr>
        <w:spacing w:after="0" w:line="51" w:lineRule="exact"/>
        <w:rPr>
          <w:rFonts w:ascii="Times New Roman" w:cs="Times New Roman" w:eastAsia="Times New Roman" w:hAnsi="Times New Roman"/>
          <w:sz w:val="20"/>
          <w:szCs w:val="20"/>
          <w:color w:val="auto"/>
        </w:rPr>
      </w:pPr>
    </w:p>
    <w:p>
      <w:pPr>
        <w:ind w:left="972" w:hanging="324"/>
        <w:spacing w:after="0" w:line="269" w:lineRule="auto"/>
        <w:tabs>
          <w:tab w:leader="none" w:pos="92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Second Performance Goal</w:t>
      </w:r>
      <w:r>
        <w:rPr>
          <w:rFonts w:ascii="Times New Roman" w:cs="Times New Roman" w:eastAsia="Times New Roman" w:hAnsi="Times New Roman"/>
          <w:sz w:val="20"/>
          <w:szCs w:val="20"/>
          <w:color w:val="auto"/>
        </w:rPr>
        <w:t>” will be satisfied if Operating Cash Flow for [the Measurement Period ending in] [2017]/[Year 2] equals or exceeds [101%]/[●%] of Operating Cash Flow for [the Measurement Period ending in] [2016]/[Year 1];</w:t>
      </w:r>
    </w:p>
    <w:p>
      <w:pPr>
        <w:spacing w:after="0" w:line="51" w:lineRule="exact"/>
        <w:rPr>
          <w:rFonts w:ascii="Times New Roman" w:cs="Times New Roman" w:eastAsia="Times New Roman" w:hAnsi="Times New Roman"/>
          <w:sz w:val="20"/>
          <w:szCs w:val="20"/>
          <w:color w:val="auto"/>
        </w:rPr>
      </w:pPr>
    </w:p>
    <w:p>
      <w:pPr>
        <w:ind w:left="972" w:right="140" w:hanging="324"/>
        <w:spacing w:after="0" w:line="269" w:lineRule="auto"/>
        <w:tabs>
          <w:tab w:leader="none" w:pos="92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Third Performance Goal</w:t>
      </w:r>
      <w:r>
        <w:rPr>
          <w:rFonts w:ascii="Times New Roman" w:cs="Times New Roman" w:eastAsia="Times New Roman" w:hAnsi="Times New Roman"/>
          <w:sz w:val="20"/>
          <w:szCs w:val="20"/>
          <w:color w:val="auto"/>
        </w:rPr>
        <w:t>” will be satisfied if Operating Cash Flow for [the Measurement Period ending in] [2018]/[Year 3] equals or exceeds [101%]/[●%] of Operating Cash Flow for [the Measurement Period ending in] [2017]/[Year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714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1" w:lineRule="exact"/>
        <w:rPr>
          <w:sz w:val="20"/>
          <w:szCs w:val="20"/>
          <w:color w:val="auto"/>
        </w:rPr>
      </w:pPr>
    </w:p>
    <w:p>
      <w:pPr>
        <w:ind w:left="112" w:hanging="112"/>
        <w:spacing w:after="0"/>
        <w:tabs>
          <w:tab w:leader="none" w:pos="112" w:val="left"/>
        </w:tabs>
        <w:numPr>
          <w:ilvl w:val="0"/>
          <w:numId w:val="1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2015.</w:t>
      </w:r>
    </w:p>
    <w:p>
      <w:pPr>
        <w:sectPr>
          <w:pgSz w:w="11900" w:h="16838" w:orient="portrait"/>
          <w:cols w:equalWidth="0" w:num="1">
            <w:col w:w="11212"/>
          </w:cols>
          <w:pgMar w:left="328" w:top="1413" w:right="359" w:bottom="1440" w:gutter="0" w:footer="0" w:header="0"/>
        </w:sectPr>
      </w:pPr>
    </w:p>
    <w:bookmarkStart w:id="215" w:name="page216"/>
    <w:bookmarkEnd w:id="215"/>
    <w:p>
      <w:pPr>
        <w:ind w:left="972" w:right="20" w:hanging="324"/>
        <w:spacing w:after="0" w:line="269" w:lineRule="auto"/>
        <w:tabs>
          <w:tab w:leader="none" w:pos="92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Fourth Performance Goal</w:t>
      </w:r>
      <w:r>
        <w:rPr>
          <w:rFonts w:ascii="Times New Roman" w:cs="Times New Roman" w:eastAsia="Times New Roman" w:hAnsi="Times New Roman"/>
          <w:sz w:val="20"/>
          <w:szCs w:val="20"/>
          <w:color w:val="auto"/>
        </w:rPr>
        <w:t>” will be satisfied if Operating Cash Flow for [the Measurement Period ending in] [2019]/[Year 4] equals or exceeds [101%]/[●%] of Operating Cash Flow for [the Measurement Period ending in] [2018]/[Year 3]; and</w:t>
      </w:r>
    </w:p>
    <w:p>
      <w:pPr>
        <w:spacing w:after="0" w:line="51" w:lineRule="exact"/>
        <w:rPr>
          <w:rFonts w:ascii="Times New Roman" w:cs="Times New Roman" w:eastAsia="Times New Roman" w:hAnsi="Times New Roman"/>
          <w:sz w:val="20"/>
          <w:szCs w:val="20"/>
          <w:color w:val="auto"/>
        </w:rPr>
      </w:pPr>
    </w:p>
    <w:p>
      <w:pPr>
        <w:ind w:left="972" w:right="160" w:hanging="324"/>
        <w:spacing w:after="0" w:line="269" w:lineRule="auto"/>
        <w:tabs>
          <w:tab w:leader="none" w:pos="92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Fifth Performance Goal</w:t>
      </w:r>
      <w:r>
        <w:rPr>
          <w:rFonts w:ascii="Times New Roman" w:cs="Times New Roman" w:eastAsia="Times New Roman" w:hAnsi="Times New Roman"/>
          <w:sz w:val="20"/>
          <w:szCs w:val="20"/>
          <w:color w:val="auto"/>
        </w:rPr>
        <w:t>” will be satisfied if Operating Cash Flow for [the Measurement Period ending in] [2020]/[Year 5] equals or exceeds [101%]/[●%] of Operating Cash Flow for [the Measurement Period ending in] [2019]/[Year 4].</w:t>
      </w:r>
    </w:p>
    <w:p>
      <w:pPr>
        <w:spacing w:after="0" w:line="47" w:lineRule="exact"/>
        <w:rPr>
          <w:sz w:val="20"/>
          <w:szCs w:val="20"/>
          <w:color w:val="auto"/>
        </w:rPr>
      </w:pPr>
    </w:p>
    <w:p>
      <w:pPr>
        <w:ind w:left="652" w:right="5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OPTION B</w:t>
      </w:r>
      <w:r>
        <w:rPr>
          <w:rFonts w:ascii="Times New Roman" w:cs="Times New Roman" w:eastAsia="Times New Roman" w:hAnsi="Times New Roman"/>
          <w:sz w:val="20"/>
          <w:szCs w:val="20"/>
          <w:color w:val="auto"/>
        </w:rPr>
        <w:t>: The Performance Goals will be satisfied if Operating Cash Flow for [the Measurement Period ending in] [Year 1] equals or exceeds [101%]/[●%] of Operating Cash Flow for [the Measurement Period ending in] [Year 0].]]</w:t>
      </w:r>
    </w:p>
    <w:p>
      <w:pPr>
        <w:spacing w:after="0" w:line="4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[means each of the following Tiered Performance goals:</w:t>
      </w:r>
    </w:p>
    <w:p>
      <w:pPr>
        <w:spacing w:after="0" w:line="108" w:lineRule="exact"/>
        <w:rPr>
          <w:sz w:val="20"/>
          <w:szCs w:val="20"/>
          <w:color w:val="auto"/>
        </w:rPr>
      </w:pPr>
    </w:p>
    <w:p>
      <w:pPr>
        <w:ind w:left="972" w:right="300" w:hanging="324"/>
        <w:spacing w:after="0" w:line="269" w:lineRule="auto"/>
        <w:tabs>
          <w:tab w:leader="none" w:pos="92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Tier One Performance Goal</w:t>
      </w:r>
      <w:r>
        <w:rPr>
          <w:rFonts w:ascii="Times New Roman" w:cs="Times New Roman" w:eastAsia="Times New Roman" w:hAnsi="Times New Roman"/>
          <w:sz w:val="20"/>
          <w:szCs w:val="20"/>
          <w:color w:val="auto"/>
        </w:rPr>
        <w:t>” is achieved if Operating Cash Flow for a Performance Period is at least [●] percent but not more than [●] percent of Operating Cash Flow for the immediately preceding 12-consecutive month period.</w:t>
      </w:r>
    </w:p>
    <w:p>
      <w:pPr>
        <w:spacing w:after="0" w:line="51" w:lineRule="exact"/>
        <w:rPr>
          <w:rFonts w:ascii="Times New Roman" w:cs="Times New Roman" w:eastAsia="Times New Roman" w:hAnsi="Times New Roman"/>
          <w:sz w:val="20"/>
          <w:szCs w:val="20"/>
          <w:color w:val="auto"/>
        </w:rPr>
      </w:pPr>
    </w:p>
    <w:p>
      <w:pPr>
        <w:ind w:left="972" w:right="280" w:hanging="324"/>
        <w:spacing w:after="0" w:line="269" w:lineRule="auto"/>
        <w:tabs>
          <w:tab w:leader="none" w:pos="92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Tier Two Performance Goal</w:t>
      </w:r>
      <w:r>
        <w:rPr>
          <w:rFonts w:ascii="Times New Roman" w:cs="Times New Roman" w:eastAsia="Times New Roman" w:hAnsi="Times New Roman"/>
          <w:sz w:val="20"/>
          <w:szCs w:val="20"/>
          <w:color w:val="auto"/>
        </w:rPr>
        <w:t>” is achieved if Operating Cash Flow for a Performance Period is at least [●] percent but not more than [●] percent of Operating Cash Flow for the immediately preceding 12-consecutive month period.</w:t>
      </w:r>
    </w:p>
    <w:p>
      <w:pPr>
        <w:spacing w:after="0" w:line="51" w:lineRule="exact"/>
        <w:rPr>
          <w:rFonts w:ascii="Times New Roman" w:cs="Times New Roman" w:eastAsia="Times New Roman" w:hAnsi="Times New Roman"/>
          <w:sz w:val="20"/>
          <w:szCs w:val="20"/>
          <w:color w:val="auto"/>
        </w:rPr>
      </w:pPr>
    </w:p>
    <w:p>
      <w:pPr>
        <w:ind w:left="972" w:right="180" w:hanging="324"/>
        <w:spacing w:after="0" w:line="264" w:lineRule="auto"/>
        <w:tabs>
          <w:tab w:leader="none" w:pos="92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Tier Three Performance Goal</w:t>
      </w:r>
      <w:r>
        <w:rPr>
          <w:rFonts w:ascii="Times New Roman" w:cs="Times New Roman" w:eastAsia="Times New Roman" w:hAnsi="Times New Roman"/>
          <w:sz w:val="20"/>
          <w:szCs w:val="20"/>
          <w:color w:val="auto"/>
        </w:rPr>
        <w:t>” is achieved if Operating Cash Flow for a Performance Period is at least [●] percent but not more than [●] percent of Operating Cash Flow for the immediately preceding 12-consecutive month period.]</w:t>
      </w:r>
      <w:r>
        <w:rPr>
          <w:rFonts w:ascii="Times New Roman" w:cs="Times New Roman" w:eastAsia="Times New Roman" w:hAnsi="Times New Roman"/>
          <w:sz w:val="25"/>
          <w:szCs w:val="25"/>
          <w:color w:val="auto"/>
          <w:vertAlign w:val="superscript"/>
        </w:rPr>
        <w:t>2</w:t>
      </w:r>
    </w:p>
    <w:p>
      <w:pPr>
        <w:spacing w:after="0" w:line="1" w:lineRule="exact"/>
        <w:rPr>
          <w:rFonts w:ascii="Times New Roman" w:cs="Times New Roman" w:eastAsia="Times New Roman" w:hAnsi="Times New Roman"/>
          <w:sz w:val="20"/>
          <w:szCs w:val="20"/>
          <w:color w:val="auto"/>
        </w:rPr>
      </w:pPr>
    </w:p>
    <w:p>
      <w:pPr>
        <w:ind w:left="652" w:right="300" w:hanging="328"/>
        <w:spacing w:after="0" w:line="262" w:lineRule="auto"/>
        <w:tabs>
          <w:tab w:leader="none" w:pos="58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calendar year, so such other period of at least 12 months designated in the Long-Term Incentive Awards Schedule during which a Grantee may earn Performance-Based Compensation.]</w:t>
      </w:r>
      <w:r>
        <w:rPr>
          <w:rFonts w:ascii="Times New Roman" w:cs="Times New Roman" w:eastAsia="Times New Roman" w:hAnsi="Times New Roman"/>
          <w:sz w:val="25"/>
          <w:szCs w:val="25"/>
          <w:color w:val="auto"/>
          <w:vertAlign w:val="superscript"/>
        </w:rPr>
        <w:t>2</w:t>
      </w:r>
    </w:p>
    <w:p>
      <w:pPr>
        <w:spacing w:after="0" w:line="2" w:lineRule="exact"/>
        <w:rPr>
          <w:rFonts w:ascii="Times New Roman" w:cs="Times New Roman" w:eastAsia="Times New Roman" w:hAnsi="Times New Roman"/>
          <w:sz w:val="20"/>
          <w:szCs w:val="20"/>
          <w:color w:val="auto"/>
        </w:rPr>
      </w:pPr>
    </w:p>
    <w:p>
      <w:pPr>
        <w:ind w:left="552" w:hanging="228"/>
        <w:spacing w:after="0"/>
        <w:tabs>
          <w:tab w:leader="none" w:pos="55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the Comcast Corporation 2002 Restricted Stock Plan, incorporated herein by reference.</w:t>
      </w:r>
    </w:p>
    <w:p>
      <w:pPr>
        <w:spacing w:after="0" w:line="104" w:lineRule="exact"/>
        <w:rPr>
          <w:rFonts w:ascii="Times New Roman" w:cs="Times New Roman" w:eastAsia="Times New Roman" w:hAnsi="Times New Roman"/>
          <w:sz w:val="20"/>
          <w:szCs w:val="20"/>
          <w:color w:val="auto"/>
        </w:rPr>
      </w:pPr>
    </w:p>
    <w:p>
      <w:pPr>
        <w:ind w:left="652" w:right="160" w:hanging="328"/>
        <w:spacing w:after="0" w:line="269" w:lineRule="auto"/>
        <w:tabs>
          <w:tab w:leader="none" w:pos="60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with respect to each Restricted Stock Unit, the period beginning on the Date of Grant and ending on the Vesting Date.</w:t>
      </w:r>
    </w:p>
    <w:p>
      <w:pPr>
        <w:spacing w:after="0" w:line="51" w:lineRule="exact"/>
        <w:rPr>
          <w:rFonts w:ascii="Times New Roman" w:cs="Times New Roman" w:eastAsia="Times New Roman" w:hAnsi="Times New Roman"/>
          <w:sz w:val="20"/>
          <w:szCs w:val="20"/>
          <w:color w:val="auto"/>
        </w:rPr>
      </w:pPr>
    </w:p>
    <w:p>
      <w:pPr>
        <w:ind w:left="652" w:hanging="328"/>
        <w:spacing w:after="0" w:line="254" w:lineRule="auto"/>
        <w:tabs>
          <w:tab w:leader="none" w:pos="60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66" w:lineRule="exact"/>
        <w:rPr>
          <w:rFonts w:ascii="Times New Roman" w:cs="Times New Roman" w:eastAsia="Times New Roman" w:hAnsi="Times New Roman"/>
          <w:sz w:val="20"/>
          <w:szCs w:val="20"/>
          <w:color w:val="auto"/>
        </w:rPr>
      </w:pPr>
    </w:p>
    <w:p>
      <w:pPr>
        <w:ind w:left="652" w:hanging="328"/>
        <w:spacing w:after="0"/>
        <w:tabs>
          <w:tab w:leader="none" w:pos="65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Retired Grantee</w:t>
      </w:r>
      <w:r>
        <w:rPr>
          <w:rFonts w:ascii="Times New Roman" w:cs="Times New Roman" w:eastAsia="Times New Roman" w:hAnsi="Times New Roman"/>
          <w:sz w:val="20"/>
          <w:szCs w:val="20"/>
          <w:color w:val="auto"/>
        </w:rPr>
        <w:t>” means Grantee, following Grantee’s termination of employment pursuant to a Normal Retirement.</w:t>
      </w:r>
    </w:p>
    <w:p>
      <w:pPr>
        <w:spacing w:after="0" w:line="107" w:lineRule="exact"/>
        <w:rPr>
          <w:rFonts w:ascii="Times New Roman" w:cs="Times New Roman" w:eastAsia="Times New Roman" w:hAnsi="Times New Roman"/>
          <w:sz w:val="20"/>
          <w:szCs w:val="20"/>
          <w:color w:val="auto"/>
        </w:rPr>
      </w:pPr>
    </w:p>
    <w:p>
      <w:pPr>
        <w:ind w:left="612" w:hanging="288"/>
        <w:spacing w:after="0"/>
        <w:tabs>
          <w:tab w:leader="none" w:pos="61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means Rule 16b-3 promulgated under the 1934 Act, as in effect from time to time.</w:t>
      </w:r>
    </w:p>
    <w:p>
      <w:pPr>
        <w:spacing w:after="0" w:line="107" w:lineRule="exact"/>
        <w:rPr>
          <w:rFonts w:ascii="Times New Roman" w:cs="Times New Roman" w:eastAsia="Times New Roman" w:hAnsi="Times New Roman"/>
          <w:sz w:val="20"/>
          <w:szCs w:val="20"/>
          <w:color w:val="auto"/>
        </w:rPr>
      </w:pPr>
    </w:p>
    <w:p>
      <w:pPr>
        <w:ind w:left="612" w:hanging="288"/>
        <w:spacing w:after="0"/>
        <w:tabs>
          <w:tab w:leader="none" w:pos="61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 shares of the Company’s Class A Common Stock, par value $.01 per share.</w:t>
      </w:r>
    </w:p>
    <w:p>
      <w:pPr>
        <w:spacing w:after="0" w:line="107" w:lineRule="exact"/>
        <w:rPr>
          <w:rFonts w:ascii="Times New Roman" w:cs="Times New Roman" w:eastAsia="Times New Roman" w:hAnsi="Times New Roman"/>
          <w:sz w:val="20"/>
          <w:szCs w:val="20"/>
          <w:color w:val="auto"/>
        </w:rPr>
      </w:pPr>
    </w:p>
    <w:p>
      <w:pPr>
        <w:ind w:left="652" w:right="80" w:hanging="328"/>
        <w:spacing w:after="0" w:line="252" w:lineRule="auto"/>
        <w:tabs>
          <w:tab w:leader="none" w:pos="59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means the date(s) on which Grantee vests in all or a portion of the Restricted Stock Units, as set forth on the attached Long-Term Incentive Awards Summary Schedule. [A “Scheduled Vesting Date” is a date referenced on the Long-Term Incentive Awards Summary Schedule on which Grantee may vest in all or a portion of the Restricted Stock Units if all the conditions to such vesting are satisfied.]</w:t>
      </w:r>
      <w:r>
        <w:rPr>
          <w:rFonts w:ascii="Times New Roman" w:cs="Times New Roman" w:eastAsia="Times New Roman" w:hAnsi="Times New Roman"/>
          <w:sz w:val="25"/>
          <w:szCs w:val="25"/>
          <w:color w:val="auto"/>
          <w:vertAlign w:val="superscript"/>
        </w:rPr>
        <w:t>2</w:t>
      </w:r>
    </w:p>
    <w:p>
      <w:pPr>
        <w:spacing w:after="0" w:line="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20"/>
          <w:szCs w:val="20"/>
          <w:color w:val="auto"/>
        </w:rPr>
        <w:t>(aa) “</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17145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4" w:lineRule="exact"/>
        <w:rPr>
          <w:sz w:val="20"/>
          <w:szCs w:val="20"/>
          <w:color w:val="auto"/>
        </w:rPr>
      </w:pPr>
    </w:p>
    <w:p>
      <w:pPr>
        <w:ind w:left="112" w:hanging="112"/>
        <w:spacing w:after="0"/>
        <w:tabs>
          <w:tab w:leader="none" w:pos="112" w:val="left"/>
        </w:tabs>
        <w:numPr>
          <w:ilvl w:val="0"/>
          <w:numId w:val="1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2017.</w:t>
      </w:r>
    </w:p>
    <w:p>
      <w:pPr>
        <w:sectPr>
          <w:pgSz w:w="11900" w:h="16838" w:orient="portrait"/>
          <w:cols w:equalWidth="0" w:num="1">
            <w:col w:w="11172"/>
          </w:cols>
          <w:pgMar w:left="328" w:top="1413" w:right="399" w:bottom="1440" w:gutter="0" w:footer="0" w:header="0"/>
        </w:sectPr>
      </w:pPr>
    </w:p>
    <w:bookmarkStart w:id="216" w:name="page217"/>
    <w:bookmarkEnd w:id="216"/>
    <w:p>
      <w:pPr>
        <w:ind w:left="340" w:hanging="332"/>
        <w:spacing w:after="0" w:line="269" w:lineRule="auto"/>
        <w:tabs>
          <w:tab w:leader="none" w:pos="21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 hereby grants to Grantee the Restricted Stock Units.</w:t>
      </w:r>
    </w:p>
    <w:p>
      <w:pPr>
        <w:spacing w:after="0" w:line="5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60" w:right="320" w:hanging="328"/>
        <w:spacing w:after="0" w:line="254" w:lineRule="auto"/>
        <w:tabs>
          <w:tab w:leader="none" w:pos="605"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on the record date of such dividend.</w:t>
      </w:r>
    </w:p>
    <w:p>
      <w:pPr>
        <w:spacing w:after="0" w:line="66" w:lineRule="exact"/>
        <w:rPr>
          <w:rFonts w:ascii="Times New Roman" w:cs="Times New Roman" w:eastAsia="Times New Roman" w:hAnsi="Times New Roman"/>
          <w:sz w:val="20"/>
          <w:szCs w:val="20"/>
          <w:color w:val="auto"/>
        </w:rPr>
      </w:pPr>
    </w:p>
    <w:p>
      <w:pPr>
        <w:ind w:left="660" w:right="60" w:hanging="328"/>
        <w:spacing w:after="0" w:line="252" w:lineRule="auto"/>
        <w:tabs>
          <w:tab w:leader="none" w:pos="616"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r>
        <w:rPr>
          <w:rFonts w:ascii="Times New Roman" w:cs="Times New Roman" w:eastAsia="Times New Roman" w:hAnsi="Times New Roman"/>
          <w:sz w:val="25"/>
          <w:szCs w:val="25"/>
          <w:color w:val="auto"/>
          <w:vertAlign w:val="superscript"/>
        </w:rPr>
        <w:t>3</w:t>
      </w:r>
    </w:p>
    <w:p>
      <w:pPr>
        <w:spacing w:after="0" w:line="2"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w:t>
      </w:r>
    </w:p>
    <w:p>
      <w:pPr>
        <w:spacing w:after="0" w:line="104" w:lineRule="exact"/>
        <w:rPr>
          <w:rFonts w:ascii="Times New Roman" w:cs="Times New Roman" w:eastAsia="Times New Roman" w:hAnsi="Times New Roman"/>
          <w:sz w:val="20"/>
          <w:szCs w:val="20"/>
          <w:color w:val="auto"/>
        </w:rPr>
      </w:pPr>
    </w:p>
    <w:p>
      <w:pPr>
        <w:ind w:left="660" w:hanging="328"/>
        <w:spacing w:after="0" w:line="235" w:lineRule="auto"/>
        <w:tabs>
          <w:tab w:leader="none" w:pos="605"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[(1) Grantee has timely satisfied the online grant acceptance conditions described in Paragraph [5(a)(1) and (2)]]</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81" w:lineRule="exact"/>
        <w:rPr>
          <w:rFonts w:ascii="Times New Roman" w:cs="Times New Roman" w:eastAsia="Times New Roman" w:hAnsi="Times New Roman"/>
          <w:sz w:val="20"/>
          <w:szCs w:val="20"/>
          <w:color w:val="auto"/>
        </w:rPr>
      </w:pPr>
    </w:p>
    <w:p>
      <w:pPr>
        <w:ind w:left="660" w:right="60" w:hanging="328"/>
        <w:spacing w:after="0" w:line="250" w:lineRule="auto"/>
        <w:tabs>
          <w:tab w:leader="none" w:pos="616"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4(a) to the contrary, if Grantee’s employment with the Company or a Subsidiary Company terminates during the Restricted Period due to (i) Grantee’s death or (ii) Grantee becoming a Disabled Grantee within the meaning of Paragraph [1(i)(1)],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r>
        <w:rPr>
          <w:rFonts w:ascii="Times New Roman" w:cs="Times New Roman" w:eastAsia="Times New Roman" w:hAnsi="Times New Roman"/>
          <w:sz w:val="25"/>
          <w:szCs w:val="25"/>
          <w:color w:val="auto"/>
          <w:vertAlign w:val="superscript"/>
        </w:rPr>
        <w:t>5</w:t>
      </w:r>
    </w:p>
    <w:p>
      <w:pPr>
        <w:spacing w:after="0" w:line="1" w:lineRule="exact"/>
        <w:rPr>
          <w:sz w:val="20"/>
          <w:szCs w:val="20"/>
          <w:color w:val="auto"/>
        </w:rPr>
      </w:pPr>
    </w:p>
    <w:p>
      <w:pPr>
        <w:ind w:left="660" w:right="80"/>
        <w:spacing w:after="0" w:line="238" w:lineRule="auto"/>
        <w:rPr>
          <w:sz w:val="20"/>
          <w:szCs w:val="20"/>
          <w:color w:val="auto"/>
        </w:rPr>
      </w:pPr>
      <w:r>
        <w:rPr>
          <w:rFonts w:ascii="Times New Roman" w:cs="Times New Roman" w:eastAsia="Times New Roman" w:hAnsi="Times New Roman"/>
          <w:sz w:val="20"/>
          <w:szCs w:val="20"/>
          <w:color w:val="auto"/>
        </w:rPr>
        <w:t>[Notwithstanding Paragraph 4(a) to the contrary, if Grantee terminates employment with the Company or a Subsidiary Company terminates during the Restricted Period due to his death or due to Grantee becoming a Disabled Grantee within the meaning of Paragraph 1, any Vesting Date for the Restricted Stock Units that, notwithstanding such termination of employment, would have occurred on or prior to the date that is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anniversary of such termination of employment shall be accelerated so that such Vesting Date will be deemed to occur on the date of such termination of employment with respect to the number of Restricted Stock Units that would have otherwise vested on such Vesting Date.]</w:t>
      </w:r>
      <w:r>
        <w:rPr>
          <w:rFonts w:ascii="Times New Roman" w:cs="Times New Roman" w:eastAsia="Times New Roman" w:hAnsi="Times New Roman"/>
          <w:sz w:val="25"/>
          <w:szCs w:val="25"/>
          <w:color w:val="auto"/>
          <w:vertAlign w:val="superscript"/>
        </w:rPr>
        <w:t>5</w:t>
      </w:r>
    </w:p>
    <w:p>
      <w:pPr>
        <w:spacing w:after="0" w:line="3" w:lineRule="exact"/>
        <w:rPr>
          <w:sz w:val="20"/>
          <w:szCs w:val="20"/>
          <w:color w:val="auto"/>
        </w:rPr>
      </w:pPr>
    </w:p>
    <w:p>
      <w:pPr>
        <w:ind w:left="660" w:right="40" w:hanging="328"/>
        <w:spacing w:after="0" w:line="248" w:lineRule="auto"/>
        <w:tabs>
          <w:tab w:leader="none" w:pos="60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[1(i)(1)] or (iii) a Company-initiated termination for Cause, after having attained age [62][●]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120" w:hanging="112"/>
        <w:spacing w:after="0"/>
        <w:tabs>
          <w:tab w:leader="none" w:pos="120" w:val="left"/>
        </w:tabs>
        <w:numPr>
          <w:ilvl w:val="0"/>
          <w:numId w:val="1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2015.</w:t>
      </w:r>
    </w:p>
    <w:p>
      <w:pPr>
        <w:spacing w:after="0" w:line="1" w:lineRule="exact"/>
        <w:rPr>
          <w:rFonts w:ascii="Times New Roman" w:cs="Times New Roman" w:eastAsia="Times New Roman" w:hAnsi="Times New Roman"/>
          <w:sz w:val="23"/>
          <w:szCs w:val="23"/>
          <w:color w:val="auto"/>
          <w:vertAlign w:val="superscript"/>
        </w:rPr>
      </w:pP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For certain awards granted during and after 2016.</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For certain awards granted during 2018.</w:t>
      </w:r>
    </w:p>
    <w:p>
      <w:pPr>
        <w:sectPr>
          <w:pgSz w:w="11900" w:h="16838" w:orient="portrait"/>
          <w:cols w:equalWidth="0" w:num="1">
            <w:col w:w="11220"/>
          </w:cols>
          <w:pgMar w:left="320" w:top="1413" w:right="359" w:bottom="1440" w:gutter="0" w:footer="0" w:header="0"/>
        </w:sectPr>
      </w:pPr>
    </w:p>
    <w:bookmarkStart w:id="217" w:name="page218"/>
    <w:bookmarkEnd w:id="217"/>
    <w:p>
      <w:pPr>
        <w:jc w:val="both"/>
        <w:ind w:left="328" w:right="180"/>
        <w:spacing w:after="0" w:line="254" w:lineRule="auto"/>
        <w:rPr>
          <w:sz w:val="20"/>
          <w:szCs w:val="20"/>
          <w:color w:val="auto"/>
        </w:rPr>
      </w:pPr>
      <w:r>
        <w:rPr>
          <w:rFonts w:ascii="Times New Roman" w:cs="Times New Roman" w:eastAsia="Times New Roman" w:hAnsi="Times New Roman"/>
          <w:sz w:val="20"/>
          <w:szCs w:val="20"/>
          <w:color w:val="auto"/>
        </w:rPr>
        <w:t>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66" w:lineRule="exact"/>
        <w:rPr>
          <w:sz w:val="20"/>
          <w:szCs w:val="20"/>
          <w:color w:val="auto"/>
        </w:rPr>
      </w:pPr>
    </w:p>
    <w:p>
      <w:pPr>
        <w:ind w:left="648" w:right="240" w:hanging="324"/>
        <w:spacing w:after="0" w:line="246" w:lineRule="auto"/>
        <w:tabs>
          <w:tab w:leader="none" w:pos="604"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(3rd)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76" w:lineRule="exact"/>
        <w:rPr>
          <w:rFonts w:ascii="Times New Roman" w:cs="Times New Roman" w:eastAsia="Times New Roman" w:hAnsi="Times New Roman"/>
          <w:sz w:val="20"/>
          <w:szCs w:val="20"/>
          <w:color w:val="auto"/>
        </w:rPr>
      </w:pPr>
    </w:p>
    <w:p>
      <w:pPr>
        <w:ind w:left="648" w:right="220" w:hanging="324"/>
        <w:spacing w:after="0" w:line="246" w:lineRule="auto"/>
        <w:tabs>
          <w:tab w:leader="none" w:pos="604"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(4th)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76" w:lineRule="exact"/>
        <w:rPr>
          <w:rFonts w:ascii="Times New Roman" w:cs="Times New Roman" w:eastAsia="Times New Roman" w:hAnsi="Times New Roman"/>
          <w:sz w:val="20"/>
          <w:szCs w:val="20"/>
          <w:color w:val="auto"/>
        </w:rPr>
      </w:pPr>
    </w:p>
    <w:p>
      <w:pPr>
        <w:ind w:left="648" w:right="140" w:hanging="324"/>
        <w:spacing w:after="0" w:line="246" w:lineRule="auto"/>
        <w:tabs>
          <w:tab w:leader="none" w:pos="604"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(5th)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76" w:lineRule="exact"/>
        <w:rPr>
          <w:rFonts w:ascii="Times New Roman" w:cs="Times New Roman" w:eastAsia="Times New Roman" w:hAnsi="Times New Roman"/>
          <w:sz w:val="20"/>
          <w:szCs w:val="20"/>
          <w:color w:val="auto"/>
        </w:rPr>
      </w:pPr>
    </w:p>
    <w:p>
      <w:pPr>
        <w:jc w:val="both"/>
        <w:ind w:left="328" w:right="140" w:hanging="328"/>
        <w:spacing w:after="0" w:line="254" w:lineRule="auto"/>
        <w:tabs>
          <w:tab w:leader="none" w:pos="28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66" w:lineRule="exact"/>
        <w:rPr>
          <w:rFonts w:ascii="Times New Roman" w:cs="Times New Roman" w:eastAsia="Times New Roman" w:hAnsi="Times New Roman"/>
          <w:sz w:val="20"/>
          <w:szCs w:val="20"/>
          <w:color w:val="auto"/>
        </w:rPr>
      </w:pPr>
    </w:p>
    <w:p>
      <w:pPr>
        <w:ind w:left="648" w:right="240" w:hanging="324"/>
        <w:spacing w:after="0" w:line="254" w:lineRule="auto"/>
        <w:tabs>
          <w:tab w:leader="none" w:pos="60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66" w:lineRule="exact"/>
        <w:rPr>
          <w:rFonts w:ascii="Times New Roman" w:cs="Times New Roman" w:eastAsia="Times New Roman" w:hAnsi="Times New Roman"/>
          <w:sz w:val="20"/>
          <w:szCs w:val="20"/>
          <w:color w:val="auto"/>
        </w:rPr>
      </w:pPr>
    </w:p>
    <w:p>
      <w:pPr>
        <w:ind w:left="648" w:hanging="324"/>
        <w:spacing w:after="0" w:line="243" w:lineRule="auto"/>
        <w:tabs>
          <w:tab w:leader="none" w:pos="60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ectPr>
          <w:pgSz w:w="11900" w:h="16838" w:orient="portrait"/>
          <w:cols w:equalWidth="0" w:num="1">
            <w:col w:w="10908"/>
          </w:cols>
          <w:pgMar w:left="652" w:top="1413" w:right="339" w:bottom="1440" w:gutter="0" w:footer="0" w:header="0"/>
        </w:sectPr>
      </w:pPr>
    </w:p>
    <w:bookmarkStart w:id="218" w:name="page219"/>
    <w:bookmarkEnd w:id="218"/>
    <w:p>
      <w:pPr>
        <w:ind w:left="660" w:right="180" w:hanging="328"/>
        <w:spacing w:after="0" w:line="246" w:lineRule="auto"/>
        <w:tabs>
          <w:tab w:leader="none" w:pos="605"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76"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Restricted Stock Units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00" w:hanging="268"/>
        <w:spacing w:after="0"/>
        <w:tabs>
          <w:tab w:leader="none" w:pos="60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and in the Plan[:</w:t>
      </w:r>
    </w:p>
    <w:p>
      <w:pPr>
        <w:spacing w:after="0" w:line="107" w:lineRule="exact"/>
        <w:rPr>
          <w:rFonts w:ascii="Times New Roman" w:cs="Times New Roman" w:eastAsia="Times New Roman" w:hAnsi="Times New Roman"/>
          <w:sz w:val="20"/>
          <w:szCs w:val="20"/>
          <w:color w:val="auto"/>
        </w:rPr>
      </w:pPr>
    </w:p>
    <w:p>
      <w:pPr>
        <w:ind w:left="980" w:right="80" w:hanging="324"/>
        <w:spacing w:after="0" w:line="249" w:lineRule="auto"/>
        <w:tabs>
          <w:tab w:leader="none" w:pos="936"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fails to accept the Employee Assignment of Inventions and Intellectual Property Rights Agreement in accordance with the online grant acceptance procedures described in the Cover Memorandum to this Award on or before Friday, September 2, 2016 at 5:00 p.m. Eastern Daylight Time, the grant will lapse, all Restricted Stock Units granted under this Award will be forfeited and this Award shall be deemed canceled; or</w:t>
      </w:r>
    </w:p>
    <w:p>
      <w:pPr>
        <w:spacing w:after="0" w:line="71" w:lineRule="exact"/>
        <w:rPr>
          <w:rFonts w:ascii="Times New Roman" w:cs="Times New Roman" w:eastAsia="Times New Roman" w:hAnsi="Times New Roman"/>
          <w:sz w:val="20"/>
          <w:szCs w:val="20"/>
          <w:color w:val="auto"/>
        </w:rPr>
      </w:pPr>
    </w:p>
    <w:p>
      <w:pPr>
        <w:ind w:left="980" w:right="100" w:hanging="324"/>
        <w:spacing w:after="0" w:line="219" w:lineRule="auto"/>
        <w:tabs>
          <w:tab w:leader="none" w:pos="936"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if Grantee’s employment with the Company and all Subsidiaries terminates during the Restricted Period[, other than due to death or Disability and]</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xml:space="preserve"> except as otherwise provided in Paragraph 4([c]/[b]), Grantee shall forfeit the Restricted Stock Units as of such termination of employment. Upon a forfeiture of the Restricted Stock Units as provided in this Paragraph 5, the Restricted Stock Units shall be deemed canceled.</w:t>
      </w:r>
    </w:p>
    <w:p>
      <w:pPr>
        <w:spacing w:after="0" w:line="81"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16"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Paragraph 5(a)[(2)] shall not apply to Shares issued in respect of Restricted Stock Units as to which a Vesting Date has occurred.</w:t>
      </w:r>
    </w:p>
    <w:p>
      <w:pPr>
        <w:spacing w:after="0" w:line="51" w:lineRule="exact"/>
        <w:rPr>
          <w:rFonts w:ascii="Times New Roman" w:cs="Times New Roman" w:eastAsia="Times New Roman" w:hAnsi="Times New Roman"/>
          <w:sz w:val="20"/>
          <w:szCs w:val="20"/>
          <w:color w:val="auto"/>
        </w:rPr>
      </w:pPr>
    </w:p>
    <w:p>
      <w:pPr>
        <w:ind w:left="340" w:right="280" w:hanging="332"/>
        <w:spacing w:after="0" w:line="269" w:lineRule="auto"/>
        <w:tabs>
          <w:tab w:leader="none" w:pos="21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Elections</w:t>
      </w:r>
      <w:r>
        <w:rPr>
          <w:rFonts w:ascii="Times New Roman" w:cs="Times New Roman" w:eastAsia="Times New Roman" w:hAnsi="Times New Roman"/>
          <w:sz w:val="20"/>
          <w:szCs w:val="20"/>
          <w:color w:val="auto"/>
        </w:rPr>
        <w:t>. Grantee may elect to defer the receipt of Shares issuable with respect to Restricted Stock Units, consistent, however, with the following:</w:t>
      </w:r>
    </w:p>
    <w:p>
      <w:pPr>
        <w:spacing w:after="0" w:line="51" w:lineRule="exact"/>
        <w:rPr>
          <w:rFonts w:ascii="Times New Roman" w:cs="Times New Roman" w:eastAsia="Times New Roman" w:hAnsi="Times New Roman"/>
          <w:sz w:val="20"/>
          <w:szCs w:val="20"/>
          <w:color w:val="auto"/>
        </w:rPr>
      </w:pPr>
    </w:p>
    <w:p>
      <w:pPr>
        <w:ind w:left="600" w:hanging="268"/>
        <w:spacing w:after="0"/>
        <w:tabs>
          <w:tab w:leader="none" w:pos="60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Elections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980" w:right="160" w:hanging="324"/>
        <w:spacing w:after="0" w:line="254" w:lineRule="auto"/>
        <w:tabs>
          <w:tab w:leader="none" w:pos="936"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Election</w:t>
      </w:r>
      <w:r>
        <w:rPr>
          <w:rFonts w:ascii="Times New Roman" w:cs="Times New Roman" w:eastAsia="Times New Roman" w:hAnsi="Times New Roman"/>
          <w:sz w:val="20"/>
          <w:szCs w:val="20"/>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66" w:lineRule="exact"/>
        <w:rPr>
          <w:rFonts w:ascii="Times New Roman" w:cs="Times New Roman" w:eastAsia="Times New Roman" w:hAnsi="Times New Roman"/>
          <w:sz w:val="20"/>
          <w:szCs w:val="20"/>
          <w:color w:val="auto"/>
        </w:rPr>
      </w:pPr>
    </w:p>
    <w:p>
      <w:pPr>
        <w:ind w:left="980" w:right="260" w:hanging="324"/>
        <w:spacing w:after="0" w:line="295" w:lineRule="auto"/>
        <w:tabs>
          <w:tab w:leader="none" w:pos="936" w:val="left"/>
        </w:tabs>
        <w:numPr>
          <w:ilvl w:val="2"/>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Deadline for Deferral Election</w:t>
      </w:r>
      <w:r>
        <w:rPr>
          <w:rFonts w:ascii="Times New Roman" w:cs="Times New Roman" w:eastAsia="Times New Roman" w:hAnsi="Times New Roman"/>
          <w:sz w:val="19"/>
          <w:szCs w:val="19"/>
          <w:color w:val="auto"/>
        </w:rPr>
        <w:t>. An Initial Election to defer the receipt of Shares issuable with respect to Restricted Stock Units hereby granted shall not be effective unless it is filed with the Committee on or before [June]/[March] 30, [Year 1][2016].</w:t>
      </w:r>
    </w:p>
    <w:p>
      <w:pPr>
        <w:spacing w:after="0" w:line="29" w:lineRule="exact"/>
        <w:rPr>
          <w:rFonts w:ascii="Times New Roman" w:cs="Times New Roman" w:eastAsia="Times New Roman" w:hAnsi="Times New Roman"/>
          <w:sz w:val="19"/>
          <w:szCs w:val="19"/>
          <w:color w:val="auto"/>
        </w:rPr>
      </w:pPr>
    </w:p>
    <w:p>
      <w:pPr>
        <w:ind w:left="980" w:hanging="324"/>
        <w:spacing w:after="0" w:line="246" w:lineRule="auto"/>
        <w:tabs>
          <w:tab w:leader="none" w:pos="936"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Period</w:t>
      </w:r>
      <w:r>
        <w:rPr>
          <w:rFonts w:ascii="Times New Roman" w:cs="Times New Roman" w:eastAsia="Times New Roman" w:hAnsi="Times New Roman"/>
          <w:sz w:val="20"/>
          <w:szCs w:val="20"/>
          <w:color w:val="auto"/>
        </w:rPr>
        <w:t>. Subject to Paragraph 6[(b)],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pacing w:after="0" w:line="76" w:lineRule="exact"/>
        <w:rPr>
          <w:rFonts w:ascii="Times New Roman" w:cs="Times New Roman" w:eastAsia="Times New Roman" w:hAnsi="Times New Roman"/>
          <w:sz w:val="20"/>
          <w:szCs w:val="20"/>
          <w:color w:val="auto"/>
        </w:rPr>
      </w:pPr>
    </w:p>
    <w:p>
      <w:pPr>
        <w:ind w:left="980" w:right="80" w:hanging="324"/>
        <w:spacing w:after="0" w:line="269" w:lineRule="auto"/>
        <w:tabs>
          <w:tab w:leader="none" w:pos="936" w:val="left"/>
        </w:tabs>
        <w:numPr>
          <w:ilvl w:val="2"/>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Failure of Vesting Date to Occur</w:t>
      </w:r>
      <w:r>
        <w:rPr>
          <w:rFonts w:ascii="Times New Roman" w:cs="Times New Roman" w:eastAsia="Times New Roman" w:hAnsi="Times New Roman"/>
          <w:sz w:val="20"/>
          <w:szCs w:val="20"/>
          <w:color w:val="auto"/>
        </w:rPr>
        <w:t>. An Initial Election shall be null and void if a Vesting Date does not occur with respect to Restricted Stock Units identified in such Initial Election.</w:t>
      </w:r>
    </w:p>
    <w:p>
      <w:pPr>
        <w:spacing w:after="0" w:line="51"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16"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[Regular Deferral Elections</w:t>
      </w:r>
      <w:r>
        <w:rPr>
          <w:rFonts w:ascii="Times New Roman" w:cs="Times New Roman" w:eastAsia="Times New Roman" w:hAnsi="Times New Roman"/>
          <w:sz w:val="20"/>
          <w:szCs w:val="20"/>
          <w:color w:val="auto"/>
        </w:rPr>
        <w:t>. No Regular Deferral Election shall be effective until 12 months after the date on which a Subsequent Election is filed with the Committee. Grantee shall have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1" w:lineRule="exact"/>
        <w:rPr>
          <w:sz w:val="20"/>
          <w:szCs w:val="20"/>
          <w:color w:val="auto"/>
        </w:rPr>
      </w:pPr>
    </w:p>
    <w:p>
      <w:pPr>
        <w:ind w:left="120" w:hanging="112"/>
        <w:spacing w:after="0"/>
        <w:tabs>
          <w:tab w:leader="none" w:pos="120"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2016.</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For certain awards granted during 2018.</w:t>
      </w:r>
    </w:p>
    <w:p>
      <w:pPr>
        <w:sectPr>
          <w:pgSz w:w="11900" w:h="16838" w:orient="portrait"/>
          <w:cols w:equalWidth="0" w:num="1">
            <w:col w:w="11240"/>
          </w:cols>
          <w:pgMar w:left="320" w:top="1413" w:right="339" w:bottom="1440" w:gutter="0" w:footer="0" w:header="0"/>
        </w:sectPr>
      </w:pPr>
    </w:p>
    <w:bookmarkStart w:id="219" w:name="page220"/>
    <w:bookmarkEnd w:id="219"/>
    <w:p>
      <w:pPr>
        <w:ind w:left="652"/>
        <w:spacing w:after="0" w:line="254" w:lineRule="auto"/>
        <w:rPr>
          <w:sz w:val="20"/>
          <w:szCs w:val="20"/>
          <w:color w:val="auto"/>
        </w:rPr>
      </w:pPr>
      <w:r>
        <w:rPr>
          <w:rFonts w:ascii="Times New Roman" w:cs="Times New Roman" w:eastAsia="Times New Roman" w:hAnsi="Times New Roman"/>
          <w:sz w:val="20"/>
          <w:szCs w:val="20"/>
          <w:color w:val="auto"/>
        </w:rPr>
        <w:t>to make a Regular Deferral Election to defer the receipt of all or a portion of the Shares issuable with respect to Restricted Stock Units hereby granted that are not subject to an Initial Election by filing a Regular Deferral Election to defer the receipt of such Shares on the form provided by the Committee for this purpose.</w:t>
      </w:r>
    </w:p>
    <w:p>
      <w:pPr>
        <w:spacing w:after="0" w:line="66" w:lineRule="exact"/>
        <w:rPr>
          <w:sz w:val="20"/>
          <w:szCs w:val="20"/>
          <w:color w:val="auto"/>
        </w:rPr>
      </w:pPr>
    </w:p>
    <w:p>
      <w:pPr>
        <w:ind w:left="972" w:right="480" w:hanging="324"/>
        <w:spacing w:after="0" w:line="269" w:lineRule="auto"/>
        <w:tabs>
          <w:tab w:leader="none" w:pos="928"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Deadline for Deferral Election</w:t>
      </w:r>
      <w:r>
        <w:rPr>
          <w:rFonts w:ascii="Times New Roman" w:cs="Times New Roman" w:eastAsia="Times New Roman" w:hAnsi="Times New Roman"/>
          <w:sz w:val="20"/>
          <w:szCs w:val="20"/>
          <w:color w:val="auto"/>
        </w:rPr>
        <w:t>. A Regular Deferral Election to defer the receipt of Shares issuable with respect to Restricted Stock Units hereby granted shall not be effective unless it is filed with the Committee:</w:t>
      </w:r>
    </w:p>
    <w:p>
      <w:pPr>
        <w:spacing w:after="0" w:line="51" w:lineRule="exact"/>
        <w:rPr>
          <w:rFonts w:ascii="Times New Roman" w:cs="Times New Roman" w:eastAsia="Times New Roman" w:hAnsi="Times New Roman"/>
          <w:sz w:val="20"/>
          <w:szCs w:val="20"/>
          <w:color w:val="auto"/>
        </w:rPr>
      </w:pPr>
    </w:p>
    <w:p>
      <w:pPr>
        <w:ind w:left="1232" w:hanging="260"/>
        <w:spacing w:after="0"/>
        <w:tabs>
          <w:tab w:leader="none" w:pos="1232"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Restricted Stock Units with a Scheduled Vesting Date of [●] from Date of Grant, [●] from Date of Grant;</w:t>
      </w:r>
    </w:p>
    <w:p>
      <w:pPr>
        <w:spacing w:after="0" w:line="107" w:lineRule="exact"/>
        <w:rPr>
          <w:rFonts w:ascii="Times New Roman" w:cs="Times New Roman" w:eastAsia="Times New Roman" w:hAnsi="Times New Roman"/>
          <w:sz w:val="20"/>
          <w:szCs w:val="20"/>
          <w:color w:val="auto"/>
        </w:rPr>
      </w:pPr>
    </w:p>
    <w:p>
      <w:pPr>
        <w:ind w:left="1252" w:hanging="280"/>
        <w:spacing w:after="0"/>
        <w:tabs>
          <w:tab w:leader="none" w:pos="1252"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Restricted Stock Units with a Scheduled Vesting Date of [●] from Date of Grant, [●] from Date of Grant;</w:t>
      </w:r>
    </w:p>
    <w:p>
      <w:pPr>
        <w:spacing w:after="0" w:line="107" w:lineRule="exact"/>
        <w:rPr>
          <w:rFonts w:ascii="Times New Roman" w:cs="Times New Roman" w:eastAsia="Times New Roman" w:hAnsi="Times New Roman"/>
          <w:sz w:val="20"/>
          <w:szCs w:val="20"/>
          <w:color w:val="auto"/>
        </w:rPr>
      </w:pPr>
    </w:p>
    <w:p>
      <w:pPr>
        <w:ind w:left="1232" w:hanging="260"/>
        <w:spacing w:after="0"/>
        <w:tabs>
          <w:tab w:leader="none" w:pos="1232"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Restricted Stock Units with a Scheduled Vesting Date of [●] from Date of Grant, [●] from Date of Grant;</w:t>
      </w:r>
    </w:p>
    <w:p>
      <w:pPr>
        <w:spacing w:after="0" w:line="107" w:lineRule="exact"/>
        <w:rPr>
          <w:rFonts w:ascii="Times New Roman" w:cs="Times New Roman" w:eastAsia="Times New Roman" w:hAnsi="Times New Roman"/>
          <w:sz w:val="20"/>
          <w:szCs w:val="20"/>
          <w:color w:val="auto"/>
        </w:rPr>
      </w:pPr>
    </w:p>
    <w:p>
      <w:pPr>
        <w:ind w:left="1252" w:hanging="280"/>
        <w:spacing w:after="0"/>
        <w:tabs>
          <w:tab w:leader="none" w:pos="1252"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Restricted Stock Units with a Scheduled Vesting Date of [●] from Date of Grant, [●] from Date of Grant;</w:t>
      </w:r>
    </w:p>
    <w:p>
      <w:pPr>
        <w:spacing w:after="0" w:line="107" w:lineRule="exact"/>
        <w:rPr>
          <w:rFonts w:ascii="Times New Roman" w:cs="Times New Roman" w:eastAsia="Times New Roman" w:hAnsi="Times New Roman"/>
          <w:sz w:val="20"/>
          <w:szCs w:val="20"/>
          <w:color w:val="auto"/>
        </w:rPr>
      </w:pPr>
    </w:p>
    <w:p>
      <w:pPr>
        <w:ind w:left="1232" w:hanging="260"/>
        <w:spacing w:after="0"/>
        <w:tabs>
          <w:tab w:leader="none" w:pos="1232"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Restricted Stock Units with a Scheduled Vesting Date of [●] from Date of Grant, [●] from Date of Grant.</w:t>
      </w:r>
    </w:p>
    <w:p>
      <w:pPr>
        <w:spacing w:after="0" w:line="107" w:lineRule="exact"/>
        <w:rPr>
          <w:rFonts w:ascii="Times New Roman" w:cs="Times New Roman" w:eastAsia="Times New Roman" w:hAnsi="Times New Roman"/>
          <w:sz w:val="20"/>
          <w:szCs w:val="20"/>
          <w:color w:val="auto"/>
        </w:rPr>
      </w:pPr>
    </w:p>
    <w:p>
      <w:pPr>
        <w:ind w:left="972" w:right="180" w:hanging="324"/>
        <w:spacing w:after="0" w:line="254" w:lineRule="auto"/>
        <w:tabs>
          <w:tab w:leader="none" w:pos="928"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Period</w:t>
      </w:r>
      <w:r>
        <w:rPr>
          <w:rFonts w:ascii="Times New Roman" w:cs="Times New Roman" w:eastAsia="Times New Roman" w:hAnsi="Times New Roman"/>
          <w:sz w:val="20"/>
          <w:szCs w:val="20"/>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ten additional years from the Scheduled Vesting Date.</w:t>
      </w:r>
    </w:p>
    <w:p>
      <w:pPr>
        <w:spacing w:after="0" w:line="66" w:lineRule="exact"/>
        <w:rPr>
          <w:rFonts w:ascii="Times New Roman" w:cs="Times New Roman" w:eastAsia="Times New Roman" w:hAnsi="Times New Roman"/>
          <w:sz w:val="20"/>
          <w:szCs w:val="20"/>
          <w:color w:val="auto"/>
        </w:rPr>
      </w:pPr>
    </w:p>
    <w:p>
      <w:pPr>
        <w:ind w:left="972" w:right="320" w:hanging="324"/>
        <w:spacing w:after="0" w:line="264" w:lineRule="auto"/>
        <w:tabs>
          <w:tab w:leader="none" w:pos="928"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Failure of Vesting Date to Occur</w:t>
      </w:r>
      <w:r>
        <w:rPr>
          <w:rFonts w:ascii="Times New Roman" w:cs="Times New Roman" w:eastAsia="Times New Roman" w:hAnsi="Times New Roman"/>
          <w:sz w:val="20"/>
          <w:szCs w:val="20"/>
          <w:color w:val="auto"/>
        </w:rPr>
        <w:t>. A Regular Deferral Election shall be null and void if a Vesting Date does not occur with respect to Restricted Stock Units identified in such Initial Election.]</w:t>
      </w:r>
      <w:r>
        <w:rPr>
          <w:rFonts w:ascii="Times New Roman" w:cs="Times New Roman" w:eastAsia="Times New Roman" w:hAnsi="Times New Roman"/>
          <w:sz w:val="25"/>
          <w:szCs w:val="25"/>
          <w:color w:val="auto"/>
          <w:vertAlign w:val="superscript"/>
        </w:rPr>
        <w:t>8</w:t>
      </w:r>
    </w:p>
    <w:p>
      <w:pPr>
        <w:spacing w:after="0" w:line="1" w:lineRule="exact"/>
        <w:rPr>
          <w:rFonts w:ascii="Times New Roman" w:cs="Times New Roman" w:eastAsia="Times New Roman" w:hAnsi="Times New Roman"/>
          <w:sz w:val="20"/>
          <w:szCs w:val="20"/>
          <w:color w:val="auto"/>
        </w:rPr>
      </w:pPr>
    </w:p>
    <w:p>
      <w:pPr>
        <w:ind w:left="652" w:right="380" w:hanging="328"/>
        <w:spacing w:after="0" w:line="265" w:lineRule="auto"/>
        <w:tabs>
          <w:tab w:leader="none" w:pos="59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Elections</w:t>
      </w:r>
      <w:r>
        <w:rPr>
          <w:rFonts w:ascii="Times New Roman" w:cs="Times New Roman" w:eastAsia="Times New Roman" w:hAnsi="Times New Roman"/>
          <w:sz w:val="20"/>
          <w:szCs w:val="20"/>
          <w:color w:val="auto"/>
        </w:rPr>
        <w:t>. No Subsequent Election shall be effective until 12 months after the date on which a Subsequent Election is filed with the Committee.</w:t>
      </w:r>
    </w:p>
    <w:p>
      <w:pPr>
        <w:spacing w:after="0" w:line="55" w:lineRule="exact"/>
        <w:rPr>
          <w:rFonts w:ascii="Times New Roman" w:cs="Times New Roman" w:eastAsia="Times New Roman" w:hAnsi="Times New Roman"/>
          <w:sz w:val="20"/>
          <w:szCs w:val="20"/>
          <w:color w:val="auto"/>
        </w:rPr>
      </w:pPr>
    </w:p>
    <w:p>
      <w:pPr>
        <w:ind w:left="972" w:right="340" w:hanging="324"/>
        <w:spacing w:after="0" w:line="246" w:lineRule="auto"/>
        <w:tabs>
          <w:tab w:leader="none" w:pos="92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makes an Initial Election[, a Regular Deferral Election] or pursuant to this Paragraph 6[(b)](1)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76" w:lineRule="exact"/>
        <w:rPr>
          <w:rFonts w:ascii="Times New Roman" w:cs="Times New Roman" w:eastAsia="Times New Roman" w:hAnsi="Times New Roman"/>
          <w:sz w:val="20"/>
          <w:szCs w:val="20"/>
          <w:color w:val="auto"/>
        </w:rPr>
      </w:pPr>
    </w:p>
    <w:p>
      <w:pPr>
        <w:ind w:left="972" w:right="280" w:hanging="324"/>
        <w:spacing w:after="0" w:line="246" w:lineRule="auto"/>
        <w:tabs>
          <w:tab w:leader="none" w:pos="92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76" w:lineRule="exact"/>
        <w:rPr>
          <w:rFonts w:ascii="Times New Roman" w:cs="Times New Roman" w:eastAsia="Times New Roman" w:hAnsi="Times New Roman"/>
          <w:sz w:val="20"/>
          <w:szCs w:val="20"/>
          <w:color w:val="auto"/>
        </w:rPr>
      </w:pPr>
    </w:p>
    <w:p>
      <w:pPr>
        <w:ind w:left="972" w:right="620" w:hanging="324"/>
        <w:spacing w:after="0" w:line="269" w:lineRule="auto"/>
        <w:tabs>
          <w:tab w:leader="none" w:pos="92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becomes a Retired Grantee before Shares subject to an Initial Election under Paragraph 6(a) are to be delivered, Grantee may make a Subsequent Election to defer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714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1" w:lineRule="exact"/>
        <w:rPr>
          <w:sz w:val="20"/>
          <w:szCs w:val="20"/>
          <w:color w:val="auto"/>
        </w:rPr>
      </w:pPr>
    </w:p>
    <w:p>
      <w:pPr>
        <w:ind w:left="112" w:hanging="112"/>
        <w:spacing w:after="0"/>
        <w:tabs>
          <w:tab w:leader="none" w:pos="112" w:val="left"/>
        </w:tabs>
        <w:numPr>
          <w:ilvl w:val="0"/>
          <w:numId w:val="2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grants during and after 2017.</w:t>
      </w:r>
    </w:p>
    <w:p>
      <w:pPr>
        <w:sectPr>
          <w:pgSz w:w="11900" w:h="16838" w:orient="portrait"/>
          <w:cols w:equalWidth="0" w:num="1">
            <w:col w:w="11232"/>
          </w:cols>
          <w:pgMar w:left="328" w:top="1413" w:right="339" w:bottom="1440" w:gutter="0" w:footer="0" w:header="0"/>
        </w:sectPr>
      </w:pPr>
    </w:p>
    <w:bookmarkStart w:id="220" w:name="page221"/>
    <w:bookmarkEnd w:id="220"/>
    <w:p>
      <w:pPr>
        <w:jc w:val="both"/>
        <w:ind w:left="972" w:right="740"/>
        <w:spacing w:after="0" w:line="254" w:lineRule="auto"/>
        <w:rPr>
          <w:sz w:val="20"/>
          <w:szCs w:val="20"/>
          <w:color w:val="auto"/>
        </w:rPr>
      </w:pPr>
      <w:r>
        <w:rPr>
          <w:rFonts w:ascii="Times New Roman" w:cs="Times New Roman" w:eastAsia="Times New Roman" w:hAnsi="Times New Roman"/>
          <w:sz w:val="20"/>
          <w:szCs w:val="20"/>
          <w:color w:val="auto"/>
        </w:rPr>
        <w:t>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66" w:lineRule="exact"/>
        <w:rPr>
          <w:sz w:val="20"/>
          <w:szCs w:val="20"/>
          <w:color w:val="auto"/>
        </w:rPr>
      </w:pPr>
    </w:p>
    <w:p>
      <w:pPr>
        <w:ind w:left="652" w:right="140" w:hanging="328"/>
        <w:spacing w:after="0" w:line="269" w:lineRule="auto"/>
        <w:tabs>
          <w:tab w:leader="none" w:pos="60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Diversification Election</w:t>
      </w:r>
      <w:r>
        <w:rPr>
          <w:rFonts w:ascii="Times New Roman" w:cs="Times New Roman" w:eastAsia="Times New Roman" w:hAnsi="Times New Roman"/>
          <w:sz w:val="20"/>
          <w:szCs w:val="20"/>
          <w:color w:val="auto"/>
        </w:rPr>
        <w:t>. As provided in the Plan and as described in the prospectus for the Plan, a Grantee with an Account may be eligible to make a Diversification Election on an election form supplied by the Committee for this purpose.</w:t>
      </w:r>
    </w:p>
    <w:p>
      <w:pPr>
        <w:spacing w:after="0" w:line="51" w:lineRule="exact"/>
        <w:rPr>
          <w:rFonts w:ascii="Times New Roman" w:cs="Times New Roman" w:eastAsia="Times New Roman" w:hAnsi="Times New Roman"/>
          <w:sz w:val="20"/>
          <w:szCs w:val="20"/>
          <w:color w:val="auto"/>
        </w:rPr>
      </w:pPr>
    </w:p>
    <w:p>
      <w:pPr>
        <w:ind w:left="652" w:right="140" w:hanging="328"/>
        <w:spacing w:after="0" w:line="246" w:lineRule="auto"/>
        <w:tabs>
          <w:tab w:leader="none" w:pos="597"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 Accounts</w:t>
      </w:r>
      <w:r>
        <w:rPr>
          <w:rFonts w:ascii="Times New Roman" w:cs="Times New Roman" w:eastAsia="Times New Roman" w:hAnsi="Times New Roman"/>
          <w:sz w:val="20"/>
          <w:szCs w:val="20"/>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76" w:lineRule="exact"/>
        <w:rPr>
          <w:rFonts w:ascii="Times New Roman" w:cs="Times New Roman" w:eastAsia="Times New Roman" w:hAnsi="Times New Roman"/>
          <w:sz w:val="20"/>
          <w:szCs w:val="20"/>
          <w:color w:val="auto"/>
        </w:rPr>
      </w:pPr>
    </w:p>
    <w:p>
      <w:pPr>
        <w:ind w:left="652" w:right="120" w:hanging="328"/>
        <w:spacing w:after="0" w:line="260" w:lineRule="auto"/>
        <w:tabs>
          <w:tab w:leader="none" w:pos="575"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of Deferred Amounts</w:t>
      </w:r>
      <w:r>
        <w:rPr>
          <w:rFonts w:ascii="Times New Roman" w:cs="Times New Roman" w:eastAsia="Times New Roman" w:hAnsi="Times New Roman"/>
          <w:sz w:val="19"/>
          <w:szCs w:val="19"/>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64" w:lineRule="exact"/>
        <w:rPr>
          <w:rFonts w:ascii="Times New Roman" w:cs="Times New Roman" w:eastAsia="Times New Roman" w:hAnsi="Times New Roman"/>
          <w:sz w:val="19"/>
          <w:szCs w:val="19"/>
          <w:color w:val="auto"/>
        </w:rPr>
      </w:pPr>
    </w:p>
    <w:p>
      <w:pPr>
        <w:jc w:val="both"/>
        <w:ind w:left="652" w:right="200" w:hanging="328"/>
        <w:spacing w:after="0" w:line="249" w:lineRule="auto"/>
        <w:tabs>
          <w:tab w:leader="none" w:pos="60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Non-Assignability, Etc.</w:t>
      </w:r>
      <w:r>
        <w:rPr>
          <w:rFonts w:ascii="Times New Roman" w:cs="Times New Roman" w:eastAsia="Times New Roman" w:hAnsi="Times New Roman"/>
          <w:sz w:val="20"/>
          <w:szCs w:val="20"/>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71" w:lineRule="exact"/>
        <w:rPr>
          <w:rFonts w:ascii="Times New Roman" w:cs="Times New Roman" w:eastAsia="Times New Roman" w:hAnsi="Times New Roman"/>
          <w:sz w:val="20"/>
          <w:szCs w:val="20"/>
          <w:color w:val="auto"/>
        </w:rPr>
      </w:pPr>
    </w:p>
    <w:p>
      <w:pPr>
        <w:ind w:left="332" w:right="180" w:hanging="332"/>
        <w:spacing w:after="0" w:line="254" w:lineRule="auto"/>
        <w:tabs>
          <w:tab w:leader="none" w:pos="20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66" w:lineRule="exact"/>
        <w:rPr>
          <w:rFonts w:ascii="Times New Roman" w:cs="Times New Roman" w:eastAsia="Times New Roman" w:hAnsi="Times New Roman"/>
          <w:sz w:val="20"/>
          <w:szCs w:val="20"/>
          <w:color w:val="auto"/>
        </w:rPr>
      </w:pPr>
    </w:p>
    <w:p>
      <w:pPr>
        <w:ind w:left="332" w:right="360" w:hanging="332"/>
        <w:spacing w:after="0" w:line="254" w:lineRule="auto"/>
        <w:tabs>
          <w:tab w:leader="none" w:pos="20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Laws</w:t>
      </w:r>
      <w:r>
        <w:rPr>
          <w:rFonts w:ascii="Times New Roman" w:cs="Times New Roman" w:eastAsia="Times New Roman" w:hAnsi="Times New Roman"/>
          <w:sz w:val="20"/>
          <w:szCs w:val="20"/>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66"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 Repayment</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52" w:hanging="328"/>
        <w:spacing w:after="0" w:line="244" w:lineRule="auto"/>
        <w:tabs>
          <w:tab w:leader="none" w:pos="597"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w:t>
      </w:r>
    </w:p>
    <w:p>
      <w:pPr>
        <w:sectPr>
          <w:pgSz w:w="11900" w:h="16838" w:orient="portrait"/>
          <w:cols w:equalWidth="0" w:num="1">
            <w:col w:w="11172"/>
          </w:cols>
          <w:pgMar w:left="328" w:top="1413" w:right="399" w:bottom="1440" w:gutter="0" w:footer="0" w:header="0"/>
        </w:sectPr>
      </w:pPr>
    </w:p>
    <w:bookmarkStart w:id="221" w:name="page222"/>
    <w:bookmarkEnd w:id="221"/>
    <w:p>
      <w:pPr>
        <w:ind w:left="652"/>
        <w:spacing w:after="0" w:line="245" w:lineRule="auto"/>
        <w:rPr>
          <w:sz w:val="20"/>
          <w:szCs w:val="20"/>
          <w:color w:val="auto"/>
        </w:rPr>
      </w:pPr>
      <w:r>
        <w:rPr>
          <w:rFonts w:ascii="Times New Roman" w:cs="Times New Roman" w:eastAsia="Times New Roman" w:hAnsi="Times New Roman"/>
          <w:sz w:val="20"/>
          <w:szCs w:val="20"/>
          <w:color w:val="auto"/>
        </w:rPr>
        <w:t>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76" w:lineRule="exact"/>
        <w:rPr>
          <w:sz w:val="20"/>
          <w:szCs w:val="20"/>
          <w:color w:val="auto"/>
        </w:rPr>
      </w:pPr>
    </w:p>
    <w:p>
      <w:pPr>
        <w:ind w:left="652" w:right="120" w:hanging="328"/>
        <w:spacing w:after="0" w:line="257" w:lineRule="auto"/>
        <w:tabs>
          <w:tab w:leader="none" w:pos="608"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Repayment</w:t>
      </w:r>
      <w:r>
        <w:rPr>
          <w:rFonts w:ascii="Times New Roman" w:cs="Times New Roman" w:eastAsia="Times New Roman" w:hAnsi="Times New Roman"/>
          <w:sz w:val="19"/>
          <w:szCs w:val="19"/>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67" w:lineRule="exact"/>
        <w:rPr>
          <w:rFonts w:ascii="Times New Roman" w:cs="Times New Roman" w:eastAsia="Times New Roman" w:hAnsi="Times New Roman"/>
          <w:sz w:val="19"/>
          <w:szCs w:val="19"/>
          <w:color w:val="auto"/>
        </w:rPr>
      </w:pPr>
    </w:p>
    <w:p>
      <w:pPr>
        <w:ind w:left="332" w:right="80" w:hanging="332"/>
        <w:spacing w:after="0" w:line="244" w:lineRule="auto"/>
        <w:tabs>
          <w:tab w:leader="none" w:pos="30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77" w:lineRule="exact"/>
        <w:rPr>
          <w:rFonts w:ascii="Times New Roman" w:cs="Times New Roman" w:eastAsia="Times New Roman" w:hAnsi="Times New Roman"/>
          <w:sz w:val="20"/>
          <w:szCs w:val="20"/>
          <w:color w:val="auto"/>
        </w:rPr>
      </w:pPr>
    </w:p>
    <w:p>
      <w:pPr>
        <w:ind w:left="332" w:right="100" w:hanging="332"/>
        <w:spacing w:after="0" w:line="269" w:lineRule="auto"/>
        <w:tabs>
          <w:tab w:leader="none" w:pos="29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Not to Affect Employment</w:t>
      </w:r>
      <w:r>
        <w:rPr>
          <w:rFonts w:ascii="Times New Roman" w:cs="Times New Roman" w:eastAsia="Times New Roman" w:hAnsi="Times New Roman"/>
          <w:sz w:val="20"/>
          <w:szCs w:val="20"/>
          <w:color w:val="auto"/>
        </w:rPr>
        <w:t>. The Award granted hereunder shall not confer upon Grantee any right to continue in the employment of the Company or any subsidiary or affiliate of the Company.</w:t>
      </w:r>
    </w:p>
    <w:p>
      <w:pPr>
        <w:spacing w:after="0" w:line="51" w:lineRule="exact"/>
        <w:rPr>
          <w:rFonts w:ascii="Times New Roman" w:cs="Times New Roman" w:eastAsia="Times New Roman" w:hAnsi="Times New Roman"/>
          <w:sz w:val="20"/>
          <w:szCs w:val="20"/>
          <w:color w:val="auto"/>
        </w:rPr>
      </w:pPr>
    </w:p>
    <w:p>
      <w:pPr>
        <w:ind w:left="292" w:hanging="292"/>
        <w:spacing w:after="0"/>
        <w:tabs>
          <w:tab w:leader="none" w:pos="29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652" w:right="40" w:hanging="328"/>
        <w:spacing w:after="0" w:line="249" w:lineRule="auto"/>
        <w:tabs>
          <w:tab w:leader="none" w:pos="59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71" w:lineRule="exact"/>
        <w:rPr>
          <w:rFonts w:ascii="Times New Roman" w:cs="Times New Roman" w:eastAsia="Times New Roman" w:hAnsi="Times New Roman"/>
          <w:sz w:val="20"/>
          <w:szCs w:val="20"/>
          <w:color w:val="auto"/>
        </w:rPr>
      </w:pPr>
    </w:p>
    <w:p>
      <w:pPr>
        <w:ind w:left="652" w:right="480" w:hanging="328"/>
        <w:spacing w:after="0" w:line="269" w:lineRule="auto"/>
        <w:tabs>
          <w:tab w:leader="none" w:pos="608"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for Grantee to which notice, demands and other communications to be given or delivered under or by reason of the provisions hereof shall be Grantee’s address as reflected in the Company’s personnel records.</w:t>
      </w:r>
    </w:p>
    <w:p>
      <w:pPr>
        <w:spacing w:after="0" w:line="51" w:lineRule="exact"/>
        <w:rPr>
          <w:rFonts w:ascii="Times New Roman" w:cs="Times New Roman" w:eastAsia="Times New Roman" w:hAnsi="Times New Roman"/>
          <w:sz w:val="20"/>
          <w:szCs w:val="20"/>
          <w:color w:val="auto"/>
        </w:rPr>
      </w:pPr>
    </w:p>
    <w:p>
      <w:pPr>
        <w:ind w:left="652" w:right="1080" w:hanging="328"/>
        <w:spacing w:after="0" w:line="269" w:lineRule="auto"/>
        <w:tabs>
          <w:tab w:leader="none" w:pos="59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performance, construction and effect of this Award shall be governed by the laws of the Commonwealth of Pennsylvania, without giving effect to principles of conflicts of law.</w:t>
      </w:r>
    </w:p>
    <w:p>
      <w:pPr>
        <w:sectPr>
          <w:pgSz w:w="11900" w:h="16838" w:orient="portrait"/>
          <w:cols w:equalWidth="0" w:num="1">
            <w:col w:w="11172"/>
          </w:cols>
          <w:pgMar w:left="328" w:top="1413" w:right="399" w:bottom="1440" w:gutter="0" w:footer="0" w:header="0"/>
        </w:sectPr>
      </w:pPr>
    </w:p>
    <w:bookmarkStart w:id="222" w:name="page223"/>
    <w:bookmarkEnd w:id="222"/>
    <w:p>
      <w:pPr>
        <w:spacing w:after="0" w:line="2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COMCAST CORPORATION</w:t>
      </w: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13970</wp:posOffset>
            </wp:positionV>
            <wp:extent cx="2168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13970</wp:posOffset>
            </wp:positionV>
            <wp:extent cx="21685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7">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3" w:name="page224"/>
    <w:bookmarkEnd w:id="223"/>
    <w:p>
      <w:pPr>
        <w:ind w:left="2340"/>
        <w:spacing w:after="0"/>
        <w:rPr>
          <w:sz w:val="20"/>
          <w:szCs w:val="20"/>
          <w:color w:val="auto"/>
        </w:rPr>
      </w:pPr>
      <w:r>
        <w:rPr>
          <w:rFonts w:ascii="Times New Roman" w:cs="Times New Roman" w:eastAsia="Times New Roman" w:hAnsi="Times New Roman"/>
          <w:sz w:val="20"/>
          <w:szCs w:val="20"/>
          <w:b w:val="1"/>
          <w:bCs w:val="1"/>
          <w:color w:val="auto"/>
        </w:rPr>
        <w:t>FORM OF LONG-TERM INCENTIVE AWARDS SUMMARY SCHEDULE</w:t>
      </w:r>
      <w:r>
        <w:rPr>
          <w:rFonts w:ascii="Times New Roman" w:cs="Times New Roman" w:eastAsia="Times New Roman" w:hAnsi="Times New Roman"/>
          <w:sz w:val="25"/>
          <w:szCs w:val="25"/>
          <w:b w:val="1"/>
          <w:bCs w:val="1"/>
          <w:color w:val="auto"/>
          <w:vertAlign w:val="superscript"/>
        </w:rPr>
        <w:t>9</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This Long-Term Incentive Awards Summary Schedule (this “Schedule) provides certain information related to Restricted Stock Units you were granted by Comcast Corporation on [Grant Date, [Year 1] or [Year 0]] (the “Date of Grant”). </w:t>
      </w:r>
      <w:r>
        <w:rPr>
          <w:rFonts w:ascii="Times New Roman" w:cs="Times New Roman" w:eastAsia="Times New Roman" w:hAnsi="Times New Roman"/>
          <w:sz w:val="20"/>
          <w:szCs w:val="20"/>
          <w:b w:val="1"/>
          <w:bCs w:val="1"/>
          <w:color w:val="auto"/>
        </w:rPr>
        <w:t>This Schedule is intended to be,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shall at all times be interpreted as, a part of your Comcast Corporation Restricted Stock Unit Award document.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1</w:t>
      </w:r>
      <w:r>
        <w:rPr>
          <w:rFonts w:ascii="Times New Roman" w:cs="Times New Roman" w:eastAsia="Times New Roman" w:hAnsi="Times New Roman"/>
          <w:sz w:val="25"/>
          <w:szCs w:val="25"/>
          <w:i w:val="1"/>
          <w:iCs w:val="1"/>
          <w:color w:val="auto"/>
          <w:vertAlign w:val="superscript"/>
        </w:rPr>
        <w:t>9</w:t>
      </w:r>
      <w:r>
        <w:rPr>
          <w:rFonts w:ascii="Times New Roman" w:cs="Times New Roman" w:eastAsia="Times New Roman" w:hAnsi="Times New Roman"/>
          <w:sz w:val="20"/>
          <w:szCs w:val="20"/>
          <w:i w:val="1"/>
          <w:iCs w:val="1"/>
          <w:color w:val="auto"/>
        </w:rPr>
        <w: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 w:type="dxa"/>
            <w:vAlign w:val="bottom"/>
            <w:tcBorders>
              <w:top w:val="single" w:sz="8" w:color="auto"/>
              <w:left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Grantee:</w:t>
            </w:r>
          </w:p>
        </w:tc>
        <w:tc>
          <w:tcPr>
            <w:tcW w:w="83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3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83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190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20"/>
                <w:szCs w:val="20"/>
                <w:color w:val="auto"/>
              </w:rPr>
              <w:t>Number of Restricted</w:t>
            </w:r>
          </w:p>
        </w:tc>
        <w:tc>
          <w:tcPr>
            <w:tcW w:w="838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Stock Units Granted:</w:t>
            </w:r>
          </w:p>
        </w:tc>
        <w:tc>
          <w:tcPr>
            <w:tcW w:w="1480" w:type="dxa"/>
            <w:vAlign w:val="bottom"/>
          </w:tcPr>
          <w:p>
            <w:pPr>
              <w:spacing w:after="0"/>
              <w:rPr>
                <w:sz w:val="22"/>
                <w:szCs w:val="22"/>
                <w:color w:val="auto"/>
              </w:rPr>
            </w:pPr>
          </w:p>
        </w:tc>
        <w:tc>
          <w:tcPr>
            <w:tcW w:w="690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Option 1:</w:t>
            </w:r>
          </w:p>
        </w:tc>
        <w:tc>
          <w:tcPr>
            <w:tcW w:w="8380" w:type="dxa"/>
            <w:vAlign w:val="bottom"/>
            <w:tcBorders>
              <w:right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 of the Restricted Stock Units.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9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[Year 1] RSUs</w:t>
            </w:r>
          </w:p>
        </w:tc>
        <w:tc>
          <w:tcPr>
            <w:tcW w:w="1480" w:type="dxa"/>
            <w:vAlign w:val="bottom"/>
          </w:tcPr>
          <w:p>
            <w:pPr>
              <w:spacing w:after="0"/>
              <w:rPr>
                <w:sz w:val="22"/>
                <w:szCs w:val="22"/>
                <w:color w:val="auto"/>
              </w:rPr>
            </w:pPr>
          </w:p>
        </w:tc>
        <w:tc>
          <w:tcPr>
            <w:tcW w:w="690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900" w:type="dxa"/>
            <w:vAlign w:val="bottom"/>
            <w:tcBorders>
              <w:bottom w:val="single" w:sz="8" w:color="auto"/>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[Year 2] RSUs</w:t>
            </w: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 of the Restricted Stock Units, plus any [Year 1] RSUs that fail to vest on or before [ , Year 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9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[Year 3] RSUs</w:t>
            </w:r>
          </w:p>
        </w:tc>
        <w:tc>
          <w:tcPr>
            <w:tcW w:w="838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w w:val="99"/>
              </w:rPr>
              <w:t>[●]% of the Restricted Stock Units, plus any [Year 1] and [Year 2] RSUs that fail to vest on or before [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Year 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9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[Year 4] RSUs</w:t>
            </w:r>
          </w:p>
        </w:tc>
        <w:tc>
          <w:tcPr>
            <w:tcW w:w="838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 of the Restricted Stock Units, plus any [Year 1], [Year 2] and [Year 3] RSUs that fail to vest on or</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before [ , Year 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9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[Year 5] RSUs</w:t>
            </w:r>
          </w:p>
        </w:tc>
        <w:tc>
          <w:tcPr>
            <w:tcW w:w="838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 of the Restricted Stock Units, plus any [Year 1], [Year 2], [Year 3] and [Year 4] RSUs that fail to</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vest on or before [ , Year 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Notwithstanding anything herein to the contrary, to the extent a Vesting Date for any [Year 5] RSUs has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not occurred on or prior to [_______, [Year 5], such [Year 5] RSUs which have not vested and become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nonforfeitable shall immediately and automatically, without any action on the part of the Grantee or the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Company, be forfeited by the Grantee and deemed canceled.</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900" w:type="dxa"/>
            <w:vAlign w:val="bottom"/>
            <w:tcBorders>
              <w:bottom w:val="single" w:sz="8" w:color="auto"/>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Option 2:</w:t>
            </w:r>
          </w:p>
        </w:tc>
        <w:tc>
          <w:tcPr>
            <w:tcW w:w="8380" w:type="dxa"/>
            <w:vAlign w:val="bottom"/>
            <w:tcBorders>
              <w:right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 of the Restricted Stock Units.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83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color w:val="auto"/>
                <w:w w:val="99"/>
              </w:rPr>
              <w:t>Notwithstanding anything herein to the contrary, to the extent a Vesting Date for any [Year 1] RSUs has</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[Year 1] RSUs</w:t>
            </w:r>
          </w:p>
        </w:tc>
        <w:tc>
          <w:tcPr>
            <w:tcW w:w="8380" w:type="dxa"/>
            <w:vAlign w:val="bottom"/>
            <w:tcBorders>
              <w:right w:val="single" w:sz="8" w:color="auto"/>
            </w:tcBorders>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not occurred on or prior to , [Year 1], such [Year 1] RSUs which have not vested and become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nonforfeitable shall immediately and automatically, without any action on the part of the Grantee or the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83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Company, be forfeited by the Grantee and deemed canceled.</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900" w:type="dxa"/>
            <w:vAlign w:val="bottom"/>
            <w:tcBorders>
              <w:bottom w:val="single" w:sz="8" w:color="auto"/>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62"/>
        </w:trPr>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rPr>
              <w:t>OPTION 2</w:t>
            </w:r>
            <w:r>
              <w:rPr>
                <w:rFonts w:ascii="Times New Roman" w:cs="Times New Roman" w:eastAsia="Times New Roman" w:hAnsi="Times New Roman"/>
                <w:sz w:val="25"/>
                <w:szCs w:val="25"/>
                <w:i w:val="1"/>
                <w:iCs w:val="1"/>
                <w:color w:val="auto"/>
                <w:vertAlign w:val="superscript"/>
              </w:rPr>
              <w:t>10</w:t>
            </w:r>
            <w:r>
              <w:rPr>
                <w:rFonts w:ascii="Times New Roman" w:cs="Times New Roman" w:eastAsia="Times New Roman" w:hAnsi="Times New Roman"/>
                <w:sz w:val="20"/>
                <w:szCs w:val="20"/>
                <w:i w:val="1"/>
                <w:iCs w:val="1"/>
                <w:color w:val="auto"/>
              </w:rPr>
              <w:t>:</w:t>
            </w:r>
          </w:p>
        </w:tc>
        <w:tc>
          <w:tcPr>
            <w:tcW w:w="14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6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Grantee:</w:t>
            </w:r>
          </w:p>
        </w:tc>
        <w:tc>
          <w:tcPr>
            <w:tcW w:w="148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48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480" w:type="dxa"/>
            <w:vAlign w:val="bottom"/>
            <w:tcBorders>
              <w:bottom w:val="single" w:sz="8" w:color="auto"/>
              <w:right w:val="single" w:sz="8" w:color="auto"/>
            </w:tcBorders>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8">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-3462655</wp:posOffset>
            </wp:positionV>
            <wp:extent cx="311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-3274060</wp:posOffset>
            </wp:positionV>
            <wp:extent cx="311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1628140</wp:posOffset>
            </wp:positionH>
            <wp:positionV relativeFrom="paragraph">
              <wp:posOffset>-2794000</wp:posOffset>
            </wp:positionV>
            <wp:extent cx="311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1">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-2459355</wp:posOffset>
            </wp:positionV>
            <wp:extent cx="311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45" w:lineRule="exact"/>
        <w:rPr>
          <w:sz w:val="20"/>
          <w:szCs w:val="20"/>
          <w:color w:val="auto"/>
        </w:rPr>
      </w:pPr>
    </w:p>
    <w:p>
      <w:pPr>
        <w:jc w:val="both"/>
        <w:ind w:right="7200" w:firstLine="8"/>
        <w:spacing w:after="0" w:line="343" w:lineRule="auto"/>
        <w:tabs>
          <w:tab w:leader="none" w:pos="103" w:val="left"/>
        </w:tabs>
        <w:numPr>
          <w:ilvl w:val="0"/>
          <w:numId w:val="20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For certain awards granted during and after 2015. </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7"/>
          <w:szCs w:val="17"/>
          <w:color w:val="auto"/>
        </w:rPr>
        <w:t xml:space="preserve"> For certain awards granted during and after 2017.</w:t>
      </w:r>
    </w:p>
    <w:p>
      <w:pPr>
        <w:sectPr>
          <w:pgSz w:w="11900" w:h="16838" w:orient="portrait"/>
          <w:cols w:equalWidth="0" w:num="1">
            <w:col w:w="10940"/>
          </w:cols>
          <w:pgMar w:left="320" w:top="1409" w:right="639" w:bottom="1440" w:gutter="0" w:footer="0" w:header="0"/>
        </w:sectPr>
      </w:pPr>
    </w:p>
    <w:bookmarkStart w:id="224" w:name="page225"/>
    <w:bookmarkEnd w:id="2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34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Number of Restricted Stock Units</w:t>
            </w:r>
          </w:p>
        </w:tc>
        <w:tc>
          <w:tcPr>
            <w:tcW w:w="72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at Tier Two Performance Goal ( the “Target Performance Goal”)</w:t>
            </w:r>
          </w:p>
        </w:tc>
        <w:tc>
          <w:tcPr>
            <w:tcW w:w="0" w:type="dxa"/>
            <w:vAlign w:val="bottom"/>
          </w:tcPr>
          <w:p>
            <w:pPr>
              <w:spacing w:after="0"/>
              <w:rPr>
                <w:sz w:val="1"/>
                <w:szCs w:val="1"/>
                <w:color w:val="auto"/>
              </w:rPr>
            </w:pPr>
          </w:p>
        </w:tc>
      </w:tr>
      <w:tr>
        <w:trPr>
          <w:trHeight w:val="88"/>
        </w:trPr>
        <w:tc>
          <w:tcPr>
            <w:tcW w:w="3420" w:type="dxa"/>
            <w:vAlign w:val="bottom"/>
            <w:tcBorders>
              <w:left w:val="single" w:sz="8" w:color="auto"/>
              <w:right w:val="single" w:sz="8" w:color="auto"/>
            </w:tcBorders>
            <w:vMerge w:val="continue"/>
          </w:tcPr>
          <w:p>
            <w:pPr>
              <w:spacing w:after="0"/>
              <w:rPr>
                <w:sz w:val="7"/>
                <w:szCs w:val="7"/>
                <w:color w:val="auto"/>
              </w:rPr>
            </w:pPr>
          </w:p>
        </w:tc>
        <w:tc>
          <w:tcPr>
            <w:tcW w:w="7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7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 of [●] at Tier Three Performance Goal</w:t>
            </w:r>
          </w:p>
        </w:tc>
        <w:tc>
          <w:tcPr>
            <w:tcW w:w="0" w:type="dxa"/>
            <w:vAlign w:val="bottom"/>
          </w:tcPr>
          <w:p>
            <w:pPr>
              <w:spacing w:after="0"/>
              <w:rPr>
                <w:sz w:val="1"/>
                <w:szCs w:val="1"/>
                <w:color w:val="auto"/>
              </w:rPr>
            </w:pPr>
          </w:p>
        </w:tc>
      </w:tr>
      <w:tr>
        <w:trPr>
          <w:trHeight w:val="126"/>
        </w:trPr>
        <w:tc>
          <w:tcPr>
            <w:tcW w:w="3420" w:type="dxa"/>
            <w:vAlign w:val="bottom"/>
            <w:tcBorders>
              <w:left w:val="single" w:sz="8" w:color="auto"/>
              <w:right w:val="single" w:sz="8" w:color="auto"/>
            </w:tcBorders>
          </w:tcPr>
          <w:p>
            <w:pPr>
              <w:spacing w:after="0"/>
              <w:rPr>
                <w:sz w:val="10"/>
                <w:szCs w:val="10"/>
                <w:color w:val="auto"/>
              </w:rPr>
            </w:pPr>
          </w:p>
        </w:tc>
        <w:tc>
          <w:tcPr>
            <w:tcW w:w="7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1] RSUs</w:t>
            </w:r>
          </w:p>
        </w:tc>
        <w:tc>
          <w:tcPr>
            <w:tcW w:w="7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of the Restricted Stock Units, determined at the Target Performance Goal.</w:t>
            </w:r>
          </w:p>
        </w:tc>
        <w:tc>
          <w:tcPr>
            <w:tcW w:w="0" w:type="dxa"/>
            <w:vAlign w:val="bottom"/>
          </w:tcPr>
          <w:p>
            <w:pPr>
              <w:spacing w:after="0"/>
              <w:rPr>
                <w:sz w:val="1"/>
                <w:szCs w:val="1"/>
                <w:color w:val="auto"/>
              </w:rPr>
            </w:pPr>
          </w:p>
        </w:tc>
      </w:tr>
      <w:tr>
        <w:trPr>
          <w:trHeight w:val="237"/>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2] RSUs</w:t>
            </w:r>
          </w:p>
        </w:tc>
        <w:tc>
          <w:tcPr>
            <w:tcW w:w="7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of the Restricted Stock Units, determined at the Target Performance Goal.</w:t>
            </w:r>
          </w:p>
        </w:tc>
        <w:tc>
          <w:tcPr>
            <w:tcW w:w="0" w:type="dxa"/>
            <w:vAlign w:val="bottom"/>
          </w:tcPr>
          <w:p>
            <w:pPr>
              <w:spacing w:after="0"/>
              <w:rPr>
                <w:sz w:val="1"/>
                <w:szCs w:val="1"/>
                <w:color w:val="auto"/>
              </w:rPr>
            </w:pPr>
          </w:p>
        </w:tc>
      </w:tr>
      <w:tr>
        <w:trPr>
          <w:trHeight w:val="237"/>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3] RSUs</w:t>
            </w:r>
          </w:p>
        </w:tc>
        <w:tc>
          <w:tcPr>
            <w:tcW w:w="7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of the Restricted Stock Units, determined at the Target Performance Goal.</w:t>
            </w:r>
          </w:p>
        </w:tc>
        <w:tc>
          <w:tcPr>
            <w:tcW w:w="0" w:type="dxa"/>
            <w:vAlign w:val="bottom"/>
          </w:tcPr>
          <w:p>
            <w:pPr>
              <w:spacing w:after="0"/>
              <w:rPr>
                <w:sz w:val="1"/>
                <w:szCs w:val="1"/>
                <w:color w:val="auto"/>
              </w:rPr>
            </w:pPr>
          </w:p>
        </w:tc>
      </w:tr>
      <w:tr>
        <w:trPr>
          <w:trHeight w:val="236"/>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4] RSUs</w:t>
            </w:r>
          </w:p>
        </w:tc>
        <w:tc>
          <w:tcPr>
            <w:tcW w:w="7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of the Restricted Stock Units, determined at the Target Performance Goal.</w:t>
            </w:r>
          </w:p>
        </w:tc>
        <w:tc>
          <w:tcPr>
            <w:tcW w:w="0" w:type="dxa"/>
            <w:vAlign w:val="bottom"/>
          </w:tcPr>
          <w:p>
            <w:pPr>
              <w:spacing w:after="0"/>
              <w:rPr>
                <w:sz w:val="1"/>
                <w:szCs w:val="1"/>
                <w:color w:val="auto"/>
              </w:rPr>
            </w:pPr>
          </w:p>
        </w:tc>
      </w:tr>
      <w:tr>
        <w:trPr>
          <w:trHeight w:val="237"/>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5] RSUs</w:t>
            </w:r>
          </w:p>
        </w:tc>
        <w:tc>
          <w:tcPr>
            <w:tcW w:w="7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of the Restricted Stock Units, determined at the Target Performance Goal.</w:t>
            </w:r>
          </w:p>
        </w:tc>
        <w:tc>
          <w:tcPr>
            <w:tcW w:w="0" w:type="dxa"/>
            <w:vAlign w:val="bottom"/>
          </w:tcPr>
          <w:p>
            <w:pPr>
              <w:spacing w:after="0"/>
              <w:rPr>
                <w:sz w:val="1"/>
                <w:szCs w:val="1"/>
                <w:color w:val="auto"/>
              </w:rPr>
            </w:pPr>
          </w:p>
        </w:tc>
      </w:tr>
    </w:tbl>
    <w:p>
      <w:pPr>
        <w:sectPr>
          <w:pgSz w:w="11900" w:h="16838" w:orient="portrait"/>
          <w:cols w:equalWidth="0" w:num="1">
            <w:col w:w="10640"/>
          </w:cols>
          <w:pgMar w:left="320" w:top="1440" w:right="939" w:bottom="1440" w:gutter="0" w:footer="0" w:header="0"/>
        </w:sectPr>
      </w:pPr>
    </w:p>
    <w:bookmarkStart w:id="225" w:name="page226"/>
    <w:bookmarkEnd w:id="225"/>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Vesting Dates and Vesting Percentages of</w:t>
      </w:r>
    </w:p>
    <w:p>
      <w:pPr>
        <w:spacing w:after="0"/>
        <w:rPr>
          <w:sz w:val="20"/>
          <w:szCs w:val="20"/>
          <w:color w:val="auto"/>
        </w:rPr>
      </w:pPr>
      <w:r>
        <w:rPr>
          <w:rFonts w:ascii="Times New Roman" w:cs="Times New Roman" w:eastAsia="Times New Roman" w:hAnsi="Times New Roman"/>
          <w:sz w:val="20"/>
          <w:szCs w:val="20"/>
          <w:color w:val="auto"/>
        </w:rPr>
        <w:t>Restricted Stock Units: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The vesting percentage for any Performance Period shall be mathematically interpolated for achievement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-314960</wp:posOffset>
            </wp:positionV>
            <wp:extent cx="6746240" cy="61722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3">
                      <a:extLst>
                        <a:ext uri="{28A0092B-C50C-407E-A947-70E740481C1C}"/>
                      </a:extLst>
                    </a:blip>
                    <a:srcRect/>
                    <a:stretch>
                      <a:fillRect/>
                    </a:stretch>
                  </pic:blipFill>
                  <pic:spPr bwMode="auto">
                    <a:xfrm>
                      <a:off x="0" y="0"/>
                      <a:ext cx="6746240" cy="6172200"/>
                    </a:xfrm>
                    <a:prstGeom prst="rect">
                      <a:avLst/>
                    </a:prstGeom>
                    <a:noFill/>
                  </pic:spPr>
                </pic:pic>
              </a:graphicData>
            </a:graphic>
          </wp:anchor>
        </w:drawing>
      </w:r>
    </w:p>
    <w:p>
      <w:pPr>
        <w:ind w:right="160" w:firstLine="8"/>
        <w:spacing w:after="0" w:line="239" w:lineRule="auto"/>
        <w:tabs>
          <w:tab w:leader="none" w:pos="18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lowest performance level of the Tier One Performance Goal ([●]% year over year increase in Operating Cash Flow) and the lowest level of achievement of the Tier Two Performance Goal ([●]% year over year increase in Operating Cash Flow). The interpolation of vesting shall range from [●]% to [●]%;</w:t>
      </w:r>
    </w:p>
    <w:p>
      <w:pPr>
        <w:spacing w:after="0" w:line="1" w:lineRule="exact"/>
        <w:rPr>
          <w:rFonts w:ascii="Times New Roman" w:cs="Times New Roman" w:eastAsia="Times New Roman" w:hAnsi="Times New Roman"/>
          <w:sz w:val="20"/>
          <w:szCs w:val="20"/>
          <w:color w:val="auto"/>
        </w:rPr>
      </w:pPr>
    </w:p>
    <w:p>
      <w:pPr>
        <w:ind w:right="80" w:firstLine="8"/>
        <w:spacing w:after="0" w:line="239" w:lineRule="auto"/>
        <w:tabs>
          <w:tab w:leader="none" w:pos="18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highest performance level of the Tier Two Performance Goal ([●]% year over year increase in Operating Cash Flow) and the lowest performance level of the Tier Three Performance Goal ([●]% year over year increase in Operating Cash Flow) The interpolation of vesting shall range from [●]% to [●]%.</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Fractional results shall be rounded to next lower full Share.</w:t>
      </w:r>
    </w:p>
    <w:p>
      <w:pPr>
        <w:ind w:right="19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r>
        <w:rPr>
          <w:rFonts w:ascii="Times New Roman" w:cs="Times New Roman" w:eastAsia="Times New Roman" w:hAnsi="Times New Roman"/>
          <w:sz w:val="20"/>
          <w:szCs w:val="20"/>
          <w:u w:val="single" w:color="auto"/>
          <w:color w:val="auto"/>
        </w:rPr>
        <w:t>YEAR 1] RSUs</w:t>
      </w:r>
      <w:r>
        <w:rPr>
          <w:rFonts w:ascii="Times New Roman" w:cs="Times New Roman" w:eastAsia="Times New Roman" w:hAnsi="Times New Roman"/>
          <w:sz w:val="20"/>
          <w:szCs w:val="20"/>
          <w:color w:val="auto"/>
        </w:rPr>
        <w:t>: On [●] FROM DATE OF GRANT]: [●]%, provided that the Tier One Performance Goal is satisfied; [●]%, provided that the Tier Two Performance Goal is satisfied; [●]%, provided that the Tier Three Performance Goal is satisfied.</w:t>
      </w:r>
    </w:p>
    <w:p>
      <w:pPr>
        <w:spacing w:after="0" w:line="1" w:lineRule="exact"/>
        <w:rPr>
          <w:rFonts w:ascii="Times New Roman" w:cs="Times New Roman" w:eastAsia="Times New Roman" w:hAnsi="Times New Roman"/>
          <w:sz w:val="20"/>
          <w:szCs w:val="20"/>
          <w:color w:val="auto"/>
        </w:rPr>
      </w:pPr>
    </w:p>
    <w:p>
      <w:pPr>
        <w:ind w:right="10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Year 1 RSUs, the Performance Period is the 12-consecutive month period beginning April 1, 20[●] and ending the next following March 31.</w:t>
      </w:r>
    </w:p>
    <w:p>
      <w:pPr>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[YEAR 2] RSUs</w:t>
      </w:r>
      <w:r>
        <w:rPr>
          <w:rFonts w:ascii="Times New Roman" w:cs="Times New Roman" w:eastAsia="Times New Roman" w:hAnsi="Times New Roman"/>
          <w:sz w:val="20"/>
          <w:szCs w:val="20"/>
          <w:color w:val="auto"/>
        </w:rPr>
        <w:t>: On [●] of Date of Grant, the greater of the vesting percentage as determined for [YEAR 1] RSUs, or[●]%, provided that the Tier One Performance Goal is satisfied;</w:t>
      </w:r>
    </w:p>
    <w:p>
      <w:pPr>
        <w:spacing w:after="0" w:line="1" w:lineRule="exact"/>
        <w:rPr>
          <w:rFonts w:ascii="Times New Roman" w:cs="Times New Roman" w:eastAsia="Times New Roman" w:hAnsi="Times New Roman"/>
          <w:sz w:val="20"/>
          <w:szCs w:val="20"/>
          <w:color w:val="auto"/>
        </w:rPr>
      </w:pPr>
    </w:p>
    <w:p>
      <w:pPr>
        <w:ind w:right="164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provided that the Tier Two Performance Goal is satisfied; [●]%, provided that the Tier Three Performance Goal is satisfied. For Year 2 RSUs, the Performance Period is the calendar year 20[●].</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[YEAR 3] RSUs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On [●] of Date of Grant, the greater of the vesting percentages as determined for [YEAR</w:t>
      </w:r>
    </w:p>
    <w:p>
      <w:pPr>
        <w:spacing w:after="0" w:line="1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RSUs or:</w:t>
      </w:r>
    </w:p>
    <w:p>
      <w:pPr>
        <w:ind w:right="170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provided that the Tier One Performance Goal is satisfied; [●]%, provided that the Tier Two Performance Goal is satisfied; [●]%, provided that the Tier Three Performance Goal is satisfied. For Year 3 RSUs, the Performance Period is the calendar year 20__.</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r>
        <w:rPr>
          <w:rFonts w:ascii="Times New Roman" w:cs="Times New Roman" w:eastAsia="Times New Roman" w:hAnsi="Times New Roman"/>
          <w:sz w:val="20"/>
          <w:szCs w:val="20"/>
          <w:u w:val="single" w:color="auto"/>
          <w:color w:val="auto"/>
        </w:rPr>
        <w:t>YEAR 4] RSUs</w:t>
      </w:r>
    </w:p>
    <w:p>
      <w:pPr>
        <w:ind w:right="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 of Date of Grant, the greater of the vesting percentages as determined for [YEAR 3] RSUs or[●]%, provided that the Tier One Performance Goal is satisfied;</w:t>
      </w:r>
    </w:p>
    <w:p>
      <w:pPr>
        <w:ind w:right="192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provided that the Tier Two Performance Goal is satisfied; [●]%, provided that the Tier Three Performance Goal is satisfied.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 </w:t>
      </w:r>
      <w:r>
        <w:rPr>
          <w:rFonts w:ascii="Times New Roman" w:cs="Times New Roman" w:eastAsia="Times New Roman" w:hAnsi="Times New Roman"/>
          <w:sz w:val="20"/>
          <w:szCs w:val="20"/>
          <w:u w:val="single" w:color="auto"/>
          <w:color w:val="auto"/>
        </w:rPr>
        <w:t>[YEAR 5] RSUs</w:t>
      </w:r>
    </w:p>
    <w:p>
      <w:pPr>
        <w:ind w:right="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 of Date of Grant, the greater of the vesting percentages as determined for [YEAR 4] RSUs or</w:t>
      </w:r>
    </w:p>
    <w:p>
      <w:pPr>
        <w:ind w:right="164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provided that the Tier One Performance Goal is satisfied; [●]%, provided that the Tier Two Performance Goal is satisfied; [●]%, provided that the Tier Three Performance Goal is satisfied. For Year 5 RSUs, the Performance Period is the calendar year 20[●].</w:t>
      </w:r>
    </w:p>
    <w:p>
      <w:pPr>
        <w:sectPr>
          <w:pgSz w:w="11900" w:h="16838" w:orient="portrait"/>
          <w:cols w:equalWidth="0" w:num="2">
            <w:col w:w="3280" w:space="100"/>
            <w:col w:w="7100"/>
          </w:cols>
          <w:pgMar w:left="360" w:top="1440" w:right="1059" w:bottom="1440" w:gutter="0" w:footer="0" w:header="0"/>
        </w:sectPr>
      </w:pPr>
    </w:p>
    <w:bookmarkStart w:id="226" w:name="page227"/>
    <w:bookmarkEnd w:id="2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720" w:type="dxa"/>
            <w:vAlign w:val="bottom"/>
            <w:tcBorders>
              <w:top w:val="single" w:sz="8" w:color="auto"/>
              <w:lef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right w:val="single" w:sz="8" w:color="auto"/>
            </w:tcBorders>
          </w:tcPr>
          <w:p>
            <w:pPr>
              <w:spacing w:after="0"/>
              <w:rPr>
                <w:sz w:val="17"/>
                <w:szCs w:val="17"/>
                <w:color w:val="auto"/>
              </w:rPr>
            </w:pPr>
          </w:p>
        </w:tc>
        <w:tc>
          <w:tcPr>
            <w:tcW w:w="722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Notwithstanding anything herein to the contrary, to the extent a Vesting Date for any</w:t>
            </w:r>
          </w:p>
        </w:tc>
        <w:tc>
          <w:tcPr>
            <w:tcW w:w="40" w:type="dxa"/>
            <w:vAlign w:val="bottom"/>
          </w:tcPr>
          <w:p>
            <w:pPr>
              <w:spacing w:after="0"/>
              <w:rPr>
                <w:sz w:val="17"/>
                <w:szCs w:val="17"/>
                <w:color w:val="auto"/>
              </w:rPr>
            </w:pPr>
          </w:p>
        </w:tc>
      </w:tr>
      <w:tr>
        <w:trPr>
          <w:trHeight w:val="189"/>
        </w:trPr>
        <w:tc>
          <w:tcPr>
            <w:tcW w:w="272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722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20"/>
                <w:szCs w:val="20"/>
                <w:color w:val="auto"/>
              </w:rPr>
              <w:t>RSUs has not occurred because of the failure to satisfy an applicable Performance Goal</w:t>
            </w:r>
          </w:p>
        </w:tc>
        <w:tc>
          <w:tcPr>
            <w:tcW w:w="40" w:type="dxa"/>
            <w:vAlign w:val="bottom"/>
          </w:tcPr>
          <w:p>
            <w:pPr>
              <w:spacing w:after="0"/>
              <w:rPr>
                <w:sz w:val="16"/>
                <w:szCs w:val="16"/>
                <w:color w:val="auto"/>
              </w:rPr>
            </w:pPr>
          </w:p>
        </w:tc>
      </w:tr>
      <w:tr>
        <w:trPr>
          <w:trHeight w:val="189"/>
        </w:trPr>
        <w:tc>
          <w:tcPr>
            <w:tcW w:w="272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722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20"/>
                <w:szCs w:val="20"/>
                <w:color w:val="auto"/>
                <w:w w:val="99"/>
              </w:rPr>
              <w:t>for any year by the applicable Scheduled Vesting Date, such RSUs which have not vested</w:t>
            </w:r>
          </w:p>
        </w:tc>
        <w:tc>
          <w:tcPr>
            <w:tcW w:w="40" w:type="dxa"/>
            <w:vAlign w:val="bottom"/>
          </w:tcPr>
          <w:p>
            <w:pPr>
              <w:spacing w:after="0"/>
              <w:rPr>
                <w:sz w:val="16"/>
                <w:szCs w:val="16"/>
                <w:color w:val="auto"/>
              </w:rPr>
            </w:pPr>
          </w:p>
        </w:tc>
      </w:tr>
      <w:tr>
        <w:trPr>
          <w:trHeight w:val="189"/>
        </w:trPr>
        <w:tc>
          <w:tcPr>
            <w:tcW w:w="272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722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20"/>
                <w:szCs w:val="20"/>
                <w:color w:val="auto"/>
                <w:w w:val="99"/>
              </w:rPr>
              <w:t>and become nonforfeitable shall immediately and automatically, without any action on the</w:t>
            </w:r>
          </w:p>
        </w:tc>
        <w:tc>
          <w:tcPr>
            <w:tcW w:w="40" w:type="dxa"/>
            <w:vAlign w:val="bottom"/>
          </w:tcPr>
          <w:p>
            <w:pPr>
              <w:spacing w:after="0"/>
              <w:rPr>
                <w:sz w:val="16"/>
                <w:szCs w:val="16"/>
                <w:color w:val="auto"/>
              </w:rPr>
            </w:pPr>
          </w:p>
        </w:tc>
      </w:tr>
      <w:tr>
        <w:trPr>
          <w:trHeight w:val="243"/>
        </w:trPr>
        <w:tc>
          <w:tcPr>
            <w:tcW w:w="272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72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part of the Grantee or the Company, be forfeited by the Grantee and deemed canceled.</w:t>
            </w:r>
          </w:p>
        </w:tc>
        <w:tc>
          <w:tcPr>
            <w:tcW w:w="40" w:type="dxa"/>
            <w:vAlign w:val="bottom"/>
          </w:tcPr>
          <w:p>
            <w:pPr>
              <w:spacing w:after="0"/>
              <w:rPr>
                <w:sz w:val="21"/>
                <w:szCs w:val="21"/>
                <w:color w:val="auto"/>
              </w:rPr>
            </w:pPr>
          </w:p>
        </w:tc>
      </w:tr>
      <w:tr>
        <w:trPr>
          <w:trHeight w:val="905"/>
        </w:trPr>
        <w:tc>
          <w:tcPr>
            <w:tcW w:w="27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OPTION 3</w:t>
            </w:r>
            <w:r>
              <w:rPr>
                <w:rFonts w:ascii="Times New Roman" w:cs="Times New Roman" w:eastAsia="Times New Roman" w:hAnsi="Times New Roman"/>
                <w:sz w:val="25"/>
                <w:szCs w:val="25"/>
                <w:i w:val="1"/>
                <w:iCs w:val="1"/>
                <w:color w:val="auto"/>
                <w:vertAlign w:val="superscript"/>
              </w:rPr>
              <w:t>11</w:t>
            </w: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2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237"/>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Grantee:</w:t>
            </w:r>
          </w:p>
        </w:tc>
        <w:tc>
          <w:tcPr>
            <w:tcW w:w="7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right w:val="single" w:sz="8" w:color="auto"/>
            </w:tcBorders>
          </w:tcPr>
          <w:p>
            <w:pPr>
              <w:spacing w:after="0"/>
              <w:rPr>
                <w:sz w:val="20"/>
                <w:szCs w:val="20"/>
                <w:color w:val="auto"/>
              </w:rPr>
            </w:pPr>
          </w:p>
        </w:tc>
      </w:tr>
      <w:tr>
        <w:trPr>
          <w:trHeight w:val="237"/>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of Grant:</w:t>
            </w:r>
          </w:p>
        </w:tc>
        <w:tc>
          <w:tcPr>
            <w:tcW w:w="7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right w:val="single" w:sz="8" w:color="auto"/>
            </w:tcBorders>
          </w:tcPr>
          <w:p>
            <w:pPr>
              <w:spacing w:after="0"/>
              <w:rPr>
                <w:sz w:val="20"/>
                <w:szCs w:val="20"/>
                <w:color w:val="auto"/>
              </w:rPr>
            </w:pPr>
          </w:p>
        </w:tc>
      </w:tr>
      <w:tr>
        <w:trPr>
          <w:trHeight w:val="236"/>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7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40" w:type="dxa"/>
            <w:vAlign w:val="bottom"/>
            <w:tcBorders>
              <w:bottom w:val="single" w:sz="8" w:color="auto"/>
              <w:right w:val="single" w:sz="8" w:color="auto"/>
            </w:tcBorders>
          </w:tcPr>
          <w:p>
            <w:pPr>
              <w:spacing w:after="0"/>
              <w:rPr>
                <w:sz w:val="20"/>
                <w:szCs w:val="20"/>
                <w:color w:val="auto"/>
              </w:rPr>
            </w:pPr>
          </w:p>
        </w:tc>
      </w:tr>
      <w:tr>
        <w:trPr>
          <w:trHeight w:val="183"/>
        </w:trPr>
        <w:tc>
          <w:tcPr>
            <w:tcW w:w="2720" w:type="dxa"/>
            <w:vAlign w:val="bottom"/>
            <w:tcBorders>
              <w:left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20"/>
                <w:szCs w:val="20"/>
                <w:color w:val="auto"/>
              </w:rPr>
              <w:t>Number of Restricted Stock</w:t>
            </w:r>
          </w:p>
        </w:tc>
        <w:tc>
          <w:tcPr>
            <w:tcW w:w="7920" w:type="dxa"/>
            <w:vAlign w:val="bottom"/>
            <w:gridSpan w:val="4"/>
          </w:tcPr>
          <w:p>
            <w:pPr>
              <w:spacing w:after="0" w:line="18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right w:val="single" w:sz="8" w:color="auto"/>
            </w:tcBorders>
          </w:tcPr>
          <w:p>
            <w:pPr>
              <w:spacing w:after="0"/>
              <w:rPr>
                <w:sz w:val="15"/>
                <w:szCs w:val="15"/>
                <w:color w:val="auto"/>
              </w:rPr>
            </w:pPr>
          </w:p>
        </w:tc>
      </w:tr>
      <w:tr>
        <w:trPr>
          <w:trHeight w:val="243"/>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Units Granted:</w:t>
            </w:r>
          </w:p>
        </w:tc>
        <w:tc>
          <w:tcPr>
            <w:tcW w:w="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r>
      <w:tr>
        <w:trPr>
          <w:trHeight w:val="237"/>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RSUs</w:t>
            </w:r>
          </w:p>
        </w:tc>
        <w:tc>
          <w:tcPr>
            <w:tcW w:w="7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 of the Restricted Stock Units</w:t>
            </w:r>
          </w:p>
        </w:tc>
        <w:tc>
          <w:tcPr>
            <w:tcW w:w="40" w:type="dxa"/>
            <w:vAlign w:val="bottom"/>
            <w:tcBorders>
              <w:bottom w:val="single" w:sz="8" w:color="auto"/>
              <w:right w:val="single" w:sz="8" w:color="auto"/>
            </w:tcBorders>
          </w:tcPr>
          <w:p>
            <w:pPr>
              <w:spacing w:after="0"/>
              <w:rPr>
                <w:sz w:val="20"/>
                <w:szCs w:val="20"/>
                <w:color w:val="auto"/>
              </w:rPr>
            </w:pPr>
          </w:p>
        </w:tc>
      </w:tr>
      <w:tr>
        <w:trPr>
          <w:trHeight w:val="237"/>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RSUs</w:t>
            </w:r>
          </w:p>
        </w:tc>
        <w:tc>
          <w:tcPr>
            <w:tcW w:w="7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 of the Restricted Stock Units</w:t>
            </w:r>
          </w:p>
        </w:tc>
        <w:tc>
          <w:tcPr>
            <w:tcW w:w="40" w:type="dxa"/>
            <w:vAlign w:val="bottom"/>
            <w:tcBorders>
              <w:bottom w:val="single" w:sz="8" w:color="auto"/>
              <w:right w:val="single" w:sz="8" w:color="auto"/>
            </w:tcBorders>
          </w:tcPr>
          <w:p>
            <w:pPr>
              <w:spacing w:after="0"/>
              <w:rPr>
                <w:sz w:val="20"/>
                <w:szCs w:val="20"/>
                <w:color w:val="auto"/>
              </w:rPr>
            </w:pPr>
          </w:p>
        </w:tc>
      </w:tr>
      <w:tr>
        <w:trPr>
          <w:trHeight w:val="236"/>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RSUs</w:t>
            </w:r>
          </w:p>
        </w:tc>
        <w:tc>
          <w:tcPr>
            <w:tcW w:w="7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 of the Restricted Stock Units</w:t>
            </w:r>
          </w:p>
        </w:tc>
        <w:tc>
          <w:tcPr>
            <w:tcW w:w="40" w:type="dxa"/>
            <w:vAlign w:val="bottom"/>
            <w:tcBorders>
              <w:bottom w:val="single" w:sz="8" w:color="auto"/>
              <w:right w:val="single" w:sz="8" w:color="auto"/>
            </w:tcBorders>
          </w:tcPr>
          <w:p>
            <w:pPr>
              <w:spacing w:after="0"/>
              <w:rPr>
                <w:sz w:val="20"/>
                <w:szCs w:val="20"/>
                <w:color w:val="auto"/>
              </w:rPr>
            </w:pPr>
          </w:p>
        </w:tc>
      </w:tr>
      <w:tr>
        <w:trPr>
          <w:trHeight w:val="210"/>
        </w:trPr>
        <w:tc>
          <w:tcPr>
            <w:tcW w:w="2720" w:type="dxa"/>
            <w:vAlign w:val="bottom"/>
            <w:tcBorders>
              <w:left w:val="single" w:sz="8" w:color="auto"/>
              <w:right w:val="single" w:sz="8" w:color="auto"/>
            </w:tcBorders>
          </w:tcPr>
          <w:p>
            <w:pPr>
              <w:spacing w:after="0"/>
              <w:rPr>
                <w:sz w:val="18"/>
                <w:szCs w:val="18"/>
                <w:color w:val="auto"/>
              </w:rPr>
            </w:pPr>
          </w:p>
        </w:tc>
        <w:tc>
          <w:tcPr>
            <w:tcW w:w="792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(1) [●] RSUs</w:t>
            </w:r>
          </w:p>
        </w:tc>
        <w:tc>
          <w:tcPr>
            <w:tcW w:w="40" w:type="dxa"/>
            <w:vAlign w:val="bottom"/>
            <w:tcBorders>
              <w:right w:val="single" w:sz="8" w:color="auto"/>
            </w:tcBorders>
          </w:tcPr>
          <w:p>
            <w:pPr>
              <w:spacing w:after="0"/>
              <w:rPr>
                <w:sz w:val="18"/>
                <w:szCs w:val="18"/>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56"/>
        </w:trPr>
        <w:tc>
          <w:tcPr>
            <w:tcW w:w="2720" w:type="dxa"/>
            <w:vAlign w:val="bottom"/>
            <w:tcBorders>
              <w:left w:val="single" w:sz="8" w:color="auto"/>
              <w:right w:val="single" w:sz="8" w:color="auto"/>
            </w:tcBorders>
          </w:tcPr>
          <w:p>
            <w:pPr>
              <w:spacing w:after="0"/>
              <w:rPr>
                <w:sz w:val="22"/>
                <w:szCs w:val="22"/>
                <w:color w:val="auto"/>
              </w:rPr>
            </w:pPr>
          </w:p>
        </w:tc>
        <w:tc>
          <w:tcPr>
            <w:tcW w:w="7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As to the [●] RSUs, [●], provided that the First Performance Goal is satisfied.</w:t>
            </w:r>
          </w:p>
        </w:tc>
        <w:tc>
          <w:tcPr>
            <w:tcW w:w="40" w:type="dxa"/>
            <w:vAlign w:val="bottom"/>
            <w:tcBorders>
              <w:right w:val="single" w:sz="8" w:color="auto"/>
            </w:tcBorders>
          </w:tcPr>
          <w:p>
            <w:pPr>
              <w:spacing w:after="0"/>
              <w:rPr>
                <w:sz w:val="22"/>
                <w:szCs w:val="22"/>
                <w:color w:val="auto"/>
              </w:rPr>
            </w:pPr>
          </w:p>
        </w:tc>
      </w:tr>
      <w:tr>
        <w:trPr>
          <w:trHeight w:val="426"/>
        </w:trPr>
        <w:tc>
          <w:tcPr>
            <w:tcW w:w="2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Vesting Dates of Restricted</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5"/>
              </w:rPr>
              <w:t>[●] RSUs</w:t>
            </w:r>
          </w:p>
        </w:tc>
        <w:tc>
          <w:tcPr>
            <w:tcW w:w="6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56"/>
        </w:trPr>
        <w:tc>
          <w:tcPr>
            <w:tcW w:w="2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Stock Units:</w:t>
            </w:r>
          </w:p>
        </w:tc>
        <w:tc>
          <w:tcPr>
            <w:tcW w:w="7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As to the [●] RSUs, [●], provided that the Second Performance Goal is satisfied.</w:t>
            </w:r>
          </w:p>
        </w:tc>
        <w:tc>
          <w:tcPr>
            <w:tcW w:w="40" w:type="dxa"/>
            <w:vAlign w:val="bottom"/>
            <w:tcBorders>
              <w:right w:val="single" w:sz="8" w:color="auto"/>
            </w:tcBorders>
          </w:tcPr>
          <w:p>
            <w:pPr>
              <w:spacing w:after="0"/>
              <w:rPr>
                <w:sz w:val="22"/>
                <w:szCs w:val="22"/>
                <w:color w:val="auto"/>
              </w:rPr>
            </w:pPr>
          </w:p>
        </w:tc>
      </w:tr>
      <w:tr>
        <w:trPr>
          <w:trHeight w:val="426"/>
        </w:trPr>
        <w:tc>
          <w:tcPr>
            <w:tcW w:w="2720" w:type="dxa"/>
            <w:vAlign w:val="bottom"/>
            <w:tcBorders>
              <w:left w:val="single" w:sz="8" w:color="auto"/>
              <w:right w:val="single" w:sz="8" w:color="auto"/>
            </w:tcBorders>
          </w:tcPr>
          <w:p>
            <w:pPr>
              <w:spacing w:after="0"/>
              <w:rPr>
                <w:sz w:val="24"/>
                <w:szCs w:val="24"/>
                <w:color w:val="auto"/>
              </w:rPr>
            </w:pPr>
          </w:p>
        </w:tc>
        <w:tc>
          <w:tcPr>
            <w:tcW w:w="7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 [●] RSUs</w:t>
            </w:r>
          </w:p>
        </w:tc>
        <w:tc>
          <w:tcPr>
            <w:tcW w:w="40" w:type="dxa"/>
            <w:vAlign w:val="bottom"/>
            <w:tcBorders>
              <w:right w:val="single" w:sz="8" w:color="auto"/>
            </w:tcBorders>
          </w:tcPr>
          <w:p>
            <w:pPr>
              <w:spacing w:after="0"/>
              <w:rPr>
                <w:sz w:val="24"/>
                <w:szCs w:val="24"/>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56"/>
        </w:trPr>
        <w:tc>
          <w:tcPr>
            <w:tcW w:w="2720" w:type="dxa"/>
            <w:vAlign w:val="bottom"/>
            <w:tcBorders>
              <w:left w:val="single" w:sz="8" w:color="auto"/>
              <w:right w:val="single" w:sz="8" w:color="auto"/>
            </w:tcBorders>
          </w:tcPr>
          <w:p>
            <w:pPr>
              <w:spacing w:after="0"/>
              <w:rPr>
                <w:sz w:val="22"/>
                <w:szCs w:val="22"/>
                <w:color w:val="auto"/>
              </w:rPr>
            </w:pPr>
          </w:p>
        </w:tc>
        <w:tc>
          <w:tcPr>
            <w:tcW w:w="7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As to the [●] RSUs, [●], provided that the Third Performance Goal is satisfied.</w:t>
            </w:r>
          </w:p>
        </w:tc>
        <w:tc>
          <w:tcPr>
            <w:tcW w:w="40" w:type="dxa"/>
            <w:vAlign w:val="bottom"/>
            <w:tcBorders>
              <w:right w:val="single" w:sz="8" w:color="auto"/>
            </w:tcBorders>
          </w:tcPr>
          <w:p>
            <w:pPr>
              <w:spacing w:after="0"/>
              <w:rPr>
                <w:sz w:val="22"/>
                <w:szCs w:val="22"/>
                <w:color w:val="auto"/>
              </w:rPr>
            </w:pPr>
          </w:p>
        </w:tc>
      </w:tr>
      <w:tr>
        <w:trPr>
          <w:trHeight w:val="21"/>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44" w:lineRule="exact"/>
        <w:rPr>
          <w:sz w:val="20"/>
          <w:szCs w:val="20"/>
          <w:color w:val="auto"/>
        </w:rPr>
      </w:pPr>
    </w:p>
    <w:p>
      <w:pPr>
        <w:ind w:left="160" w:hanging="152"/>
        <w:spacing w:after="0"/>
        <w:tabs>
          <w:tab w:leader="none" w:pos="160" w:val="left"/>
        </w:tabs>
        <w:numPr>
          <w:ilvl w:val="0"/>
          <w:numId w:val="2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certain awards granted during 2018.</w:t>
      </w:r>
    </w:p>
    <w:p>
      <w:pPr>
        <w:sectPr>
          <w:pgSz w:w="11900" w:h="16838" w:orient="portrait"/>
          <w:cols w:equalWidth="0" w:num="1">
            <w:col w:w="10680"/>
          </w:cols>
          <w:pgMar w:left="320" w:top="1440" w:right="899" w:bottom="1440" w:gutter="0" w:footer="0" w:header="0"/>
        </w:sectPr>
      </w:pPr>
    </w:p>
    <w:bookmarkStart w:id="227" w:name="page228"/>
    <w:bookmarkEnd w:id="227"/>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772275" cy="15087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4">
                      <a:extLst>
                        <a:ext uri="{28A0092B-C50C-407E-A947-70E740481C1C}"/>
                      </a:extLst>
                    </a:blip>
                    <a:srcRect/>
                    <a:stretch>
                      <a:fillRect/>
                    </a:stretch>
                  </pic:blipFill>
                  <pic:spPr bwMode="auto">
                    <a:xfrm>
                      <a:off x="0" y="0"/>
                      <a:ext cx="6772275" cy="150876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20"/>
          <w:szCs w:val="20"/>
          <w:color w:val="auto"/>
        </w:rPr>
        <w:t>Notwithstanding anything herein to the contrary, to the extent:</w:t>
      </w:r>
    </w:p>
    <w:p>
      <w:pPr>
        <w:spacing w:after="0" w:line="22" w:lineRule="exact"/>
        <w:rPr>
          <w:sz w:val="20"/>
          <w:szCs w:val="20"/>
          <w:color w:val="auto"/>
        </w:rPr>
      </w:pPr>
    </w:p>
    <w:p>
      <w:pPr>
        <w:jc w:val="both"/>
        <w:ind w:left="1600" w:firstLine="6"/>
        <w:spacing w:after="0" w:line="252" w:lineRule="auto"/>
        <w:tabs>
          <w:tab w:leader="none" w:pos="188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Vesting Date for any [●] RSUs has not occurred on or before [●], such [●] RSUs which have not vested and become nonforfeitable shall immediately and automatically, without any action on the part of the Grantee or the Company, be forfeited by the Grantee and deemed canceled.</w:t>
      </w:r>
    </w:p>
    <w:p>
      <w:pPr>
        <w:jc w:val="both"/>
        <w:ind w:left="1600" w:firstLine="6"/>
        <w:spacing w:after="0" w:line="252" w:lineRule="auto"/>
        <w:tabs>
          <w:tab w:leader="none" w:pos="188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Vesting Date for any [●] RSUs has not occurred on or before [●], such [●] RSUs which have not vested and become nonforfeitable shall immediately and automatically, without any action on the part of the Grantee or the Company, be forfeited by the Grantee and deemed canceled.</w:t>
      </w:r>
    </w:p>
    <w:p>
      <w:pPr>
        <w:jc w:val="both"/>
        <w:ind w:left="1600" w:firstLine="6"/>
        <w:spacing w:after="0" w:line="261" w:lineRule="auto"/>
        <w:tabs>
          <w:tab w:leader="none" w:pos="188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Vesting Date for any [●] RSUs has not occurred on or before [●], such [●] RSUs which have not vested and become nonforfeitable shall immediately and automatically, without any action on the part of the Grantee or the Company, be forfeited by the Grantee and deemed canceled.</w:t>
      </w:r>
    </w:p>
    <w:p>
      <w:pPr>
        <w:sectPr>
          <w:pgSz w:w="11900" w:h="16838" w:orient="portrait"/>
          <w:cols w:equalWidth="0" w:num="1">
            <w:col w:w="9380"/>
          </w:cols>
          <w:pgMar w:left="1440" w:top="1440" w:right="107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2"/>
          <w:szCs w:val="22"/>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COMCAST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78" w:lineRule="exact"/>
        <w:rPr>
          <w:sz w:val="20"/>
          <w:szCs w:val="20"/>
          <w:color w:val="auto"/>
        </w:rPr>
      </w:pPr>
    </w:p>
    <w:p>
      <w:pPr>
        <w:ind w:right="20" w:firstLine="212"/>
        <w:spacing w:after="0" w:line="275" w:lineRule="auto"/>
        <w:rPr>
          <w:sz w:val="20"/>
          <w:szCs w:val="20"/>
          <w:color w:val="auto"/>
        </w:rPr>
      </w:pPr>
      <w:r>
        <w:rPr>
          <w:rFonts w:ascii="Times New Roman" w:cs="Times New Roman" w:eastAsia="Times New Roman" w:hAnsi="Times New Roman"/>
          <w:sz w:val="21"/>
          <w:szCs w:val="21"/>
          <w:color w:val="auto"/>
        </w:rPr>
        <w:t>This is a Restricted Stock Unit Award (the “Award”) dated [●]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w:t>
      </w:r>
    </w:p>
    <w:p>
      <w:pPr>
        <w:spacing w:after="0" w:line="47" w:lineRule="exact"/>
        <w:rPr>
          <w:sz w:val="20"/>
          <w:szCs w:val="20"/>
          <w:color w:val="auto"/>
        </w:rPr>
      </w:pPr>
    </w:p>
    <w:p>
      <w:pPr>
        <w:ind w:left="340" w:right="100" w:hanging="332"/>
        <w:spacing w:after="0" w:line="271" w:lineRule="auto"/>
        <w:tabs>
          <w:tab w:leader="none" w:pos="3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are defined below or, if not defined below, have the meanings given to them in the Plan.</w:t>
      </w:r>
    </w:p>
    <w:p>
      <w:pPr>
        <w:spacing w:after="0" w:line="157" w:lineRule="exact"/>
        <w:rPr>
          <w:rFonts w:ascii="Times New Roman" w:cs="Times New Roman" w:eastAsia="Times New Roman" w:hAnsi="Times New Roman"/>
          <w:sz w:val="22"/>
          <w:szCs w:val="22"/>
          <w:color w:val="auto"/>
        </w:rPr>
      </w:pPr>
    </w:p>
    <w:p>
      <w:pPr>
        <w:ind w:left="660" w:right="320" w:hanging="328"/>
        <w:spacing w:after="0" w:line="252" w:lineRule="auto"/>
        <w:tabs>
          <w:tab w:leader="none" w:pos="657"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an unfunded bookkeeping account established pursuant to Paragraph 6(e)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71" w:lineRule="exact"/>
        <w:rPr>
          <w:rFonts w:ascii="Times New Roman" w:cs="Times New Roman" w:eastAsia="Times New Roman" w:hAnsi="Times New Roman"/>
          <w:sz w:val="22"/>
          <w:szCs w:val="22"/>
          <w:color w:val="auto"/>
        </w:rPr>
      </w:pPr>
    </w:p>
    <w:p>
      <w:pPr>
        <w:ind w:left="660" w:right="20" w:hanging="328"/>
        <w:spacing w:after="0" w:line="247" w:lineRule="auto"/>
        <w:tabs>
          <w:tab w:leader="none" w:pos="65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EBITDA</w:t>
      </w:r>
      <w:r>
        <w:rPr>
          <w:rFonts w:ascii="Times New Roman" w:cs="Times New Roman" w:eastAsia="Times New Roman" w:hAnsi="Times New Roman"/>
          <w:sz w:val="22"/>
          <w:szCs w:val="22"/>
          <w:color w:val="auto"/>
        </w:rPr>
        <w:t>” means Adjusted EBITDA as reported by the Company in reports as filed with or furnished to the Securities and Exchange Commission, adjusted to exclude the results of operations attributable to any new business initiatives as may be designated by the Committee, provided that with respect to any Performance Goal applicable to this Award, the Committee may adjust Adjusted EBITDA for the prior calendar year and the year to which the performance condition applies to take into account the impact of [(i)] any transaction or other nonrecurring income or expense item such that the measurement of Adjusted EBITDA for the year to which the performance condition applies is comparable to that for the prior calendar year [and (ii) changes in foreign currency exchange rates on subsidiaries operating in currencies other than United States dollars such that the measurement of Adjusted EBITDA is based on exchange rates that are comparable to those used in the determination of the Performance Goal.]</w:t>
      </w:r>
      <w:r>
        <w:rPr>
          <w:rFonts w:ascii="Times New Roman" w:cs="Times New Roman" w:eastAsia="Times New Roman" w:hAnsi="Times New Roman"/>
          <w:sz w:val="28"/>
          <w:szCs w:val="28"/>
          <w:color w:val="auto"/>
          <w:vertAlign w:val="superscript"/>
        </w:rPr>
        <w:t>1</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Restricted Stock Units hereby granted.</w:t>
      </w:r>
    </w:p>
    <w:p>
      <w:pPr>
        <w:spacing w:after="0" w:line="11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11" w:lineRule="exact"/>
        <w:rPr>
          <w:rFonts w:ascii="Times New Roman" w:cs="Times New Roman" w:eastAsia="Times New Roman" w:hAnsi="Times New Roman"/>
          <w:sz w:val="22"/>
          <w:szCs w:val="22"/>
          <w:color w:val="auto"/>
        </w:rPr>
      </w:pPr>
    </w:p>
    <w:p>
      <w:pPr>
        <w:ind w:left="660" w:right="20" w:hanging="328"/>
        <w:spacing w:after="0" w:line="248" w:lineRule="auto"/>
        <w:tabs>
          <w:tab w:leader="none" w:pos="657"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7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145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120" w:hanging="112"/>
        <w:spacing w:after="0"/>
        <w:tabs>
          <w:tab w:leader="none" w:pos="120" w:val="left"/>
        </w:tabs>
        <w:numPr>
          <w:ilvl w:val="0"/>
          <w:numId w:val="2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awards during and after 2019.</w:t>
      </w:r>
    </w:p>
    <w:p>
      <w:pPr>
        <w:sectPr>
          <w:pgSz w:w="11900" w:h="16838" w:orient="portrait"/>
          <w:cols w:equalWidth="0" w:num="1">
            <w:col w:w="11240"/>
          </w:cols>
          <w:pgMar w:left="320" w:top="122" w:right="339" w:bottom="1440" w:gutter="0" w:footer="0" w:header="0"/>
        </w:sectPr>
      </w:pPr>
    </w:p>
    <w:bookmarkStart w:id="229" w:name="page230"/>
    <w:bookmarkEnd w:id="229"/>
    <w:p>
      <w:pPr>
        <w:ind w:left="328" w:hanging="328"/>
        <w:spacing w:after="0"/>
        <w:tabs>
          <w:tab w:leader="none" w:pos="32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pacing w:after="0" w:line="111"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date first set forth above, on which the Company awarded the Restricted Stock Units.</w:t>
      </w:r>
    </w:p>
    <w:p>
      <w:pPr>
        <w:spacing w:after="0" w:line="111"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an Election.</w:t>
      </w:r>
    </w:p>
    <w:p>
      <w:pPr>
        <w:spacing w:after="0" w:line="111"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Disabled Grantee</w:t>
      </w:r>
      <w:r>
        <w:rPr>
          <w:rFonts w:ascii="Times New Roman" w:cs="Times New Roman" w:eastAsia="Times New Roman" w:hAnsi="Times New Roman"/>
          <w:sz w:val="22"/>
          <w:szCs w:val="22"/>
          <w:color w:val="auto"/>
        </w:rPr>
        <w:t>” means:</w:t>
      </w:r>
    </w:p>
    <w:p>
      <w:pPr>
        <w:spacing w:after="0" w:line="219" w:lineRule="exact"/>
        <w:rPr>
          <w:rFonts w:ascii="Times New Roman" w:cs="Times New Roman" w:eastAsia="Times New Roman" w:hAnsi="Times New Roman"/>
          <w:sz w:val="22"/>
          <w:szCs w:val="22"/>
          <w:color w:val="auto"/>
        </w:rPr>
      </w:pPr>
    </w:p>
    <w:p>
      <w:pPr>
        <w:ind w:left="628" w:hanging="304"/>
        <w:spacing w:after="0"/>
        <w:tabs>
          <w:tab w:leader="none" w:pos="62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if Grantee’s employment by a Participating Company terminates by reason of Disability; or</w:t>
      </w:r>
    </w:p>
    <w:p>
      <w:pPr>
        <w:spacing w:after="0" w:line="111" w:lineRule="exact"/>
        <w:rPr>
          <w:rFonts w:ascii="Times New Roman" w:cs="Times New Roman" w:eastAsia="Times New Roman" w:hAnsi="Times New Roman"/>
          <w:sz w:val="22"/>
          <w:szCs w:val="22"/>
          <w:color w:val="auto"/>
        </w:rPr>
      </w:pPr>
    </w:p>
    <w:p>
      <w:pPr>
        <w:ind w:left="648" w:right="360" w:hanging="324"/>
        <w:spacing w:after="0" w:line="271" w:lineRule="auto"/>
        <w:tabs>
          <w:tab w:leader="none" w:pos="63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Grantee’s duly-appointed legal guardian following Grantee’s termination of employment by u reason of Disability, acting on Grantee’s behalf.</w:t>
      </w:r>
    </w:p>
    <w:p>
      <w:pPr>
        <w:spacing w:after="0" w:line="157" w:lineRule="exact"/>
        <w:rPr>
          <w:rFonts w:ascii="Times New Roman" w:cs="Times New Roman" w:eastAsia="Times New Roman" w:hAnsi="Times New Roman"/>
          <w:sz w:val="22"/>
          <w:szCs w:val="22"/>
          <w:color w:val="auto"/>
        </w:rPr>
      </w:pPr>
    </w:p>
    <w:p>
      <w:pPr>
        <w:ind w:left="328" w:right="220" w:hanging="328"/>
        <w:spacing w:after="0" w:line="271" w:lineRule="auto"/>
        <w:tabs>
          <w:tab w:leader="none" w:pos="32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or the subsidiary or affiliate of the Company for which Grantee is performing services on the Vesting Date.</w:t>
      </w:r>
    </w:p>
    <w:p>
      <w:pPr>
        <w:spacing w:after="0" w:line="49" w:lineRule="exact"/>
        <w:rPr>
          <w:rFonts w:ascii="Times New Roman" w:cs="Times New Roman" w:eastAsia="Times New Roman" w:hAnsi="Times New Roman"/>
          <w:sz w:val="22"/>
          <w:szCs w:val="22"/>
          <w:color w:val="auto"/>
        </w:rPr>
      </w:pPr>
    </w:p>
    <w:p>
      <w:pPr>
        <w:ind w:left="328" w:right="160" w:hanging="328"/>
        <w:spacing w:after="0" w:line="271" w:lineRule="auto"/>
        <w:tabs>
          <w:tab w:leader="none" w:pos="31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pacing w:after="0" w:line="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112" w:lineRule="exact"/>
        <w:rPr>
          <w:sz w:val="20"/>
          <w:szCs w:val="20"/>
          <w:color w:val="auto"/>
        </w:rPr>
      </w:pPr>
    </w:p>
    <w:p>
      <w:pPr>
        <w:ind w:left="328" w:right="780" w:hanging="328"/>
        <w:spacing w:after="0" w:line="271" w:lineRule="auto"/>
        <w:tabs>
          <w:tab w:leader="none" w:pos="32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and vesting of this Award.</w:t>
      </w:r>
    </w:p>
    <w:p>
      <w:pPr>
        <w:spacing w:after="0" w:line="49" w:lineRule="exact"/>
        <w:rPr>
          <w:rFonts w:ascii="Times New Roman" w:cs="Times New Roman" w:eastAsia="Times New Roman" w:hAnsi="Times New Roman"/>
          <w:sz w:val="22"/>
          <w:szCs w:val="22"/>
          <w:color w:val="auto"/>
        </w:rPr>
      </w:pPr>
    </w:p>
    <w:p>
      <w:pPr>
        <w:ind w:left="328" w:right="560" w:hanging="328"/>
        <w:spacing w:after="0" w:line="271" w:lineRule="auto"/>
        <w:tabs>
          <w:tab w:leader="none" w:pos="32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Normal Retirement</w:t>
      </w:r>
      <w:r>
        <w:rPr>
          <w:rFonts w:ascii="Times New Roman" w:cs="Times New Roman" w:eastAsia="Times New Roman" w:hAnsi="Times New Roman"/>
          <w:sz w:val="22"/>
          <w:szCs w:val="22"/>
          <w:color w:val="auto"/>
        </w:rPr>
        <w:t>” means Grantee’s termination of employment that is treated by the Participating Company as a retirement under its employment policies and practices as in effect from time to time.</w:t>
      </w:r>
    </w:p>
    <w:p>
      <w:pPr>
        <w:spacing w:after="0" w:line="49" w:lineRule="exact"/>
        <w:rPr>
          <w:rFonts w:ascii="Times New Roman" w:cs="Times New Roman" w:eastAsia="Times New Roman" w:hAnsi="Times New Roman"/>
          <w:sz w:val="22"/>
          <w:szCs w:val="22"/>
          <w:color w:val="auto"/>
        </w:rPr>
      </w:pPr>
    </w:p>
    <w:p>
      <w:pPr>
        <w:ind w:left="328" w:right="3920" w:hanging="328"/>
        <w:spacing w:after="0" w:line="397" w:lineRule="auto"/>
        <w:tabs>
          <w:tab w:leader="none" w:pos="32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Goal</w:t>
      </w:r>
      <w:r>
        <w:rPr>
          <w:rFonts w:ascii="Times New Roman" w:cs="Times New Roman" w:eastAsia="Times New Roman" w:hAnsi="Times New Roman"/>
          <w:sz w:val="22"/>
          <w:szCs w:val="22"/>
          <w:color w:val="auto"/>
        </w:rPr>
        <w:t>” means each of the following Tiered Performance Goals: [</w:t>
      </w:r>
      <w:r>
        <w:rPr>
          <w:rFonts w:ascii="Times New Roman" w:cs="Times New Roman" w:eastAsia="Times New Roman" w:hAnsi="Times New Roman"/>
          <w:sz w:val="22"/>
          <w:szCs w:val="22"/>
          <w:i w:val="1"/>
          <w:iCs w:val="1"/>
          <w:color w:val="auto"/>
        </w:rPr>
        <w:t>OPTION 1</w:t>
      </w:r>
      <w:r>
        <w:rPr>
          <w:rFonts w:ascii="Times New Roman" w:cs="Times New Roman" w:eastAsia="Times New Roman" w:hAnsi="Times New Roman"/>
          <w:sz w:val="22"/>
          <w:szCs w:val="22"/>
          <w:color w:val="auto"/>
        </w:rPr>
        <w:t>:</w:t>
      </w:r>
    </w:p>
    <w:p>
      <w:pPr>
        <w:ind w:left="648" w:right="740" w:hanging="324"/>
        <w:spacing w:after="0" w:line="271" w:lineRule="auto"/>
        <w:tabs>
          <w:tab w:leader="none" w:pos="63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One Performance Goal</w:t>
      </w:r>
      <w:r>
        <w:rPr>
          <w:rFonts w:ascii="Times New Roman" w:cs="Times New Roman" w:eastAsia="Times New Roman" w:hAnsi="Times New Roman"/>
          <w:sz w:val="22"/>
          <w:szCs w:val="22"/>
          <w:color w:val="auto"/>
        </w:rPr>
        <w:t xml:space="preserve"> is achieved if Adjusted EBITDA for a calendar year is at least [●] percent of Adjusted EBITDA for the immediately preceding calendar year;</w:t>
      </w:r>
    </w:p>
    <w:p>
      <w:pPr>
        <w:spacing w:after="0" w:line="49" w:lineRule="exact"/>
        <w:rPr>
          <w:rFonts w:ascii="Times New Roman" w:cs="Times New Roman" w:eastAsia="Times New Roman" w:hAnsi="Times New Roman"/>
          <w:sz w:val="22"/>
          <w:szCs w:val="22"/>
          <w:color w:val="auto"/>
        </w:rPr>
      </w:pPr>
    </w:p>
    <w:p>
      <w:pPr>
        <w:ind w:left="648" w:right="780" w:hanging="324"/>
        <w:spacing w:after="0" w:line="271" w:lineRule="auto"/>
        <w:tabs>
          <w:tab w:leader="none" w:pos="63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Two Performance Goal</w:t>
      </w:r>
      <w:r>
        <w:rPr>
          <w:rFonts w:ascii="Times New Roman" w:cs="Times New Roman" w:eastAsia="Times New Roman" w:hAnsi="Times New Roman"/>
          <w:sz w:val="22"/>
          <w:szCs w:val="22"/>
          <w:color w:val="auto"/>
        </w:rPr>
        <w:t xml:space="preserve"> is achieved if Adjusted EBITDA for a calendar year is at least [●] percent of Adjusted EBITDA for the immediately preceding calendar year;</w:t>
      </w:r>
    </w:p>
    <w:p>
      <w:pPr>
        <w:spacing w:after="0" w:line="49" w:lineRule="exact"/>
        <w:rPr>
          <w:rFonts w:ascii="Times New Roman" w:cs="Times New Roman" w:eastAsia="Times New Roman" w:hAnsi="Times New Roman"/>
          <w:sz w:val="22"/>
          <w:szCs w:val="22"/>
          <w:color w:val="auto"/>
        </w:rPr>
      </w:pPr>
    </w:p>
    <w:p>
      <w:pPr>
        <w:ind w:left="648" w:right="660" w:hanging="324"/>
        <w:spacing w:after="0" w:line="271" w:lineRule="auto"/>
        <w:tabs>
          <w:tab w:leader="none" w:pos="63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Three Performance Goal</w:t>
      </w:r>
      <w:r>
        <w:rPr>
          <w:rFonts w:ascii="Times New Roman" w:cs="Times New Roman" w:eastAsia="Times New Roman" w:hAnsi="Times New Roman"/>
          <w:sz w:val="22"/>
          <w:szCs w:val="22"/>
          <w:color w:val="auto"/>
        </w:rPr>
        <w:t xml:space="preserve"> is achieved if Adjusted EBITDA for a calendar year is at least [●] percent of Adjusted EBITDA for the immediately preceding calendar year;</w:t>
      </w:r>
    </w:p>
    <w:p>
      <w:pPr>
        <w:spacing w:after="0" w:line="49" w:lineRule="exact"/>
        <w:rPr>
          <w:rFonts w:ascii="Times New Roman" w:cs="Times New Roman" w:eastAsia="Times New Roman" w:hAnsi="Times New Roman"/>
          <w:sz w:val="22"/>
          <w:szCs w:val="22"/>
          <w:color w:val="auto"/>
        </w:rPr>
      </w:pPr>
    </w:p>
    <w:p>
      <w:pPr>
        <w:ind w:left="648" w:hanging="324"/>
        <w:spacing w:after="0" w:line="295" w:lineRule="auto"/>
        <w:tabs>
          <w:tab w:leader="none" w:pos="63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u w:val="single" w:color="auto"/>
          <w:color w:val="auto"/>
        </w:rPr>
        <w:t>Tier Four Performance Goal</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Target Performance Goal</w:t>
      </w:r>
      <w:r>
        <w:rPr>
          <w:rFonts w:ascii="Times New Roman" w:cs="Times New Roman" w:eastAsia="Times New Roman" w:hAnsi="Times New Roman"/>
          <w:sz w:val="21"/>
          <w:szCs w:val="21"/>
          <w:color w:val="auto"/>
        </w:rPr>
        <w:t xml:space="preserve"> is achieved if Adjusted EBITDA for a calendar year is at least [●] percent but not more than [●] percent of Adjusted EBITDA for the immediately preceding calendar year</w:t>
      </w:r>
    </w:p>
    <w:p>
      <w:pPr>
        <w:sectPr>
          <w:pgSz w:w="11900" w:h="16838" w:orient="portrait"/>
          <w:cols w:equalWidth="0" w:num="1">
            <w:col w:w="10888"/>
          </w:cols>
          <w:pgMar w:left="652" w:top="1422" w:right="359" w:bottom="1440" w:gutter="0" w:footer="0" w:header="0"/>
        </w:sectPr>
      </w:pPr>
    </w:p>
    <w:bookmarkStart w:id="230" w:name="page231"/>
    <w:bookmarkEnd w:id="230"/>
    <w:p>
      <w:pPr>
        <w:ind w:left="980" w:right="680" w:hanging="324"/>
        <w:spacing w:after="0" w:line="274" w:lineRule="auto"/>
        <w:tabs>
          <w:tab w:leader="none" w:pos="96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Five Performance Goal</w:t>
      </w:r>
      <w:r>
        <w:rPr>
          <w:rFonts w:ascii="Times New Roman" w:cs="Times New Roman" w:eastAsia="Times New Roman" w:hAnsi="Times New Roman"/>
          <w:sz w:val="22"/>
          <w:szCs w:val="22"/>
          <w:color w:val="auto"/>
        </w:rPr>
        <w:t xml:space="preserve"> is achieved if Adjusted EBITDA for a calendar year is [●] percent or more of Adjusted EBITDA for the immediately preceding calendar year.]</w:t>
      </w:r>
      <w:r>
        <w:rPr>
          <w:rFonts w:ascii="Times New Roman" w:cs="Times New Roman" w:eastAsia="Times New Roman" w:hAnsi="Times New Roman"/>
          <w:sz w:val="28"/>
          <w:szCs w:val="28"/>
          <w:color w:val="auto"/>
          <w:vertAlign w:val="superscript"/>
        </w:rPr>
        <w:t>2</w:t>
      </w:r>
    </w:p>
    <w:p>
      <w:pPr>
        <w:spacing w:after="0" w:line="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OPTION 2</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ind w:left="980" w:right="220" w:hanging="324"/>
        <w:spacing w:after="0" w:line="271" w:lineRule="auto"/>
        <w:tabs>
          <w:tab w:leader="none" w:pos="962"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One Performance Goal</w:t>
      </w:r>
      <w:r>
        <w:rPr>
          <w:rFonts w:ascii="Times New Roman" w:cs="Times New Roman" w:eastAsia="Times New Roman" w:hAnsi="Times New Roman"/>
          <w:sz w:val="22"/>
          <w:szCs w:val="22"/>
          <w:color w:val="auto"/>
        </w:rPr>
        <w:t xml:space="preserve"> is achieved if Adjusted EBITDA for a calendar year is at least [●] percent but less than [●] percent of Adjusted EBITDA for the immediately preceding calendar year;</w:t>
      </w:r>
    </w:p>
    <w:p>
      <w:pPr>
        <w:spacing w:after="0" w:line="49" w:lineRule="exact"/>
        <w:rPr>
          <w:rFonts w:ascii="Times New Roman" w:cs="Times New Roman" w:eastAsia="Times New Roman" w:hAnsi="Times New Roman"/>
          <w:sz w:val="22"/>
          <w:szCs w:val="22"/>
          <w:color w:val="auto"/>
        </w:rPr>
      </w:pPr>
    </w:p>
    <w:p>
      <w:pPr>
        <w:ind w:left="980" w:right="740" w:hanging="324"/>
        <w:spacing w:after="0" w:line="271" w:lineRule="auto"/>
        <w:tabs>
          <w:tab w:leader="none" w:pos="962"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Two Performance Goal</w:t>
      </w:r>
      <w:r>
        <w:rPr>
          <w:rFonts w:ascii="Times New Roman" w:cs="Times New Roman" w:eastAsia="Times New Roman" w:hAnsi="Times New Roman"/>
          <w:sz w:val="22"/>
          <w:szCs w:val="22"/>
          <w:color w:val="auto"/>
        </w:rPr>
        <w:t xml:space="preserve"> is achieved if Adjusted EBITDA for a calendar year is at least [●] percent of Adjusted EBITDA for the immediately preceding calendar year;</w:t>
      </w:r>
    </w:p>
    <w:p>
      <w:pPr>
        <w:spacing w:after="0" w:line="49" w:lineRule="exact"/>
        <w:rPr>
          <w:rFonts w:ascii="Times New Roman" w:cs="Times New Roman" w:eastAsia="Times New Roman" w:hAnsi="Times New Roman"/>
          <w:sz w:val="22"/>
          <w:szCs w:val="22"/>
          <w:color w:val="auto"/>
        </w:rPr>
      </w:pPr>
    </w:p>
    <w:p>
      <w:pPr>
        <w:ind w:left="980" w:right="620" w:hanging="324"/>
        <w:spacing w:after="0" w:line="259" w:lineRule="auto"/>
        <w:tabs>
          <w:tab w:leader="none" w:pos="962"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rPr>
        <w:t>Tier Three Performance Goal</w:t>
      </w:r>
      <w:r>
        <w:rPr>
          <w:rFonts w:ascii="Times New Roman" w:cs="Times New Roman" w:eastAsia="Times New Roman" w:hAnsi="Times New Roman"/>
          <w:sz w:val="22"/>
          <w:szCs w:val="22"/>
          <w:color w:val="auto"/>
        </w:rPr>
        <w:t xml:space="preserve"> is achieved if Adjusted EBITDA for a calendar year is at least [●] percent of Adjusted EBITDA for the immediately preceding calendar year.]</w:t>
      </w:r>
      <w:r>
        <w:rPr>
          <w:rFonts w:ascii="Times New Roman" w:cs="Times New Roman" w:eastAsia="Times New Roman" w:hAnsi="Times New Roman"/>
          <w:sz w:val="28"/>
          <w:szCs w:val="28"/>
          <w:color w:val="auto"/>
          <w:vertAlign w:val="superscript"/>
        </w:rPr>
        <w:t>3</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Restricted Stock Plan, incorporated herein by reference.</w:t>
      </w:r>
    </w:p>
    <w:p>
      <w:pPr>
        <w:spacing w:after="0" w:line="110" w:lineRule="exact"/>
        <w:rPr>
          <w:rFonts w:ascii="Times New Roman" w:cs="Times New Roman" w:eastAsia="Times New Roman" w:hAnsi="Times New Roman"/>
          <w:sz w:val="22"/>
          <w:szCs w:val="22"/>
          <w:color w:val="auto"/>
        </w:rPr>
      </w:pPr>
    </w:p>
    <w:p>
      <w:pPr>
        <w:ind w:left="660" w:right="460" w:hanging="328"/>
        <w:spacing w:after="0" w:line="271" w:lineRule="auto"/>
        <w:tabs>
          <w:tab w:leader="none" w:pos="606"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means, with respect to each Restricted Stock Unit, the period beginning on the Date of Grant and ending on the Vesting Date.</w:t>
      </w:r>
    </w:p>
    <w:p>
      <w:pPr>
        <w:spacing w:after="0" w:line="49" w:lineRule="exact"/>
        <w:rPr>
          <w:rFonts w:ascii="Times New Roman" w:cs="Times New Roman" w:eastAsia="Times New Roman" w:hAnsi="Times New Roman"/>
          <w:sz w:val="22"/>
          <w:szCs w:val="22"/>
          <w:color w:val="auto"/>
        </w:rPr>
      </w:pPr>
    </w:p>
    <w:p>
      <w:pPr>
        <w:ind w:left="660" w:hanging="328"/>
        <w:spacing w:after="0" w:line="257" w:lineRule="auto"/>
        <w:tabs>
          <w:tab w:leader="none" w:pos="618"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64" w:lineRule="exact"/>
        <w:rPr>
          <w:rFonts w:ascii="Times New Roman" w:cs="Times New Roman" w:eastAsia="Times New Roman" w:hAnsi="Times New Roman"/>
          <w:sz w:val="22"/>
          <w:szCs w:val="22"/>
          <w:color w:val="auto"/>
        </w:rPr>
      </w:pPr>
    </w:p>
    <w:p>
      <w:pPr>
        <w:ind w:left="580" w:hanging="248"/>
        <w:spacing w:after="0"/>
        <w:tabs>
          <w:tab w:leader="none" w:pos="58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Retired Grantee</w:t>
      </w:r>
      <w:r>
        <w:rPr>
          <w:rFonts w:ascii="Times New Roman" w:cs="Times New Roman" w:eastAsia="Times New Roman" w:hAnsi="Times New Roman"/>
          <w:sz w:val="22"/>
          <w:szCs w:val="22"/>
          <w:color w:val="auto"/>
        </w:rPr>
        <w:t>” means Grantee, following Grantee’s termination of employment pursuant to a Normal Retirement.</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111" w:lineRule="exact"/>
        <w:rPr>
          <w:rFonts w:ascii="Times New Roman" w:cs="Times New Roman" w:eastAsia="Times New Roman" w:hAnsi="Times New Roman"/>
          <w:sz w:val="22"/>
          <w:szCs w:val="22"/>
          <w:color w:val="auto"/>
        </w:rPr>
      </w:pPr>
    </w:p>
    <w:p>
      <w:pPr>
        <w:ind w:left="660" w:right="120" w:hanging="328"/>
        <w:spacing w:after="0" w:line="252" w:lineRule="auto"/>
        <w:tabs>
          <w:tab w:leader="none" w:pos="69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Grantee vests in all or a portion of the Restricted Stock Units, as set forth on the attached Long-Term Incentive Awards Summary Schedule. A “</w:t>
      </w:r>
      <w:r>
        <w:rPr>
          <w:rFonts w:ascii="Times New Roman" w:cs="Times New Roman" w:eastAsia="Times New Roman" w:hAnsi="Times New Roman"/>
          <w:sz w:val="22"/>
          <w:szCs w:val="22"/>
          <w:u w:val="single" w:color="auto"/>
          <w:color w:val="auto"/>
        </w:rPr>
        <w:t>Scheduled Vesting Date</w:t>
      </w:r>
      <w:r>
        <w:rPr>
          <w:rFonts w:ascii="Times New Roman" w:cs="Times New Roman" w:eastAsia="Times New Roman" w:hAnsi="Times New Roman"/>
          <w:sz w:val="22"/>
          <w:szCs w:val="22"/>
          <w:color w:val="auto"/>
        </w:rPr>
        <w:t>” is a date referenced on the Long-Term Incentive Awards Summary Schedule on which Grantee may vest in all or a portion of the Restricted Stock Units if all the conditions to such vesting are satisfied.</w:t>
      </w:r>
    </w:p>
    <w:p>
      <w:pPr>
        <w:spacing w:after="0" w:line="7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111" w:lineRule="exact"/>
        <w:rPr>
          <w:rFonts w:ascii="Times New Roman" w:cs="Times New Roman" w:eastAsia="Times New Roman" w:hAnsi="Times New Roman"/>
          <w:sz w:val="22"/>
          <w:szCs w:val="22"/>
          <w:color w:val="auto"/>
        </w:rPr>
      </w:pPr>
    </w:p>
    <w:p>
      <w:pPr>
        <w:ind w:left="340" w:right="460" w:hanging="332"/>
        <w:spacing w:after="0" w:line="271" w:lineRule="auto"/>
        <w:tabs>
          <w:tab w:leader="none" w:pos="23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Subject to the terms and conditions set forth herein and in the Plan, the Company hereby grants to Grantee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1" w:lineRule="exact"/>
        <w:rPr>
          <w:sz w:val="20"/>
          <w:szCs w:val="20"/>
          <w:color w:val="auto"/>
        </w:rPr>
      </w:pPr>
    </w:p>
    <w:p>
      <w:pPr>
        <w:ind w:left="120" w:hanging="112"/>
        <w:spacing w:after="0"/>
        <w:tabs>
          <w:tab w:leader="none" w:pos="120" w:val="left"/>
        </w:tabs>
        <w:numPr>
          <w:ilvl w:val="0"/>
          <w:numId w:val="2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2019.</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For certain awards granted during 2018.</w:t>
      </w:r>
    </w:p>
    <w:p>
      <w:pPr>
        <w:sectPr>
          <w:pgSz w:w="11900" w:h="16838" w:orient="portrait"/>
          <w:cols w:equalWidth="0" w:num="1">
            <w:col w:w="11180"/>
          </w:cols>
          <w:pgMar w:left="320" w:top="1422" w:right="399" w:bottom="1440" w:gutter="0" w:footer="0" w:header="0"/>
        </w:sectPr>
      </w:pPr>
    </w:p>
    <w:bookmarkStart w:id="231" w:name="page232"/>
    <w:bookmarkEnd w:id="231"/>
    <w:p>
      <w:pPr>
        <w:ind w:left="212" w:hanging="212"/>
        <w:spacing w:after="0"/>
        <w:tabs>
          <w:tab w:leader="none" w:pos="21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20" w:hanging="328"/>
        <w:spacing w:after="0" w:line="275" w:lineRule="auto"/>
        <w:tabs>
          <w:tab w:leader="none" w:pos="622"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Times New Roman" w:cs="Times New Roman" w:eastAsia="Times New Roman" w:hAnsi="Times New Roman"/>
          <w:sz w:val="21"/>
          <w:szCs w:val="21"/>
          <w:u w:val="single" w:color="auto"/>
          <w:color w:val="auto"/>
        </w:rPr>
        <w:t>Dividend Equivalent Amount</w:t>
      </w:r>
      <w:r>
        <w:rPr>
          <w:rFonts w:ascii="Times New Roman" w:cs="Times New Roman" w:eastAsia="Times New Roman" w:hAnsi="Times New Roman"/>
          <w:sz w:val="21"/>
          <w:szCs w:val="21"/>
          <w:color w:val="auto"/>
        </w:rPr>
        <w:t>”) on the record date of such dividend.</w:t>
      </w:r>
    </w:p>
    <w:p>
      <w:pPr>
        <w:spacing w:after="0" w:line="47" w:lineRule="exact"/>
        <w:rPr>
          <w:rFonts w:ascii="Times New Roman" w:cs="Times New Roman" w:eastAsia="Times New Roman" w:hAnsi="Times New Roman"/>
          <w:sz w:val="21"/>
          <w:szCs w:val="21"/>
          <w:color w:val="auto"/>
        </w:rPr>
      </w:pPr>
    </w:p>
    <w:p>
      <w:pPr>
        <w:jc w:val="both"/>
        <w:ind w:left="652" w:right="400" w:hanging="328"/>
        <w:spacing w:after="0" w:line="268" w:lineRule="auto"/>
        <w:tabs>
          <w:tab w:leader="none" w:pos="634"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63" w:lineRule="exact"/>
        <w:rPr>
          <w:rFonts w:ascii="Times New Roman" w:cs="Times New Roman" w:eastAsia="Times New Roman" w:hAnsi="Times New Roman"/>
          <w:sz w:val="21"/>
          <w:szCs w:val="21"/>
          <w:color w:val="auto"/>
        </w:rPr>
      </w:pPr>
    </w:p>
    <w:p>
      <w:pPr>
        <w:ind w:left="212" w:hanging="212"/>
        <w:spacing w:after="0"/>
        <w:tabs>
          <w:tab w:leader="none" w:pos="21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hanging="328"/>
        <w:spacing w:after="0" w:line="248" w:lineRule="auto"/>
        <w:tabs>
          <w:tab w:leader="none" w:pos="62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73" w:lineRule="exact"/>
        <w:rPr>
          <w:rFonts w:ascii="Times New Roman" w:cs="Times New Roman" w:eastAsia="Times New Roman" w:hAnsi="Times New Roman"/>
          <w:sz w:val="22"/>
          <w:szCs w:val="22"/>
          <w:color w:val="auto"/>
        </w:rPr>
      </w:pPr>
    </w:p>
    <w:p>
      <w:pPr>
        <w:ind w:left="652" w:right="80" w:hanging="328"/>
        <w:spacing w:after="0" w:line="250" w:lineRule="auto"/>
        <w:tabs>
          <w:tab w:leader="none" w:pos="634"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4(a) to the contrary, if Grantee’s employment with the Company or a Subsidiary Company terminates during the Restricted Period due to (i) Grantee’s death or (ii) Grantee becoming a Disabled Grantee within the meaning of Paragraph 1(j)(1),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72" w:lineRule="exact"/>
        <w:rPr>
          <w:rFonts w:ascii="Times New Roman" w:cs="Times New Roman" w:eastAsia="Times New Roman" w:hAnsi="Times New Roman"/>
          <w:sz w:val="22"/>
          <w:szCs w:val="22"/>
          <w:color w:val="auto"/>
        </w:rPr>
      </w:pPr>
    </w:p>
    <w:p>
      <w:pPr>
        <w:ind w:left="652" w:right="20" w:hanging="328"/>
        <w:spacing w:after="0" w:line="247" w:lineRule="auto"/>
        <w:tabs>
          <w:tab w:leader="none" w:pos="62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4(a) to the contrary[, and subject to the non-solicitation or non-competition obligations described in Paragraph 4(d)], if Grantee’s employment with the Company or a Subsidiary Company terminates during the Restricted Period for any reason other than (i) Grantee’s death, (ii) Grantee becoming a Disabled Grantee within the meaning of Paragraph 1(j)(1)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ectPr>
          <w:pgSz w:w="11900" w:h="16838" w:orient="portrait"/>
          <w:cols w:equalWidth="0" w:num="1">
            <w:col w:w="11192"/>
          </w:cols>
          <w:pgMar w:left="328" w:top="1422" w:right="379" w:bottom="1440" w:gutter="0" w:footer="0" w:header="0"/>
        </w:sectPr>
      </w:pPr>
    </w:p>
    <w:bookmarkStart w:id="232" w:name="page233"/>
    <w:bookmarkEnd w:id="232"/>
    <w:p>
      <w:pPr>
        <w:ind w:left="648" w:right="40" w:hanging="324"/>
        <w:spacing w:after="0" w:line="281" w:lineRule="auto"/>
        <w:tabs>
          <w:tab w:leader="none" w:pos="63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44" w:lineRule="exact"/>
        <w:rPr>
          <w:rFonts w:ascii="Times New Roman" w:cs="Times New Roman" w:eastAsia="Times New Roman" w:hAnsi="Times New Roman"/>
          <w:sz w:val="20"/>
          <w:szCs w:val="20"/>
          <w:color w:val="auto"/>
        </w:rPr>
      </w:pPr>
    </w:p>
    <w:p>
      <w:pPr>
        <w:ind w:left="648" w:right="140" w:hanging="324"/>
        <w:spacing w:after="0" w:line="250" w:lineRule="auto"/>
        <w:tabs>
          <w:tab w:leader="none" w:pos="63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72" w:lineRule="exact"/>
        <w:rPr>
          <w:rFonts w:ascii="Times New Roman" w:cs="Times New Roman" w:eastAsia="Times New Roman" w:hAnsi="Times New Roman"/>
          <w:sz w:val="22"/>
          <w:szCs w:val="22"/>
          <w:color w:val="auto"/>
        </w:rPr>
      </w:pPr>
    </w:p>
    <w:p>
      <w:pPr>
        <w:ind w:left="648" w:right="40" w:hanging="324"/>
        <w:spacing w:after="0" w:line="250" w:lineRule="auto"/>
        <w:tabs>
          <w:tab w:leader="none" w:pos="63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80" w:lineRule="exact"/>
        <w:rPr>
          <w:rFonts w:ascii="Times New Roman" w:cs="Times New Roman" w:eastAsia="Times New Roman" w:hAnsi="Times New Roman"/>
          <w:sz w:val="22"/>
          <w:szCs w:val="22"/>
          <w:color w:val="auto"/>
        </w:rPr>
      </w:pPr>
    </w:p>
    <w:p>
      <w:pPr>
        <w:jc w:val="both"/>
        <w:ind w:left="328" w:right="280" w:hanging="328"/>
        <w:spacing w:after="0" w:line="257" w:lineRule="auto"/>
        <w:tabs>
          <w:tab w:leader="none" w:pos="31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72" w:lineRule="exact"/>
        <w:rPr>
          <w:rFonts w:ascii="Times New Roman" w:cs="Times New Roman" w:eastAsia="Times New Roman" w:hAnsi="Times New Roman"/>
          <w:sz w:val="22"/>
          <w:szCs w:val="22"/>
          <w:color w:val="auto"/>
        </w:rPr>
      </w:pPr>
    </w:p>
    <w:p>
      <w:pPr>
        <w:ind w:left="648" w:hanging="324"/>
        <w:spacing w:after="0" w:line="257" w:lineRule="auto"/>
        <w:tabs>
          <w:tab w:leader="none" w:pos="63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64" w:lineRule="exact"/>
        <w:rPr>
          <w:rFonts w:ascii="Times New Roman" w:cs="Times New Roman" w:eastAsia="Times New Roman" w:hAnsi="Times New Roman"/>
          <w:sz w:val="22"/>
          <w:szCs w:val="22"/>
          <w:color w:val="auto"/>
        </w:rPr>
      </w:pPr>
    </w:p>
    <w:p>
      <w:pPr>
        <w:ind w:left="648" w:right="40" w:hanging="324"/>
        <w:spacing w:after="0" w:line="246" w:lineRule="auto"/>
        <w:tabs>
          <w:tab w:leader="none" w:pos="63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w:t>
      </w:r>
    </w:p>
    <w:p>
      <w:pPr>
        <w:sectPr>
          <w:pgSz w:w="11900" w:h="16838" w:orient="portrait"/>
          <w:cols w:equalWidth="0" w:num="1">
            <w:col w:w="10908"/>
          </w:cols>
          <w:pgMar w:left="652" w:top="1422" w:right="339" w:bottom="1440" w:gutter="0" w:footer="0" w:header="0"/>
        </w:sectPr>
      </w:pPr>
    </w:p>
    <w:bookmarkStart w:id="233" w:name="page234"/>
    <w:bookmarkEnd w:id="233"/>
    <w:p>
      <w:pPr>
        <w:ind w:left="972"/>
        <w:spacing w:after="0"/>
        <w:rPr>
          <w:sz w:val="20"/>
          <w:szCs w:val="20"/>
          <w:color w:val="auto"/>
        </w:rPr>
      </w:pPr>
      <w:r>
        <w:rPr>
          <w:rFonts w:ascii="Times New Roman" w:cs="Times New Roman" w:eastAsia="Times New Roman" w:hAnsi="Times New Roman"/>
          <w:sz w:val="22"/>
          <w:szCs w:val="22"/>
          <w:color w:val="auto"/>
        </w:rPr>
        <w:t>any class of equity security of an entity whose securities are traded on a national securities exchange or market.]</w:t>
      </w:r>
    </w:p>
    <w:p>
      <w:pPr>
        <w:spacing w:after="0" w:line="220" w:lineRule="exact"/>
        <w:rPr>
          <w:sz w:val="20"/>
          <w:szCs w:val="20"/>
          <w:color w:val="auto"/>
        </w:rPr>
      </w:pPr>
    </w:p>
    <w:p>
      <w:pPr>
        <w:ind w:left="652" w:right="240" w:hanging="328"/>
        <w:spacing w:after="0" w:line="250" w:lineRule="auto"/>
        <w:tabs>
          <w:tab w:leader="none" w:pos="622"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180" w:lineRule="exact"/>
        <w:rPr>
          <w:rFonts w:ascii="Times New Roman" w:cs="Times New Roman" w:eastAsia="Times New Roman" w:hAnsi="Times New Roman"/>
          <w:sz w:val="22"/>
          <w:szCs w:val="22"/>
          <w:color w:val="auto"/>
        </w:rPr>
      </w:pPr>
    </w:p>
    <w:p>
      <w:pPr>
        <w:ind w:left="212" w:hanging="212"/>
        <w:spacing w:after="0"/>
        <w:tabs>
          <w:tab w:leader="none" w:pos="21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hanging="328"/>
        <w:spacing w:after="0" w:line="250" w:lineRule="auto"/>
        <w:tabs>
          <w:tab w:leader="none" w:pos="622"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in the Plan, if Grantee’s employment with the Company and all Subsidiaries terminates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72" w:lineRule="exact"/>
        <w:rPr>
          <w:rFonts w:ascii="Times New Roman" w:cs="Times New Roman" w:eastAsia="Times New Roman" w:hAnsi="Times New Roman"/>
          <w:sz w:val="22"/>
          <w:szCs w:val="22"/>
          <w:color w:val="auto"/>
        </w:rPr>
      </w:pPr>
    </w:p>
    <w:p>
      <w:pPr>
        <w:ind w:left="652" w:right="520" w:hanging="328"/>
        <w:spacing w:after="0" w:line="271" w:lineRule="auto"/>
        <w:tabs>
          <w:tab w:leader="none" w:pos="634"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Paragraph 5 shall not apply to Shares issued in respect of Restricted Stock Units as to which a Vesting Date has occurred.</w:t>
      </w:r>
    </w:p>
    <w:p>
      <w:pPr>
        <w:spacing w:after="0" w:line="157" w:lineRule="exact"/>
        <w:rPr>
          <w:rFonts w:ascii="Times New Roman" w:cs="Times New Roman" w:eastAsia="Times New Roman" w:hAnsi="Times New Roman"/>
          <w:sz w:val="22"/>
          <w:szCs w:val="22"/>
          <w:color w:val="auto"/>
        </w:rPr>
      </w:pPr>
    </w:p>
    <w:p>
      <w:pPr>
        <w:ind w:left="332" w:right="100" w:hanging="332"/>
        <w:spacing w:after="0" w:line="271" w:lineRule="auto"/>
        <w:tabs>
          <w:tab w:leader="none" w:pos="224"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Grantee may elect to defer the receipt of Shares issuable with respect to Restricted Stock Units, consistent, however, with the following:</w:t>
      </w:r>
    </w:p>
    <w:p>
      <w:pPr>
        <w:spacing w:after="0" w:line="157" w:lineRule="exact"/>
        <w:rPr>
          <w:rFonts w:ascii="Times New Roman" w:cs="Times New Roman" w:eastAsia="Times New Roman" w:hAnsi="Times New Roman"/>
          <w:sz w:val="22"/>
          <w:szCs w:val="22"/>
          <w:color w:val="auto"/>
        </w:rPr>
      </w:pPr>
    </w:p>
    <w:p>
      <w:pPr>
        <w:ind w:left="652" w:right="260" w:hanging="328"/>
        <w:spacing w:after="0" w:line="257" w:lineRule="auto"/>
        <w:tabs>
          <w:tab w:leader="none" w:pos="622"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Elections</w:t>
      </w:r>
      <w:r>
        <w:rPr>
          <w:rFonts w:ascii="Times New Roman" w:cs="Times New Roman" w:eastAsia="Times New Roman" w:hAnsi="Times New Roman"/>
          <w:sz w:val="22"/>
          <w:szCs w:val="22"/>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64" w:lineRule="exact"/>
        <w:rPr>
          <w:rFonts w:ascii="Times New Roman" w:cs="Times New Roman" w:eastAsia="Times New Roman" w:hAnsi="Times New Roman"/>
          <w:sz w:val="22"/>
          <w:szCs w:val="22"/>
          <w:color w:val="auto"/>
        </w:rPr>
      </w:pPr>
    </w:p>
    <w:p>
      <w:pPr>
        <w:ind w:left="972" w:right="360" w:hanging="324"/>
        <w:spacing w:after="0" w:line="295" w:lineRule="auto"/>
        <w:tabs>
          <w:tab w:leader="none" w:pos="954" w:val="left"/>
        </w:tabs>
        <w:numPr>
          <w:ilvl w:val="2"/>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Deadline for Deferral Election</w:t>
      </w:r>
      <w:r>
        <w:rPr>
          <w:rFonts w:ascii="Times New Roman" w:cs="Times New Roman" w:eastAsia="Times New Roman" w:hAnsi="Times New Roman"/>
          <w:sz w:val="21"/>
          <w:szCs w:val="21"/>
          <w:color w:val="auto"/>
        </w:rPr>
        <w:t>. An Initial Election to defer the receipt of Shares issuable with respect to Restricted Stock Units hereby granted shall not be effective unless it is filed with the Committee on or before [●].</w:t>
      </w:r>
    </w:p>
    <w:p>
      <w:pPr>
        <w:spacing w:after="0" w:line="27" w:lineRule="exact"/>
        <w:rPr>
          <w:rFonts w:ascii="Times New Roman" w:cs="Times New Roman" w:eastAsia="Times New Roman" w:hAnsi="Times New Roman"/>
          <w:sz w:val="21"/>
          <w:szCs w:val="21"/>
          <w:color w:val="auto"/>
        </w:rPr>
      </w:pPr>
    </w:p>
    <w:p>
      <w:pPr>
        <w:ind w:left="972" w:hanging="324"/>
        <w:spacing w:after="0" w:line="250" w:lineRule="auto"/>
        <w:tabs>
          <w:tab w:leader="none" w:pos="954"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Subject to Paragraph 6(c),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pacing w:after="0" w:line="72" w:lineRule="exact"/>
        <w:rPr>
          <w:rFonts w:ascii="Times New Roman" w:cs="Times New Roman" w:eastAsia="Times New Roman" w:hAnsi="Times New Roman"/>
          <w:sz w:val="22"/>
          <w:szCs w:val="22"/>
          <w:color w:val="auto"/>
        </w:rPr>
      </w:pPr>
    </w:p>
    <w:p>
      <w:pPr>
        <w:ind w:left="972" w:right="200" w:hanging="324"/>
        <w:spacing w:after="0" w:line="271" w:lineRule="auto"/>
        <w:tabs>
          <w:tab w:leader="none" w:pos="954"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An Initial Election shall be null and void if a Vesting Date does not occur with respect to Restricted Stock Units identified in such Initial Election.</w:t>
      </w:r>
    </w:p>
    <w:p>
      <w:pPr>
        <w:sectPr>
          <w:pgSz w:w="11900" w:h="16838" w:orient="portrait"/>
          <w:cols w:equalWidth="0" w:num="1">
            <w:col w:w="11212"/>
          </w:cols>
          <w:pgMar w:left="328" w:top="1422" w:right="359" w:bottom="1440" w:gutter="0" w:footer="0" w:header="0"/>
        </w:sectPr>
      </w:pPr>
    </w:p>
    <w:bookmarkStart w:id="234" w:name="page235"/>
    <w:bookmarkEnd w:id="234"/>
    <w:p>
      <w:pPr>
        <w:ind w:left="328" w:hanging="328"/>
        <w:spacing w:after="0" w:line="250" w:lineRule="auto"/>
        <w:tabs>
          <w:tab w:leader="none" w:pos="31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Elections</w:t>
      </w:r>
      <w:r>
        <w:rPr>
          <w:rFonts w:ascii="Times New Roman" w:cs="Times New Roman" w:eastAsia="Times New Roman" w:hAnsi="Times New Roman"/>
          <w:sz w:val="22"/>
          <w:szCs w:val="22"/>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Election by filing a Regular Deferral Election to defer the receipt of such Shares on the form provided by the Committee for this purpose.</w:t>
      </w:r>
    </w:p>
    <w:p>
      <w:pPr>
        <w:spacing w:after="0" w:line="180" w:lineRule="exact"/>
        <w:rPr>
          <w:rFonts w:ascii="Times New Roman" w:cs="Times New Roman" w:eastAsia="Times New Roman" w:hAnsi="Times New Roman"/>
          <w:sz w:val="22"/>
          <w:szCs w:val="22"/>
          <w:color w:val="auto"/>
        </w:rPr>
      </w:pPr>
    </w:p>
    <w:p>
      <w:pPr>
        <w:ind w:left="648" w:right="440" w:hanging="324"/>
        <w:spacing w:after="0" w:line="271" w:lineRule="auto"/>
        <w:tabs>
          <w:tab w:leader="none" w:pos="63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Deferral Election</w:t>
      </w:r>
      <w:r>
        <w:rPr>
          <w:rFonts w:ascii="Times New Roman" w:cs="Times New Roman" w:eastAsia="Times New Roman" w:hAnsi="Times New Roman"/>
          <w:sz w:val="22"/>
          <w:szCs w:val="22"/>
          <w:color w:val="auto"/>
        </w:rPr>
        <w:t>. A Regular Deferral Election to defer the receipt of Shares issuable with respect to Restricted Stock Units hereby granted shall not be effective unless it is filed with the Committee:</w:t>
      </w:r>
    </w:p>
    <w:p>
      <w:pPr>
        <w:spacing w:after="0" w:line="157" w:lineRule="exact"/>
        <w:rPr>
          <w:rFonts w:ascii="Times New Roman" w:cs="Times New Roman" w:eastAsia="Times New Roman" w:hAnsi="Times New Roman"/>
          <w:sz w:val="22"/>
          <w:szCs w:val="22"/>
          <w:color w:val="auto"/>
        </w:rPr>
      </w:pPr>
    </w:p>
    <w:p>
      <w:pPr>
        <w:ind w:left="948" w:hanging="300"/>
        <w:spacing w:after="0"/>
        <w:tabs>
          <w:tab w:leader="none" w:pos="948"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Scheduled Vesting Date of [●], on or before [●];</w:t>
      </w:r>
    </w:p>
    <w:p>
      <w:pPr>
        <w:spacing w:after="0" w:line="111" w:lineRule="exact"/>
        <w:rPr>
          <w:rFonts w:ascii="Times New Roman" w:cs="Times New Roman" w:eastAsia="Times New Roman" w:hAnsi="Times New Roman"/>
          <w:sz w:val="22"/>
          <w:szCs w:val="22"/>
          <w:color w:val="auto"/>
        </w:rPr>
      </w:pPr>
    </w:p>
    <w:p>
      <w:pPr>
        <w:ind w:left="948" w:hanging="300"/>
        <w:spacing w:after="0"/>
        <w:tabs>
          <w:tab w:leader="none" w:pos="948"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Scheduled Vesting Date of [●], on or before [●];</w:t>
      </w:r>
    </w:p>
    <w:p>
      <w:pPr>
        <w:spacing w:after="0" w:line="111" w:lineRule="exact"/>
        <w:rPr>
          <w:rFonts w:ascii="Times New Roman" w:cs="Times New Roman" w:eastAsia="Times New Roman" w:hAnsi="Times New Roman"/>
          <w:sz w:val="22"/>
          <w:szCs w:val="22"/>
          <w:color w:val="auto"/>
        </w:rPr>
      </w:pPr>
    </w:p>
    <w:p>
      <w:pPr>
        <w:ind w:left="948" w:hanging="300"/>
        <w:spacing w:after="0"/>
        <w:tabs>
          <w:tab w:leader="none" w:pos="948"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Scheduled Vesting Date of [●], on or before [●];</w:t>
      </w:r>
    </w:p>
    <w:p>
      <w:pPr>
        <w:spacing w:after="0" w:line="111" w:lineRule="exact"/>
        <w:rPr>
          <w:rFonts w:ascii="Times New Roman" w:cs="Times New Roman" w:eastAsia="Times New Roman" w:hAnsi="Times New Roman"/>
          <w:sz w:val="22"/>
          <w:szCs w:val="22"/>
          <w:color w:val="auto"/>
        </w:rPr>
      </w:pPr>
    </w:p>
    <w:p>
      <w:pPr>
        <w:ind w:left="948" w:hanging="300"/>
        <w:spacing w:after="0"/>
        <w:tabs>
          <w:tab w:leader="none" w:pos="948"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Scheduled Vesting Date of [●], on or before [●];</w:t>
      </w:r>
    </w:p>
    <w:p>
      <w:pPr>
        <w:spacing w:after="0" w:line="111" w:lineRule="exact"/>
        <w:rPr>
          <w:rFonts w:ascii="Times New Roman" w:cs="Times New Roman" w:eastAsia="Times New Roman" w:hAnsi="Times New Roman"/>
          <w:sz w:val="22"/>
          <w:szCs w:val="22"/>
          <w:color w:val="auto"/>
        </w:rPr>
      </w:pPr>
    </w:p>
    <w:p>
      <w:pPr>
        <w:ind w:left="948" w:hanging="300"/>
        <w:spacing w:after="0"/>
        <w:tabs>
          <w:tab w:leader="none" w:pos="948"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Restricted Stock Units with a Scheduled Vesting Date of [●], on or before [●].</w:t>
      </w:r>
    </w:p>
    <w:p>
      <w:pPr>
        <w:spacing w:after="0" w:line="219" w:lineRule="exact"/>
        <w:rPr>
          <w:rFonts w:ascii="Times New Roman" w:cs="Times New Roman" w:eastAsia="Times New Roman" w:hAnsi="Times New Roman"/>
          <w:sz w:val="22"/>
          <w:szCs w:val="22"/>
          <w:color w:val="auto"/>
        </w:rPr>
      </w:pPr>
    </w:p>
    <w:p>
      <w:pPr>
        <w:ind w:left="648" w:hanging="324"/>
        <w:spacing w:after="0" w:line="257" w:lineRule="auto"/>
        <w:tabs>
          <w:tab w:leader="none" w:pos="63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ten additional years from the Scheduled Vesting Date.</w:t>
      </w:r>
    </w:p>
    <w:p>
      <w:pPr>
        <w:spacing w:after="0" w:line="64" w:lineRule="exact"/>
        <w:rPr>
          <w:rFonts w:ascii="Times New Roman" w:cs="Times New Roman" w:eastAsia="Times New Roman" w:hAnsi="Times New Roman"/>
          <w:sz w:val="22"/>
          <w:szCs w:val="22"/>
          <w:color w:val="auto"/>
        </w:rPr>
      </w:pPr>
    </w:p>
    <w:p>
      <w:pPr>
        <w:ind w:left="648" w:right="200" w:hanging="324"/>
        <w:spacing w:after="0" w:line="271" w:lineRule="auto"/>
        <w:tabs>
          <w:tab w:leader="none" w:pos="63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 Regular Deferral Election shall be null and void if a Vesting Date does not occur with respect to Restricted Stock Units identified in such Initial Election.</w:t>
      </w:r>
    </w:p>
    <w:p>
      <w:pPr>
        <w:spacing w:after="0" w:line="157" w:lineRule="exact"/>
        <w:rPr>
          <w:rFonts w:ascii="Times New Roman" w:cs="Times New Roman" w:eastAsia="Times New Roman" w:hAnsi="Times New Roman"/>
          <w:sz w:val="22"/>
          <w:szCs w:val="22"/>
          <w:color w:val="auto"/>
        </w:rPr>
      </w:pPr>
    </w:p>
    <w:p>
      <w:pPr>
        <w:ind w:left="328" w:right="360" w:hanging="328"/>
        <w:spacing w:after="0" w:line="271" w:lineRule="auto"/>
        <w:tabs>
          <w:tab w:leader="none" w:pos="298"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Elections</w:t>
      </w:r>
      <w:r>
        <w:rPr>
          <w:rFonts w:ascii="Times New Roman" w:cs="Times New Roman" w:eastAsia="Times New Roman" w:hAnsi="Times New Roman"/>
          <w:sz w:val="22"/>
          <w:szCs w:val="22"/>
          <w:color w:val="auto"/>
        </w:rPr>
        <w:t>. No Subsequent Election shall be effective until 12 months after the date on which a Subsequent Election is filed with the Committee.</w:t>
      </w:r>
    </w:p>
    <w:p>
      <w:pPr>
        <w:spacing w:after="0" w:line="157" w:lineRule="exact"/>
        <w:rPr>
          <w:rFonts w:ascii="Times New Roman" w:cs="Times New Roman" w:eastAsia="Times New Roman" w:hAnsi="Times New Roman"/>
          <w:sz w:val="22"/>
          <w:szCs w:val="22"/>
          <w:color w:val="auto"/>
        </w:rPr>
      </w:pPr>
    </w:p>
    <w:p>
      <w:pPr>
        <w:ind w:left="648" w:right="260" w:hanging="324"/>
        <w:spacing w:after="0" w:line="248" w:lineRule="auto"/>
        <w:tabs>
          <w:tab w:leader="none" w:pos="63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makes an Initial Election, a Regular Deferral Election or pursuant to this Paragraph 6(c)(1)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78" w:lineRule="exact"/>
        <w:rPr>
          <w:rFonts w:ascii="Times New Roman" w:cs="Times New Roman" w:eastAsia="Times New Roman" w:hAnsi="Times New Roman"/>
          <w:sz w:val="22"/>
          <w:szCs w:val="22"/>
          <w:color w:val="auto"/>
        </w:rPr>
      </w:pPr>
    </w:p>
    <w:p>
      <w:pPr>
        <w:ind w:left="648" w:right="540" w:hanging="324"/>
        <w:spacing w:after="0" w:line="271" w:lineRule="auto"/>
        <w:tabs>
          <w:tab w:leader="none" w:pos="63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dies before Shares subject to an Initial Election under Paragraph 6(a) are to be delivered, the estate or beneficiary to whom the right to delivery of such Shares</w:t>
      </w:r>
    </w:p>
    <w:p>
      <w:pPr>
        <w:sectPr>
          <w:pgSz w:w="11900" w:h="16838" w:orient="portrait"/>
          <w:cols w:equalWidth="0" w:num="1">
            <w:col w:w="10868"/>
          </w:cols>
          <w:pgMar w:left="652" w:top="1422" w:right="379" w:bottom="1440" w:gutter="0" w:footer="0" w:header="0"/>
        </w:sectPr>
      </w:pPr>
    </w:p>
    <w:bookmarkStart w:id="235" w:name="page236"/>
    <w:bookmarkEnd w:id="235"/>
    <w:p>
      <w:pPr>
        <w:ind w:left="972" w:right="40"/>
        <w:spacing w:after="0" w:line="252" w:lineRule="auto"/>
        <w:rPr>
          <w:sz w:val="20"/>
          <w:szCs w:val="20"/>
          <w:color w:val="auto"/>
        </w:rPr>
      </w:pPr>
      <w:r>
        <w:rPr>
          <w:rFonts w:ascii="Times New Roman" w:cs="Times New Roman" w:eastAsia="Times New Roman" w:hAnsi="Times New Roman"/>
          <w:sz w:val="22"/>
          <w:szCs w:val="22"/>
          <w:color w:val="auto"/>
        </w:rPr>
        <w:t>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71" w:lineRule="exact"/>
        <w:rPr>
          <w:sz w:val="20"/>
          <w:szCs w:val="20"/>
          <w:color w:val="auto"/>
        </w:rPr>
      </w:pPr>
    </w:p>
    <w:p>
      <w:pPr>
        <w:ind w:left="972" w:right="40" w:hanging="324"/>
        <w:spacing w:after="0" w:line="252" w:lineRule="auto"/>
        <w:tabs>
          <w:tab w:leader="none" w:pos="954"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79" w:lineRule="exact"/>
        <w:rPr>
          <w:rFonts w:ascii="Times New Roman" w:cs="Times New Roman" w:eastAsia="Times New Roman" w:hAnsi="Times New Roman"/>
          <w:sz w:val="22"/>
          <w:szCs w:val="22"/>
          <w:color w:val="auto"/>
        </w:rPr>
      </w:pPr>
    </w:p>
    <w:p>
      <w:pPr>
        <w:jc w:val="both"/>
        <w:ind w:left="652" w:right="640" w:hanging="328"/>
        <w:spacing w:after="0" w:line="257" w:lineRule="auto"/>
        <w:tabs>
          <w:tab w:leader="none" w:pos="63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Diversification Election</w:t>
      </w:r>
      <w:r>
        <w:rPr>
          <w:rFonts w:ascii="Times New Roman" w:cs="Times New Roman" w:eastAsia="Times New Roman" w:hAnsi="Times New Roman"/>
          <w:sz w:val="22"/>
          <w:szCs w:val="22"/>
          <w:color w:val="auto"/>
        </w:rPr>
        <w:t>. As provided in the Plan and as described in the prospectus for the Plan, a Grantee with an Account may be eligible to make a Diversification Election on an election form supplied by the Committee for this purpose.</w:t>
      </w:r>
    </w:p>
    <w:p>
      <w:pPr>
        <w:spacing w:after="0" w:line="64" w:lineRule="exact"/>
        <w:rPr>
          <w:rFonts w:ascii="Times New Roman" w:cs="Times New Roman" w:eastAsia="Times New Roman" w:hAnsi="Times New Roman"/>
          <w:sz w:val="22"/>
          <w:szCs w:val="22"/>
          <w:color w:val="auto"/>
        </w:rPr>
      </w:pPr>
    </w:p>
    <w:p>
      <w:pPr>
        <w:ind w:left="652" w:right="140" w:hanging="328"/>
        <w:spacing w:after="0" w:line="248" w:lineRule="auto"/>
        <w:tabs>
          <w:tab w:leader="none" w:pos="622"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 Accounts</w:t>
      </w:r>
      <w:r>
        <w:rPr>
          <w:rFonts w:ascii="Times New Roman" w:cs="Times New Roman" w:eastAsia="Times New Roman" w:hAnsi="Times New Roman"/>
          <w:sz w:val="22"/>
          <w:szCs w:val="22"/>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78" w:lineRule="exact"/>
        <w:rPr>
          <w:rFonts w:ascii="Times New Roman" w:cs="Times New Roman" w:eastAsia="Times New Roman" w:hAnsi="Times New Roman"/>
          <w:sz w:val="22"/>
          <w:szCs w:val="22"/>
          <w:color w:val="auto"/>
        </w:rPr>
      </w:pPr>
    </w:p>
    <w:p>
      <w:pPr>
        <w:ind w:left="652" w:hanging="328"/>
        <w:spacing w:after="0" w:line="248" w:lineRule="auto"/>
        <w:tabs>
          <w:tab w:leader="none" w:pos="59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Deferred Amounts</w:t>
      </w:r>
      <w:r>
        <w:rPr>
          <w:rFonts w:ascii="Times New Roman" w:cs="Times New Roman" w:eastAsia="Times New Roman" w:hAnsi="Times New Roman"/>
          <w:sz w:val="22"/>
          <w:szCs w:val="22"/>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73" w:lineRule="exact"/>
        <w:rPr>
          <w:rFonts w:ascii="Times New Roman" w:cs="Times New Roman" w:eastAsia="Times New Roman" w:hAnsi="Times New Roman"/>
          <w:sz w:val="22"/>
          <w:szCs w:val="22"/>
          <w:color w:val="auto"/>
        </w:rPr>
      </w:pPr>
    </w:p>
    <w:p>
      <w:pPr>
        <w:ind w:left="652" w:right="40" w:hanging="328"/>
        <w:spacing w:after="0" w:line="252" w:lineRule="auto"/>
        <w:tabs>
          <w:tab w:leader="none" w:pos="63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Etc.</w:t>
      </w:r>
      <w:r>
        <w:rPr>
          <w:rFonts w:ascii="Times New Roman" w:cs="Times New Roman" w:eastAsia="Times New Roman" w:hAnsi="Times New Roman"/>
          <w:sz w:val="22"/>
          <w:szCs w:val="22"/>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79" w:lineRule="exact"/>
        <w:rPr>
          <w:rFonts w:ascii="Times New Roman" w:cs="Times New Roman" w:eastAsia="Times New Roman" w:hAnsi="Times New Roman"/>
          <w:sz w:val="22"/>
          <w:szCs w:val="22"/>
          <w:color w:val="auto"/>
        </w:rPr>
      </w:pPr>
    </w:p>
    <w:p>
      <w:pPr>
        <w:ind w:left="332" w:right="440" w:hanging="332"/>
        <w:spacing w:after="0" w:line="257" w:lineRule="auto"/>
        <w:tabs>
          <w:tab w:leader="none" w:pos="22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ectPr>
          <w:pgSz w:w="11900" w:h="16838" w:orient="portrait"/>
          <w:cols w:equalWidth="0" w:num="1">
            <w:col w:w="11232"/>
          </w:cols>
          <w:pgMar w:left="328" w:top="1422" w:right="339" w:bottom="1440" w:gutter="0" w:footer="0" w:header="0"/>
        </w:sectPr>
      </w:pPr>
    </w:p>
    <w:bookmarkStart w:id="236" w:name="page237"/>
    <w:bookmarkEnd w:id="236"/>
    <w:p>
      <w:pPr>
        <w:ind w:left="332" w:right="260" w:hanging="332"/>
        <w:spacing w:after="0" w:line="257" w:lineRule="auto"/>
        <w:tabs>
          <w:tab w:leader="none" w:pos="22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64" w:lineRule="exact"/>
        <w:rPr>
          <w:rFonts w:ascii="Times New Roman" w:cs="Times New Roman" w:eastAsia="Times New Roman" w:hAnsi="Times New Roman"/>
          <w:sz w:val="22"/>
          <w:szCs w:val="22"/>
          <w:color w:val="auto"/>
        </w:rPr>
      </w:pPr>
    </w:p>
    <w:p>
      <w:pPr>
        <w:ind w:left="212" w:hanging="212"/>
        <w:spacing w:after="0"/>
        <w:tabs>
          <w:tab w:leader="none" w:pos="21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Repayment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20" w:hanging="328"/>
        <w:spacing w:after="0"/>
        <w:tabs>
          <w:tab w:leader="none" w:pos="622"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issuable under the Plan [either] by [(i) delivery of a physical certificate for Shares issuable under the Plan or (ii)]</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88" w:lineRule="exact"/>
        <w:rPr>
          <w:rFonts w:ascii="Times New Roman" w:cs="Times New Roman" w:eastAsia="Times New Roman" w:hAnsi="Times New Roman"/>
          <w:sz w:val="22"/>
          <w:szCs w:val="22"/>
          <w:color w:val="auto"/>
        </w:rPr>
      </w:pPr>
    </w:p>
    <w:p>
      <w:pPr>
        <w:ind w:left="652" w:hanging="328"/>
        <w:spacing w:after="0" w:line="246" w:lineRule="auto"/>
        <w:tabs>
          <w:tab w:leader="none" w:pos="634"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187" w:lineRule="exact"/>
        <w:rPr>
          <w:rFonts w:ascii="Times New Roman" w:cs="Times New Roman" w:eastAsia="Times New Roman" w:hAnsi="Times New Roman"/>
          <w:sz w:val="22"/>
          <w:szCs w:val="22"/>
          <w:color w:val="auto"/>
        </w:rPr>
      </w:pPr>
    </w:p>
    <w:p>
      <w:pPr>
        <w:ind w:left="332" w:right="40" w:hanging="332"/>
        <w:spacing w:after="0" w:line="257" w:lineRule="auto"/>
        <w:tabs>
          <w:tab w:leader="none" w:pos="33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the above, to the extent that any Restricted Stock Units are determined by the Company to be “nonqualified deferred compensation” under section 409A of the Code and its implementing regulations and guidance and Shares become deliverable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17145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6" w:lineRule="exact"/>
        <w:rPr>
          <w:sz w:val="20"/>
          <w:szCs w:val="20"/>
          <w:color w:val="auto"/>
        </w:rPr>
      </w:pPr>
    </w:p>
    <w:p>
      <w:pPr>
        <w:ind w:left="112" w:hanging="112"/>
        <w:spacing w:after="0"/>
        <w:tabs>
          <w:tab w:leader="none" w:pos="112" w:val="left"/>
        </w:tabs>
        <w:numPr>
          <w:ilvl w:val="0"/>
          <w:numId w:val="2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2018.</w:t>
      </w:r>
    </w:p>
    <w:p>
      <w:pPr>
        <w:sectPr>
          <w:pgSz w:w="11900" w:h="16838" w:orient="portrait"/>
          <w:cols w:equalWidth="0" w:num="1">
            <w:col w:w="11212"/>
          </w:cols>
          <w:pgMar w:left="328" w:top="1422" w:right="359" w:bottom="1440" w:gutter="0" w:footer="0" w:header="0"/>
        </w:sectPr>
      </w:pPr>
    </w:p>
    <w:bookmarkStart w:id="237" w:name="page238"/>
    <w:bookmarkEnd w:id="237"/>
    <w:p>
      <w:pPr>
        <w:jc w:val="both"/>
        <w:ind w:left="332" w:right="60"/>
        <w:spacing w:after="0" w:line="266" w:lineRule="auto"/>
        <w:rPr>
          <w:sz w:val="20"/>
          <w:szCs w:val="20"/>
          <w:color w:val="auto"/>
        </w:rPr>
      </w:pPr>
      <w:r>
        <w:rPr>
          <w:rFonts w:ascii="Times New Roman" w:cs="Times New Roman" w:eastAsia="Times New Roman" w:hAnsi="Times New Roman"/>
          <w:sz w:val="21"/>
          <w:szCs w:val="21"/>
          <w:color w:val="auto"/>
        </w:rPr>
        <w:t>with respect to such Restricted Stock Units as a result of the Grantee’s termination of employment, such Shares will only be delivered if such termination of employment constitutes a “separation from service” within the meaning of Treas. Reg.</w:t>
      </w:r>
    </w:p>
    <w:p>
      <w:pPr>
        <w:spacing w:after="0" w:line="2" w:lineRule="exact"/>
        <w:rPr>
          <w:sz w:val="20"/>
          <w:szCs w:val="20"/>
          <w:color w:val="auto"/>
        </w:rPr>
      </w:pPr>
    </w:p>
    <w:p>
      <w:pPr>
        <w:jc w:val="both"/>
        <w:ind w:left="332" w:right="60"/>
        <w:spacing w:after="0" w:line="245" w:lineRule="auto"/>
        <w:rPr>
          <w:sz w:val="20"/>
          <w:szCs w:val="20"/>
          <w:color w:val="auto"/>
        </w:rPr>
      </w:pPr>
      <w:r>
        <w:rPr>
          <w:rFonts w:ascii="Times New Roman" w:cs="Times New Roman" w:eastAsia="Times New Roman" w:hAnsi="Times New Roman"/>
          <w:sz w:val="22"/>
          <w:szCs w:val="22"/>
          <w:color w:val="auto"/>
        </w:rPr>
        <w:t>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77" w:lineRule="exact"/>
        <w:rPr>
          <w:sz w:val="20"/>
          <w:szCs w:val="20"/>
          <w:color w:val="auto"/>
        </w:rPr>
      </w:pPr>
    </w:p>
    <w:p>
      <w:pPr>
        <w:ind w:left="332" w:right="140" w:hanging="332"/>
        <w:spacing w:after="0" w:line="271" w:lineRule="auto"/>
        <w:tabs>
          <w:tab w:leader="none" w:pos="32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Grantee any right to continue in the employment of the Company or any subsidiary or affiliate of the Company.</w:t>
      </w:r>
    </w:p>
    <w:p>
      <w:pPr>
        <w:spacing w:after="0" w:line="49"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2" w:right="20" w:hanging="328"/>
        <w:spacing w:after="0" w:line="252" w:lineRule="auto"/>
        <w:tabs>
          <w:tab w:leader="none" w:pos="62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71" w:lineRule="exact"/>
        <w:rPr>
          <w:rFonts w:ascii="Times New Roman" w:cs="Times New Roman" w:eastAsia="Times New Roman" w:hAnsi="Times New Roman"/>
          <w:sz w:val="22"/>
          <w:szCs w:val="22"/>
          <w:color w:val="auto"/>
        </w:rPr>
      </w:pPr>
    </w:p>
    <w:p>
      <w:pPr>
        <w:ind w:left="652" w:hanging="328"/>
        <w:spacing w:after="0" w:line="271" w:lineRule="auto"/>
        <w:tabs>
          <w:tab w:leader="none" w:pos="634"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Grantee to which notice, demands and other communications to be given or delivered under or by reason of the provisions hereof shall be Grantee’s address as reflected in the Company’s personnel records.</w:t>
      </w:r>
    </w:p>
    <w:p>
      <w:pPr>
        <w:spacing w:after="0" w:line="49" w:lineRule="exact"/>
        <w:rPr>
          <w:rFonts w:ascii="Times New Roman" w:cs="Times New Roman" w:eastAsia="Times New Roman" w:hAnsi="Times New Roman"/>
          <w:sz w:val="22"/>
          <w:szCs w:val="22"/>
          <w:color w:val="auto"/>
        </w:rPr>
      </w:pPr>
    </w:p>
    <w:p>
      <w:pPr>
        <w:ind w:left="652" w:right="100" w:hanging="328"/>
        <w:spacing w:after="0" w:line="271" w:lineRule="auto"/>
        <w:tabs>
          <w:tab w:leader="none" w:pos="62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performance, construction and effect of this Award shall be governed by the laws of the Commonwealth of Pennsylvania,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32"/>
        <w:spacing w:after="0"/>
        <w:rPr>
          <w:sz w:val="20"/>
          <w:szCs w:val="20"/>
          <w:color w:val="auto"/>
        </w:rPr>
      </w:pPr>
      <w:r>
        <w:rPr>
          <w:rFonts w:ascii="Times New Roman" w:cs="Times New Roman" w:eastAsia="Times New Roman" w:hAnsi="Times New Roman"/>
          <w:sz w:val="22"/>
          <w:szCs w:val="22"/>
          <w:color w:val="auto"/>
        </w:rPr>
        <w:t>ATTEST:</w:t>
      </w:r>
    </w:p>
    <w:p>
      <w:pPr>
        <w:sectPr>
          <w:pgSz w:w="11900" w:h="16838" w:orient="portrait"/>
          <w:cols w:equalWidth="0" w:num="1">
            <w:col w:w="11092"/>
          </w:cols>
          <w:pgMar w:left="328" w:top="1422" w:right="479" w:bottom="1440" w:gutter="0" w:footer="0" w:header="0"/>
        </w:sectPr>
      </w:pPr>
    </w:p>
    <w:bookmarkStart w:id="238" w:name="page239"/>
    <w:bookmarkEnd w:id="238"/>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OF LONG-TERM INCENTIVE AWARDS SUMMARY SCHEDULE</w:t>
      </w:r>
    </w:p>
    <w:p>
      <w:pPr>
        <w:spacing w:after="0" w:line="53"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This Long-Term Incentive Awards Summary Schedule (this “Schedule”) provides certain information related to the [Restricted Stock Units] you were granted by Comcast Corporation on ________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20"/>
          <w:szCs w:val="20"/>
          <w:b w:val="1"/>
          <w:bCs w:val="1"/>
          <w:color w:val="auto"/>
        </w:rPr>
        <w:t>This Schedule is intended to be, and shall at all times be interpreted as, a part of your Comcast Corporation Non-Qualified Option Award document and your Comcast Corporation Restricted Stock Unit Award document.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2</w:t>
      </w:r>
      <w:r>
        <w:rPr>
          <w:rFonts w:ascii="Times New Roman" w:cs="Times New Roman" w:eastAsia="Times New Roman" w:hAnsi="Times New Roman"/>
          <w:sz w:val="25"/>
          <w:szCs w:val="25"/>
          <w:i w:val="1"/>
          <w:iCs w:val="1"/>
          <w:color w:val="auto"/>
          <w:vertAlign w:val="superscript"/>
        </w:rPr>
        <w:t>5</w:t>
      </w:r>
      <w:r>
        <w:rPr>
          <w:rFonts w:ascii="Times New Roman" w:cs="Times New Roman" w:eastAsia="Times New Roman" w:hAnsi="Times New Roman"/>
          <w:sz w:val="20"/>
          <w:szCs w:val="20"/>
          <w:color w:val="auto"/>
        </w:rPr>
        <w:t>:</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Grantee:</w:t>
            </w:r>
          </w:p>
        </w:tc>
        <w:tc>
          <w:tcPr>
            <w:tcW w:w="278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____________________</w:t>
            </w:r>
          </w:p>
        </w:tc>
        <w:tc>
          <w:tcPr>
            <w:tcW w:w="5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Date of Grant:</w:t>
            </w: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________</w:t>
            </w:r>
          </w:p>
        </w:tc>
        <w:tc>
          <w:tcPr>
            <w:tcW w:w="1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Common Stock:</w:t>
            </w:r>
          </w:p>
        </w:tc>
        <w:tc>
          <w:tcPr>
            <w:tcW w:w="7120" w:type="dxa"/>
            <w:vAlign w:val="bottom"/>
            <w:tcBorders>
              <w:bottom w:val="single" w:sz="8" w:color="auto"/>
              <w:right w:val="single" w:sz="8" w:color="auto"/>
            </w:tcBorders>
            <w:gridSpan w:val="10"/>
          </w:tcPr>
          <w:p>
            <w:pPr>
              <w:ind w:left="20"/>
              <w:spacing w:after="0"/>
              <w:rPr>
                <w:sz w:val="20"/>
                <w:szCs w:val="20"/>
                <w:color w:val="auto"/>
              </w:rPr>
            </w:pPr>
            <w:r>
              <w:rPr>
                <w:rFonts w:ascii="Times New Roman" w:cs="Times New Roman" w:eastAsia="Times New Roman" w:hAnsi="Times New Roman"/>
                <w:sz w:val="20"/>
                <w:szCs w:val="20"/>
                <w:color w:val="auto"/>
              </w:rPr>
              <w:t>Comcast Corporation Class A Common Stock</w:t>
            </w:r>
          </w:p>
        </w:tc>
        <w:tc>
          <w:tcPr>
            <w:tcW w:w="0" w:type="dxa"/>
            <w:vAlign w:val="bottom"/>
          </w:tcPr>
          <w:p>
            <w:pPr>
              <w:spacing w:after="0"/>
              <w:rPr>
                <w:sz w:val="1"/>
                <w:szCs w:val="1"/>
                <w:color w:val="auto"/>
              </w:rPr>
            </w:pPr>
          </w:p>
        </w:tc>
      </w:tr>
      <w:tr>
        <w:trPr>
          <w:trHeight w:val="237"/>
        </w:trPr>
        <w:tc>
          <w:tcPr>
            <w:tcW w:w="2580" w:type="dxa"/>
            <w:vAlign w:val="bottom"/>
            <w:tcBorders>
              <w:left w:val="single" w:sz="8" w:color="auto"/>
              <w:right w:val="single" w:sz="8" w:color="auto"/>
            </w:tcBorders>
          </w:tcPr>
          <w:p>
            <w:pPr>
              <w:spacing w:after="0"/>
              <w:rPr>
                <w:sz w:val="20"/>
                <w:szCs w:val="20"/>
                <w:color w:val="auto"/>
              </w:rPr>
            </w:pPr>
          </w:p>
        </w:tc>
        <w:tc>
          <w:tcPr>
            <w:tcW w:w="7120" w:type="dxa"/>
            <w:vAlign w:val="bottom"/>
            <w:tcBorders>
              <w:right w:val="single" w:sz="8" w:color="auto"/>
            </w:tcBorders>
            <w:gridSpan w:val="10"/>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at Tier Two Performance Goal ( the “Target Performance Goal”)</w:t>
            </w:r>
          </w:p>
        </w:tc>
        <w:tc>
          <w:tcPr>
            <w:tcW w:w="0" w:type="dxa"/>
            <w:vAlign w:val="bottom"/>
          </w:tcPr>
          <w:p>
            <w:pPr>
              <w:spacing w:after="0"/>
              <w:rPr>
                <w:sz w:val="1"/>
                <w:szCs w:val="1"/>
                <w:color w:val="auto"/>
              </w:rPr>
            </w:pPr>
          </w:p>
        </w:tc>
      </w:tr>
      <w:tr>
        <w:trPr>
          <w:trHeight w:val="365"/>
        </w:trPr>
        <w:tc>
          <w:tcPr>
            <w:tcW w:w="2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Number of Restricted Stock</w:t>
            </w:r>
          </w:p>
        </w:tc>
        <w:tc>
          <w:tcPr>
            <w:tcW w:w="33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at Tier Three Performance Goal]</w:t>
            </w:r>
            <w:r>
              <w:rPr>
                <w:rFonts w:ascii="Times New Roman" w:cs="Times New Roman" w:eastAsia="Times New Roman" w:hAnsi="Times New Roman"/>
                <w:sz w:val="25"/>
                <w:szCs w:val="25"/>
                <w:color w:val="auto"/>
                <w:vertAlign w:val="superscript"/>
              </w:rPr>
              <w:t>5</w:t>
            </w:r>
          </w:p>
        </w:tc>
        <w:tc>
          <w:tcPr>
            <w:tcW w:w="1980" w:type="dxa"/>
            <w:vAlign w:val="bottom"/>
            <w:tcBorders>
              <w:top w:val="single" w:sz="8" w:color="auto"/>
            </w:tcBorders>
            <w:gridSpan w:val="3"/>
          </w:tcPr>
          <w:p>
            <w:pPr>
              <w:spacing w:after="0"/>
              <w:rPr>
                <w:sz w:val="24"/>
                <w:szCs w:val="24"/>
                <w:color w:val="auto"/>
              </w:rPr>
            </w:pPr>
          </w:p>
        </w:tc>
        <w:tc>
          <w:tcPr>
            <w:tcW w:w="178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80" w:type="dxa"/>
            <w:vAlign w:val="bottom"/>
            <w:tcBorders>
              <w:left w:val="single" w:sz="8" w:color="auto"/>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Units Granted:</w:t>
            </w:r>
          </w:p>
        </w:tc>
        <w:tc>
          <w:tcPr>
            <w:tcW w:w="712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20"/>
                <w:szCs w:val="20"/>
                <w:color w:val="auto"/>
              </w:rPr>
              <w:t>[OPTION 2: [●] at Tier Four Performance Goal (the “Target Performance Goal”)</w:t>
            </w:r>
          </w:p>
        </w:tc>
        <w:tc>
          <w:tcPr>
            <w:tcW w:w="0" w:type="dxa"/>
            <w:vAlign w:val="bottom"/>
          </w:tcPr>
          <w:p>
            <w:pPr>
              <w:spacing w:after="0"/>
              <w:rPr>
                <w:sz w:val="1"/>
                <w:szCs w:val="1"/>
                <w:color w:val="auto"/>
              </w:rPr>
            </w:pPr>
          </w:p>
        </w:tc>
      </w:tr>
      <w:tr>
        <w:trPr>
          <w:trHeight w:val="20"/>
        </w:trPr>
        <w:tc>
          <w:tcPr>
            <w:tcW w:w="2580" w:type="dxa"/>
            <w:vAlign w:val="bottom"/>
            <w:tcBorders>
              <w:left w:val="single" w:sz="8" w:color="auto"/>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8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20"/>
                <w:szCs w:val="20"/>
                <w:color w:val="auto"/>
              </w:rPr>
              <w:t>[●] at Tier Five Performance Goal]</w:t>
            </w:r>
            <w:r>
              <w:rPr>
                <w:rFonts w:ascii="Times New Roman" w:cs="Times New Roman" w:eastAsia="Times New Roman" w:hAnsi="Times New Roman"/>
                <w:sz w:val="25"/>
                <w:szCs w:val="25"/>
                <w:u w:val="single" w:color="auto"/>
                <w:color w:val="auto"/>
                <w:vertAlign w:val="superscript"/>
              </w:rPr>
              <w:t>5</w:t>
            </w:r>
          </w:p>
        </w:tc>
        <w:tc>
          <w:tcPr>
            <w:tcW w:w="0" w:type="dxa"/>
            <w:vAlign w:val="bottom"/>
          </w:tcPr>
          <w:p>
            <w:pPr>
              <w:spacing w:after="0"/>
              <w:rPr>
                <w:sz w:val="1"/>
                <w:szCs w:val="1"/>
                <w:color w:val="auto"/>
              </w:rPr>
            </w:pPr>
          </w:p>
        </w:tc>
      </w:tr>
      <w:tr>
        <w:trPr>
          <w:trHeight w:val="47"/>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_____ RSUs</w:t>
            </w:r>
          </w:p>
        </w:tc>
        <w:tc>
          <w:tcPr>
            <w:tcW w:w="43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auto"/>
                <w:w w:val="99"/>
              </w:rPr>
              <w:t>[●]% of the Restricted Stock Units, determined at the</w:t>
            </w:r>
          </w:p>
        </w:tc>
        <w:tc>
          <w:tcPr>
            <w:tcW w:w="19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0"/>
                <w:szCs w:val="20"/>
                <w:color w:val="auto"/>
                <w:w w:val="96"/>
              </w:rPr>
              <w:t>Target Performance Goal</w:t>
            </w:r>
          </w:p>
        </w:tc>
        <w:tc>
          <w:tcPr>
            <w:tcW w:w="820" w:type="dxa"/>
            <w:vAlign w:val="bottom"/>
            <w:tcBorders>
              <w:right w:val="single" w:sz="8" w:color="auto"/>
            </w:tcBorders>
          </w:tcPr>
          <w:p>
            <w:pPr>
              <w:jc w:val="right"/>
              <w:ind w:right="6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48"/>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_____ RSUs</w:t>
            </w:r>
          </w:p>
        </w:tc>
        <w:tc>
          <w:tcPr>
            <w:tcW w:w="43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auto"/>
                <w:w w:val="99"/>
              </w:rPr>
              <w:t>[●]% of the Restricted Stock Units, determined at the</w:t>
            </w:r>
          </w:p>
        </w:tc>
        <w:tc>
          <w:tcPr>
            <w:tcW w:w="19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0"/>
                <w:szCs w:val="20"/>
                <w:color w:val="auto"/>
                <w:w w:val="96"/>
              </w:rPr>
              <w:t>Target Performance Goal</w:t>
            </w:r>
          </w:p>
        </w:tc>
        <w:tc>
          <w:tcPr>
            <w:tcW w:w="820" w:type="dxa"/>
            <w:vAlign w:val="bottom"/>
            <w:tcBorders>
              <w:right w:val="single" w:sz="8" w:color="auto"/>
            </w:tcBorders>
          </w:tcPr>
          <w:p>
            <w:pPr>
              <w:jc w:val="right"/>
              <w:ind w:right="6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48"/>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_____ RSUs</w:t>
            </w:r>
          </w:p>
        </w:tc>
        <w:tc>
          <w:tcPr>
            <w:tcW w:w="43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auto"/>
                <w:w w:val="99"/>
              </w:rPr>
              <w:t>[●]% of the Restricted Stock Units, determined at the</w:t>
            </w:r>
          </w:p>
        </w:tc>
        <w:tc>
          <w:tcPr>
            <w:tcW w:w="19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0"/>
                <w:szCs w:val="20"/>
                <w:color w:val="auto"/>
                <w:w w:val="96"/>
              </w:rPr>
              <w:t>Target Performance Goal</w:t>
            </w:r>
          </w:p>
        </w:tc>
        <w:tc>
          <w:tcPr>
            <w:tcW w:w="820" w:type="dxa"/>
            <w:vAlign w:val="bottom"/>
            <w:tcBorders>
              <w:right w:val="single" w:sz="8" w:color="auto"/>
            </w:tcBorders>
          </w:tcPr>
          <w:p>
            <w:pPr>
              <w:jc w:val="right"/>
              <w:ind w:right="6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48"/>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_____ RSUs</w:t>
            </w:r>
          </w:p>
        </w:tc>
        <w:tc>
          <w:tcPr>
            <w:tcW w:w="43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auto"/>
                <w:w w:val="99"/>
              </w:rPr>
              <w:t>[●]% of the Restricted Stock Units, determined at the</w:t>
            </w:r>
          </w:p>
        </w:tc>
        <w:tc>
          <w:tcPr>
            <w:tcW w:w="19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0"/>
                <w:szCs w:val="20"/>
                <w:color w:val="auto"/>
                <w:w w:val="96"/>
              </w:rPr>
              <w:t>Target Performance Goal</w:t>
            </w:r>
          </w:p>
        </w:tc>
        <w:tc>
          <w:tcPr>
            <w:tcW w:w="820" w:type="dxa"/>
            <w:vAlign w:val="bottom"/>
            <w:tcBorders>
              <w:right w:val="single" w:sz="8" w:color="auto"/>
            </w:tcBorders>
          </w:tcPr>
          <w:p>
            <w:pPr>
              <w:jc w:val="right"/>
              <w:ind w:right="6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48"/>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_____ RSUs</w:t>
            </w:r>
          </w:p>
        </w:tc>
        <w:tc>
          <w:tcPr>
            <w:tcW w:w="43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auto"/>
                <w:w w:val="99"/>
              </w:rPr>
              <w:t>[●]% of the Restricted Stock Units, determined at the</w:t>
            </w:r>
          </w:p>
        </w:tc>
        <w:tc>
          <w:tcPr>
            <w:tcW w:w="19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0"/>
                <w:szCs w:val="20"/>
                <w:color w:val="auto"/>
                <w:w w:val="96"/>
              </w:rPr>
              <w:t>Target Performance Goal</w:t>
            </w:r>
          </w:p>
        </w:tc>
        <w:tc>
          <w:tcPr>
            <w:tcW w:w="820" w:type="dxa"/>
            <w:vAlign w:val="bottom"/>
            <w:tcBorders>
              <w:right w:val="single" w:sz="8" w:color="auto"/>
            </w:tcBorders>
          </w:tcPr>
          <w:p>
            <w:pPr>
              <w:jc w:val="right"/>
              <w:ind w:right="6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0" w:type="dxa"/>
            <w:vAlign w:val="bottom"/>
          </w:tcPr>
          <w:p>
            <w:pPr>
              <w:spacing w:after="0"/>
              <w:rPr>
                <w:sz w:val="1"/>
                <w:szCs w:val="1"/>
                <w:color w:val="auto"/>
              </w:rPr>
            </w:pPr>
          </w:p>
        </w:tc>
      </w:tr>
      <w:tr>
        <w:trPr>
          <w:trHeight w:val="48"/>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5" w:lineRule="exact"/>
        <w:rPr>
          <w:sz w:val="20"/>
          <w:szCs w:val="20"/>
          <w:color w:val="auto"/>
        </w:rPr>
      </w:pPr>
    </w:p>
    <w:p>
      <w:pPr>
        <w:ind w:left="120" w:hanging="112"/>
        <w:spacing w:after="0"/>
        <w:tabs>
          <w:tab w:leader="none" w:pos="120" w:val="left"/>
        </w:tabs>
        <w:numPr>
          <w:ilvl w:val="0"/>
          <w:numId w:val="2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2019.</w:t>
      </w:r>
    </w:p>
    <w:p>
      <w:pPr>
        <w:sectPr>
          <w:pgSz w:w="11900" w:h="16838" w:orient="portrait"/>
          <w:cols w:equalWidth="0" w:num="1">
            <w:col w:w="11100"/>
          </w:cols>
          <w:pgMar w:left="320" w:top="1440" w:right="479" w:bottom="1440" w:gutter="0" w:footer="0" w:header="0"/>
        </w:sectPr>
      </w:pPr>
    </w:p>
    <w:bookmarkStart w:id="239" w:name="page240"/>
    <w:bookmarkEnd w:id="23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580" w:type="dxa"/>
            <w:vAlign w:val="bottom"/>
            <w:tcBorders>
              <w:top w:val="single" w:sz="8" w:color="auto"/>
              <w:left w:val="single" w:sz="8" w:color="auto"/>
              <w:right w:val="single" w:sz="8" w:color="auto"/>
            </w:tcBorders>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[Interpolation of Vesting</w:t>
            </w:r>
          </w:p>
        </w:tc>
        <w:tc>
          <w:tcPr>
            <w:tcW w:w="20" w:type="dxa"/>
            <w:vAlign w:val="bottom"/>
            <w:tcBorders>
              <w:top w:val="single" w:sz="8" w:color="auto"/>
            </w:tcBorders>
          </w:tcPr>
          <w:p>
            <w:pPr>
              <w:spacing w:after="0"/>
              <w:rPr>
                <w:sz w:val="18"/>
                <w:szCs w:val="18"/>
                <w:color w:val="auto"/>
              </w:rPr>
            </w:pPr>
          </w:p>
        </w:tc>
        <w:tc>
          <w:tcPr>
            <w:tcW w:w="7100" w:type="dxa"/>
            <w:vAlign w:val="bottom"/>
            <w:tcBorders>
              <w:top w:val="single" w:sz="8" w:color="auto"/>
              <w:right w:val="single" w:sz="8" w:color="auto"/>
            </w:tcBorders>
            <w:gridSpan w:val="15"/>
          </w:tcPr>
          <w:p>
            <w:pPr>
              <w:spacing w:after="0" w:line="216" w:lineRule="exact"/>
              <w:rPr>
                <w:sz w:val="20"/>
                <w:szCs w:val="20"/>
                <w:color w:val="auto"/>
              </w:rPr>
            </w:pPr>
            <w:r>
              <w:rPr>
                <w:rFonts w:ascii="Times New Roman" w:cs="Times New Roman" w:eastAsia="Times New Roman" w:hAnsi="Times New Roman"/>
                <w:sz w:val="20"/>
                <w:szCs w:val="20"/>
                <w:color w:val="auto"/>
              </w:rPr>
              <w:t>The vesting percentage for any year shall be mathematically interpolated for</w:t>
            </w:r>
          </w:p>
        </w:tc>
        <w:tc>
          <w:tcPr>
            <w:tcW w:w="0" w:type="dxa"/>
            <w:vAlign w:val="bottom"/>
          </w:tcPr>
          <w:p>
            <w:pPr>
              <w:spacing w:after="0"/>
              <w:rPr>
                <w:sz w:val="1"/>
                <w:szCs w:val="1"/>
                <w:color w:val="auto"/>
              </w:rPr>
            </w:pPr>
          </w:p>
        </w:tc>
      </w:tr>
      <w:tr>
        <w:trPr>
          <w:trHeight w:val="229"/>
        </w:trPr>
        <w:tc>
          <w:tcPr>
            <w:tcW w:w="258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20"/>
                <w:szCs w:val="20"/>
                <w:color w:val="auto"/>
              </w:rPr>
              <w:t>Percentages for Achievement</w:t>
            </w: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achievement between:</w:t>
            </w:r>
          </w:p>
        </w:tc>
        <w:tc>
          <w:tcPr>
            <w:tcW w:w="0" w:type="dxa"/>
            <w:vAlign w:val="bottom"/>
          </w:tcPr>
          <w:p>
            <w:pPr>
              <w:spacing w:after="0"/>
              <w:rPr>
                <w:sz w:val="1"/>
                <w:szCs w:val="1"/>
                <w:color w:val="auto"/>
              </w:rPr>
            </w:pPr>
          </w:p>
        </w:tc>
      </w:tr>
      <w:tr>
        <w:trPr>
          <w:trHeight w:val="135"/>
        </w:trPr>
        <w:tc>
          <w:tcPr>
            <w:tcW w:w="2580" w:type="dxa"/>
            <w:vAlign w:val="bottom"/>
            <w:tcBorders>
              <w:left w:val="single" w:sz="8" w:color="auto"/>
              <w:right w:val="single" w:sz="8" w:color="auto"/>
            </w:tcBorders>
            <w:gridSpan w:val="5"/>
          </w:tcPr>
          <w:p>
            <w:pPr>
              <w:ind w:left="40"/>
              <w:spacing w:after="0" w:line="135" w:lineRule="exact"/>
              <w:rPr>
                <w:sz w:val="20"/>
                <w:szCs w:val="20"/>
                <w:color w:val="auto"/>
              </w:rPr>
            </w:pPr>
            <w:r>
              <w:rPr>
                <w:rFonts w:ascii="Times New Roman" w:cs="Times New Roman" w:eastAsia="Times New Roman" w:hAnsi="Times New Roman"/>
                <w:sz w:val="15"/>
                <w:szCs w:val="15"/>
                <w:color w:val="auto"/>
              </w:rPr>
              <w:t>Between Tiered Performance</w:t>
            </w:r>
          </w:p>
        </w:tc>
        <w:tc>
          <w:tcPr>
            <w:tcW w:w="20" w:type="dxa"/>
            <w:vAlign w:val="bottom"/>
          </w:tcPr>
          <w:p>
            <w:pPr>
              <w:spacing w:after="0"/>
              <w:rPr>
                <w:sz w:val="11"/>
                <w:szCs w:val="11"/>
                <w:color w:val="auto"/>
              </w:rPr>
            </w:pPr>
          </w:p>
        </w:tc>
        <w:tc>
          <w:tcPr>
            <w:tcW w:w="7100" w:type="dxa"/>
            <w:vAlign w:val="bottom"/>
            <w:tcBorders>
              <w:right w:val="single" w:sz="8" w:color="auto"/>
            </w:tcBorders>
            <w:gridSpan w:val="15"/>
            <w:vMerge w:val="restart"/>
          </w:tcPr>
          <w:p>
            <w:pPr>
              <w:spacing w:after="0"/>
              <w:rPr>
                <w:sz w:val="20"/>
                <w:szCs w:val="20"/>
                <w:color w:val="auto"/>
              </w:rPr>
            </w:pPr>
            <w:r>
              <w:rPr>
                <w:rFonts w:ascii="Times New Roman" w:cs="Times New Roman" w:eastAsia="Times New Roman" w:hAnsi="Times New Roman"/>
                <w:sz w:val="20"/>
                <w:szCs w:val="20"/>
                <w:color w:val="auto"/>
                <w:w w:val="98"/>
              </w:rPr>
              <w:t>-- the [lowest performance level of the] Tier One Performance Goal ([●]% year over year</w:t>
            </w:r>
          </w:p>
        </w:tc>
        <w:tc>
          <w:tcPr>
            <w:tcW w:w="0" w:type="dxa"/>
            <w:vAlign w:val="bottom"/>
          </w:tcPr>
          <w:p>
            <w:pPr>
              <w:spacing w:after="0"/>
              <w:rPr>
                <w:sz w:val="1"/>
                <w:szCs w:val="1"/>
                <w:color w:val="auto"/>
              </w:rPr>
            </w:pPr>
          </w:p>
        </w:tc>
      </w:tr>
      <w:tr>
        <w:trPr>
          <w:trHeight w:val="108"/>
        </w:trPr>
        <w:tc>
          <w:tcPr>
            <w:tcW w:w="2580" w:type="dxa"/>
            <w:vAlign w:val="bottom"/>
            <w:tcBorders>
              <w:left w:val="single" w:sz="8" w:color="auto"/>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20"/>
                <w:szCs w:val="20"/>
                <w:color w:val="auto"/>
              </w:rPr>
              <w:t>Goals</w:t>
            </w:r>
          </w:p>
        </w:tc>
        <w:tc>
          <w:tcPr>
            <w:tcW w:w="20" w:type="dxa"/>
            <w:vAlign w:val="bottom"/>
          </w:tcPr>
          <w:p>
            <w:pPr>
              <w:spacing w:after="0"/>
              <w:rPr>
                <w:sz w:val="9"/>
                <w:szCs w:val="9"/>
                <w:color w:val="auto"/>
              </w:rPr>
            </w:pPr>
          </w:p>
        </w:tc>
        <w:tc>
          <w:tcPr>
            <w:tcW w:w="7100" w:type="dxa"/>
            <w:vAlign w:val="bottom"/>
            <w:tcBorders>
              <w:right w:val="single" w:sz="8" w:color="auto"/>
            </w:tcBorders>
            <w:gridSpan w:val="1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80" w:type="dxa"/>
            <w:vAlign w:val="bottom"/>
            <w:tcBorders>
              <w:left w:val="single" w:sz="8" w:color="auto"/>
              <w:right w:val="single" w:sz="8" w:color="auto"/>
            </w:tcBorders>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580" w:type="dxa"/>
            <w:vAlign w:val="bottom"/>
            <w:tcBorders>
              <w:left w:val="single" w:sz="8" w:color="auto"/>
              <w:right w:val="single" w:sz="8" w:color="auto"/>
            </w:tcBorders>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7100" w:type="dxa"/>
            <w:vAlign w:val="bottom"/>
            <w:tcBorders>
              <w:right w:val="single" w:sz="8" w:color="auto"/>
            </w:tcBorders>
            <w:gridSpan w:val="15"/>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increase in Adjusted EBITDA) and the [lowest level of achievement of the] Tier Two</w:t>
            </w:r>
          </w:p>
        </w:tc>
        <w:tc>
          <w:tcPr>
            <w:tcW w:w="0" w:type="dxa"/>
            <w:vAlign w:val="bottom"/>
          </w:tcPr>
          <w:p>
            <w:pPr>
              <w:spacing w:after="0"/>
              <w:rPr>
                <w:sz w:val="1"/>
                <w:szCs w:val="1"/>
                <w:color w:val="auto"/>
              </w:rPr>
            </w:pPr>
          </w:p>
        </w:tc>
      </w:tr>
      <w:tr>
        <w:trPr>
          <w:trHeight w:val="79"/>
        </w:trPr>
        <w:tc>
          <w:tcPr>
            <w:tcW w:w="62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7100" w:type="dxa"/>
            <w:vAlign w:val="bottom"/>
            <w:tcBorders>
              <w:right w:val="single" w:sz="8" w:color="auto"/>
            </w:tcBorders>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Performance Goal ([●]% year over year increase in Adjusted EBITDA). The</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line="228" w:lineRule="exact"/>
              <w:rPr>
                <w:sz w:val="20"/>
                <w:szCs w:val="20"/>
                <w:color w:val="auto"/>
              </w:rPr>
            </w:pPr>
            <w:r>
              <w:rPr>
                <w:rFonts w:ascii="Times New Roman" w:cs="Times New Roman" w:eastAsia="Times New Roman" w:hAnsi="Times New Roman"/>
                <w:sz w:val="20"/>
                <w:szCs w:val="20"/>
                <w:color w:val="auto"/>
              </w:rPr>
              <w:t>interpolation of vesting shall range from [●]% to [●]%.</w:t>
            </w:r>
          </w:p>
        </w:tc>
        <w:tc>
          <w:tcPr>
            <w:tcW w:w="0" w:type="dxa"/>
            <w:vAlign w:val="bottom"/>
          </w:tcPr>
          <w:p>
            <w:pPr>
              <w:spacing w:after="0"/>
              <w:rPr>
                <w:sz w:val="1"/>
                <w:szCs w:val="1"/>
                <w:color w:val="auto"/>
              </w:rPr>
            </w:pPr>
          </w:p>
        </w:tc>
      </w:tr>
      <w:tr>
        <w:trPr>
          <w:trHeight w:val="212"/>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12" w:lineRule="exact"/>
              <w:rPr>
                <w:sz w:val="20"/>
                <w:szCs w:val="20"/>
                <w:color w:val="auto"/>
              </w:rPr>
            </w:pPr>
            <w:r>
              <w:rPr>
                <w:rFonts w:ascii="Times New Roman" w:cs="Times New Roman" w:eastAsia="Times New Roman" w:hAnsi="Times New Roman"/>
                <w:sz w:val="20"/>
                <w:szCs w:val="20"/>
                <w:color w:val="auto"/>
              </w:rPr>
              <w:t>-- the [highest performance level of the] Tier Two Performance Goal ([__]% year over</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year increase in Adjusted EBITDA) and the [lowest level of achievement of the] Tier</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Three Performance Goal ([●]% year over year increase in Adjusted EBITDA). The</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line="228" w:lineRule="exact"/>
              <w:rPr>
                <w:sz w:val="20"/>
                <w:szCs w:val="20"/>
                <w:color w:val="auto"/>
              </w:rPr>
            </w:pPr>
            <w:r>
              <w:rPr>
                <w:rFonts w:ascii="Times New Roman" w:cs="Times New Roman" w:eastAsia="Times New Roman" w:hAnsi="Times New Roman"/>
                <w:sz w:val="20"/>
                <w:szCs w:val="20"/>
                <w:color w:val="auto"/>
              </w:rPr>
              <w:t>interpolation of vesting shall range from [●]% to [●]%.</w:t>
            </w:r>
          </w:p>
        </w:tc>
        <w:tc>
          <w:tcPr>
            <w:tcW w:w="0" w:type="dxa"/>
            <w:vAlign w:val="bottom"/>
          </w:tcPr>
          <w:p>
            <w:pPr>
              <w:spacing w:after="0"/>
              <w:rPr>
                <w:sz w:val="1"/>
                <w:szCs w:val="1"/>
                <w:color w:val="auto"/>
              </w:rPr>
            </w:pPr>
          </w:p>
        </w:tc>
      </w:tr>
      <w:tr>
        <w:trPr>
          <w:trHeight w:val="212"/>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12" w:lineRule="exact"/>
              <w:rPr>
                <w:sz w:val="20"/>
                <w:szCs w:val="20"/>
                <w:color w:val="auto"/>
              </w:rPr>
            </w:pPr>
            <w:r>
              <w:rPr>
                <w:rFonts w:ascii="Times New Roman" w:cs="Times New Roman" w:eastAsia="Times New Roman" w:hAnsi="Times New Roman"/>
                <w:sz w:val="20"/>
                <w:szCs w:val="20"/>
                <w:color w:val="auto"/>
              </w:rPr>
              <w:t>[-- the Tier Three Performance Goal ([●]% year over year increase in Adjusted</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rPr>
              <w:t>EBITDA) and the lowest performance level of the Tier Four Performance Goal ([●]%</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left w:val="single" w:sz="8" w:color="auto"/>
            </w:tcBorders>
            <w:gridSpan w:val="2"/>
            <w:shd w:val="clear" w:color="auto" w:fill="000000"/>
          </w:tcPr>
          <w:p>
            <w:pPr>
              <w:spacing w:after="0" w:line="20" w:lineRule="exact"/>
              <w:rPr>
                <w:sz w:val="1"/>
                <w:szCs w:val="1"/>
                <w:color w:val="auto"/>
              </w:rPr>
            </w:pPr>
          </w:p>
        </w:tc>
        <w:tc>
          <w:tcPr>
            <w:tcW w:w="8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line="228" w:lineRule="exact"/>
              <w:rPr>
                <w:sz w:val="20"/>
                <w:szCs w:val="20"/>
                <w:color w:val="auto"/>
              </w:rPr>
            </w:pPr>
            <w:r>
              <w:rPr>
                <w:rFonts w:ascii="Times New Roman" w:cs="Times New Roman" w:eastAsia="Times New Roman" w:hAnsi="Times New Roman"/>
                <w:sz w:val="20"/>
                <w:szCs w:val="20"/>
                <w:color w:val="auto"/>
              </w:rPr>
              <w:t>year over year increase in Adjusted EBITDA). The interpolation of vesting shall range</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from [●]% to [●]%.</w:t>
            </w:r>
          </w:p>
        </w:tc>
        <w:tc>
          <w:tcPr>
            <w:tcW w:w="0" w:type="dxa"/>
            <w:vAlign w:val="bottom"/>
          </w:tcPr>
          <w:p>
            <w:pPr>
              <w:spacing w:after="0"/>
              <w:rPr>
                <w:sz w:val="1"/>
                <w:szCs w:val="1"/>
                <w:color w:val="auto"/>
              </w:rPr>
            </w:pPr>
          </w:p>
        </w:tc>
      </w:tr>
      <w:tr>
        <w:trPr>
          <w:trHeight w:val="212"/>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12" w:lineRule="exact"/>
              <w:rPr>
                <w:sz w:val="20"/>
                <w:szCs w:val="20"/>
                <w:color w:val="auto"/>
              </w:rPr>
            </w:pPr>
            <w:r>
              <w:rPr>
                <w:rFonts w:ascii="Times New Roman" w:cs="Times New Roman" w:eastAsia="Times New Roman" w:hAnsi="Times New Roman"/>
                <w:sz w:val="20"/>
                <w:szCs w:val="20"/>
                <w:color w:val="auto"/>
                <w:w w:val="99"/>
              </w:rPr>
              <w:t>-- the highest performance level of the Tier Four Performance Goal ([●]% year over year</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right w:val="single" w:sz="8" w:color="auto"/>
            </w:tcBorders>
            <w:gridSpan w:val="5"/>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09" w:lineRule="exact"/>
              <w:rPr>
                <w:sz w:val="20"/>
                <w:szCs w:val="20"/>
                <w:color w:val="auto"/>
              </w:rPr>
            </w:pPr>
            <w:r>
              <w:rPr>
                <w:rFonts w:ascii="Times New Roman" w:cs="Times New Roman" w:eastAsia="Times New Roman" w:hAnsi="Times New Roman"/>
                <w:sz w:val="20"/>
                <w:szCs w:val="20"/>
                <w:color w:val="auto"/>
                <w:w w:val="98"/>
              </w:rPr>
              <w:t>increase in Adjusted EBITDA) and the Tier Five Performance Goal ([●]% year over year</w:t>
            </w:r>
          </w:p>
        </w:tc>
        <w:tc>
          <w:tcPr>
            <w:tcW w:w="0" w:type="dxa"/>
            <w:vAlign w:val="bottom"/>
          </w:tcPr>
          <w:p>
            <w:pPr>
              <w:spacing w:after="0"/>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6"/>
          </w:tcPr>
          <w:p>
            <w:pPr>
              <w:spacing w:after="0" w:line="228" w:lineRule="exact"/>
              <w:rPr>
                <w:sz w:val="20"/>
                <w:szCs w:val="20"/>
                <w:color w:val="auto"/>
              </w:rPr>
            </w:pPr>
            <w:r>
              <w:rPr>
                <w:rFonts w:ascii="Times New Roman" w:cs="Times New Roman" w:eastAsia="Times New Roman" w:hAnsi="Times New Roman"/>
                <w:sz w:val="20"/>
                <w:szCs w:val="20"/>
                <w:color w:val="auto"/>
              </w:rPr>
              <w:t>increase in</w:t>
            </w:r>
          </w:p>
        </w:tc>
        <w:tc>
          <w:tcPr>
            <w:tcW w:w="2240" w:type="dxa"/>
            <w:vAlign w:val="bottom"/>
            <w:tcBorders>
              <w:top w:val="single" w:sz="8" w:color="auto"/>
            </w:tcBorders>
            <w:gridSpan w:val="4"/>
          </w:tcPr>
          <w:p>
            <w:pPr>
              <w:spacing w:after="0"/>
              <w:rPr>
                <w:sz w:val="19"/>
                <w:szCs w:val="19"/>
                <w:color w:val="auto"/>
              </w:rPr>
            </w:pPr>
          </w:p>
        </w:tc>
        <w:tc>
          <w:tcPr>
            <w:tcW w:w="1740" w:type="dxa"/>
            <w:vAlign w:val="bottom"/>
            <w:tcBorders>
              <w:right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0" w:type="dxa"/>
            <w:vAlign w:val="bottom"/>
            <w:tcBorders>
              <w:lef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Adjusted EBITDA). The interpolation of vesting shall range from [●]% to [●]%).]</w:t>
            </w:r>
          </w:p>
        </w:tc>
        <w:tc>
          <w:tcPr>
            <w:tcW w:w="0" w:type="dxa"/>
            <w:vAlign w:val="bottom"/>
          </w:tcPr>
          <w:p>
            <w:pPr>
              <w:spacing w:after="0"/>
              <w:rPr>
                <w:sz w:val="1"/>
                <w:szCs w:val="1"/>
                <w:color w:val="auto"/>
              </w:rPr>
            </w:pPr>
          </w:p>
        </w:tc>
      </w:tr>
      <w:tr>
        <w:trPr>
          <w:trHeight w:val="493"/>
        </w:trPr>
        <w:tc>
          <w:tcPr>
            <w:tcW w:w="6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100" w:type="dxa"/>
            <w:vAlign w:val="bottom"/>
            <w:tcBorders>
              <w:bottom w:val="single" w:sz="8" w:color="auto"/>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Fractional results shall be rounded to next lower full Share.</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183"/>
        </w:trPr>
        <w:tc>
          <w:tcPr>
            <w:tcW w:w="2580" w:type="dxa"/>
            <w:vAlign w:val="bottom"/>
            <w:tcBorders>
              <w:left w:val="single" w:sz="8" w:color="auto"/>
              <w:right w:val="single" w:sz="8" w:color="auto"/>
            </w:tcBorders>
            <w:gridSpan w:val="5"/>
          </w:tcPr>
          <w:p>
            <w:pPr>
              <w:ind w:left="40"/>
              <w:spacing w:after="0" w:line="183" w:lineRule="exact"/>
              <w:rPr>
                <w:sz w:val="20"/>
                <w:szCs w:val="20"/>
                <w:color w:val="auto"/>
              </w:rPr>
            </w:pPr>
            <w:r>
              <w:rPr>
                <w:rFonts w:ascii="Times New Roman" w:cs="Times New Roman" w:eastAsia="Times New Roman" w:hAnsi="Times New Roman"/>
                <w:sz w:val="20"/>
                <w:szCs w:val="20"/>
                <w:color w:val="auto"/>
              </w:rPr>
              <w:t>Vesting Dates and Vesting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Borders>
              <w:left w:val="single" w:sz="8" w:color="auto"/>
              <w:right w:val="single" w:sz="8" w:color="auto"/>
            </w:tcBorders>
            <w:gridSpan w:val="5"/>
          </w:tcPr>
          <w:p>
            <w:pPr>
              <w:ind w:left="40"/>
              <w:spacing w:after="0" w:line="189" w:lineRule="exact"/>
              <w:rPr>
                <w:sz w:val="20"/>
                <w:szCs w:val="20"/>
                <w:color w:val="auto"/>
              </w:rPr>
            </w:pPr>
            <w:r>
              <w:rPr>
                <w:rFonts w:ascii="Times New Roman" w:cs="Times New Roman" w:eastAsia="Times New Roman" w:hAnsi="Times New Roman"/>
                <w:sz w:val="20"/>
                <w:szCs w:val="20"/>
                <w:color w:val="auto"/>
              </w:rPr>
              <w:t>Percentages of Restricted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20"/>
                <w:szCs w:val="20"/>
                <w:color w:val="auto"/>
              </w:rPr>
              <w:t>Stock Units: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line="228" w:lineRule="exact"/>
              <w:rPr>
                <w:sz w:val="20"/>
                <w:szCs w:val="20"/>
                <w:color w:val="auto"/>
              </w:rPr>
            </w:pPr>
            <w:r>
              <w:rPr>
                <w:rFonts w:ascii="Times New Roman" w:cs="Times New Roman" w:eastAsia="Times New Roman" w:hAnsi="Times New Roman"/>
                <w:sz w:val="20"/>
                <w:szCs w:val="20"/>
                <w:color w:val="auto"/>
              </w:rPr>
              <w:t>On _____:</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One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Two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Three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Four Performance Goal is satisfied;</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right w:val="single" w:sz="8" w:color="auto"/>
            </w:tcBorders>
            <w:gridSpan w:val="5"/>
          </w:tcPr>
          <w:p>
            <w:pPr>
              <w:ind w:left="80"/>
              <w:spacing w:after="0" w:line="212" w:lineRule="exact"/>
              <w:rPr>
                <w:sz w:val="20"/>
                <w:szCs w:val="20"/>
                <w:color w:val="auto"/>
              </w:rPr>
            </w:pPr>
            <w:r>
              <w:rPr>
                <w:rFonts w:ascii="Times New Roman" w:cs="Times New Roman" w:eastAsia="Times New Roman" w:hAnsi="Times New Roman"/>
                <w:sz w:val="20"/>
                <w:szCs w:val="20"/>
                <w:color w:val="auto"/>
              </w:rPr>
              <w:t>(1) [●] RSUs:</w:t>
            </w: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12" w:lineRule="exact"/>
              <w:rPr>
                <w:sz w:val="20"/>
                <w:szCs w:val="20"/>
                <w:color w:val="auto"/>
              </w:rPr>
            </w:pPr>
            <w:r>
              <w:rPr>
                <w:rFonts w:ascii="Times New Roman" w:cs="Times New Roman" w:eastAsia="Times New Roman" w:hAnsi="Times New Roman"/>
                <w:sz w:val="19"/>
                <w:szCs w:val="19"/>
                <w:color w:val="auto"/>
              </w:rPr>
              <w:t>[●]%, provided that the Tier Five Performance Goal is satisfied.]</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line="228" w:lineRule="exact"/>
              <w:rPr>
                <w:sz w:val="20"/>
                <w:szCs w:val="20"/>
                <w:color w:val="auto"/>
              </w:rPr>
            </w:pPr>
            <w:r>
              <w:rPr>
                <w:rFonts w:ascii="Times New Roman" w:cs="Times New Roman" w:eastAsia="Times New Roman" w:hAnsi="Times New Roman"/>
                <w:sz w:val="20"/>
                <w:szCs w:val="20"/>
                <w:color w:val="auto"/>
              </w:rPr>
              <w:t>On _____, the greater of the vesting percentage as determined for _____ RSUs, or</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One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Two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Three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10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 provided that the Tier Four Performance Goal is satisfied;</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right w:val="single" w:sz="8" w:color="auto"/>
            </w:tcBorders>
            <w:gridSpan w:val="5"/>
          </w:tcPr>
          <w:p>
            <w:pPr>
              <w:ind w:left="40"/>
              <w:spacing w:after="0" w:line="212" w:lineRule="exact"/>
              <w:rPr>
                <w:sz w:val="20"/>
                <w:szCs w:val="20"/>
                <w:color w:val="auto"/>
              </w:rPr>
            </w:pPr>
            <w:r>
              <w:rPr>
                <w:rFonts w:ascii="Times New Roman" w:cs="Times New Roman" w:eastAsia="Times New Roman" w:hAnsi="Times New Roman"/>
                <w:sz w:val="20"/>
                <w:szCs w:val="20"/>
                <w:color w:val="auto"/>
              </w:rPr>
              <w:t>(2) [●] RSUs:</w:t>
            </w:r>
          </w:p>
        </w:tc>
        <w:tc>
          <w:tcPr>
            <w:tcW w:w="20" w:type="dxa"/>
            <w:vAlign w:val="bottom"/>
          </w:tcPr>
          <w:p>
            <w:pPr>
              <w:spacing w:after="0"/>
              <w:rPr>
                <w:sz w:val="18"/>
                <w:szCs w:val="18"/>
                <w:color w:val="auto"/>
              </w:rPr>
            </w:pPr>
          </w:p>
        </w:tc>
        <w:tc>
          <w:tcPr>
            <w:tcW w:w="7100" w:type="dxa"/>
            <w:vAlign w:val="bottom"/>
            <w:tcBorders>
              <w:right w:val="single" w:sz="8" w:color="auto"/>
            </w:tcBorders>
            <w:gridSpan w:val="15"/>
          </w:tcPr>
          <w:p>
            <w:pPr>
              <w:spacing w:after="0" w:line="212" w:lineRule="exact"/>
              <w:rPr>
                <w:sz w:val="20"/>
                <w:szCs w:val="20"/>
                <w:color w:val="auto"/>
              </w:rPr>
            </w:pPr>
            <w:r>
              <w:rPr>
                <w:rFonts w:ascii="Times New Roman" w:cs="Times New Roman" w:eastAsia="Times New Roman" w:hAnsi="Times New Roman"/>
                <w:sz w:val="19"/>
                <w:szCs w:val="19"/>
                <w:color w:val="auto"/>
              </w:rPr>
              <w:t>[●]%, provided that the Tier Five Performance Goal is satisfied.]</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20" w:hanging="112"/>
        <w:spacing w:after="0"/>
        <w:tabs>
          <w:tab w:leader="none" w:pos="120" w:val="left"/>
        </w:tabs>
        <w:numPr>
          <w:ilvl w:val="0"/>
          <w:numId w:val="2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2019.</w:t>
      </w:r>
    </w:p>
    <w:p>
      <w:pPr>
        <w:sectPr>
          <w:pgSz w:w="11900" w:h="16838" w:orient="portrait"/>
          <w:cols w:equalWidth="0" w:num="1">
            <w:col w:w="10139"/>
          </w:cols>
          <w:pgMar w:left="320" w:top="1440" w:right="1440" w:bottom="1440" w:gutter="0" w:footer="0" w:header="0"/>
        </w:sectPr>
      </w:pPr>
    </w:p>
    <w:bookmarkStart w:id="240" w:name="page241"/>
    <w:bookmarkEnd w:id="24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620" w:type="dxa"/>
            <w:vAlign w:val="bottom"/>
            <w:tcBorders>
              <w:top w:val="single" w:sz="8" w:color="auto"/>
              <w:left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500" w:type="dxa"/>
            <w:vAlign w:val="bottom"/>
            <w:tcBorders>
              <w:top w:val="single" w:sz="8" w:color="auto"/>
              <w:right w:val="single" w:sz="8" w:color="auto"/>
            </w:tcBorders>
          </w:tcPr>
          <w:p>
            <w:pPr>
              <w:spacing w:after="0"/>
              <w:rPr>
                <w:sz w:val="21"/>
                <w:szCs w:val="21"/>
                <w:color w:val="auto"/>
              </w:rPr>
            </w:pPr>
          </w:p>
        </w:tc>
        <w:tc>
          <w:tcPr>
            <w:tcW w:w="7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On _____, the greater of the vesting percentages as determined for _____ RSUs or:</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One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Two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Three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Four Performance Goal is satisfied;</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right w:val="single" w:sz="8" w:color="auto"/>
            </w:tcBorders>
            <w:gridSpan w:val="3"/>
          </w:tcPr>
          <w:p>
            <w:pPr>
              <w:ind w:left="40"/>
              <w:spacing w:after="0" w:line="212" w:lineRule="exact"/>
              <w:rPr>
                <w:sz w:val="20"/>
                <w:szCs w:val="20"/>
                <w:color w:val="auto"/>
              </w:rPr>
            </w:pPr>
            <w:r>
              <w:rPr>
                <w:rFonts w:ascii="Times New Roman" w:cs="Times New Roman" w:eastAsia="Times New Roman" w:hAnsi="Times New Roman"/>
                <w:sz w:val="20"/>
                <w:szCs w:val="20"/>
                <w:color w:val="auto"/>
              </w:rPr>
              <w:t>(3) [●] RSUs:</w:t>
            </w:r>
          </w:p>
        </w:tc>
        <w:tc>
          <w:tcPr>
            <w:tcW w:w="7120" w:type="dxa"/>
            <w:vAlign w:val="bottom"/>
            <w:tcBorders>
              <w:right w:val="single" w:sz="8" w:color="auto"/>
            </w:tcBorders>
          </w:tcPr>
          <w:p>
            <w:pPr>
              <w:ind w:left="20"/>
              <w:spacing w:after="0" w:line="212" w:lineRule="exact"/>
              <w:rPr>
                <w:sz w:val="20"/>
                <w:szCs w:val="20"/>
                <w:color w:val="auto"/>
              </w:rPr>
            </w:pPr>
            <w:r>
              <w:rPr>
                <w:rFonts w:ascii="Times New Roman" w:cs="Times New Roman" w:eastAsia="Times New Roman" w:hAnsi="Times New Roman"/>
                <w:sz w:val="19"/>
                <w:szCs w:val="19"/>
                <w:color w:val="auto"/>
              </w:rPr>
              <w:t>[●]%, provided that the Tier Five Performance Goal is satisfied.]</w:t>
            </w:r>
            <w:r>
              <w:rPr>
                <w:rFonts w:ascii="Times New Roman" w:cs="Times New Roman" w:eastAsia="Times New Roman" w:hAnsi="Times New Roman"/>
                <w:sz w:val="24"/>
                <w:szCs w:val="24"/>
                <w:color w:val="auto"/>
                <w:vertAlign w:val="superscript"/>
              </w:rPr>
              <w:t>7</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7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On _____, the greater of the vesting percentages as determined for _____ RSUs or</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One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Two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Three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Four Performance Goal is satisfied;</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right w:val="single" w:sz="8" w:color="auto"/>
            </w:tcBorders>
            <w:gridSpan w:val="3"/>
          </w:tcPr>
          <w:p>
            <w:pPr>
              <w:ind w:left="40"/>
              <w:spacing w:after="0" w:line="212" w:lineRule="exact"/>
              <w:rPr>
                <w:sz w:val="20"/>
                <w:szCs w:val="20"/>
                <w:color w:val="auto"/>
              </w:rPr>
            </w:pPr>
            <w:r>
              <w:rPr>
                <w:rFonts w:ascii="Times New Roman" w:cs="Times New Roman" w:eastAsia="Times New Roman" w:hAnsi="Times New Roman"/>
                <w:sz w:val="20"/>
                <w:szCs w:val="20"/>
                <w:color w:val="auto"/>
              </w:rPr>
              <w:t>(4) [●] RSUs:</w:t>
            </w:r>
          </w:p>
        </w:tc>
        <w:tc>
          <w:tcPr>
            <w:tcW w:w="7120" w:type="dxa"/>
            <w:vAlign w:val="bottom"/>
            <w:tcBorders>
              <w:right w:val="single" w:sz="8" w:color="auto"/>
            </w:tcBorders>
          </w:tcPr>
          <w:p>
            <w:pPr>
              <w:ind w:left="20"/>
              <w:spacing w:after="0" w:line="212" w:lineRule="exact"/>
              <w:rPr>
                <w:sz w:val="20"/>
                <w:szCs w:val="20"/>
                <w:color w:val="auto"/>
              </w:rPr>
            </w:pPr>
            <w:r>
              <w:rPr>
                <w:rFonts w:ascii="Times New Roman" w:cs="Times New Roman" w:eastAsia="Times New Roman" w:hAnsi="Times New Roman"/>
                <w:sz w:val="19"/>
                <w:szCs w:val="19"/>
                <w:color w:val="auto"/>
              </w:rPr>
              <w:t>[●]%, provided that the Tier Five Performance Goal is satisfied.]</w:t>
            </w:r>
            <w:r>
              <w:rPr>
                <w:rFonts w:ascii="Times New Roman" w:cs="Times New Roman" w:eastAsia="Times New Roman" w:hAnsi="Times New Roman"/>
                <w:sz w:val="24"/>
                <w:szCs w:val="24"/>
                <w:color w:val="auto"/>
                <w:vertAlign w:val="superscript"/>
              </w:rPr>
              <w:t>7</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7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On _____, the greater of the vesting percentages as determined for _____ RSUs or</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One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Two Performance Goal is satisfied;</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Three Performance Goal is satisfied;</w:t>
            </w: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provided that the Tier Four Performance Goal is satisfied;</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right w:val="single" w:sz="8" w:color="auto"/>
            </w:tcBorders>
            <w:gridSpan w:val="3"/>
          </w:tcPr>
          <w:p>
            <w:pPr>
              <w:ind w:left="40"/>
              <w:spacing w:after="0" w:line="212" w:lineRule="exact"/>
              <w:rPr>
                <w:sz w:val="20"/>
                <w:szCs w:val="20"/>
                <w:color w:val="auto"/>
              </w:rPr>
            </w:pPr>
            <w:r>
              <w:rPr>
                <w:rFonts w:ascii="Times New Roman" w:cs="Times New Roman" w:eastAsia="Times New Roman" w:hAnsi="Times New Roman"/>
                <w:sz w:val="20"/>
                <w:szCs w:val="20"/>
                <w:color w:val="auto"/>
              </w:rPr>
              <w:t>(5) [●] RSUs:</w:t>
            </w:r>
          </w:p>
        </w:tc>
        <w:tc>
          <w:tcPr>
            <w:tcW w:w="7120" w:type="dxa"/>
            <w:vAlign w:val="bottom"/>
            <w:tcBorders>
              <w:right w:val="single" w:sz="8" w:color="auto"/>
            </w:tcBorders>
          </w:tcPr>
          <w:p>
            <w:pPr>
              <w:ind w:left="20"/>
              <w:spacing w:after="0" w:line="212" w:lineRule="exact"/>
              <w:rPr>
                <w:sz w:val="20"/>
                <w:szCs w:val="20"/>
                <w:color w:val="auto"/>
              </w:rPr>
            </w:pPr>
            <w:r>
              <w:rPr>
                <w:rFonts w:ascii="Times New Roman" w:cs="Times New Roman" w:eastAsia="Times New Roman" w:hAnsi="Times New Roman"/>
                <w:sz w:val="19"/>
                <w:szCs w:val="19"/>
                <w:color w:val="auto"/>
              </w:rPr>
              <w:t>[●]%, provided that the Tier Five Performance Goal is satisfied.]</w:t>
            </w:r>
            <w:r>
              <w:rPr>
                <w:rFonts w:ascii="Times New Roman" w:cs="Times New Roman" w:eastAsia="Times New Roman" w:hAnsi="Times New Roman"/>
                <w:sz w:val="24"/>
                <w:szCs w:val="24"/>
                <w:color w:val="auto"/>
                <w:vertAlign w:val="superscript"/>
              </w:rPr>
              <w:t>7</w:t>
            </w: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7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712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20"/>
                <w:szCs w:val="20"/>
                <w:color w:val="auto"/>
              </w:rPr>
              <w:t>Notwithstanding anything herein to the contrary, to the extent a Vesting Date for any</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7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20"/>
                <w:szCs w:val="20"/>
                <w:color w:val="auto"/>
              </w:rPr>
              <w:t>RSUs has not occurred because of the failure to satisfy an applicable Performance Goal</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7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20"/>
                <w:szCs w:val="20"/>
                <w:color w:val="auto"/>
              </w:rPr>
              <w:t>for any year by the applicable Scheduled Vesting Date, such RSUs which have not</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7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20"/>
                <w:szCs w:val="20"/>
                <w:color w:val="auto"/>
              </w:rPr>
              <w:t>vested and become nonforfeitable shall immediately and automatically, without any</w:t>
            </w:r>
          </w:p>
        </w:tc>
        <w:tc>
          <w:tcPr>
            <w:tcW w:w="0" w:type="dxa"/>
            <w:vAlign w:val="bottom"/>
          </w:tcPr>
          <w:p>
            <w:pPr>
              <w:spacing w:after="0"/>
              <w:rPr>
                <w:sz w:val="1"/>
                <w:szCs w:val="1"/>
                <w:color w:val="auto"/>
              </w:rPr>
            </w:pPr>
          </w:p>
        </w:tc>
      </w:tr>
      <w:tr>
        <w:trPr>
          <w:trHeight w:val="189"/>
        </w:trPr>
        <w:tc>
          <w:tcPr>
            <w:tcW w:w="258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Forfeiture of Unvested RSUs:</w:t>
            </w:r>
          </w:p>
        </w:tc>
        <w:tc>
          <w:tcPr>
            <w:tcW w:w="7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20"/>
                <w:szCs w:val="20"/>
                <w:color w:val="auto"/>
              </w:rPr>
              <w:t>action on the part of the Grantee or the Company, be forfeited by the Grantee and</w:t>
            </w: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gridSpan w:val="3"/>
            <w:vMerge w:val="continue"/>
          </w:tcPr>
          <w:p>
            <w:pPr>
              <w:spacing w:after="0"/>
              <w:rPr>
                <w:sz w:val="21"/>
                <w:szCs w:val="21"/>
                <w:color w:val="auto"/>
              </w:rPr>
            </w:pPr>
          </w:p>
        </w:tc>
        <w:tc>
          <w:tcPr>
            <w:tcW w:w="7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deemed canceled.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714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hanging="112"/>
        <w:spacing w:after="0"/>
        <w:tabs>
          <w:tab w:leader="none" w:pos="120" w:val="left"/>
        </w:tabs>
        <w:numPr>
          <w:ilvl w:val="0"/>
          <w:numId w:val="2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certain awards granted during and after 2019.</w:t>
      </w:r>
    </w:p>
    <w:p>
      <w:pPr>
        <w:sectPr>
          <w:pgSz w:w="11900" w:h="16838" w:orient="portrait"/>
          <w:cols w:equalWidth="0" w:num="1">
            <w:col w:w="10139"/>
          </w:cols>
          <w:pgMar w:left="320" w:top="1440" w:right="1440"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2"/>
          <w:szCs w:val="22"/>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FORM OF COMCAST CORPORATION</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196"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This is Performance Stock Unit Award Agreement, dated [●] (together with all schedules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being entered into by and between Comcast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Grantee.</w:t>
      </w:r>
    </w:p>
    <w:p>
      <w:pPr>
        <w:spacing w:after="0" w:line="158" w:lineRule="exact"/>
        <w:rPr>
          <w:sz w:val="20"/>
          <w:szCs w:val="20"/>
          <w:color w:val="auto"/>
        </w:rPr>
      </w:pPr>
    </w:p>
    <w:p>
      <w:pPr>
        <w:ind w:right="720" w:firstLine="656"/>
        <w:spacing w:after="0" w:line="271" w:lineRule="auto"/>
        <w:tabs>
          <w:tab w:leader="none" w:pos="129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ascribed to them below. Capitalized terms used in this Agreement but not defined herein have the meanings given to them in the Plan.</w:t>
      </w:r>
    </w:p>
    <w:p>
      <w:pPr>
        <w:spacing w:after="0" w:line="157" w:lineRule="exact"/>
        <w:rPr>
          <w:rFonts w:ascii="Times New Roman" w:cs="Times New Roman" w:eastAsia="Times New Roman" w:hAnsi="Times New Roman"/>
          <w:sz w:val="22"/>
          <w:szCs w:val="22"/>
          <w:color w:val="auto"/>
        </w:rPr>
      </w:pPr>
    </w:p>
    <w:p>
      <w:pPr>
        <w:ind w:right="140" w:firstLine="1304"/>
        <w:spacing w:after="0" w:line="252" w:lineRule="auto"/>
        <w:tabs>
          <w:tab w:leader="none" w:pos="1941"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an unfunded bookkeeping account established pursuant to Paragraph 6(e) and maintained by the Committee in the name of Grantee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the award of Performance Stock Units granted pursuant to this Agreement.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right="20" w:firstLine="1304"/>
        <w:spacing w:after="0" w:line="250" w:lineRule="auto"/>
        <w:tabs>
          <w:tab w:leader="none" w:pos="1939"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set forth in the Grantee’s employment agreement with the Company, or, if no such agreement exists or has expired prior to such time, then “Cause” means (i) fraud; (ii) embezzlement or other misappropriation of funds; (iii) gross negligence or willful misconduct in the performance of duties; (iv) self-dealing; (v) material misrepresentation with respect to the Company; (vi) conviction of a felony; or (vii) material violation of the Employee Handbook, the Code of Conduct or any other written Company policy.</w:t>
      </w:r>
    </w:p>
    <w:p>
      <w:pPr>
        <w:spacing w:after="0" w:line="180"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pacing w:after="0" w:line="219" w:lineRule="exact"/>
        <w:rPr>
          <w:rFonts w:ascii="Times New Roman" w:cs="Times New Roman" w:eastAsia="Times New Roman" w:hAnsi="Times New Roman"/>
          <w:sz w:val="22"/>
          <w:szCs w:val="22"/>
          <w:color w:val="auto"/>
        </w:rPr>
      </w:pPr>
    </w:p>
    <w:p>
      <w:pPr>
        <w:ind w:right="460" w:firstLine="1304"/>
        <w:spacing w:after="0" w:line="271" w:lineRule="auto"/>
        <w:tabs>
          <w:tab w:leader="none" w:pos="1939"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date first set forth above, on which the Company awarded the Performance Stock Units to Grantee.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an Election.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has the meaning set forth on the attached Long-Term Incentive Awards Summary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w:t>
      </w:r>
    </w:p>
    <w:p>
      <w:pPr>
        <w:spacing w:after="0" w:line="195" w:lineRule="exact"/>
        <w:rPr>
          <w:rFonts w:ascii="Times New Roman" w:cs="Times New Roman" w:eastAsia="Times New Roman" w:hAnsi="Times New Roman"/>
          <w:sz w:val="22"/>
          <w:szCs w:val="22"/>
          <w:color w:val="auto"/>
        </w:rPr>
      </w:pPr>
    </w:p>
    <w:p>
      <w:pPr>
        <w:ind w:right="540" w:firstLine="1304"/>
        <w:spacing w:after="0" w:line="271" w:lineRule="auto"/>
        <w:tabs>
          <w:tab w:leader="none" w:pos="1932"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the Company, the Subsidiary Company or the Affiliate of the Company for which Grantee is performing services on the Vesting Date.</w:t>
      </w:r>
    </w:p>
    <w:p>
      <w:pPr>
        <w:sectPr>
          <w:pgSz w:w="11900" w:h="16838" w:orient="portrait"/>
          <w:cols w:equalWidth="0" w:num="1">
            <w:col w:w="11240"/>
          </w:cols>
          <w:pgMar w:left="320" w:top="122" w:right="339" w:bottom="1440" w:gutter="0" w:footer="0" w:header="0"/>
        </w:sectPr>
      </w:pPr>
    </w:p>
    <w:bookmarkStart w:id="242" w:name="page243"/>
    <w:bookmarkEnd w:id="242"/>
    <w:p>
      <w:pPr>
        <w:ind w:right="80" w:firstLine="1304"/>
        <w:spacing w:after="0" w:line="271" w:lineRule="auto"/>
        <w:tabs>
          <w:tab w:leader="none" w:pos="193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means the individual to whom this Award has been granted, as identified on the attached Long-Term Incentive Awards Summary Schedule.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19" w:lineRule="exact"/>
        <w:rPr>
          <w:rFonts w:ascii="Times New Roman" w:cs="Times New Roman" w:eastAsia="Times New Roman" w:hAnsi="Times New Roman"/>
          <w:sz w:val="22"/>
          <w:szCs w:val="22"/>
          <w:color w:val="auto"/>
        </w:rPr>
      </w:pPr>
    </w:p>
    <w:p>
      <w:pPr>
        <w:ind w:right="180" w:firstLine="1304"/>
        <w:spacing w:after="0" w:line="257" w:lineRule="auto"/>
        <w:tabs>
          <w:tab w:leader="none" w:pos="193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Incentive Awards Summary Schedule</w:t>
      </w:r>
      <w:r>
        <w:rPr>
          <w:rFonts w:ascii="Times New Roman" w:cs="Times New Roman" w:eastAsia="Times New Roman" w:hAnsi="Times New Roman"/>
          <w:sz w:val="22"/>
          <w:szCs w:val="22"/>
          <w:color w:val="auto"/>
        </w:rPr>
        <w:t>” means the schedule attached hereto, which sets forth specific information relating to the grant and vesting of this Award (including the Service Condition and the Performance Condition applicable to this Award).</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Condition</w:t>
      </w:r>
      <w:r>
        <w:rPr>
          <w:rFonts w:ascii="Times New Roman" w:cs="Times New Roman" w:eastAsia="Times New Roman" w:hAnsi="Times New Roman"/>
          <w:sz w:val="22"/>
          <w:szCs w:val="22"/>
          <w:color w:val="auto"/>
        </w:rPr>
        <w:t>” has the meaning set forth on the attached Long-Term Incentive Awards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 Schedule.</w:t>
      </w:r>
    </w:p>
    <w:p>
      <w:pPr>
        <w:spacing w:after="0" w:line="195" w:lineRule="exact"/>
        <w:rPr>
          <w:rFonts w:ascii="Times New Roman" w:cs="Times New Roman" w:eastAsia="Times New Roman" w:hAnsi="Times New Roman"/>
          <w:sz w:val="22"/>
          <w:szCs w:val="22"/>
          <w:color w:val="auto"/>
        </w:rPr>
      </w:pPr>
    </w:p>
    <w:p>
      <w:pPr>
        <w:ind w:right="980" w:firstLine="1304"/>
        <w:spacing w:after="0" w:line="271" w:lineRule="auto"/>
        <w:tabs>
          <w:tab w:leader="none" w:pos="193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Stock Units</w:t>
      </w:r>
      <w:r>
        <w:rPr>
          <w:rFonts w:ascii="Times New Roman" w:cs="Times New Roman" w:eastAsia="Times New Roman" w:hAnsi="Times New Roman"/>
          <w:sz w:val="22"/>
          <w:szCs w:val="22"/>
          <w:color w:val="auto"/>
        </w:rPr>
        <w:t>” means the Restricted Stock Units subject to Service Conditions and Performance Conditions granted to Grantee pursuant to this Award.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w:t>
      </w:r>
    </w:p>
    <w:p>
      <w:pPr>
        <w:spacing w:after="0" w:line="195" w:lineRule="exact"/>
        <w:rPr>
          <w:rFonts w:ascii="Times New Roman" w:cs="Times New Roman" w:eastAsia="Times New Roman" w:hAnsi="Times New Roman"/>
          <w:sz w:val="22"/>
          <w:szCs w:val="22"/>
          <w:color w:val="auto"/>
        </w:rPr>
      </w:pPr>
    </w:p>
    <w:p>
      <w:pPr>
        <w:ind w:right="340" w:firstLine="1304"/>
        <w:spacing w:after="0" w:line="271" w:lineRule="auto"/>
        <w:tabs>
          <w:tab w:leader="none" w:pos="193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2002 Restricted Stock Plan (as amended from time to time and including any successor plan thereto), incorporated herein by reference.</w:t>
      </w:r>
    </w:p>
    <w:p>
      <w:pPr>
        <w:spacing w:after="0" w:line="157" w:lineRule="exact"/>
        <w:rPr>
          <w:rFonts w:ascii="Times New Roman" w:cs="Times New Roman" w:eastAsia="Times New Roman" w:hAnsi="Times New Roman"/>
          <w:sz w:val="22"/>
          <w:szCs w:val="22"/>
          <w:color w:val="auto"/>
        </w:rPr>
      </w:pPr>
    </w:p>
    <w:p>
      <w:pPr>
        <w:ind w:firstLine="1304"/>
        <w:spacing w:after="0" w:line="257" w:lineRule="auto"/>
        <w:tabs>
          <w:tab w:leader="none" w:pos="194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Termination</w:t>
      </w:r>
      <w:r>
        <w:rPr>
          <w:rFonts w:ascii="Times New Roman" w:cs="Times New Roman" w:eastAsia="Times New Roman" w:hAnsi="Times New Roman"/>
          <w:sz w:val="22"/>
          <w:szCs w:val="22"/>
          <w:color w:val="auto"/>
        </w:rPr>
        <w:t>” means Grantee’s Termination of Employment after having reached age [●] and completed [●] or more Years of Service, for any reason other than (i) due to Grantee’s death or Disability or (ii) by the applicable Participating Company for Cause.</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1934 Act, as in effect from time to time.</w:t>
      </w:r>
    </w:p>
    <w:p>
      <w:pPr>
        <w:spacing w:after="0" w:line="219"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has the meaning set forth on the attached Long-Term Incentive Awards Summary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 Vesting Date</w:t>
      </w:r>
      <w:r>
        <w:rPr>
          <w:rFonts w:ascii="Times New Roman" w:cs="Times New Roman" w:eastAsia="Times New Roman" w:hAnsi="Times New Roman"/>
          <w:sz w:val="21"/>
          <w:szCs w:val="21"/>
          <w:color w:val="auto"/>
        </w:rPr>
        <w:t>” has the meaning set forth on the attached Long-Term Incentive Awards Summary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Schedule.</w:t>
      </w:r>
    </w:p>
    <w:p>
      <w:pPr>
        <w:spacing w:after="0" w:line="19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 shares of the Company’s Class A Common Stock, par value $.01 per share.</w:t>
      </w:r>
    </w:p>
    <w:p>
      <w:pPr>
        <w:spacing w:after="0" w:line="219" w:lineRule="exact"/>
        <w:rPr>
          <w:rFonts w:ascii="Times New Roman" w:cs="Times New Roman" w:eastAsia="Times New Roman" w:hAnsi="Times New Roman"/>
          <w:sz w:val="22"/>
          <w:szCs w:val="22"/>
          <w:color w:val="auto"/>
        </w:rPr>
      </w:pPr>
    </w:p>
    <w:p>
      <w:pPr>
        <w:ind w:firstLine="1304"/>
        <w:spacing w:after="0" w:line="252" w:lineRule="auto"/>
        <w:tabs>
          <w:tab w:leader="none" w:pos="193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22" w:right="399" w:bottom="1440" w:gutter="0" w:footer="0" w:header="0"/>
        </w:sectPr>
      </w:pPr>
    </w:p>
    <w:bookmarkStart w:id="243" w:name="page244"/>
    <w:bookmarkEnd w:id="243"/>
    <w:p>
      <w:pPr>
        <w:ind w:right="240"/>
        <w:spacing w:after="0" w:line="265" w:lineRule="auto"/>
        <w:rPr>
          <w:sz w:val="20"/>
          <w:szCs w:val="20"/>
          <w:color w:val="auto"/>
        </w:rPr>
      </w:pPr>
      <w:r>
        <w:rPr>
          <w:rFonts w:ascii="Times New Roman" w:cs="Times New Roman" w:eastAsia="Times New Roman" w:hAnsi="Times New Roman"/>
          <w:sz w:val="21"/>
          <w:szCs w:val="21"/>
          <w:color w:val="auto"/>
        </w:rPr>
        <w:t>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 establishes the effective date of Grantee’s termination of employment for purposes of this Award, that date shall apply.</w:t>
      </w:r>
    </w:p>
    <w:p>
      <w:pPr>
        <w:spacing w:after="0" w:line="165" w:lineRule="exact"/>
        <w:rPr>
          <w:sz w:val="20"/>
          <w:szCs w:val="20"/>
          <w:color w:val="auto"/>
        </w:rPr>
      </w:pPr>
    </w:p>
    <w:p>
      <w:pPr>
        <w:jc w:val="both"/>
        <w:ind w:right="100" w:firstLine="1304"/>
        <w:spacing w:after="0" w:line="257" w:lineRule="auto"/>
        <w:tabs>
          <w:tab w:leader="none" w:pos="1939"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means the date(s) on which both of the Service Condition and the Performance Condition applicable to any Performance Stock Units are satisfied (or deemed satisfied) pursuant to the terms of this Agreement (including the Long-Term Incentive Awards Summary Schedule).</w:t>
      </w:r>
    </w:p>
    <w:p>
      <w:pPr>
        <w:spacing w:after="0" w:line="172" w:lineRule="exact"/>
        <w:rPr>
          <w:rFonts w:ascii="Times New Roman" w:cs="Times New Roman" w:eastAsia="Times New Roman" w:hAnsi="Times New Roman"/>
          <w:sz w:val="22"/>
          <w:szCs w:val="22"/>
          <w:color w:val="auto"/>
        </w:rPr>
      </w:pPr>
    </w:p>
    <w:p>
      <w:pPr>
        <w:ind w:right="280" w:firstLine="1304"/>
        <w:spacing w:after="0" w:line="271" w:lineRule="auto"/>
        <w:tabs>
          <w:tab w:leader="none" w:pos="1939"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completed continuous years of service as reflected in the personnel records of the Company and the Subsidiary Companies.</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means the Securities Exchange Act of 1934, as amended.</w:t>
      </w:r>
    </w:p>
    <w:p>
      <w:pPr>
        <w:spacing w:after="0" w:line="219" w:lineRule="exact"/>
        <w:rPr>
          <w:rFonts w:ascii="Times New Roman" w:cs="Times New Roman" w:eastAsia="Times New Roman" w:hAnsi="Times New Roman"/>
          <w:sz w:val="22"/>
          <w:szCs w:val="22"/>
          <w:color w:val="auto"/>
        </w:rPr>
      </w:pPr>
    </w:p>
    <w:p>
      <w:pPr>
        <w:ind w:firstLine="656"/>
        <w:spacing w:after="0" w:line="265" w:lineRule="auto"/>
        <w:tabs>
          <w:tab w:leader="none" w:pos="1296"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Performance Stock Units</w:t>
      </w:r>
      <w:r>
        <w:rPr>
          <w:rFonts w:ascii="Times New Roman" w:cs="Times New Roman" w:eastAsia="Times New Roman" w:hAnsi="Times New Roman"/>
          <w:sz w:val="21"/>
          <w:szCs w:val="21"/>
          <w:color w:val="auto"/>
        </w:rPr>
        <w:t>. Subject to the terms and conditions set forth herein and in the Plan, the Company hereby grants to Grantee the Performance Stock Units, as set forth in the Long-Term Incentive Awards Summary Schedule attached hereto. Each Performance Stock Unit represents the right to receive between [●]% and [●]% of a Share based on achievement of the Performance Condition, as set forth in the Long-Term Incentive Awards Summary Schedule, subject to the terms and conditions set forth herein and in the Plan, including the satisfaction of the applicable Service Condition.</w:t>
      </w:r>
    </w:p>
    <w:p>
      <w:pPr>
        <w:spacing w:after="0" w:line="16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1304"/>
        <w:spacing w:after="0" w:line="252" w:lineRule="auto"/>
        <w:tabs>
          <w:tab w:leader="none" w:pos="1941"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Stock Units are granted with dividend equivalent rights. If the Company declares a cash dividend on the Shares, an amount equivalent to such dividend will be credited to an unfunded bookkeeping account with respect to each outstanding and unvested Performance Stock Unit (the “</w:t>
      </w:r>
      <w:r>
        <w:rPr>
          <w:rFonts w:ascii="Times New Roman" w:cs="Times New Roman" w:eastAsia="Times New Roman" w:hAnsi="Times New Roman"/>
          <w:sz w:val="22"/>
          <w:szCs w:val="22"/>
          <w:u w:val="single" w:color="auto"/>
          <w:color w:val="auto"/>
        </w:rPr>
        <w:t>Dividend Equivalent Amount</w:t>
      </w:r>
      <w:r>
        <w:rPr>
          <w:rFonts w:ascii="Times New Roman" w:cs="Times New Roman" w:eastAsia="Times New Roman" w:hAnsi="Times New Roman"/>
          <w:sz w:val="22"/>
          <w:szCs w:val="22"/>
          <w:color w:val="auto"/>
        </w:rPr>
        <w:t>”) on the record date of such dividend.</w:t>
      </w:r>
    </w:p>
    <w:p>
      <w:pPr>
        <w:spacing w:after="0" w:line="179" w:lineRule="exact"/>
        <w:rPr>
          <w:rFonts w:ascii="Times New Roman" w:cs="Times New Roman" w:eastAsia="Times New Roman" w:hAnsi="Times New Roman"/>
          <w:sz w:val="22"/>
          <w:szCs w:val="22"/>
          <w:color w:val="auto"/>
        </w:rPr>
      </w:pPr>
    </w:p>
    <w:p>
      <w:pPr>
        <w:ind w:firstLine="1304"/>
        <w:spacing w:after="0" w:line="250" w:lineRule="auto"/>
        <w:tabs>
          <w:tab w:leader="none" w:pos="1939"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Equivalent Amount will be credited as cash, without interest, and will not be converted to Shares. The Dividend Equivalent Amount will be payable in cash, but subject to and only upon the applicable Vesting Date(s) of the underlying Performance Stock Units as determined in accordance with Paragraph 4 below, and will be cancelled and forfeited if the underlying Performance Stock Units are cancelled or forfeited (including as a result of failing to satisfy the applicable Service Condition or Performance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244" w:name="page245"/>
    <w:bookmarkEnd w:id="244"/>
    <w:p>
      <w:pPr>
        <w:ind w:left="1260" w:hanging="644"/>
        <w:spacing w:after="0"/>
        <w:tabs>
          <w:tab w:leader="none" w:pos="12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Performance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0" w:right="180" w:firstLine="1304"/>
        <w:spacing w:after="0" w:line="252" w:lineRule="auto"/>
        <w:tabs>
          <w:tab w:leader="none" w:pos="1901"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in this Agreement and in the Plan, the Performance Stock Units shall vest in accordance with the terms and conditions set forth on the attached Long-Term Incentive Awards Summary Schedule;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 As of the applicable Vesting Date, Grantee shall be entitled to the delivery of Shares with respect to the applicable Earned PSUs.</w:t>
      </w:r>
    </w:p>
    <w:p>
      <w:pPr>
        <w:spacing w:after="0" w:line="179" w:lineRule="exact"/>
        <w:rPr>
          <w:rFonts w:ascii="Times New Roman" w:cs="Times New Roman" w:eastAsia="Times New Roman" w:hAnsi="Times New Roman"/>
          <w:sz w:val="22"/>
          <w:szCs w:val="22"/>
          <w:color w:val="auto"/>
        </w:rPr>
      </w:pPr>
    </w:p>
    <w:p>
      <w:pPr>
        <w:ind w:left="-40" w:firstLine="1304"/>
        <w:spacing w:after="0" w:line="248" w:lineRule="auto"/>
        <w:tabs>
          <w:tab w:leader="none" w:pos="1899"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the Service Condition [and the Performance Condition] applicable to the Performance Stock Units shall be deemed fully satisfied upon Grantee’s Termination of Employment due to Grantee’s death or Disability[, and[, subject to the determination of the Committee,] [the Performance Stock Units will remain outstanding and will vest subject to the satisfaction of the applicable Performance Condition] [or] [the Target PSUs with a Service Vesting Date subsequent to the termination of employment, as set forth on the Long-Term Incentive Awards Summary Schedule, will vest immediately following such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81" w:lineRule="exact"/>
        <w:rPr>
          <w:rFonts w:ascii="Times New Roman" w:cs="Times New Roman" w:eastAsia="Times New Roman" w:hAnsi="Times New Roman"/>
          <w:sz w:val="22"/>
          <w:szCs w:val="22"/>
          <w:color w:val="auto"/>
        </w:rPr>
      </w:pPr>
    </w:p>
    <w:p>
      <w:pPr>
        <w:ind w:left="-40" w:right="440" w:firstLine="1304"/>
        <w:spacing w:after="0" w:line="271" w:lineRule="auto"/>
        <w:tabs>
          <w:tab w:leader="none" w:pos="1901"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4(a) to the contrary[, and subject to the obligations described in Paragraph [4(d)]], if, Grantee has a Retirement Termination, and, at the time of such Retirement Termination:</w:t>
      </w:r>
    </w:p>
    <w:p>
      <w:pPr>
        <w:spacing w:after="0" w:line="157" w:lineRule="exact"/>
        <w:rPr>
          <w:rFonts w:ascii="Times New Roman" w:cs="Times New Roman" w:eastAsia="Times New Roman" w:hAnsi="Times New Roman"/>
          <w:sz w:val="22"/>
          <w:szCs w:val="22"/>
          <w:color w:val="auto"/>
        </w:rPr>
      </w:pPr>
    </w:p>
    <w:p>
      <w:pPr>
        <w:ind w:left="-40" w:right="100" w:firstLine="2276"/>
        <w:spacing w:after="0" w:line="250" w:lineRule="auto"/>
        <w:tabs>
          <w:tab w:leader="none" w:pos="2696"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Grantee has completed at least [●] but less than [●] Years of Service, any Service Vesting Date applicable to the Performance Stock Units that would have occurred on or prior to the date that is the third (3rd) anniversary of such Retirement Termination shall continue to occur in accordance with the terms of the Long-Term Incentive Awards Summary Schedule, and the Performance Stock Units will remain outstanding and will vest subject to the satisfaction of the applicable Performance Condition;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80" w:lineRule="exact"/>
        <w:rPr>
          <w:rFonts w:ascii="Times New Roman" w:cs="Times New Roman" w:eastAsia="Times New Roman" w:hAnsi="Times New Roman"/>
          <w:sz w:val="22"/>
          <w:szCs w:val="22"/>
          <w:color w:val="auto"/>
        </w:rPr>
      </w:pPr>
    </w:p>
    <w:p>
      <w:pPr>
        <w:ind w:left="-40" w:right="100" w:firstLine="2276"/>
        <w:spacing w:after="0" w:line="250" w:lineRule="auto"/>
        <w:tabs>
          <w:tab w:leader="none" w:pos="2696"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Grantee has completed at least [●] but less than [●] Years of Service, any Service Vesting Date applicable to the Performance Stock Units that would have occurred on or prior to the date that is the fourth (4th) anniversary of such Retirement Termination shall continue to occur in accordance with the terms of the Long-Term Incentive Awards Summary Schedule, and the Performance Stock Units will remain outstanding and will vest subject to the satisfaction of the applicable Performance Condition;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80" w:lineRule="exact"/>
        <w:rPr>
          <w:rFonts w:ascii="Times New Roman" w:cs="Times New Roman" w:eastAsia="Times New Roman" w:hAnsi="Times New Roman"/>
          <w:sz w:val="22"/>
          <w:szCs w:val="22"/>
          <w:color w:val="auto"/>
        </w:rPr>
      </w:pPr>
    </w:p>
    <w:p>
      <w:pPr>
        <w:ind w:left="-40" w:right="200" w:firstLine="2276"/>
        <w:spacing w:after="0" w:line="230" w:lineRule="auto"/>
        <w:tabs>
          <w:tab w:leader="none" w:pos="2696"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completed [●] or more Years of Service, any Service Vesting Date applicable to the Performance Stock Units that would have occurred on or prior to the date that is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such Retirement Termination shall continue to occur in accordance with the terms of the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60" w:top="1422" w:right="359" w:bottom="1440" w:gutter="0" w:footer="0" w:header="0"/>
        </w:sectPr>
      </w:pPr>
    </w:p>
    <w:bookmarkStart w:id="245" w:name="page246"/>
    <w:bookmarkEnd w:id="245"/>
    <w:p>
      <w:pPr>
        <w:ind w:right="320"/>
        <w:spacing w:after="0" w:line="257" w:lineRule="auto"/>
        <w:rPr>
          <w:sz w:val="20"/>
          <w:szCs w:val="20"/>
          <w:color w:val="auto"/>
        </w:rPr>
      </w:pPr>
      <w:r>
        <w:rPr>
          <w:rFonts w:ascii="Times New Roman" w:cs="Times New Roman" w:eastAsia="Times New Roman" w:hAnsi="Times New Roman"/>
          <w:sz w:val="22"/>
          <w:szCs w:val="22"/>
          <w:color w:val="auto"/>
        </w:rPr>
        <w:t xml:space="preserve">Incentive Awards Summary Schedule, and the Performance Stock Units will remain outstanding and will vest subject to the satisfaction of the applicable Performance Condition;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Grantee has complied with all applicable provisions of the HSR Act.]</w:t>
      </w:r>
    </w:p>
    <w:p>
      <w:pPr>
        <w:spacing w:after="0" w:line="173" w:lineRule="exact"/>
        <w:rPr>
          <w:sz w:val="20"/>
          <w:szCs w:val="20"/>
          <w:color w:val="auto"/>
        </w:rPr>
      </w:pPr>
    </w:p>
    <w:p>
      <w:pPr>
        <w:ind w:right="400" w:firstLine="1304"/>
        <w:spacing w:after="0" w:line="252" w:lineRule="auto"/>
        <w:tabs>
          <w:tab w:leader="none" w:pos="1939"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[4(c)]], the Performance Stock Units will be subject to forfeiture, as determined by the Committee in its sole discretion, if Grantee breaches either of the following non-solicitation or non-competition obligations during the period following Grantee’s Termination of Employment and before the applicable Vesting Date:</w:t>
      </w:r>
    </w:p>
    <w:p>
      <w:pPr>
        <w:spacing w:after="0" w:line="179" w:lineRule="exact"/>
        <w:rPr>
          <w:rFonts w:ascii="Times New Roman" w:cs="Times New Roman" w:eastAsia="Times New Roman" w:hAnsi="Times New Roman"/>
          <w:sz w:val="22"/>
          <w:szCs w:val="22"/>
          <w:color w:val="auto"/>
        </w:rPr>
      </w:pPr>
    </w:p>
    <w:p>
      <w:pPr>
        <w:ind w:firstLine="1952"/>
        <w:spacing w:after="0" w:line="275" w:lineRule="auto"/>
        <w:tabs>
          <w:tab w:leader="none" w:pos="2412" w:val="left"/>
        </w:tabs>
        <w:numPr>
          <w:ilvl w:val="2"/>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shall not, directly or indirectly, solicit, induce, encourage or attempt to influence any customer, employee, consultant, independent contractor, service provider or supplier of the Company or any Subsidiary Company to cease to do business or to terminate the employment or other relationship with the Company or any Subsidiary Company.</w:t>
      </w:r>
    </w:p>
    <w:p>
      <w:pPr>
        <w:spacing w:after="0" w:line="155" w:lineRule="exact"/>
        <w:rPr>
          <w:rFonts w:ascii="Times New Roman" w:cs="Times New Roman" w:eastAsia="Times New Roman" w:hAnsi="Times New Roman"/>
          <w:sz w:val="21"/>
          <w:szCs w:val="21"/>
          <w:color w:val="auto"/>
        </w:rPr>
      </w:pPr>
    </w:p>
    <w:p>
      <w:pPr>
        <w:ind w:right="20" w:firstLine="1952"/>
        <w:spacing w:after="0" w:line="260" w:lineRule="auto"/>
        <w:tabs>
          <w:tab w:leader="none" w:pos="2412" w:val="left"/>
        </w:tabs>
        <w:numPr>
          <w:ilvl w:val="2"/>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70" w:lineRule="exact"/>
        <w:rPr>
          <w:rFonts w:ascii="Times New Roman" w:cs="Times New Roman" w:eastAsia="Times New Roman" w:hAnsi="Times New Roman"/>
          <w:sz w:val="21"/>
          <w:szCs w:val="21"/>
          <w:color w:val="auto"/>
        </w:rPr>
      </w:pPr>
    </w:p>
    <w:p>
      <w:pPr>
        <w:ind w:right="500" w:firstLine="1304"/>
        <w:spacing w:after="0" w:line="248" w:lineRule="auto"/>
        <w:tabs>
          <w:tab w:leader="none" w:pos="1752"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Performance Stock Units would have vested pursuant to the Long-Term Incentive Awards Summary Schedule or Paragraphs [4(b) or 4(c)], but did not vest solely because Grantee was not in compliance with all applicable provisions of the HSR Act, then, notwithstanding anything to the contrary in this Agreement, the Vesting Date for such Performance Stock Units shall occur on the first date following the date on which they would have been earned and become vested pursuant to the Long-Term Incentive Awards Summary Schedule or Paragraphs [4(b) or 4(c)] on which Grantee has complied with all applicable provisions of the HSR Act.</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00" w:firstLine="1304"/>
        <w:spacing w:after="0" w:line="257" w:lineRule="auto"/>
        <w:tabs>
          <w:tab w:leader="none" w:pos="1752"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in the Plan, in the event of Grantee’s Termination of Employment other than due to (i) Grantee’s death or Disability or (ii) Grantee’s Retirement Termination, Grantee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246" w:name="page247"/>
    <w:bookmarkEnd w:id="246"/>
    <w:p>
      <w:pPr>
        <w:ind w:right="40"/>
        <w:spacing w:after="0" w:line="271" w:lineRule="auto"/>
        <w:rPr>
          <w:sz w:val="20"/>
          <w:szCs w:val="20"/>
          <w:color w:val="auto"/>
        </w:rPr>
      </w:pPr>
      <w:r>
        <w:rPr>
          <w:rFonts w:ascii="Times New Roman" w:cs="Times New Roman" w:eastAsia="Times New Roman" w:hAnsi="Times New Roman"/>
          <w:sz w:val="22"/>
          <w:szCs w:val="22"/>
          <w:color w:val="auto"/>
        </w:rPr>
        <w:t>forfeit the Performance Stock Units effective as of such Termination of Employment. Upon a forfeiture of the Performance Stock Units as provided in this Paragraph 5, the Performance Stock Units shall be deemed canceled.</w:t>
      </w:r>
    </w:p>
    <w:p>
      <w:pPr>
        <w:spacing w:after="0" w:line="158" w:lineRule="exact"/>
        <w:rPr>
          <w:sz w:val="20"/>
          <w:szCs w:val="20"/>
          <w:color w:val="auto"/>
        </w:rPr>
      </w:pPr>
    </w:p>
    <w:p>
      <w:pPr>
        <w:ind w:right="160" w:firstLine="1304"/>
        <w:spacing w:after="0" w:line="271" w:lineRule="auto"/>
        <w:tabs>
          <w:tab w:leader="none" w:pos="176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5(a) shall not apply to Shares issued in respect of the Performance Stock Units as to which a Vesting Date has occurred.</w:t>
      </w:r>
    </w:p>
    <w:p>
      <w:pPr>
        <w:spacing w:after="0" w:line="157" w:lineRule="exact"/>
        <w:rPr>
          <w:rFonts w:ascii="Times New Roman" w:cs="Times New Roman" w:eastAsia="Times New Roman" w:hAnsi="Times New Roman"/>
          <w:sz w:val="22"/>
          <w:szCs w:val="22"/>
          <w:color w:val="auto"/>
        </w:rPr>
      </w:pPr>
    </w:p>
    <w:p>
      <w:pPr>
        <w:ind w:right="340" w:firstLine="656"/>
        <w:spacing w:after="0" w:line="271" w:lineRule="auto"/>
        <w:tabs>
          <w:tab w:leader="none" w:pos="129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Grantee may elect to defer the receipt of Shares issuable with respect to Performance Stock Units, consistent, however, with the following:</w:t>
      </w:r>
    </w:p>
    <w:p>
      <w:pPr>
        <w:spacing w:after="0" w:line="157" w:lineRule="exact"/>
        <w:rPr>
          <w:rFonts w:ascii="Times New Roman" w:cs="Times New Roman" w:eastAsia="Times New Roman" w:hAnsi="Times New Roman"/>
          <w:sz w:val="22"/>
          <w:szCs w:val="22"/>
          <w:color w:val="auto"/>
        </w:rPr>
      </w:pPr>
    </w:p>
    <w:p>
      <w:pPr>
        <w:ind w:right="20" w:firstLine="1304"/>
        <w:spacing w:after="0" w:line="257" w:lineRule="auto"/>
        <w:tabs>
          <w:tab w:leader="none" w:pos="1752"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Elections</w:t>
      </w:r>
      <w:r>
        <w:rPr>
          <w:rFonts w:ascii="Times New Roman" w:cs="Times New Roman" w:eastAsia="Times New Roman" w:hAnsi="Times New Roman"/>
          <w:sz w:val="22"/>
          <w:szCs w:val="22"/>
          <w:color w:val="auto"/>
        </w:rPr>
        <w:t>. Grantee shall have the right to make an Initial Deferral Election to defer the receipt of all or a portion of the Shares issuable with respect to Performance Stock Units hereby granted by filing an Initial Deferral Election to defer the receipt of such Shares on the form provided by the Committee for this purpose.</w:t>
      </w:r>
    </w:p>
    <w:p>
      <w:pPr>
        <w:spacing w:after="0" w:line="172" w:lineRule="exact"/>
        <w:rPr>
          <w:rFonts w:ascii="Times New Roman" w:cs="Times New Roman" w:eastAsia="Times New Roman" w:hAnsi="Times New Roman"/>
          <w:sz w:val="22"/>
          <w:szCs w:val="22"/>
          <w:color w:val="auto"/>
        </w:rPr>
      </w:pPr>
    </w:p>
    <w:p>
      <w:pPr>
        <w:ind w:right="80" w:firstLine="1952"/>
        <w:spacing w:after="0" w:line="257" w:lineRule="auto"/>
        <w:tabs>
          <w:tab w:leader="none" w:pos="2412"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Initial Deferral Election</w:t>
      </w:r>
      <w:r>
        <w:rPr>
          <w:rFonts w:ascii="Times New Roman" w:cs="Times New Roman" w:eastAsia="Times New Roman" w:hAnsi="Times New Roman"/>
          <w:sz w:val="22"/>
          <w:szCs w:val="22"/>
          <w:color w:val="auto"/>
        </w:rPr>
        <w:t>. An Initial Deferral Election to defer the receipt of Shares issuable with respect to Performance Stock Units hereby granted shall not be effective unless it is filed with the Committee on or before [●].</w:t>
      </w:r>
    </w:p>
    <w:p>
      <w:pPr>
        <w:spacing w:after="0" w:line="172" w:lineRule="exact"/>
        <w:rPr>
          <w:rFonts w:ascii="Times New Roman" w:cs="Times New Roman" w:eastAsia="Times New Roman" w:hAnsi="Times New Roman"/>
          <w:sz w:val="22"/>
          <w:szCs w:val="22"/>
          <w:color w:val="auto"/>
        </w:rPr>
      </w:pPr>
    </w:p>
    <w:p>
      <w:pPr>
        <w:ind w:firstLine="1952"/>
        <w:spacing w:after="0" w:line="250" w:lineRule="auto"/>
        <w:tabs>
          <w:tab w:leader="none" w:pos="2412"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Subject to Paragraph 6(c), all Shares issuable with respect to Performance Stock Units that are subject to an Initial Deferral Election under this Paragraph 6(a) shall be delivered to Grantee without any legend or restrictions (except those that may be imposed by the Committee, in its sole judgment, under Paragraph 9), on the date designated by Grantee, which shall not be earlier than January 2 of the third calendar year beginning after the Vesting Date, nor later than January 2 of the eighth calendar year beginning after the Vesting Date.</w:t>
      </w:r>
    </w:p>
    <w:p>
      <w:pPr>
        <w:spacing w:after="0" w:line="180" w:lineRule="exact"/>
        <w:rPr>
          <w:rFonts w:ascii="Times New Roman" w:cs="Times New Roman" w:eastAsia="Times New Roman" w:hAnsi="Times New Roman"/>
          <w:sz w:val="22"/>
          <w:szCs w:val="22"/>
          <w:color w:val="auto"/>
        </w:rPr>
      </w:pPr>
    </w:p>
    <w:p>
      <w:pPr>
        <w:ind w:right="440" w:firstLine="1952"/>
        <w:spacing w:after="0" w:line="271" w:lineRule="auto"/>
        <w:tabs>
          <w:tab w:leader="none" w:pos="2412"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An Initial Deferral Election shall be null and void if a Vesting Date does not occur with respect to Performance Stock Units identified in such Initial Deferral Election.</w:t>
      </w:r>
    </w:p>
    <w:p>
      <w:pPr>
        <w:spacing w:after="0" w:line="157" w:lineRule="exact"/>
        <w:rPr>
          <w:rFonts w:ascii="Times New Roman" w:cs="Times New Roman" w:eastAsia="Times New Roman" w:hAnsi="Times New Roman"/>
          <w:sz w:val="22"/>
          <w:szCs w:val="22"/>
          <w:color w:val="auto"/>
        </w:rPr>
      </w:pPr>
    </w:p>
    <w:p>
      <w:pPr>
        <w:ind w:right="80" w:firstLine="1304"/>
        <w:spacing w:after="0" w:line="250" w:lineRule="auto"/>
        <w:tabs>
          <w:tab w:leader="none" w:pos="1764"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Elections</w:t>
      </w:r>
      <w:r>
        <w:rPr>
          <w:rFonts w:ascii="Times New Roman" w:cs="Times New Roman" w:eastAsia="Times New Roman" w:hAnsi="Times New Roman"/>
          <w:sz w:val="22"/>
          <w:szCs w:val="22"/>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Deferral Election by filing a Regular Deferral Election to defer the receipt of such Shares on the form provided by the Committee for this purpose.</w:t>
      </w:r>
    </w:p>
    <w:p>
      <w:pPr>
        <w:spacing w:after="0" w:line="180" w:lineRule="exact"/>
        <w:rPr>
          <w:rFonts w:ascii="Times New Roman" w:cs="Times New Roman" w:eastAsia="Times New Roman" w:hAnsi="Times New Roman"/>
          <w:sz w:val="22"/>
          <w:szCs w:val="22"/>
          <w:color w:val="auto"/>
        </w:rPr>
      </w:pPr>
    </w:p>
    <w:p>
      <w:pPr>
        <w:ind w:right="200" w:firstLine="1952"/>
        <w:spacing w:after="0" w:line="295" w:lineRule="auto"/>
        <w:tabs>
          <w:tab w:leader="none" w:pos="2412" w:val="left"/>
        </w:tabs>
        <w:numPr>
          <w:ilvl w:val="2"/>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Deadline for Regular Deferral Election</w:t>
      </w:r>
      <w:r>
        <w:rPr>
          <w:rFonts w:ascii="Times New Roman" w:cs="Times New Roman" w:eastAsia="Times New Roman" w:hAnsi="Times New Roman"/>
          <w:sz w:val="21"/>
          <w:szCs w:val="21"/>
          <w:color w:val="auto"/>
        </w:rPr>
        <w:t>. A Regular Deferral Election to defer the receipt of Shares issuable with respect to Performance Stock Units hereby granted shall not be effective unless it is filed with the Committee: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22" w:right="359" w:bottom="1440" w:gutter="0" w:footer="0" w:header="0"/>
        </w:sectPr>
      </w:pPr>
    </w:p>
    <w:bookmarkStart w:id="247" w:name="page248"/>
    <w:bookmarkEnd w:id="247"/>
    <w:p>
      <w:pPr>
        <w:ind w:left="-20" w:right="20" w:firstLine="1952"/>
        <w:spacing w:after="0" w:line="257" w:lineRule="auto"/>
        <w:tabs>
          <w:tab w:leader="none" w:pos="2392"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If Grantee makes a Regular Deferral Election to defer the distribution date for Shares issuable with respect to some or all of the Performance Stock Units hereby granted, Grantee may elect to defer the distribution date for a minimum of five years and a maximum of seven additional years from the Service Vesting Date.</w:t>
      </w:r>
    </w:p>
    <w:p>
      <w:pPr>
        <w:spacing w:after="0" w:line="172" w:lineRule="exact"/>
        <w:rPr>
          <w:rFonts w:ascii="Times New Roman" w:cs="Times New Roman" w:eastAsia="Times New Roman" w:hAnsi="Times New Roman"/>
          <w:sz w:val="22"/>
          <w:szCs w:val="22"/>
          <w:color w:val="auto"/>
        </w:rPr>
      </w:pPr>
    </w:p>
    <w:p>
      <w:pPr>
        <w:ind w:left="-20" w:right="400" w:firstLine="1952"/>
        <w:spacing w:after="0" w:line="271" w:lineRule="auto"/>
        <w:tabs>
          <w:tab w:leader="none" w:pos="2392"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 Regular Deferral Election shall be null and void if a Vesting Date does not occur with respect to Restricted Stock Units identified in such Initial Deferral Election.</w:t>
      </w:r>
    </w:p>
    <w:p>
      <w:pPr>
        <w:spacing w:after="0" w:line="157" w:lineRule="exact"/>
        <w:rPr>
          <w:rFonts w:ascii="Times New Roman" w:cs="Times New Roman" w:eastAsia="Times New Roman" w:hAnsi="Times New Roman"/>
          <w:sz w:val="22"/>
          <w:szCs w:val="22"/>
          <w:color w:val="auto"/>
        </w:rPr>
      </w:pPr>
    </w:p>
    <w:p>
      <w:pPr>
        <w:ind w:left="-20" w:right="180" w:firstLine="1304"/>
        <w:spacing w:after="0" w:line="271" w:lineRule="auto"/>
        <w:tabs>
          <w:tab w:leader="none" w:pos="173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 Subsequent Deferral Election shall be effective until 12 months after the date on which a Subsequent Deferral Election is filed with the Committee.</w:t>
      </w:r>
    </w:p>
    <w:p>
      <w:pPr>
        <w:spacing w:after="0" w:line="157" w:lineRule="exact"/>
        <w:rPr>
          <w:rFonts w:ascii="Times New Roman" w:cs="Times New Roman" w:eastAsia="Times New Roman" w:hAnsi="Times New Roman"/>
          <w:sz w:val="22"/>
          <w:szCs w:val="22"/>
          <w:color w:val="auto"/>
        </w:rPr>
      </w:pPr>
    </w:p>
    <w:p>
      <w:pPr>
        <w:ind w:left="-20" w:right="80" w:firstLine="1952"/>
        <w:spacing w:after="0" w:line="248" w:lineRule="auto"/>
        <w:tabs>
          <w:tab w:leader="none" w:pos="2392"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makes an Initial Deferral Election, a Regular Deferral Election or pursuant to this Paragraph 6(c)(1) makes a Subsequent Deferral Election to defer the distribution date for Shares issuable with respect to some or all of the Performance Stock Units hereby granted, Grantee may elect to defer the distribution date for a minimum of five years and a maximum of seven additional years from the previously-elected distribution date by filing a Subsequent Deferral Election with the Committee on or before the close of business at least one year before the date on which the distribution would otherwise be made.</w:t>
      </w:r>
    </w:p>
    <w:p>
      <w:pPr>
        <w:spacing w:after="0" w:line="186" w:lineRule="exact"/>
        <w:rPr>
          <w:rFonts w:ascii="Times New Roman" w:cs="Times New Roman" w:eastAsia="Times New Roman" w:hAnsi="Times New Roman"/>
          <w:sz w:val="22"/>
          <w:szCs w:val="22"/>
          <w:color w:val="auto"/>
        </w:rPr>
      </w:pPr>
    </w:p>
    <w:p>
      <w:pPr>
        <w:ind w:left="-20" w:right="320" w:firstLine="1952"/>
        <w:spacing w:after="0" w:line="265" w:lineRule="auto"/>
        <w:tabs>
          <w:tab w:leader="none" w:pos="2392"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 dies before Shares subject to an Initial Deferral Election under Paragraph 6(a) are to be delivered, the estate or beneficiary to whom the right to delivery of such Shares shall have passed may make a Subsequent Deferral Election to defer receipt of all or any portion of such Shares for five additional years from the date delivery of Shares would otherwise be made, provided that such Subsequent Deferral Election must be filed with the Committee at least one year before the date on which the distribution would otherwise be made, as reflected on Grantee’s last Election.</w:t>
      </w:r>
    </w:p>
    <w:p>
      <w:pPr>
        <w:spacing w:after="0" w:line="165" w:lineRule="exact"/>
        <w:rPr>
          <w:rFonts w:ascii="Times New Roman" w:cs="Times New Roman" w:eastAsia="Times New Roman" w:hAnsi="Times New Roman"/>
          <w:sz w:val="21"/>
          <w:szCs w:val="21"/>
          <w:color w:val="auto"/>
        </w:rPr>
      </w:pPr>
    </w:p>
    <w:p>
      <w:pPr>
        <w:ind w:left="-20" w:right="20" w:firstLine="1952"/>
        <w:spacing w:after="0" w:line="250" w:lineRule="auto"/>
        <w:tabs>
          <w:tab w:leader="none" w:pos="2392"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has a Termination of Employment before Shares subject to an Initial Deferral Election, a Regular Deferral Election or a Subsequent Deferral Election are required to be delivered, Grantee may make a Subsequent Deferral Election to defer all or any portion of such Shares for a minimum of five years and a maximum of seven additional years from the previously-elected distribution date. Such a Subsequent Deferral Election must be filed with the Committee at least one year before the date on which the distribution would otherwise be made.</w:t>
      </w:r>
    </w:p>
    <w:p>
      <w:pPr>
        <w:spacing w:after="0" w:line="180" w:lineRule="exact"/>
        <w:rPr>
          <w:rFonts w:ascii="Times New Roman" w:cs="Times New Roman" w:eastAsia="Times New Roman" w:hAnsi="Times New Roman"/>
          <w:sz w:val="22"/>
          <w:szCs w:val="22"/>
          <w:color w:val="auto"/>
        </w:rPr>
      </w:pPr>
    </w:p>
    <w:p>
      <w:pPr>
        <w:ind w:left="-20" w:right="240" w:firstLine="1304"/>
        <w:spacing w:after="0" w:line="257" w:lineRule="auto"/>
        <w:tabs>
          <w:tab w:leader="none" w:pos="174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Diversification Election</w:t>
      </w:r>
      <w:r>
        <w:rPr>
          <w:rFonts w:ascii="Times New Roman" w:cs="Times New Roman" w:eastAsia="Times New Roman" w:hAnsi="Times New Roman"/>
          <w:sz w:val="22"/>
          <w:szCs w:val="22"/>
          <w:color w:val="auto"/>
        </w:rPr>
        <w:t>. As provided in the Plan and as described in the prospectus for the Plan, a Grantee with an Account may be eligible to make a Diversification Election on an election form supplied by the Committee for this purpose.</w:t>
      </w:r>
    </w:p>
    <w:p>
      <w:pPr>
        <w:spacing w:after="0" w:line="172" w:lineRule="exact"/>
        <w:rPr>
          <w:rFonts w:ascii="Times New Roman" w:cs="Times New Roman" w:eastAsia="Times New Roman" w:hAnsi="Times New Roman"/>
          <w:sz w:val="22"/>
          <w:szCs w:val="22"/>
          <w:color w:val="auto"/>
        </w:rPr>
      </w:pPr>
    </w:p>
    <w:p>
      <w:pPr>
        <w:ind w:left="-20" w:firstLine="1304"/>
        <w:spacing w:after="0" w:line="295" w:lineRule="auto"/>
        <w:tabs>
          <w:tab w:leader="none" w:pos="1732"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 Accounts</w:t>
      </w:r>
      <w:r>
        <w:rPr>
          <w:rFonts w:ascii="Times New Roman" w:cs="Times New Roman" w:eastAsia="Times New Roman" w:hAnsi="Times New Roman"/>
          <w:sz w:val="21"/>
          <w:szCs w:val="21"/>
          <w:color w:val="auto"/>
        </w:rPr>
        <w:t>. An Account shall be established for each Grantee who makes an Initial Deferral Election. Deferred Stock Units shall be credited to the Account as of the Date an Initial Deferral Election becomes effective. Each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40" w:top="1422" w:right="339" w:bottom="1440" w:gutter="0" w:footer="0" w:header="0"/>
        </w:sectPr>
      </w:pPr>
    </w:p>
    <w:bookmarkStart w:id="248" w:name="page249"/>
    <w:bookmarkEnd w:id="248"/>
    <w:p>
      <w:pPr>
        <w:ind w:right="640"/>
        <w:spacing w:after="0" w:line="252" w:lineRule="auto"/>
        <w:rPr>
          <w:sz w:val="20"/>
          <w:szCs w:val="20"/>
          <w:color w:val="auto"/>
        </w:rPr>
      </w:pPr>
      <w:r>
        <w:rPr>
          <w:rFonts w:ascii="Times New Roman" w:cs="Times New Roman" w:eastAsia="Times New Roman" w:hAnsi="Times New Roman"/>
          <w:sz w:val="22"/>
          <w:szCs w:val="22"/>
          <w:color w:val="auto"/>
        </w:rPr>
        <w:t>Stock Unit will represent a hypothetical Share credited to the Account in lieu of delivery of the Shares to which an Initial Deferral Election, Regular Deferral Election or a Subsequent Deferral Election applies. If an eligible Grantee makes a Diversification Election, then to the extent an Account is deemed invested in the Income Fund, the Committee shall credit earnings with respect to such Account at the Applicable Interest Rate.</w:t>
      </w:r>
    </w:p>
    <w:p>
      <w:pPr>
        <w:spacing w:after="0" w:line="179" w:lineRule="exact"/>
        <w:rPr>
          <w:sz w:val="20"/>
          <w:szCs w:val="20"/>
          <w:color w:val="auto"/>
        </w:rPr>
      </w:pPr>
    </w:p>
    <w:p>
      <w:pPr>
        <w:ind w:right="80" w:firstLine="1304"/>
        <w:spacing w:after="0" w:line="248" w:lineRule="auto"/>
        <w:tabs>
          <w:tab w:leader="none" w:pos="172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Deferred Amounts</w:t>
      </w:r>
      <w:r>
        <w:rPr>
          <w:rFonts w:ascii="Times New Roman" w:cs="Times New Roman" w:eastAsia="Times New Roman" w:hAnsi="Times New Roman"/>
          <w:sz w:val="22"/>
          <w:szCs w:val="22"/>
          <w:color w:val="auto"/>
        </w:rPr>
        <w:t>. Grantee’s right to delivery of Shares subject to an Initial Deferral Election, Regular Deferral Election or Subsequent Deferral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81" w:lineRule="exact"/>
        <w:rPr>
          <w:rFonts w:ascii="Times New Roman" w:cs="Times New Roman" w:eastAsia="Times New Roman" w:hAnsi="Times New Roman"/>
          <w:sz w:val="22"/>
          <w:szCs w:val="22"/>
          <w:color w:val="auto"/>
        </w:rPr>
      </w:pPr>
    </w:p>
    <w:p>
      <w:pPr>
        <w:ind w:right="60" w:firstLine="1304"/>
        <w:spacing w:after="0" w:line="252" w:lineRule="auto"/>
        <w:tabs>
          <w:tab w:leader="none" w:pos="1764"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 Etc.</w:t>
      </w:r>
      <w:r>
        <w:rPr>
          <w:rFonts w:ascii="Times New Roman" w:cs="Times New Roman" w:eastAsia="Times New Roman" w:hAnsi="Times New Roman"/>
          <w:sz w:val="22"/>
          <w:szCs w:val="22"/>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79" w:lineRule="exact"/>
        <w:rPr>
          <w:rFonts w:ascii="Times New Roman" w:cs="Times New Roman" w:eastAsia="Times New Roman" w:hAnsi="Times New Roman"/>
          <w:sz w:val="22"/>
          <w:szCs w:val="22"/>
          <w:color w:val="auto"/>
        </w:rPr>
      </w:pPr>
    </w:p>
    <w:p>
      <w:pPr>
        <w:ind w:right="220" w:firstLine="656"/>
        <w:spacing w:after="0" w:line="250" w:lineRule="auto"/>
        <w:tabs>
          <w:tab w:leader="none" w:pos="129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any Performance Stock Units hereunder may not be transferred or assigned by Grantee other than by will or the laws of descent and distribution or be exercised during his life other than by Grantee or for his benefit by his attorney-in-fact or guardian. Any attempt at assignment, transfer, pledge or disposition of any Performance Stock Units contrary to the provisions hereof or the levy of any execution, attachment or similar process upon the Performance Stock Units shall be null and void and without effect.</w:t>
      </w:r>
    </w:p>
    <w:p>
      <w:pPr>
        <w:spacing w:after="0" w:line="180" w:lineRule="exact"/>
        <w:rPr>
          <w:rFonts w:ascii="Times New Roman" w:cs="Times New Roman" w:eastAsia="Times New Roman" w:hAnsi="Times New Roman"/>
          <w:sz w:val="22"/>
          <w:szCs w:val="22"/>
          <w:color w:val="auto"/>
        </w:rPr>
      </w:pPr>
    </w:p>
    <w:p>
      <w:pPr>
        <w:ind w:firstLine="656"/>
        <w:spacing w:after="0" w:line="250" w:lineRule="auto"/>
        <w:tabs>
          <w:tab w:leader="none" w:pos="129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Company’s personnel records. All notices under this Agreement shall be deemed to have been given when hand-delivered or mailed, first class postage prepaid, and shall be irrevocable once given.</w:t>
      </w:r>
    </w:p>
    <w:p>
      <w:pPr>
        <w:spacing w:after="0" w:line="180" w:lineRule="exact"/>
        <w:rPr>
          <w:rFonts w:ascii="Times New Roman" w:cs="Times New Roman" w:eastAsia="Times New Roman" w:hAnsi="Times New Roman"/>
          <w:sz w:val="22"/>
          <w:szCs w:val="22"/>
          <w:color w:val="auto"/>
        </w:rPr>
      </w:pPr>
    </w:p>
    <w:p>
      <w:pPr>
        <w:ind w:firstLine="656"/>
        <w:spacing w:after="0" w:line="257" w:lineRule="auto"/>
        <w:tabs>
          <w:tab w:leader="none" w:pos="129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Committee may from time to time impose any conditions on the Shares issuable with respect to Performance Stock Units as it deems necessary or advisable to ensure that the Plan and this Award satisfies the conditions of Rule 16b-3, and that Shares are issued and resold in compliance with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2" w:right="379" w:bottom="1440" w:gutter="0" w:footer="0" w:header="0"/>
        </w:sectPr>
      </w:pPr>
    </w:p>
    <w:bookmarkStart w:id="249" w:name="page250"/>
    <w:bookmarkEnd w:id="249"/>
    <w:p>
      <w:pPr>
        <w:ind w:left="1280" w:hanging="644"/>
        <w:spacing w:after="0"/>
        <w:tabs>
          <w:tab w:leader="none" w:pos="128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Repayment</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20" w:firstLine="1304"/>
        <w:spacing w:after="0" w:line="245" w:lineRule="auto"/>
        <w:tabs>
          <w:tab w:leader="none" w:pos="1732"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Shares</w:t>
      </w:r>
      <w:r>
        <w:rPr>
          <w:rFonts w:ascii="Times New Roman" w:cs="Times New Roman" w:eastAsia="Times New Roman" w:hAnsi="Times New Roman"/>
          <w:sz w:val="22"/>
          <w:szCs w:val="22"/>
          <w:color w:val="auto"/>
        </w:rPr>
        <w:t>. Except as otherwise provided in Paragraph 6, the Company shall notify Grantee that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Vesting Date with respect to Performance Stock Units has occurred. Within ten (10) business days of a Vesting Date, the Company shall, without payment from Grantee, satisfy its obligations to (1) pay the Dividend Equivalent Amount (if any) and (2) deliver Shares underlying the applicable Earned PSUs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multiplied by the Fair Market Value of a Share on the Vesting Date, as determined by the Committee.</w:t>
      </w:r>
    </w:p>
    <w:p>
      <w:pPr>
        <w:spacing w:after="0" w:line="193" w:lineRule="exact"/>
        <w:rPr>
          <w:rFonts w:ascii="Times New Roman" w:cs="Times New Roman" w:eastAsia="Times New Roman" w:hAnsi="Times New Roman"/>
          <w:sz w:val="22"/>
          <w:szCs w:val="22"/>
          <w:color w:val="auto"/>
        </w:rPr>
      </w:pPr>
    </w:p>
    <w:p>
      <w:pPr>
        <w:ind w:left="-20" w:right="20" w:firstLine="1304"/>
        <w:spacing w:after="0" w:line="246" w:lineRule="auto"/>
        <w:tabs>
          <w:tab w:leader="none" w:pos="1744"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w:t>
      </w:r>
      <w:r>
        <w:rPr>
          <w:rFonts w:ascii="Times New Roman" w:cs="Times New Roman" w:eastAsia="Times New Roman" w:hAnsi="Times New Roman"/>
          <w:sz w:val="22"/>
          <w:szCs w:val="22"/>
          <w:color w:val="auto"/>
        </w:rPr>
        <w:t>. If it is determined by the Board that gross negligence, intentional misconduct or fraud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Performance Stock Units, or to effect the cancellation of unvested Performance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10(b) has been deferred pursuant to Paragraph 6 (or any other plan, program or arrangement that permits the deferral of receipt of an Award), such Award (and any earnings credited with respect thereto) shall be forfeited in lieu of repayment.</w:t>
      </w:r>
    </w:p>
    <w:p>
      <w:pPr>
        <w:spacing w:after="0" w:line="191" w:lineRule="exact"/>
        <w:rPr>
          <w:rFonts w:ascii="Times New Roman" w:cs="Times New Roman" w:eastAsia="Times New Roman" w:hAnsi="Times New Roman"/>
          <w:sz w:val="22"/>
          <w:szCs w:val="22"/>
          <w:color w:val="auto"/>
        </w:rPr>
      </w:pPr>
    </w:p>
    <w:p>
      <w:pPr>
        <w:ind w:left="-20" w:right="140" w:firstLine="656"/>
        <w:spacing w:after="0" w:line="257" w:lineRule="auto"/>
        <w:tabs>
          <w:tab w:leader="none" w:pos="126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Prior to Settlement</w:t>
      </w:r>
      <w:r>
        <w:rPr>
          <w:rFonts w:ascii="Times New Roman" w:cs="Times New Roman" w:eastAsia="Times New Roman" w:hAnsi="Times New Roman"/>
          <w:sz w:val="22"/>
          <w:szCs w:val="22"/>
          <w:color w:val="auto"/>
        </w:rPr>
        <w:t>. Grantee shall not have any right as a stockholder with respect to any Shares subject to his or her Performance Stock Unit until the Performance Stock Unit shall have been settled in accordance with the terms of the Plan and this Agreement, and the Company shall have delivered the Shares.</w:t>
      </w:r>
    </w:p>
    <w:p>
      <w:pPr>
        <w:spacing w:after="0" w:line="172" w:lineRule="exact"/>
        <w:rPr>
          <w:rFonts w:ascii="Times New Roman" w:cs="Times New Roman" w:eastAsia="Times New Roman" w:hAnsi="Times New Roman"/>
          <w:sz w:val="22"/>
          <w:szCs w:val="22"/>
          <w:color w:val="auto"/>
        </w:rPr>
      </w:pPr>
    </w:p>
    <w:p>
      <w:pPr>
        <w:jc w:val="both"/>
        <w:ind w:left="-20" w:right="200" w:firstLine="656"/>
        <w:spacing w:after="0" w:line="257" w:lineRule="auto"/>
        <w:tabs>
          <w:tab w:leader="none" w:pos="127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Grantee understands and agrees that all payments made pursuant to this Award are intended to be exempt and/or comply with Section 409A of the Code (together with its implement regulations and guidance,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shall be interpreted on a basis consistent with such intent.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40" w:top="1422" w:right="359" w:bottom="1440" w:gutter="0" w:footer="0" w:header="0"/>
        </w:sectPr>
      </w:pPr>
    </w:p>
    <w:bookmarkStart w:id="250" w:name="page251"/>
    <w:bookmarkEnd w:id="250"/>
    <w:p>
      <w:pPr>
        <w:ind w:right="60"/>
        <w:spacing w:after="0" w:line="258" w:lineRule="auto"/>
        <w:rPr>
          <w:sz w:val="20"/>
          <w:szCs w:val="20"/>
          <w:color w:val="auto"/>
        </w:rPr>
      </w:pPr>
      <w:r>
        <w:rPr>
          <w:rFonts w:ascii="Times New Roman" w:cs="Times New Roman" w:eastAsia="Times New Roman" w:hAnsi="Times New Roman"/>
          <w:sz w:val="21"/>
          <w:szCs w:val="21"/>
          <w:color w:val="auto"/>
        </w:rPr>
        <w:t>Company makes no representations that the payments provided pursuant this Award comply with Section 409A, and in no event will the Company be liable for any taxes, penalties, interest or other expenses that may be incurred by you on account of non-compliance with Section 409A. Notwithstanding anything to the contrary in this Agreement, to the extent that any Performance Stock Units are determined by the Company to be “nonqualified deferred compensation” for purposes Section 409A, and Shares become deliverable with respect to this Award as a result of Grantee’s Termination of Employment, such Shares will only be delivered if such Termination of Employment constitutes a “separation from service” within the meaning of Treas. Reg.</w:t>
      </w:r>
    </w:p>
    <w:p>
      <w:pPr>
        <w:spacing w:after="0" w:line="5" w:lineRule="exact"/>
        <w:rPr>
          <w:sz w:val="20"/>
          <w:szCs w:val="20"/>
          <w:color w:val="auto"/>
        </w:rPr>
      </w:pPr>
    </w:p>
    <w:p>
      <w:pPr>
        <w:ind w:right="300" w:firstLine="8"/>
        <w:spacing w:after="0" w:line="260" w:lineRule="auto"/>
        <w:tabs>
          <w:tab w:leader="none" w:pos="162"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1.409A-1(h) and, to the extent compliance with the requirements of Treas. Reg. § 1.409A-3(i)(2) is necessary to avoid the application of an additional tax under Section 409A of the Code, as determined by the Company, Shares that would otherwise become deliverable upon Grantee’s “separation from service” will be deferred (without interest) and issued to Grantee immediately following the expiration of the six-month period measured from the date of Grantee’s separation from service.</w:t>
      </w:r>
    </w:p>
    <w:p>
      <w:pPr>
        <w:spacing w:after="0" w:line="171" w:lineRule="exact"/>
        <w:rPr>
          <w:rFonts w:ascii="Times New Roman" w:cs="Times New Roman" w:eastAsia="Times New Roman" w:hAnsi="Times New Roman"/>
          <w:sz w:val="21"/>
          <w:szCs w:val="21"/>
          <w:color w:val="auto"/>
        </w:rPr>
      </w:pPr>
    </w:p>
    <w:p>
      <w:pPr>
        <w:ind w:right="560" w:firstLine="656"/>
        <w:spacing w:after="0" w:line="271" w:lineRule="auto"/>
        <w:tabs>
          <w:tab w:leader="none" w:pos="1296"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Not to Affect Employment</w:t>
      </w:r>
      <w:r>
        <w:rPr>
          <w:rFonts w:ascii="Times New Roman" w:cs="Times New Roman" w:eastAsia="Times New Roman" w:hAnsi="Times New Roman"/>
          <w:sz w:val="22"/>
          <w:szCs w:val="22"/>
          <w:color w:val="auto"/>
        </w:rPr>
        <w:t>. The Award granted hereunder shall not confer upon Grantee any right to continue in the employment of the Company or any Subsidiary Company or Affiliate of the Company.</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performance, construction and effect of this Award shall be governed by the laws of the Commonwealth of Pennsylvania, without giving effect to principles of conflicts of law.</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60"/>
          </w:cols>
          <w:pgMar w:left="320" w:top="1422" w:right="4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IN WITNESS WHEREOF, the Company has granted this Award on the Date of Grant.</w:t>
      </w:r>
    </w:p>
    <w:p>
      <w:pPr>
        <w:spacing w:after="0" w:line="200" w:lineRule="exact"/>
        <w:rPr>
          <w:sz w:val="20"/>
          <w:szCs w:val="20"/>
          <w:color w:val="auto"/>
        </w:rPr>
      </w:pPr>
    </w:p>
    <w:p>
      <w:pPr>
        <w:spacing w:after="0" w:line="2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COMCAST CORPORATION</w:t>
      </w:r>
    </w:p>
    <w:p>
      <w:pPr>
        <w:spacing w:after="0" w:line="316" w:lineRule="exact"/>
        <w:rPr>
          <w:sz w:val="20"/>
          <w:szCs w:val="20"/>
          <w:color w:val="auto"/>
        </w:rPr>
      </w:pPr>
    </w:p>
    <w:p>
      <w:pPr>
        <w:ind w:left="4980"/>
        <w:spacing w:after="0"/>
        <w:tabs>
          <w:tab w:leader="none" w:pos="5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3566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4980"/>
        <w:spacing w:after="0"/>
        <w:tabs>
          <w:tab w:leader="none" w:pos="5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Performance Stock Unit Award Agreement</w:t>
      </w:r>
      <w:r>
        <w:rPr>
          <w:rFonts w:ascii="Times New Roman" w:cs="Times New Roman" w:eastAsia="Times New Roman" w:hAnsi="Times New Roman"/>
          <w:sz w:val="21"/>
          <w:szCs w:val="21"/>
          <w:color w:val="auto"/>
        </w:rPr>
        <w:t>]</w:t>
      </w:r>
    </w:p>
    <w:p>
      <w:pPr>
        <w:sectPr>
          <w:pgSz w:w="11900" w:h="16838" w:orient="portrait"/>
          <w:cols w:equalWidth="0" w:num="1">
            <w:col w:w="9479"/>
          </w:cols>
          <w:pgMar w:left="980" w:top="1422" w:right="1440" w:bottom="1440" w:gutter="0" w:footer="0" w:header="0"/>
        </w:sectPr>
      </w:pPr>
    </w:p>
    <w:bookmarkStart w:id="252" w:name="page253"/>
    <w:bookmarkEnd w:id="25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LONG-TERM INCENTIVE AWARDS SUMMARY SCHEDULE</w:t>
      </w:r>
    </w:p>
    <w:p>
      <w:pPr>
        <w:spacing w:after="0" w:line="22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This Long-Term Incentive Awards Summary Schedule (this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provides certain information related to the Performance Stock Units Grantee was granted by the Company on the Date of Grant pursuant to the Performance Stock Unit Award Agreement to which this Schedule is attached.</w:t>
      </w:r>
    </w:p>
    <w:p>
      <w:pPr>
        <w:spacing w:after="0" w:line="173"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22"/>
          <w:szCs w:val="22"/>
          <w:color w:val="auto"/>
        </w:rPr>
        <w:t>Capitalized terms that are not otherwise defined in this Schedule shall have the meanings given to them in the applicable Performance Stock Unit Award Agreement or in the Plan.</w:t>
      </w:r>
    </w:p>
    <w:p>
      <w:pPr>
        <w:spacing w:after="0" w:line="15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2"/>
          <w:szCs w:val="22"/>
          <w:b w:val="1"/>
          <w:bCs w:val="1"/>
          <w:color w:val="auto"/>
        </w:rPr>
        <w:t>This Schedule is intended to be, and shall at all times be interpreted as, a part of the Performance Stock Unit Award Agreement to which it relates.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Stock Unit Award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36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7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33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33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Common Stock:</w:t>
            </w:r>
          </w:p>
        </w:tc>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Comcast Corporation Class A Common Stock</w:t>
            </w:r>
          </w:p>
        </w:tc>
      </w:tr>
      <w:tr>
        <w:trPr>
          <w:trHeight w:val="263"/>
        </w:trPr>
        <w:tc>
          <w:tcPr>
            <w:tcW w:w="33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Performance Stock</w:t>
            </w: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Performance Stock Units (“</w:t>
            </w:r>
            <w:r>
              <w:rPr>
                <w:rFonts w:ascii="Times New Roman" w:cs="Times New Roman" w:eastAsia="Times New Roman" w:hAnsi="Times New Roman"/>
                <w:sz w:val="22"/>
                <w:szCs w:val="22"/>
                <w:b w:val="1"/>
                <w:bCs w:val="1"/>
                <w:color w:val="auto"/>
              </w:rPr>
              <w:t>Target PSUs</w:t>
            </w:r>
            <w:r>
              <w:rPr>
                <w:rFonts w:ascii="Times New Roman" w:cs="Times New Roman" w:eastAsia="Times New Roman" w:hAnsi="Times New Roman"/>
                <w:sz w:val="22"/>
                <w:szCs w:val="22"/>
                <w:color w:val="auto"/>
              </w:rPr>
              <w:t>”)</w:t>
            </w:r>
          </w:p>
        </w:tc>
      </w:tr>
      <w:tr>
        <w:trPr>
          <w:trHeight w:val="216"/>
        </w:trPr>
        <w:tc>
          <w:tcPr>
            <w:tcW w:w="3360" w:type="dxa"/>
            <w:vAlign w:val="bottom"/>
            <w:tcBorders>
              <w:left w:val="single" w:sz="8" w:color="auto"/>
              <w:bottom w:val="single" w:sz="8" w:color="auto"/>
              <w:right w:val="single" w:sz="8" w:color="auto"/>
            </w:tcBorders>
            <w:gridSpan w:val="2"/>
          </w:tcPr>
          <w:p>
            <w:pPr>
              <w:ind w:left="40"/>
              <w:spacing w:after="0" w:line="216" w:lineRule="exact"/>
              <w:rPr>
                <w:sz w:val="20"/>
                <w:szCs w:val="20"/>
                <w:color w:val="auto"/>
              </w:rPr>
            </w:pPr>
            <w:r>
              <w:rPr>
                <w:rFonts w:ascii="Times New Roman" w:cs="Times New Roman" w:eastAsia="Times New Roman" w:hAnsi="Times New Roman"/>
                <w:sz w:val="22"/>
                <w:szCs w:val="22"/>
                <w:b w:val="1"/>
                <w:bCs w:val="1"/>
                <w:color w:val="auto"/>
              </w:rPr>
              <w:t>Units Granted:</w:t>
            </w:r>
          </w:p>
        </w:tc>
        <w:tc>
          <w:tcPr>
            <w:tcW w:w="7900" w:type="dxa"/>
            <w:vAlign w:val="bottom"/>
            <w:tcBorders>
              <w:bottom w:val="single" w:sz="8" w:color="auto"/>
              <w:right w:val="single" w:sz="8" w:color="auto"/>
            </w:tcBorders>
          </w:tcPr>
          <w:p>
            <w:pPr>
              <w:spacing w:after="0"/>
              <w:rPr>
                <w:sz w:val="18"/>
                <w:szCs w:val="18"/>
                <w:color w:val="auto"/>
              </w:rPr>
            </w:pPr>
          </w:p>
        </w:tc>
      </w:tr>
      <w:tr>
        <w:trPr>
          <w:trHeight w:val="196"/>
        </w:trPr>
        <w:tc>
          <w:tcPr>
            <w:tcW w:w="3360" w:type="dxa"/>
            <w:vAlign w:val="bottom"/>
            <w:tcBorders>
              <w:left w:val="single" w:sz="8" w:color="auto"/>
              <w:right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rPr>
              <w:t>Vesting of Performance Stock</w:t>
            </w:r>
          </w:p>
        </w:tc>
        <w:tc>
          <w:tcPr>
            <w:tcW w:w="790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22"/>
                <w:szCs w:val="22"/>
                <w:color w:val="auto"/>
              </w:rPr>
              <w:t>The Performance Stock Units will vest upon the satisfaction of both of the Service</w:t>
            </w:r>
          </w:p>
        </w:tc>
      </w:tr>
      <w:tr>
        <w:trPr>
          <w:trHeight w:val="216"/>
        </w:trPr>
        <w:tc>
          <w:tcPr>
            <w:tcW w:w="3360" w:type="dxa"/>
            <w:vAlign w:val="bottom"/>
            <w:tcBorders>
              <w:left w:val="single" w:sz="8" w:color="auto"/>
              <w:right w:val="single" w:sz="8" w:color="auto"/>
            </w:tcBorders>
            <w:gridSpan w:val="2"/>
          </w:tcPr>
          <w:p>
            <w:pPr>
              <w:ind w:left="40"/>
              <w:spacing w:after="0" w:line="216" w:lineRule="exact"/>
              <w:rPr>
                <w:sz w:val="20"/>
                <w:szCs w:val="20"/>
                <w:color w:val="auto"/>
              </w:rPr>
            </w:pPr>
            <w:r>
              <w:rPr>
                <w:rFonts w:ascii="Times New Roman" w:cs="Times New Roman" w:eastAsia="Times New Roman" w:hAnsi="Times New Roman"/>
                <w:sz w:val="22"/>
                <w:szCs w:val="22"/>
                <w:b w:val="1"/>
                <w:bCs w:val="1"/>
                <w:color w:val="auto"/>
              </w:rPr>
              <w:t>Units:</w:t>
            </w:r>
          </w:p>
        </w:tc>
        <w:tc>
          <w:tcPr>
            <w:tcW w:w="790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Condition and the Performance Condition applicable to the Performance Stock Units, as</w:t>
            </w:r>
          </w:p>
        </w:tc>
      </w:tr>
      <w:tr>
        <w:trPr>
          <w:trHeight w:val="283"/>
        </w:trPr>
        <w:tc>
          <w:tcPr>
            <w:tcW w:w="27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set forth in more detail below.</w:t>
            </w:r>
          </w:p>
        </w:tc>
      </w:tr>
      <w:tr>
        <w:trPr>
          <w:trHeight w:val="367"/>
        </w:trPr>
        <w:tc>
          <w:tcPr>
            <w:tcW w:w="33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Performance Condition:</w:t>
            </w:r>
            <w:r>
              <w:rPr>
                <w:rFonts w:ascii="Times New Roman" w:cs="Times New Roman" w:eastAsia="Times New Roman" w:hAnsi="Times New Roman"/>
                <w:sz w:val="28"/>
                <w:szCs w:val="28"/>
                <w:b w:val="1"/>
                <w:bCs w:val="1"/>
                <w:color w:val="auto"/>
                <w:vertAlign w:val="superscript"/>
              </w:rPr>
              <w:t>1</w:t>
            </w: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satisfaction of the “</w:t>
            </w:r>
            <w:r>
              <w:rPr>
                <w:rFonts w:ascii="Times New Roman" w:cs="Times New Roman" w:eastAsia="Times New Roman" w:hAnsi="Times New Roman"/>
                <w:sz w:val="22"/>
                <w:szCs w:val="22"/>
                <w:b w:val="1"/>
                <w:bCs w:val="1"/>
                <w:color w:val="auto"/>
              </w:rPr>
              <w:t>Performance Condition</w:t>
            </w:r>
            <w:r>
              <w:rPr>
                <w:rFonts w:ascii="Times New Roman" w:cs="Times New Roman" w:eastAsia="Times New Roman" w:hAnsi="Times New Roman"/>
                <w:sz w:val="22"/>
                <w:szCs w:val="22"/>
                <w:color w:val="auto"/>
              </w:rPr>
              <w:t>” will be determined as follows:</w:t>
            </w:r>
          </w:p>
        </w:tc>
      </w:tr>
      <w:tr>
        <w:trPr>
          <w:trHeight w:val="500"/>
        </w:trPr>
        <w:tc>
          <w:tcPr>
            <w:tcW w:w="27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8"/>
              </w:rPr>
              <w:t>[The number of Performance Stock Units earned and eligible to vest and convert to Shares</w:t>
            </w:r>
          </w:p>
        </w:tc>
      </w:tr>
      <w:tr>
        <w:trPr>
          <w:trHeight w:val="260"/>
        </w:trPr>
        <w:tc>
          <w:tcPr>
            <w:tcW w:w="2700" w:type="dxa"/>
            <w:vAlign w:val="bottom"/>
            <w:tcBorders>
              <w:lef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8"/>
              </w:rPr>
              <w:t>(the “</w:t>
            </w:r>
            <w:r>
              <w:rPr>
                <w:rFonts w:ascii="Times New Roman" w:cs="Times New Roman" w:eastAsia="Times New Roman" w:hAnsi="Times New Roman"/>
                <w:sz w:val="22"/>
                <w:szCs w:val="22"/>
                <w:b w:val="1"/>
                <w:bCs w:val="1"/>
                <w:color w:val="auto"/>
                <w:w w:val="98"/>
              </w:rPr>
              <w:t>Earned PSUs</w:t>
            </w:r>
            <w:r>
              <w:rPr>
                <w:rFonts w:ascii="Times New Roman" w:cs="Times New Roman" w:eastAsia="Times New Roman" w:hAnsi="Times New Roman"/>
                <w:sz w:val="22"/>
                <w:szCs w:val="22"/>
                <w:color w:val="auto"/>
                <w:w w:val="98"/>
              </w:rPr>
              <w:t xml:space="preserve">”) will be equal to (i) the number of Target PSUs </w:t>
            </w:r>
            <w:r>
              <w:rPr>
                <w:rFonts w:ascii="Times New Roman" w:cs="Times New Roman" w:eastAsia="Times New Roman" w:hAnsi="Times New Roman"/>
                <w:sz w:val="22"/>
                <w:szCs w:val="22"/>
                <w:i w:val="1"/>
                <w:iCs w:val="1"/>
                <w:color w:val="auto"/>
                <w:w w:val="98"/>
              </w:rPr>
              <w:t>multiplied by</w:t>
            </w:r>
            <w:r>
              <w:rPr>
                <w:rFonts w:ascii="Times New Roman" w:cs="Times New Roman" w:eastAsia="Times New Roman" w:hAnsi="Times New Roman"/>
                <w:sz w:val="22"/>
                <w:szCs w:val="22"/>
                <w:color w:val="auto"/>
                <w:w w:val="98"/>
              </w:rPr>
              <w:t xml:space="preserve"> (ii) the</w:t>
            </w:r>
          </w:p>
        </w:tc>
      </w:tr>
      <w:tr>
        <w:trPr>
          <w:trHeight w:val="282"/>
        </w:trPr>
        <w:tc>
          <w:tcPr>
            <w:tcW w:w="27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[Final][●] Performance Goal Achievement Percentage.]</w:t>
            </w:r>
          </w:p>
        </w:tc>
      </w:tr>
      <w:tr>
        <w:trPr>
          <w:trHeight w:val="339"/>
        </w:trPr>
        <w:tc>
          <w:tcPr>
            <w:tcW w:w="27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4"/>
                <w:szCs w:val="24"/>
                <w:color w:val="auto"/>
              </w:rPr>
            </w:pPr>
          </w:p>
        </w:tc>
      </w:tr>
      <w:tr>
        <w:trPr>
          <w:trHeight w:val="189"/>
        </w:trPr>
        <w:tc>
          <w:tcPr>
            <w:tcW w:w="27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7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71234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43" w:lineRule="exact"/>
        <w:rPr>
          <w:sz w:val="20"/>
          <w:szCs w:val="20"/>
          <w:color w:val="auto"/>
        </w:rPr>
      </w:pPr>
    </w:p>
    <w:p>
      <w:pPr>
        <w:ind w:right="120" w:firstLine="656"/>
        <w:spacing w:after="0" w:line="229" w:lineRule="auto"/>
        <w:tabs>
          <w:tab w:leader="none" w:pos="751" w:val="left"/>
        </w:tabs>
        <w:numPr>
          <w:ilvl w:val="0"/>
          <w:numId w:val="2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performance goals may be any financial, operational or shareholder return metrics (or any combination thereof) determined by the Board or the Committee, and may be measured on an absolute and/or relative basis.</w:t>
      </w:r>
    </w:p>
    <w:p>
      <w:pPr>
        <w:sectPr>
          <w:pgSz w:w="11900" w:h="16838" w:orient="portrait"/>
          <w:cols w:equalWidth="0" w:num="1">
            <w:col w:w="11260"/>
          </w:cols>
          <w:pgMar w:left="320" w:top="1418" w:right="319" w:bottom="1440" w:gutter="0" w:footer="0" w:header="0"/>
        </w:sectPr>
      </w:pPr>
    </w:p>
    <w:bookmarkStart w:id="253" w:name="page254"/>
    <w:bookmarkEnd w:id="253"/>
    <w:p>
      <w:pPr>
        <w:spacing w:after="0" w:line="19"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1"/>
          <w:szCs w:val="21"/>
          <w:b w:val="1"/>
          <w:bCs w:val="1"/>
          <w:color w:val="auto"/>
        </w:rPr>
        <w:t>[[●] Performance Goal Achievement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1"/>
          <w:szCs w:val="21"/>
          <w:b w:val="1"/>
          <w:bCs w:val="1"/>
          <w:color w:val="auto"/>
        </w:rPr>
        <w:t>[[●][TSR] Modifier Performance Goal Achievement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[[Final] Performance Achievement Percentage:]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Period[s]:]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 of the Target PSUs are subject to the [●] Performance Goal [and [●]% of the Target PSUs are subject to the [●] 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-407035</wp:posOffset>
            </wp:positionV>
            <wp:extent cx="7140575" cy="59258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2">
                      <a:extLst>
                        <a:ext uri="{28A0092B-C50C-407E-A947-70E740481C1C}"/>
                      </a:extLst>
                    </a:blip>
                    <a:srcRect/>
                    <a:stretch>
                      <a:fillRect/>
                    </a:stretch>
                  </pic:blipFill>
                  <pic:spPr bwMode="auto">
                    <a:xfrm>
                      <a:off x="0" y="0"/>
                      <a:ext cx="7140575" cy="59258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 Performance Goal]</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 Performance Goal Achievement Percentage</w:t>
      </w:r>
      <w:r>
        <w:rPr>
          <w:rFonts w:ascii="Times New Roman" w:cs="Times New Roman" w:eastAsia="Times New Roman" w:hAnsi="Times New Roman"/>
          <w:sz w:val="22"/>
          <w:szCs w:val="22"/>
          <w:color w:val="auto"/>
        </w:rPr>
        <w:t>” will be [determined based on the level of achievement of [●],] determined as follows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will be straight-line interpolation to derive the [●] Performance Goal Achievement Percentage not expressly set forth below):</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 Performance Goal]</w:t>
      </w:r>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 Performance Goal Achievement Percentage</w:t>
      </w:r>
      <w:r>
        <w:rPr>
          <w:rFonts w:ascii="Times New Roman" w:cs="Times New Roman" w:eastAsia="Times New Roman" w:hAnsi="Times New Roman"/>
          <w:sz w:val="22"/>
          <w:szCs w:val="22"/>
          <w:color w:val="auto"/>
        </w:rPr>
        <w:t>” will be [determined based on the level of achievement of [●],] determined as follows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will be straight-line interpolation to derive the [●] Performance Goal Achievement Percentage not expressly set forth below):</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[●][TSR] Modifier Performance Goal Achievement Percentage</w:t>
      </w:r>
      <w:r>
        <w:rPr>
          <w:rFonts w:ascii="Times New Roman" w:cs="Times New Roman" w:eastAsia="Times New Roman" w:hAnsi="Times New Roman"/>
          <w:sz w:val="22"/>
          <w:szCs w:val="22"/>
          <w:color w:val="auto"/>
        </w:rPr>
        <w:t>” will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[determined based on the level of achievement of [●][TSR],] determined as follows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will be straight-line interpolation to derive the [●][TSR] Modifier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Goal Achievement Percentage not expressly set forth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[Final] Performance Achievement Percentage</w:t>
      </w:r>
      <w:r>
        <w:rPr>
          <w:rFonts w:ascii="Times New Roman" w:cs="Times New Roman" w:eastAsia="Times New Roman" w:hAnsi="Times New Roman"/>
          <w:sz w:val="22"/>
          <w:szCs w:val="22"/>
          <w:color w:val="auto"/>
        </w:rPr>
        <w:t>” means [●][the [mathematical average] of [(i) the [●] Performance Goal Achievement Percentage[,][and] (ii) the [●] Performance Goal Achievement Percentage [and (iii) the [●][TSR] Modifier Performance Goal Achievement Percentage]]].]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means the [●][the period beginning [●] and ending [●].]</w:t>
      </w:r>
    </w:p>
    <w:p>
      <w:pPr>
        <w:sectPr>
          <w:pgSz w:w="11900" w:h="16838" w:orient="portrait"/>
          <w:cols w:equalWidth="0" w:num="2">
            <w:col w:w="3200" w:space="140"/>
            <w:col w:w="7820"/>
          </w:cols>
          <w:pgMar w:left="360" w:top="1440" w:right="379" w:bottom="1440" w:gutter="0" w:footer="0" w:header="0"/>
        </w:sectPr>
      </w:pPr>
    </w:p>
    <w:bookmarkStart w:id="254" w:name="page255"/>
    <w:bookmarkEnd w:id="25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Service Condition:</w:t>
            </w:r>
          </w:p>
        </w:tc>
        <w:tc>
          <w:tcPr>
            <w:tcW w:w="7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Except as otherwise provided in Paragraph 4 of Performance Stock Unit Award</w:t>
            </w:r>
          </w:p>
        </w:tc>
      </w:tr>
      <w:tr>
        <w:trPr>
          <w:trHeight w:val="257"/>
        </w:trPr>
        <w:tc>
          <w:tcPr>
            <w:tcW w:w="3360" w:type="dxa"/>
            <w:vAlign w:val="bottom"/>
            <w:tcBorders>
              <w:left w:val="single" w:sz="8" w:color="auto"/>
              <w:right w:val="single" w:sz="8" w:color="auto"/>
            </w:tcBorders>
          </w:tcPr>
          <w:p>
            <w:pPr>
              <w:spacing w:after="0"/>
              <w:rPr>
                <w:sz w:val="22"/>
                <w:szCs w:val="22"/>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Agreement, Grantee will satisfy the “</w:t>
            </w:r>
            <w:r>
              <w:rPr>
                <w:rFonts w:ascii="Times New Roman" w:cs="Times New Roman" w:eastAsia="Times New Roman" w:hAnsi="Times New Roman"/>
                <w:sz w:val="22"/>
                <w:szCs w:val="22"/>
                <w:b w:val="1"/>
                <w:bCs w:val="1"/>
                <w:color w:val="auto"/>
              </w:rPr>
              <w:t>Service Condition</w:t>
            </w:r>
            <w:r>
              <w:rPr>
                <w:rFonts w:ascii="Times New Roman" w:cs="Times New Roman" w:eastAsia="Times New Roman" w:hAnsi="Times New Roman"/>
                <w:sz w:val="22"/>
                <w:szCs w:val="22"/>
                <w:color w:val="auto"/>
              </w:rPr>
              <w:t>” applicable to the Earned PSUs</w:t>
            </w:r>
          </w:p>
        </w:tc>
      </w:tr>
      <w:tr>
        <w:trPr>
          <w:trHeight w:val="260"/>
        </w:trPr>
        <w:tc>
          <w:tcPr>
            <w:tcW w:w="3360" w:type="dxa"/>
            <w:vAlign w:val="bottom"/>
            <w:tcBorders>
              <w:left w:val="single" w:sz="8" w:color="auto"/>
              <w:right w:val="single" w:sz="8" w:color="auto"/>
            </w:tcBorders>
          </w:tcPr>
          <w:p>
            <w:pPr>
              <w:spacing w:after="0"/>
              <w:rPr>
                <w:sz w:val="22"/>
                <w:szCs w:val="22"/>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8"/>
              </w:rPr>
              <w:t>on [each of] the date[s] set forth below ([each, a][the] “</w:t>
            </w:r>
            <w:r>
              <w:rPr>
                <w:rFonts w:ascii="Times New Roman" w:cs="Times New Roman" w:eastAsia="Times New Roman" w:hAnsi="Times New Roman"/>
                <w:sz w:val="22"/>
                <w:szCs w:val="22"/>
                <w:b w:val="1"/>
                <w:bCs w:val="1"/>
                <w:color w:val="auto"/>
                <w:w w:val="98"/>
              </w:rPr>
              <w:t>Service Vesting Date</w:t>
            </w:r>
            <w:r>
              <w:rPr>
                <w:rFonts w:ascii="Times New Roman" w:cs="Times New Roman" w:eastAsia="Times New Roman" w:hAnsi="Times New Roman"/>
                <w:sz w:val="22"/>
                <w:szCs w:val="22"/>
                <w:color w:val="auto"/>
                <w:w w:val="98"/>
              </w:rPr>
              <w:t>”), subject to</w:t>
            </w:r>
          </w:p>
        </w:tc>
      </w:tr>
      <w:tr>
        <w:trPr>
          <w:trHeight w:val="282"/>
        </w:trPr>
        <w:tc>
          <w:tcPr>
            <w:tcW w:w="336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Grantee’s continued employment through the applicable Service Vesting Date[s]:</w:t>
            </w:r>
          </w:p>
        </w:tc>
      </w:tr>
      <w:tr>
        <w:trPr>
          <w:trHeight w:val="567"/>
        </w:trPr>
        <w:tc>
          <w:tcPr>
            <w:tcW w:w="336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31"/>
        </w:trPr>
        <w:tc>
          <w:tcPr>
            <w:tcW w:w="3360" w:type="dxa"/>
            <w:vAlign w:val="bottom"/>
            <w:tcBorders>
              <w:left w:val="single" w:sz="8" w:color="auto"/>
              <w:bottom w:val="single" w:sz="8" w:color="auto"/>
              <w:right w:val="single" w:sz="8" w:color="auto"/>
            </w:tcBorders>
          </w:tcPr>
          <w:p>
            <w:pPr>
              <w:spacing w:after="0"/>
              <w:rPr>
                <w:sz w:val="20"/>
                <w:szCs w:val="20"/>
                <w:color w:val="auto"/>
              </w:rPr>
            </w:pPr>
          </w:p>
        </w:tc>
        <w:tc>
          <w:tcPr>
            <w:tcW w:w="7900" w:type="dxa"/>
            <w:vAlign w:val="bottom"/>
            <w:tcBorders>
              <w:bottom w:val="single" w:sz="8" w:color="auto"/>
              <w:right w:val="single" w:sz="8" w:color="auto"/>
            </w:tcBorders>
          </w:tcPr>
          <w:p>
            <w:pPr>
              <w:spacing w:after="0"/>
              <w:rPr>
                <w:sz w:val="20"/>
                <w:szCs w:val="20"/>
                <w:color w:val="auto"/>
              </w:rPr>
            </w:pPr>
          </w:p>
        </w:tc>
      </w:tr>
      <w:tr>
        <w:trPr>
          <w:trHeight w:val="329"/>
        </w:trPr>
        <w:tc>
          <w:tcPr>
            <w:tcW w:w="3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Definitions:</w:t>
            </w: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22"/>
                <w:szCs w:val="22"/>
                <w:color w:val="auto"/>
              </w:rPr>
              <w:t>” means [●].]</w:t>
            </w:r>
          </w:p>
        </w:tc>
      </w:tr>
      <w:tr>
        <w:trPr>
          <w:trHeight w:val="567"/>
        </w:trPr>
        <w:tc>
          <w:tcPr>
            <w:tcW w:w="336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EPS</w:t>
            </w:r>
            <w:r>
              <w:rPr>
                <w:rFonts w:ascii="Times New Roman" w:cs="Times New Roman" w:eastAsia="Times New Roman" w:hAnsi="Times New Roman"/>
                <w:sz w:val="22"/>
                <w:szCs w:val="22"/>
                <w:color w:val="auto"/>
              </w:rPr>
              <w:t>” [●].]</w:t>
            </w:r>
          </w:p>
        </w:tc>
      </w:tr>
      <w:tr>
        <w:trPr>
          <w:trHeight w:val="567"/>
        </w:trPr>
        <w:tc>
          <w:tcPr>
            <w:tcW w:w="336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ROIC</w:t>
            </w:r>
            <w:r>
              <w:rPr>
                <w:rFonts w:ascii="Times New Roman" w:cs="Times New Roman" w:eastAsia="Times New Roman" w:hAnsi="Times New Roman"/>
                <w:sz w:val="22"/>
                <w:szCs w:val="22"/>
                <w:color w:val="auto"/>
              </w:rPr>
              <w:t>” means [●].]</w:t>
            </w:r>
          </w:p>
        </w:tc>
      </w:tr>
      <w:tr>
        <w:trPr>
          <w:trHeight w:val="581"/>
        </w:trPr>
        <w:tc>
          <w:tcPr>
            <w:tcW w:w="336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TSR</w:t>
            </w:r>
            <w:r>
              <w:rPr>
                <w:rFonts w:ascii="Times New Roman" w:cs="Times New Roman" w:eastAsia="Times New Roman" w:hAnsi="Times New Roman"/>
                <w:sz w:val="22"/>
                <w:szCs w:val="22"/>
                <w:color w:val="auto"/>
              </w:rPr>
              <w:t>” means [●].]</w:t>
            </w:r>
          </w:p>
        </w:tc>
      </w:tr>
      <w:tr>
        <w:trPr>
          <w:trHeight w:val="567"/>
        </w:trPr>
        <w:tc>
          <w:tcPr>
            <w:tcW w:w="336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32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2"/>
          <w:szCs w:val="22"/>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SHAREHOLDERS AGREEMENT</w:t>
      </w: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November 26, 2020</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ATAIROS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Company,</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Comcast AG Holdings,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a Shareholder,</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COMCAST SPECTACOR VENTURES, LLC</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a Shareholder,</w:t>
      </w:r>
    </w:p>
    <w:p>
      <w:pPr>
        <w:spacing w:after="0" w:line="200" w:lineRule="exact"/>
        <w:rPr>
          <w:sz w:val="20"/>
          <w:szCs w:val="20"/>
          <w:color w:val="auto"/>
        </w:rPr>
      </w:pP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ATAIROS PARTNERS, L.P.</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a Shareholder,</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ATAIROS MANAGEMENT, L.P.</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Manager,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solely for purposes of the Comcast Provisions,</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ectPr>
          <w:pgSz w:w="11900" w:h="16838" w:orient="portrait"/>
          <w:cols w:equalWidth="0" w:num="1">
            <w:col w:w="10120"/>
          </w:cols>
          <w:pgMar w:left="1440" w:top="122" w:right="339" w:bottom="1440" w:gutter="0" w:footer="0" w:header="0"/>
        </w:sectPr>
      </w:pPr>
    </w:p>
    <w:bookmarkStart w:id="256" w:name="page257"/>
    <w:bookmarkEnd w:id="25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99060</wp:posOffset>
            </wp:positionV>
            <wp:extent cx="26314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Definitions.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Other Definitional and Interpretative Provisions.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20</w:t>
            </w:r>
          </w:p>
        </w:tc>
      </w:tr>
      <w:tr>
        <w:trPr>
          <w:trHeight w:val="310"/>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Purposes; Investments; Debt; Issuance of Company Securities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20</w:t>
            </w:r>
          </w:p>
        </w:tc>
      </w:tr>
      <w:tr>
        <w:trPr>
          <w:trHeight w:val="311"/>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2.01</w:t>
            </w:r>
            <w:r>
              <w:rPr>
                <w:rFonts w:ascii="Times New Roman" w:cs="Times New Roman" w:eastAsia="Times New Roman" w:hAnsi="Times New Roman"/>
                <w:sz w:val="22"/>
                <w:szCs w:val="22"/>
                <w:i w:val="1"/>
                <w:iCs w:val="1"/>
                <w:color w:val="auto"/>
              </w:rPr>
              <w:t>.</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Business Purpose.</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20</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Investments.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21</w:t>
            </w:r>
          </w:p>
        </w:tc>
      </w:tr>
      <w:tr>
        <w:trPr>
          <w:trHeight w:val="311"/>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Temporary Investment of Funds.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21</w:t>
            </w:r>
          </w:p>
        </w:tc>
      </w:tr>
      <w:tr>
        <w:trPr>
          <w:trHeight w:val="311"/>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2.04.</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Company Debt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22</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Original Issuance of Company Securities</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22</w:t>
            </w:r>
          </w:p>
        </w:tc>
      </w:tr>
      <w:tr>
        <w:trPr>
          <w:trHeight w:val="311"/>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Management of the Company; the Manager</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23</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Management Generally.</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23</w:t>
            </w:r>
          </w:p>
        </w:tc>
      </w:tr>
      <w:tr>
        <w:trPr>
          <w:trHeight w:val="311"/>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i w:val="1"/>
                <w:iCs w:val="1"/>
                <w:color w:val="auto"/>
              </w:rPr>
              <w:t>Memorandum and Articles of Association Provisions</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24</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3.03.</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The Manager.</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24</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3.04.</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Cause Event</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24</w:t>
            </w:r>
          </w:p>
        </w:tc>
      </w:tr>
      <w:tr>
        <w:trPr>
          <w:trHeight w:val="310"/>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Consent Rights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25</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Actions Requiring Consent.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25</w:t>
            </w:r>
          </w:p>
        </w:tc>
      </w:tr>
      <w:tr>
        <w:trPr>
          <w:trHeight w:val="311"/>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i w:val="1"/>
                <w:iCs w:val="1"/>
                <w:color w:val="auto"/>
              </w:rPr>
              <w:t>Further Agreements with Respect to Actions Requiring Consent</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27</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i w:val="1"/>
                <w:iCs w:val="1"/>
                <w:color w:val="auto"/>
              </w:rPr>
              <w:t>Core Business Determination</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28</w:t>
            </w:r>
          </w:p>
        </w:tc>
      </w:tr>
      <w:tr>
        <w:trPr>
          <w:trHeight w:val="310"/>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Restrictions on Transfer</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28</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i w:val="1"/>
                <w:iCs w:val="1"/>
                <w:color w:val="auto"/>
              </w:rPr>
              <w:t>General Restrictions on Transfer</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28</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Legends.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28</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5.03.  Restrictions on Transfers; Comcast Permitted Transferees.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29</w:t>
            </w:r>
          </w:p>
        </w:tc>
      </w:tr>
      <w:tr>
        <w:trPr>
          <w:trHeight w:val="310"/>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Capital Commitments and Capital Contributions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32</w:t>
            </w:r>
          </w:p>
        </w:tc>
      </w:tr>
      <w:tr>
        <w:trPr>
          <w:trHeight w:val="311"/>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Capital Commitments.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32</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Drawdowns.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33</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6.03.</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Reinvestment.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35</w:t>
            </w:r>
          </w:p>
        </w:tc>
      </w:tr>
      <w:tr>
        <w:trPr>
          <w:trHeight w:val="310"/>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w w:val="98"/>
              </w:rPr>
              <w:t>ARTICLE 7 Expenses</w:t>
            </w:r>
          </w:p>
        </w:tc>
        <w:tc>
          <w:tcPr>
            <w:tcW w:w="708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36</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i w:val="1"/>
                <w:iCs w:val="1"/>
                <w:color w:val="auto"/>
              </w:rPr>
              <w:t>Definition and Payment of Manager Expenses</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36</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i w:val="1"/>
                <w:iCs w:val="1"/>
                <w:color w:val="auto"/>
              </w:rPr>
              <w:t>Definition and Payment of Company Expenses</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36</w:t>
            </w:r>
          </w:p>
        </w:tc>
      </w:tr>
      <w:tr>
        <w:trPr>
          <w:trHeight w:val="311"/>
        </w:trPr>
        <w:tc>
          <w:tcPr>
            <w:tcW w:w="9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Distributions; Allocations; Capital Accounts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37</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8.01.</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Distributions Generally.</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37</w:t>
            </w:r>
          </w:p>
        </w:tc>
      </w:tr>
      <w:tr>
        <w:trPr>
          <w:trHeight w:val="310"/>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i w:val="1"/>
                <w:iCs w:val="1"/>
                <w:color w:val="auto"/>
              </w:rPr>
              <w:t>Distributions of Proceeds of Investments</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37</w:t>
            </w:r>
          </w:p>
        </w:tc>
      </w:tr>
      <w:tr>
        <w:trPr>
          <w:trHeight w:val="311"/>
        </w:trPr>
        <w:tc>
          <w:tcPr>
            <w:tcW w:w="90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i w:val="1"/>
                <w:iCs w:val="1"/>
                <w:color w:val="auto"/>
              </w:rPr>
              <w:t>Other Provisions Applicable to Distributions</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39</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8.04.</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Tax Distributions.</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41</w:t>
            </w:r>
          </w:p>
        </w:tc>
      </w:tr>
      <w:tr>
        <w:trPr>
          <w:trHeight w:val="310"/>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Other General Principles of Distribution</w:t>
            </w:r>
            <w:r>
              <w:rPr>
                <w:rFonts w:ascii="Times New Roman" w:cs="Times New Roman" w:eastAsia="Times New Roman" w:hAnsi="Times New Roman"/>
                <w:sz w:val="22"/>
                <w:szCs w:val="22"/>
                <w:color w:val="auto"/>
              </w:rPr>
              <w:t>.</w:t>
            </w:r>
          </w:p>
        </w:tc>
        <w:tc>
          <w:tcPr>
            <w:tcW w:w="17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0"/>
              </w:rPr>
              <w:t>41</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20"/>
          </w:cols>
          <w:pgMar w:left="340" w:top="1418" w:right="339" w:bottom="1440" w:gutter="0" w:footer="0" w:header="0"/>
        </w:sectPr>
      </w:pPr>
    </w:p>
    <w:bookmarkStart w:id="257" w:name="page258"/>
    <w:bookmarkEnd w:id="25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8.06.</w:t>
            </w:r>
          </w:p>
        </w:tc>
        <w:tc>
          <w:tcPr>
            <w:tcW w:w="736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Capital Account</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8.07.</w:t>
            </w:r>
          </w:p>
        </w:tc>
        <w:tc>
          <w:tcPr>
            <w:tcW w:w="736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Allocations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8.08.</w:t>
            </w:r>
          </w:p>
        </w:tc>
        <w:tc>
          <w:tcPr>
            <w:tcW w:w="736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Special Allocations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8.09.</w:t>
            </w:r>
          </w:p>
        </w:tc>
        <w:tc>
          <w:tcPr>
            <w:tcW w:w="736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Revaluations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8.10.</w:t>
            </w:r>
          </w:p>
        </w:tc>
        <w:tc>
          <w:tcPr>
            <w:tcW w:w="736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Tax Allocations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i w:val="1"/>
                <w:iCs w:val="1"/>
                <w:color w:val="auto"/>
              </w:rPr>
              <w:t>Change in Interests During a Tax Year</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1"/>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9 Right of First Offer</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i w:val="1"/>
                <w:iCs w:val="1"/>
                <w:color w:val="auto"/>
              </w:rPr>
              <w:t>Right of First Offer.</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1"/>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10 Certain Covenants and Agreements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10.01.</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10.02.</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Reports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11"/>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i w:val="1"/>
                <w:iCs w:val="1"/>
                <w:color w:val="auto"/>
              </w:rPr>
              <w:t>Other Information and Assistance</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10.04.</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Conflicting Agreements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10.05.</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Business Opportunity.</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i w:val="1"/>
                <w:iCs w:val="1"/>
                <w:color w:val="auto"/>
              </w:rPr>
              <w:t>Indemnification; Exculpation; Advancement of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10.07.</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Co-Investors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i w:val="1"/>
                <w:iCs w:val="1"/>
                <w:color w:val="auto"/>
              </w:rPr>
              <w:t>Additional Comcast Rights.</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10.09.</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Advisory Board.</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i w:val="1"/>
                <w:iCs w:val="1"/>
                <w:color w:val="auto"/>
              </w:rPr>
              <w:t>Comcast Executive Committee.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10.11.</w:t>
            </w:r>
          </w:p>
        </w:tc>
        <w:tc>
          <w:tcPr>
            <w:tcW w:w="736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Administrative Services.</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10.12.</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Non-solicitation; Non-hire.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10.13.</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Accountants.</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10.14.</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FCC Order.</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i w:val="1"/>
                <w:iCs w:val="1"/>
                <w:color w:val="auto"/>
              </w:rPr>
              <w:t>Non-Affiliation of Comcast and the Company</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i w:val="1"/>
                <w:iCs w:val="1"/>
                <w:color w:val="auto"/>
              </w:rPr>
              <w:t>Manager and ManagementCo Shareholder Actions Requiring Consent.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10.18.</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Exclusivity</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i w:val="1"/>
                <w:iCs w:val="1"/>
                <w:color w:val="auto"/>
              </w:rPr>
              <w:t>Certain Tax Matters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10.20.</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Tax Year</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i w:val="1"/>
                <w:iCs w:val="1"/>
                <w:color w:val="auto"/>
              </w:rPr>
              <w:t>Portfolio Company Debt.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10.22.</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Comcast Securities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10"/>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11 Winding-Up and Dissolution of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i w:val="1"/>
                <w:iCs w:val="1"/>
                <w:color w:val="auto"/>
              </w:rPr>
              <w:t>Winding-Up of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11.02.</w:t>
            </w:r>
          </w:p>
        </w:tc>
        <w:tc>
          <w:tcPr>
            <w:tcW w:w="736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Clawback.</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11"/>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12 Miscellaneous</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12.01.  Binding Effect; Assignability; Benefit.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12.02.</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12.03.  </w:t>
            </w:r>
            <w:r>
              <w:rPr>
                <w:rFonts w:ascii="Times New Roman" w:cs="Times New Roman" w:eastAsia="Times New Roman" w:hAnsi="Times New Roman"/>
                <w:sz w:val="22"/>
                <w:szCs w:val="22"/>
                <w:i w:val="1"/>
                <w:iCs w:val="1"/>
                <w:color w:val="auto"/>
              </w:rPr>
              <w:t>Amendment; Waiver; Consent</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10"/>
        </w:trPr>
        <w:tc>
          <w:tcPr>
            <w:tcW w:w="93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i w:val="1"/>
                <w:iCs w:val="1"/>
                <w:color w:val="auto"/>
              </w:rPr>
              <w:t>Fees and Expenses</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12.05.</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11"/>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12.06.</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Jurisdiction</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10"/>
        </w:trPr>
        <w:tc>
          <w:tcPr>
            <w:tcW w:w="1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12.07.</w:t>
            </w:r>
          </w:p>
        </w:tc>
        <w:tc>
          <w:tcPr>
            <w:tcW w:w="736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WAIVER OF JURY TRIAL</w:t>
            </w: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760"/>
          </w:cols>
          <w:pgMar w:left="340" w:top="1440" w:right="799" w:bottom="1085" w:gutter="0" w:footer="0" w:header="0"/>
        </w:sectPr>
      </w:pPr>
    </w:p>
    <w:bookmarkStart w:id="258" w:name="page259"/>
    <w:bookmarkEnd w:id="258"/>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12.08.</w:t>
            </w:r>
          </w:p>
        </w:tc>
        <w:tc>
          <w:tcPr>
            <w:tcW w:w="5560" w:type="dxa"/>
            <w:vAlign w:val="bottom"/>
          </w:tcPr>
          <w:p>
            <w:pPr>
              <w:ind w:left="120"/>
              <w:spacing w:after="0"/>
              <w:rPr>
                <w:sz w:val="20"/>
                <w:szCs w:val="20"/>
                <w:color w:val="auto"/>
              </w:rPr>
            </w:pPr>
            <w:r>
              <w:rPr>
                <w:rFonts w:ascii="Times New Roman" w:cs="Times New Roman" w:eastAsia="Times New Roman" w:hAnsi="Times New Roman"/>
                <w:sz w:val="22"/>
                <w:szCs w:val="22"/>
                <w:i w:val="1"/>
                <w:iCs w:val="1"/>
                <w:color w:val="auto"/>
              </w:rPr>
              <w:t>Specific Performance.</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1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12.09.</w:t>
            </w:r>
          </w:p>
        </w:tc>
        <w:tc>
          <w:tcPr>
            <w:tcW w:w="5560" w:type="dxa"/>
            <w:vAlign w:val="bottom"/>
          </w:tcPr>
          <w:p>
            <w:pPr>
              <w:ind w:left="120"/>
              <w:spacing w:after="0"/>
              <w:rPr>
                <w:sz w:val="20"/>
                <w:szCs w:val="20"/>
                <w:color w:val="auto"/>
              </w:rPr>
            </w:pPr>
            <w:r>
              <w:rPr>
                <w:rFonts w:ascii="Times New Roman" w:cs="Times New Roman" w:eastAsia="Times New Roman" w:hAnsi="Times New Roman"/>
                <w:sz w:val="22"/>
                <w:szCs w:val="22"/>
                <w:i w:val="1"/>
                <w:iCs w:val="1"/>
                <w:color w:val="auto"/>
              </w:rPr>
              <w:t>Counterparts; Effectiveness</w:t>
            </w:r>
            <w:r>
              <w:rPr>
                <w:rFonts w:ascii="Times New Roman" w:cs="Times New Roman" w:eastAsia="Times New Roman" w:hAnsi="Times New Roman"/>
                <w:sz w:val="22"/>
                <w:szCs w:val="22"/>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1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12.10.</w:t>
            </w:r>
          </w:p>
        </w:tc>
        <w:tc>
          <w:tcPr>
            <w:tcW w:w="5560" w:type="dxa"/>
            <w:vAlign w:val="bottom"/>
          </w:tcPr>
          <w:p>
            <w:pPr>
              <w:ind w:left="120"/>
              <w:spacing w:after="0"/>
              <w:rPr>
                <w:sz w:val="20"/>
                <w:szCs w:val="20"/>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12.11.</w:t>
            </w:r>
          </w:p>
        </w:tc>
        <w:tc>
          <w:tcPr>
            <w:tcW w:w="556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1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12.12.</w:t>
            </w:r>
          </w:p>
        </w:tc>
        <w:tc>
          <w:tcPr>
            <w:tcW w:w="5560" w:type="dxa"/>
            <w:vAlign w:val="bottom"/>
          </w:tcPr>
          <w:p>
            <w:pPr>
              <w:ind w:left="120"/>
              <w:spacing w:after="0"/>
              <w:rPr>
                <w:sz w:val="20"/>
                <w:szCs w:val="20"/>
                <w:color w:val="auto"/>
              </w:rPr>
            </w:pP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12.13.</w:t>
            </w:r>
          </w:p>
        </w:tc>
        <w:tc>
          <w:tcPr>
            <w:tcW w:w="5560" w:type="dxa"/>
            <w:vAlign w:val="bottom"/>
          </w:tcPr>
          <w:p>
            <w:pPr>
              <w:ind w:left="120"/>
              <w:spacing w:after="0"/>
              <w:rPr>
                <w:sz w:val="20"/>
                <w:szCs w:val="20"/>
                <w:color w:val="auto"/>
              </w:rPr>
            </w:pPr>
            <w:r>
              <w:rPr>
                <w:rFonts w:ascii="Times New Roman" w:cs="Times New Roman" w:eastAsia="Times New Roman" w:hAnsi="Times New Roman"/>
                <w:sz w:val="22"/>
                <w:szCs w:val="22"/>
                <w:i w:val="1"/>
                <w:iCs w:val="1"/>
                <w:color w:val="auto"/>
              </w:rPr>
              <w:t>Representations.</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11"/>
        </w:trPr>
        <w:tc>
          <w:tcPr>
            <w:tcW w:w="6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Section 12.14.  </w:t>
            </w:r>
            <w:r>
              <w:rPr>
                <w:rFonts w:ascii="Times New Roman" w:cs="Times New Roman" w:eastAsia="Times New Roman" w:hAnsi="Times New Roman"/>
                <w:sz w:val="22"/>
                <w:szCs w:val="22"/>
                <w:i w:val="1"/>
                <w:iCs w:val="1"/>
                <w:color w:val="auto"/>
              </w:rPr>
              <w:t>Safe Harbor Rules</w:t>
            </w:r>
            <w:r>
              <w:rPr>
                <w:rFonts w:ascii="Times New Roman" w:cs="Times New Roman" w:eastAsia="Times New Roman" w:hAnsi="Times New Roman"/>
                <w:sz w:val="22"/>
                <w:szCs w:val="22"/>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12.15.</w:t>
            </w:r>
          </w:p>
        </w:tc>
        <w:tc>
          <w:tcPr>
            <w:tcW w:w="5560" w:type="dxa"/>
            <w:vAlign w:val="bottom"/>
          </w:tcPr>
          <w:p>
            <w:pPr>
              <w:ind w:left="120"/>
              <w:spacing w:after="0"/>
              <w:rPr>
                <w:sz w:val="20"/>
                <w:szCs w:val="20"/>
                <w:color w:val="auto"/>
              </w:rPr>
            </w:pPr>
            <w:r>
              <w:rPr>
                <w:rFonts w:ascii="Times New Roman" w:cs="Times New Roman" w:eastAsia="Times New Roman" w:hAnsi="Times New Roman"/>
                <w:sz w:val="22"/>
                <w:szCs w:val="22"/>
                <w:i w:val="1"/>
                <w:iCs w:val="1"/>
                <w:color w:val="auto"/>
              </w:rPr>
              <w:t>Advisers Act</w:t>
            </w:r>
            <w:r>
              <w:rPr>
                <w:rFonts w:ascii="Times New Roman" w:cs="Times New Roman" w:eastAsia="Times New Roman" w:hAnsi="Times New Roman"/>
                <w:sz w:val="22"/>
                <w:szCs w:val="22"/>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pacing w:after="0" w:line="3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Capitalization; Capital Commitments</w:t>
      </w:r>
    </w:p>
    <w:p>
      <w:pPr>
        <w:spacing w:after="0" w:line="2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Schedule II</w:t>
      </w:r>
      <w:r>
        <w:rPr>
          <w:sz w:val="20"/>
          <w:szCs w:val="20"/>
          <w:color w:val="auto"/>
        </w:rPr>
        <w:tab/>
      </w:r>
      <w:r>
        <w:rPr>
          <w:rFonts w:ascii="Times New Roman" w:cs="Times New Roman" w:eastAsia="Times New Roman" w:hAnsi="Times New Roman"/>
          <w:sz w:val="21"/>
          <w:szCs w:val="21"/>
          <w:color w:val="auto"/>
        </w:rPr>
        <w:t>Comcast Core Business Exclusions</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Schedule III</w:t>
      </w:r>
      <w:r>
        <w:rPr>
          <w:sz w:val="20"/>
          <w:szCs w:val="20"/>
          <w:color w:val="auto"/>
        </w:rPr>
        <w:tab/>
      </w:r>
      <w:r>
        <w:rPr>
          <w:rFonts w:ascii="Times New Roman" w:cs="Times New Roman" w:eastAsia="Times New Roman" w:hAnsi="Times New Roman"/>
          <w:sz w:val="21"/>
          <w:szCs w:val="21"/>
          <w:color w:val="auto"/>
        </w:rPr>
        <w:t>Cash Management Policy</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Schedule IV</w:t>
      </w:r>
      <w:r>
        <w:rPr>
          <w:sz w:val="20"/>
          <w:szCs w:val="20"/>
          <w:color w:val="auto"/>
        </w:rPr>
        <w:tab/>
      </w:r>
      <w:r>
        <w:rPr>
          <w:rFonts w:ascii="Times New Roman" w:cs="Times New Roman" w:eastAsia="Times New Roman" w:hAnsi="Times New Roman"/>
          <w:sz w:val="21"/>
          <w:szCs w:val="21"/>
          <w:color w:val="auto"/>
        </w:rPr>
        <w:t>Strategic Co-Investor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780"/>
          </w:cols>
          <w:pgMar w:left="320" w:top="1440" w:right="79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SHAREHOLDERS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THIRD AMENDED AND RESTATED SHAREHOLDERS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November 26, 2020 among (i) Atairos Group, Inc., a Cayman Islands exempted company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(ii) Comcast AG Holdings, LLC, a Delaware limited liability company (“</w:t>
      </w:r>
      <w:r>
        <w:rPr>
          <w:rFonts w:ascii="Times New Roman" w:cs="Times New Roman" w:eastAsia="Times New Roman" w:hAnsi="Times New Roman"/>
          <w:sz w:val="21"/>
          <w:szCs w:val="21"/>
          <w:b w:val="1"/>
          <w:bCs w:val="1"/>
          <w:color w:val="auto"/>
        </w:rPr>
        <w:t>Comcast AG Shareholder</w:t>
      </w:r>
      <w:r>
        <w:rPr>
          <w:rFonts w:ascii="Times New Roman" w:cs="Times New Roman" w:eastAsia="Times New Roman" w:hAnsi="Times New Roman"/>
          <w:sz w:val="21"/>
          <w:szCs w:val="21"/>
          <w:color w:val="auto"/>
        </w:rPr>
        <w:t>”), (iii) Comcast Spectacor Ventures, LLC, a Delaware limited liability company (“</w:t>
      </w:r>
      <w:r>
        <w:rPr>
          <w:rFonts w:ascii="Times New Roman" w:cs="Times New Roman" w:eastAsia="Times New Roman" w:hAnsi="Times New Roman"/>
          <w:sz w:val="21"/>
          <w:szCs w:val="21"/>
          <w:b w:val="1"/>
          <w:bCs w:val="1"/>
          <w:color w:val="auto"/>
        </w:rPr>
        <w:t>Comcast Spectacor Shareholder</w:t>
      </w:r>
      <w:r>
        <w:rPr>
          <w:rFonts w:ascii="Times New Roman" w:cs="Times New Roman" w:eastAsia="Times New Roman" w:hAnsi="Times New Roman"/>
          <w:sz w:val="21"/>
          <w:szCs w:val="21"/>
          <w:color w:val="auto"/>
        </w:rPr>
        <w:t>” and together with Comcast AG Shareholder referred to individually and collectively herein as “</w:t>
      </w:r>
      <w:r>
        <w:rPr>
          <w:rFonts w:ascii="Times New Roman" w:cs="Times New Roman" w:eastAsia="Times New Roman" w:hAnsi="Times New Roman"/>
          <w:sz w:val="21"/>
          <w:szCs w:val="21"/>
          <w:b w:val="1"/>
          <w:bCs w:val="1"/>
          <w:color w:val="auto"/>
        </w:rPr>
        <w:t>Comcast Shareholder</w:t>
      </w:r>
      <w:r>
        <w:rPr>
          <w:rFonts w:ascii="Times New Roman" w:cs="Times New Roman" w:eastAsia="Times New Roman" w:hAnsi="Times New Roman"/>
          <w:sz w:val="21"/>
          <w:szCs w:val="21"/>
          <w:color w:val="auto"/>
        </w:rPr>
        <w:t>”), (iv) Atairos Partners, L.P., a Cayman Islands exempted limited partnership (“</w:t>
      </w:r>
      <w:r>
        <w:rPr>
          <w:rFonts w:ascii="Times New Roman" w:cs="Times New Roman" w:eastAsia="Times New Roman" w:hAnsi="Times New Roman"/>
          <w:sz w:val="21"/>
          <w:szCs w:val="21"/>
          <w:b w:val="1"/>
          <w:bCs w:val="1"/>
          <w:color w:val="auto"/>
        </w:rPr>
        <w:t>ManagementCo Shareholder</w:t>
      </w:r>
      <w:r>
        <w:rPr>
          <w:rFonts w:ascii="Times New Roman" w:cs="Times New Roman" w:eastAsia="Times New Roman" w:hAnsi="Times New Roman"/>
          <w:sz w:val="21"/>
          <w:szCs w:val="21"/>
          <w:color w:val="auto"/>
        </w:rPr>
        <w:t>”), (v) Atairos Management, L.P., a Delaware limited partnership (the “</w:t>
      </w:r>
      <w:r>
        <w:rPr>
          <w:rFonts w:ascii="Times New Roman" w:cs="Times New Roman" w:eastAsia="Times New Roman" w:hAnsi="Times New Roman"/>
          <w:sz w:val="21"/>
          <w:szCs w:val="21"/>
          <w:b w:val="1"/>
          <w:bCs w:val="1"/>
          <w:color w:val="auto"/>
        </w:rPr>
        <w:t>Manager</w:t>
      </w:r>
      <w:r>
        <w:rPr>
          <w:rFonts w:ascii="Times New Roman" w:cs="Times New Roman" w:eastAsia="Times New Roman" w:hAnsi="Times New Roman"/>
          <w:sz w:val="21"/>
          <w:szCs w:val="21"/>
          <w:color w:val="auto"/>
        </w:rPr>
        <w:t>”), and</w:t>
      </w:r>
    </w:p>
    <w:p>
      <w:pPr>
        <w:spacing w:after="0" w:line="3" w:lineRule="exact"/>
        <w:rPr>
          <w:sz w:val="20"/>
          <w:szCs w:val="20"/>
          <w:color w:val="auto"/>
        </w:rPr>
      </w:pPr>
    </w:p>
    <w:p>
      <w:pPr>
        <w:ind w:left="380" w:hanging="372"/>
        <w:spacing w:after="0"/>
        <w:tabs>
          <w:tab w:leader="none" w:pos="3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the Comcast Provisions, Comcast Corporation, a Pennsylvania corporation (“</w:t>
      </w:r>
      <w:r>
        <w:rPr>
          <w:rFonts w:ascii="Times New Roman" w:cs="Times New Roman" w:eastAsia="Times New Roman" w:hAnsi="Times New Roman"/>
          <w:sz w:val="22"/>
          <w:szCs w:val="22"/>
          <w:b w:val="1"/>
          <w:bCs w:val="1"/>
          <w:color w:val="auto"/>
        </w:rPr>
        <w:t>Comcast</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ind w:left="46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WITNESSETH:</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as of November 24, 2015, and effective as of January 1, 2016, the Company, Comcast AG Shareholder, ManagementCo Shareholder, the Manager and Comcast (solely for purposes of the Comcast Provisions) entered into a Shareholders Agreement (as amended,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xml:space="preserve">”), pursuant to which on January 1, 2016, the Company issued to Comcast AG Shareholder and ManagementCo Shareholder Company Securities in the amounts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Original Agreement;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to the Original Agreement entered into the First Amendment to the Original Agreement dated September 15, 2016, the Second Amendment to the Original Agreement dated July 28, 2017 and the Third Amendment to the Original Agreement dated February 21, 2018;</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Original Agreement was amended and restated in its entirety by the Amended and Restated Shareholders Agreement, dated as of March 31, 2018 (the “</w:t>
      </w:r>
      <w:r>
        <w:rPr>
          <w:rFonts w:ascii="Times New Roman" w:cs="Times New Roman" w:eastAsia="Times New Roman" w:hAnsi="Times New Roman"/>
          <w:sz w:val="22"/>
          <w:szCs w:val="22"/>
          <w:b w:val="1"/>
          <w:bCs w:val="1"/>
          <w:color w:val="auto"/>
        </w:rPr>
        <w:t>First Amended Agreement</w:t>
      </w:r>
      <w:r>
        <w:rPr>
          <w:rFonts w:ascii="Times New Roman" w:cs="Times New Roman" w:eastAsia="Times New Roman" w:hAnsi="Times New Roman"/>
          <w:sz w:val="22"/>
          <w:szCs w:val="22"/>
          <w:color w:val="auto"/>
        </w:rPr>
        <w:t xml:space="preserve">”), pursuant to which the Company issued to Comcast Spectacor Shareholder Company Securities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First Amended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First Amended Agreement was amended and restated in its entirety by the Second Amended and Restated Shareholders Agreement, dated January 10, 2019 with effect from July 1, 2018 (as amended, the “</w:t>
      </w:r>
      <w:r>
        <w:rPr>
          <w:rFonts w:ascii="Times New Roman" w:cs="Times New Roman" w:eastAsia="Times New Roman" w:hAnsi="Times New Roman"/>
          <w:sz w:val="22"/>
          <w:szCs w:val="22"/>
          <w:b w:val="1"/>
          <w:bCs w:val="1"/>
          <w:color w:val="auto"/>
        </w:rPr>
        <w:t>Second Amended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to the Second Amended Agreement entered into the First Amendment to the Second Amended Agreement dated March 25, 2020;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hereto now desire to amend and restate the Second Amended Agreement in its entirety to amend certain provisions of the Second Amended Agreement to govern the parties’ rights, duties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260" w:name="page261"/>
    <w:bookmarkEnd w:id="260"/>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covenants and agreements contained herein, the parties hereto agree as follows:</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1</w:t>
      </w:r>
    </w:p>
    <w:p>
      <w:pPr>
        <w:spacing w:after="0" w:line="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Definitions</w:t>
      </w:r>
    </w:p>
    <w:p>
      <w:pPr>
        <w:spacing w:after="0" w:line="2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1.01</w:t>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1"/>
          <w:szCs w:val="21"/>
          <w:i w:val="1"/>
          <w:iCs w:val="1"/>
          <w:color w:val="auto"/>
        </w:rPr>
        <w:t>Definitions.</w:t>
      </w:r>
    </w:p>
    <w:p>
      <w:pPr>
        <w:spacing w:after="0" w:line="196" w:lineRule="exact"/>
        <w:rPr>
          <w:sz w:val="20"/>
          <w:szCs w:val="20"/>
          <w:color w:val="auto"/>
        </w:rPr>
      </w:pPr>
    </w:p>
    <w:p>
      <w:pPr>
        <w:ind w:left="660" w:right="2900" w:firstLine="514"/>
        <w:spacing w:after="0" w:line="446" w:lineRule="auto"/>
        <w:tabs>
          <w:tab w:leader="none" w:pos="1622"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following terms have the following meanings: “</w:t>
      </w:r>
      <w:r>
        <w:rPr>
          <w:rFonts w:ascii="Times New Roman" w:cs="Times New Roman" w:eastAsia="Times New Roman" w:hAnsi="Times New Roman"/>
          <w:sz w:val="22"/>
          <w:szCs w:val="22"/>
          <w:b w:val="1"/>
          <w:bCs w:val="1"/>
          <w:color w:val="auto"/>
        </w:rPr>
        <w:t>Advisers Act</w:t>
      </w:r>
      <w:r>
        <w:rPr>
          <w:rFonts w:ascii="Times New Roman" w:cs="Times New Roman" w:eastAsia="Times New Roman" w:hAnsi="Times New Roman"/>
          <w:sz w:val="22"/>
          <w:szCs w:val="22"/>
          <w:color w:val="auto"/>
        </w:rPr>
        <w:t>” means the U.S. Investment Advisers Act of 1940.</w:t>
      </w:r>
    </w:p>
    <w:p>
      <w:pPr>
        <w:spacing w:after="0" w:line="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means, with respect to any Person, any other Person directly or indirectly controlling, controlled by or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(i) neither Comcast Shareholder nor any of its Affiliates shall be deemed an “Affiliate” of any of the Company, ManagementCo Shareholder, the Manager or any of their respective Affiliates and (ii) none of the Company, ManagementCo Shareholder, the Manager or any of their respective Affiliates shall be deemed an “Affiliate” of Comcast Shareholder or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no Portfolio Company, Subsidiary of any Portfolio Company or Affiliate of any Portfolio Company which is controlled by such Portfolio Company shall be an Affiliate of the Company, ManagementCo Shareholder, the Manager or any of their respective Affiliates. For the purpose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Alternative Investment Vehicle</w:t>
      </w:r>
      <w:r>
        <w:rPr>
          <w:rFonts w:ascii="Times New Roman" w:cs="Times New Roman" w:eastAsia="Times New Roman" w:hAnsi="Times New Roman"/>
          <w:sz w:val="22"/>
          <w:szCs w:val="22"/>
          <w:color w:val="auto"/>
        </w:rPr>
        <w:t>” means any Person formed for the purpose of making any Investment in accordance with Section 2.02(b).</w:t>
      </w:r>
    </w:p>
    <w:p>
      <w:pPr>
        <w:spacing w:after="0" w:line="14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with respect to any Person, any transnational, domestic or foreign federal, state or local (statutory, common or otherwise) constitution, treaty, convention, ordinance, code, rule, regulation, order, injunction, judgment, decree, ruling or other similar requirement enacted, adopted, promulgated or applied by a Governmental Authority (including, for the avoidance of doubt, consent decrees, commitments, conditions and other similar obligations) that is binding upon or applicable to such Person.</w:t>
      </w:r>
    </w:p>
    <w:p>
      <w:pPr>
        <w:spacing w:after="0" w:line="176"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Ratio</w:t>
      </w:r>
      <w:r>
        <w:rPr>
          <w:rFonts w:ascii="Times New Roman" w:cs="Times New Roman" w:eastAsia="Times New Roman" w:hAnsi="Times New Roman"/>
          <w:sz w:val="22"/>
          <w:szCs w:val="22"/>
          <w:color w:val="auto"/>
        </w:rPr>
        <w:t>” means, with respect to any repurchase of Shares in accordance with Section 8.05(g) at any time, the Class I-A AG Asset Ratio, the Class I-A Spectacor Asset Ratio, the Class I-B Asset Ratio or the Class II Asset Ratio, as the context may require.</w:t>
      </w:r>
    </w:p>
    <w:p>
      <w:pPr>
        <w:spacing w:after="0" w:line="166"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Capital Commitment</w:t>
      </w:r>
      <w:r>
        <w:rPr>
          <w:rFonts w:ascii="Times New Roman" w:cs="Times New Roman" w:eastAsia="Times New Roman" w:hAnsi="Times New Roman"/>
          <w:sz w:val="22"/>
          <w:szCs w:val="22"/>
          <w:color w:val="auto"/>
        </w:rPr>
        <w:t>” means, with respect to any Shareholder at any time, the excess, if any, of (a) such Shareholder’s Capital Commitment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261" w:name="page262"/>
    <w:bookmarkEnd w:id="261"/>
    <w:p>
      <w:pPr>
        <w:ind w:right="160"/>
        <w:spacing w:after="0" w:line="248" w:lineRule="auto"/>
        <w:rPr>
          <w:sz w:val="20"/>
          <w:szCs w:val="20"/>
          <w:color w:val="auto"/>
        </w:rPr>
      </w:pPr>
      <w:r>
        <w:rPr>
          <w:rFonts w:ascii="Times New Roman" w:cs="Times New Roman" w:eastAsia="Times New Roman" w:hAnsi="Times New Roman"/>
          <w:sz w:val="22"/>
          <w:szCs w:val="22"/>
          <w:color w:val="auto"/>
        </w:rPr>
        <w:t>over (b) such Shareholder’s aggregate Capital Contributions made prior to such time, including Capital Contributions to fund Company Expenses but excluding Capital Contributions made by Comcast Shareholder to fund the Management Fee, subject to adjustment as provided in Section 6.03. The calculation prior to July 1, 2018 of each Shareholder’s Available Capital Commitment shall utilize such Shareholder’s Capital Commitment indicated on Schedule I to this Agreement as effective as of January 1, 2016 (but after giving effect to the admission of Comcast Spectacor Shareholder as a Shareholder) and the definition of “Available Capital Commitment” set forth in this Agreement as in effect at such time.</w:t>
      </w:r>
    </w:p>
    <w:p>
      <w:pPr>
        <w:spacing w:after="0" w:line="183" w:lineRule="exact"/>
        <w:rPr>
          <w:sz w:val="20"/>
          <w:szCs w:val="20"/>
          <w:color w:val="auto"/>
        </w:rPr>
      </w:pPr>
    </w:p>
    <w:p>
      <w:pPr>
        <w:ind w:right="3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Commitment Percentage</w:t>
      </w:r>
      <w:r>
        <w:rPr>
          <w:rFonts w:ascii="Times New Roman" w:cs="Times New Roman" w:eastAsia="Times New Roman" w:hAnsi="Times New Roman"/>
          <w:sz w:val="22"/>
          <w:szCs w:val="22"/>
          <w:color w:val="auto"/>
        </w:rPr>
        <w:t>” means, with respect to any Shareholder at any time, the percentage derived by dividing such Shareholder’s Available Capital Commitment at such time by the aggregate amount of the Available Capital Commitments of all Shareholders at such time.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a Saturday, Sunday or other day on which commercial banks in New York City are authorized by Applicable Law to close.</w:t>
      </w:r>
    </w:p>
    <w:p>
      <w:pPr>
        <w:spacing w:after="0" w:line="149"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Commitment</w:t>
      </w:r>
      <w:r>
        <w:rPr>
          <w:rFonts w:ascii="Times New Roman" w:cs="Times New Roman" w:eastAsia="Times New Roman" w:hAnsi="Times New Roman"/>
          <w:sz w:val="21"/>
          <w:szCs w:val="21"/>
          <w:color w:val="auto"/>
        </w:rPr>
        <w:t xml:space="preserve">” means, with respect to any Shareholder at any time, the amount specified as such Shareholder’s “Capital Commitment” on, and subject to adjustment as provided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to this Agreement. For the avoidance of doubt,</w:t>
      </w:r>
    </w:p>
    <w:p>
      <w:pPr>
        <w:spacing w:after="0" w:line="2" w:lineRule="exact"/>
        <w:rPr>
          <w:sz w:val="20"/>
          <w:szCs w:val="20"/>
          <w:color w:val="auto"/>
        </w:rPr>
      </w:pPr>
    </w:p>
    <w:p>
      <w:pPr>
        <w:ind w:right="260" w:firstLine="8"/>
        <w:spacing w:after="0" w:line="245" w:lineRule="auto"/>
        <w:tabs>
          <w:tab w:leader="none" w:pos="258"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Capital Commitment of Comcast AG Shareholder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Original Agreement was reduced by the Capital Commitment of Comcast Spectacor Shareholder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First Amended Agreement and (ii) for purposes of determining a Shareholder’s Available Capital Commitment, its Capital Commitment at the time of such determination (and not its Capital Commitment at any time prior to such date) will be utilized.</w:t>
      </w:r>
    </w:p>
    <w:p>
      <w:pPr>
        <w:spacing w:after="0" w:line="181" w:lineRule="exact"/>
        <w:rPr>
          <w:sz w:val="20"/>
          <w:szCs w:val="20"/>
          <w:color w:val="auto"/>
        </w:rPr>
      </w:pPr>
    </w:p>
    <w:p>
      <w:pPr>
        <w:ind w:right="3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Contribution</w:t>
      </w:r>
      <w:r>
        <w:rPr>
          <w:rFonts w:ascii="Times New Roman" w:cs="Times New Roman" w:eastAsia="Times New Roman" w:hAnsi="Times New Roman"/>
          <w:sz w:val="22"/>
          <w:szCs w:val="22"/>
          <w:color w:val="auto"/>
        </w:rPr>
        <w:t>” means, with respect to any Shareholder, the subscription price paid by such Shareholder for additional Class I Shares to be issued by the Company in respect of an Investment or Company Expense pursuant to Article 6, including, in the case of Comcast AG Shareholder, in respect of the Management Fee.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Carrying Value</w:t>
      </w:r>
      <w:r>
        <w:rPr>
          <w:rFonts w:ascii="Times New Roman" w:cs="Times New Roman" w:eastAsia="Times New Roman" w:hAnsi="Times New Roman"/>
          <w:sz w:val="21"/>
          <w:szCs w:val="21"/>
          <w:color w:val="auto"/>
        </w:rPr>
        <w:t>” means, with respect to any asset of the Company other than money, such asset’s adjusted basis for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income tax purposes, except that:</w:t>
      </w:r>
    </w:p>
    <w:p>
      <w:pPr>
        <w:spacing w:after="0" w:line="196" w:lineRule="exact"/>
        <w:rPr>
          <w:sz w:val="20"/>
          <w:szCs w:val="20"/>
          <w:color w:val="auto"/>
        </w:rPr>
      </w:pPr>
    </w:p>
    <w:p>
      <w:pPr>
        <w:ind w:firstLine="656"/>
        <w:spacing w:after="0" w:line="271" w:lineRule="auto"/>
        <w:tabs>
          <w:tab w:leader="none" w:pos="106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Carrying Value of any asset contributed by a Shareholder to the Company shall be the Fair Market Value of such asset on the date of the contribution, as determined by the Manager in its reasonable discretion;</w:t>
      </w:r>
    </w:p>
    <w:p>
      <w:pPr>
        <w:spacing w:after="0" w:line="157" w:lineRule="exact"/>
        <w:rPr>
          <w:rFonts w:ascii="Times New Roman" w:cs="Times New Roman" w:eastAsia="Times New Roman" w:hAnsi="Times New Roman"/>
          <w:sz w:val="22"/>
          <w:szCs w:val="22"/>
          <w:color w:val="auto"/>
        </w:rPr>
      </w:pPr>
    </w:p>
    <w:p>
      <w:pPr>
        <w:ind w:right="660" w:firstLine="656"/>
        <w:spacing w:after="0" w:line="271" w:lineRule="auto"/>
        <w:tabs>
          <w:tab w:leader="none" w:pos="112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Carrying Value of all assets of the Company may be adjusted to equal their respective Fair Market Values pursuant to Section 8.09;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262" w:name="page263"/>
    <w:bookmarkEnd w:id="262"/>
    <w:p>
      <w:pPr>
        <w:ind w:right="100" w:firstLine="656"/>
        <w:spacing w:after="0" w:line="257" w:lineRule="auto"/>
        <w:tabs>
          <w:tab w:leader="none" w:pos="118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on which any Company asset is distributed to a Shareholder in kind, the Carrying Value of such asset shall be adjusted to equal the Fair Market Value of such asset on such date, as determined by the Manager in its reasonable discretion pursuant to Section 8.05(b);</w:t>
      </w:r>
    </w:p>
    <w:p>
      <w:pPr>
        <w:spacing w:after="0" w:line="172" w:lineRule="exact"/>
        <w:rPr>
          <w:rFonts w:ascii="Times New Roman" w:cs="Times New Roman" w:eastAsia="Times New Roman" w:hAnsi="Times New Roman"/>
          <w:sz w:val="22"/>
          <w:szCs w:val="22"/>
          <w:color w:val="auto"/>
        </w:rPr>
      </w:pPr>
    </w:p>
    <w:p>
      <w:pPr>
        <w:ind w:firstLine="656"/>
        <w:spacing w:after="0" w:line="257" w:lineRule="auto"/>
        <w:tabs>
          <w:tab w:leader="none" w:pos="1176"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Carrying Value of an asset shall be adjusted by the Depreciation taken into account with respect to such asset for purposes of computing Profits and Losses, rather than by the depreciation, amortization or other cost recovery allowable with respect to such asset for U.S. federal income tax purposes; and</w:t>
      </w:r>
    </w:p>
    <w:p>
      <w:pPr>
        <w:spacing w:after="0" w:line="172" w:lineRule="exact"/>
        <w:rPr>
          <w:rFonts w:ascii="Times New Roman" w:cs="Times New Roman" w:eastAsia="Times New Roman" w:hAnsi="Times New Roman"/>
          <w:sz w:val="22"/>
          <w:szCs w:val="22"/>
          <w:color w:val="auto"/>
        </w:rPr>
      </w:pPr>
    </w:p>
    <w:p>
      <w:pPr>
        <w:ind w:right="140" w:firstLine="656"/>
        <w:spacing w:after="0" w:line="252" w:lineRule="auto"/>
        <w:tabs>
          <w:tab w:leader="none" w:pos="1116"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Carrying Value of the Company’s assets shall be increased (or decreased) to reflect any adjustments to the adjusted basis of such assets pursuant to Section 734(b) of the Code or Section 743(b) of the Code, but only to the extent that such adjustments are taken into account in determining Capital Account balances pursuant to U.S. Treasury Regulations Section 1.704-1(b)(2)(iv)</w:t>
      </w:r>
      <w:r>
        <w:rPr>
          <w:rFonts w:ascii="Times New Roman" w:cs="Times New Roman" w:eastAsia="Times New Roman" w:hAnsi="Times New Roman"/>
          <w:sz w:val="22"/>
          <w:szCs w:val="22"/>
          <w:i w:val="1"/>
          <w:iCs w:val="1"/>
          <w:color w:val="auto"/>
        </w:rPr>
        <w:t>(m)</w:t>
      </w:r>
      <w:r>
        <w:rPr>
          <w:rFonts w:ascii="Times New Roman" w:cs="Times New Roman" w:eastAsia="Times New Roman" w:hAnsi="Times New Roman"/>
          <w:sz w:val="22"/>
          <w:szCs w:val="22"/>
          <w:color w:val="auto"/>
        </w:rPr>
        <w:t xml:space="preserve"> and clause (vi) of the definition of “Profits” and “Losses.”</w:t>
      </w:r>
    </w:p>
    <w:p>
      <w:pPr>
        <w:spacing w:after="0" w:line="17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 Event</w:t>
      </w:r>
      <w:r>
        <w:rPr>
          <w:rFonts w:ascii="Times New Roman" w:cs="Times New Roman" w:eastAsia="Times New Roman" w:hAnsi="Times New Roman"/>
          <w:sz w:val="22"/>
          <w:szCs w:val="22"/>
          <w:color w:val="auto"/>
        </w:rPr>
        <w:t>” means the occurrence of any of the following events: (i) a material breach by the Company, ManagementCo Shareholder or the Manager of its obligations under this Agreement or by the Manager of its obligations under the Management Agreement and, in either case, such breach results in a material adverse effect on the Company and such breach (if capable of being cured) has not been cured prior to the 10th Business Day following written notice thereof delivered to the Company, ManagementCo Shareholder or the Manager, as applicable, by Comcast, (ii) the felony conviction (including by plea of no contest) of the Initial CEO, any successor chief executive officer of the Manager or the Company, ManagementCo Shareholder or the Manager to a crime constituting fraud or embezzlement, (iii) any act or omission by the Initial CEO, any successor chief executive officer of the Manager or the Company, ManagementCo Shareholder or the Manager that results in a material adverse effect on the Company and which act or omission constitutes fraud, willful misconduct or recklessness, or (iv) a judgment or order (other than any temporary, preliminary or similar injunction, judgment or order) issued by a court or governmental body of competent jurisdiction finding that ManagementCo Shareholder, the Manager, the Initial CEO or any successor chief executive officer of the Manager or the Company has engaged in willful misconduct, fraud or recklessness in connection with the performance of such Person’s duties to the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 Shareholder</w:t>
      </w:r>
      <w:r>
        <w:rPr>
          <w:rFonts w:ascii="Times New Roman" w:cs="Times New Roman" w:eastAsia="Times New Roman" w:hAnsi="Times New Roman"/>
          <w:sz w:val="22"/>
          <w:szCs w:val="22"/>
          <w:color w:val="auto"/>
        </w:rPr>
        <w:t>” means a Shareholder holding Class I Shares.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 Shares</w:t>
      </w:r>
      <w:r>
        <w:rPr>
          <w:rFonts w:ascii="Times New Roman" w:cs="Times New Roman" w:eastAsia="Times New Roman" w:hAnsi="Times New Roman"/>
          <w:sz w:val="22"/>
          <w:szCs w:val="22"/>
          <w:color w:val="auto"/>
        </w:rPr>
        <w:t>” means Class I-A Shares and Class I-B Shares.</w:t>
      </w:r>
    </w:p>
    <w:p>
      <w:pPr>
        <w:spacing w:after="0" w:line="220"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I-A AG Asset Ratio</w:t>
      </w:r>
      <w:r>
        <w:rPr>
          <w:rFonts w:ascii="Times New Roman" w:cs="Times New Roman" w:eastAsia="Times New Roman" w:hAnsi="Times New Roman"/>
          <w:sz w:val="22"/>
          <w:szCs w:val="22"/>
          <w:color w:val="auto"/>
        </w:rPr>
        <w:t>” means, with respect to any repurchase of Shares from Comcast AG Shareholder in accordance with Section 8.05(g) at any time, the percentage determined by dividing (i) the aggregate Distribution Tier Return Amounts for Comcast AG Shareholder in respect of the distribution event giving rise to such repurchase, by (ii) the aggregate amounts that would be distributable to Comcast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263" w:name="page264"/>
    <w:bookmarkEnd w:id="263"/>
    <w:p>
      <w:pPr>
        <w:spacing w:after="0" w:line="271" w:lineRule="auto"/>
        <w:rPr>
          <w:sz w:val="20"/>
          <w:szCs w:val="20"/>
          <w:color w:val="auto"/>
        </w:rPr>
      </w:pPr>
      <w:r>
        <w:rPr>
          <w:rFonts w:ascii="Times New Roman" w:cs="Times New Roman" w:eastAsia="Times New Roman" w:hAnsi="Times New Roman"/>
          <w:sz w:val="22"/>
          <w:szCs w:val="22"/>
          <w:color w:val="auto"/>
        </w:rPr>
        <w:t>Shareholder at such time based on a hypothetical liquidation of the Company as if all Company Assets were sold at the Quarterly Value thereof.</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I-A Shareholder</w:t>
      </w:r>
      <w:r>
        <w:rPr>
          <w:rFonts w:ascii="Times New Roman" w:cs="Times New Roman" w:eastAsia="Times New Roman" w:hAnsi="Times New Roman"/>
          <w:sz w:val="22"/>
          <w:szCs w:val="22"/>
          <w:color w:val="auto"/>
        </w:rPr>
        <w:t>” means a Shareholder holding Class I-A Shares.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I-A Shares</w:t>
      </w:r>
      <w:r>
        <w:rPr>
          <w:rFonts w:ascii="Times New Roman" w:cs="Times New Roman" w:eastAsia="Times New Roman" w:hAnsi="Times New Roman"/>
          <w:sz w:val="22"/>
          <w:szCs w:val="22"/>
          <w:color w:val="auto"/>
        </w:rPr>
        <w:t>” means the Class I-A Shares, par value US$0.0001 per share, of the Company.</w:t>
      </w:r>
    </w:p>
    <w:p>
      <w:pPr>
        <w:spacing w:after="0" w:line="220"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I-A Spectacor Asset Ratio</w:t>
      </w:r>
      <w:r>
        <w:rPr>
          <w:rFonts w:ascii="Times New Roman" w:cs="Times New Roman" w:eastAsia="Times New Roman" w:hAnsi="Times New Roman"/>
          <w:sz w:val="21"/>
          <w:szCs w:val="21"/>
          <w:color w:val="auto"/>
        </w:rPr>
        <w:t>” means, with respect to any repurchase of Shares from Comcast Spectacor Shareholder in accordance with Section 8.05(g) at any time, the percentage determined by dividing (i) the aggregate Distribution Tier Return Amounts for Comcast Spectacor Shareholder in respect of the distribution event giving rise to such repurchase, by</w:t>
      </w:r>
    </w:p>
    <w:p>
      <w:pPr>
        <w:spacing w:after="0" w:line="1" w:lineRule="exact"/>
        <w:rPr>
          <w:sz w:val="20"/>
          <w:szCs w:val="20"/>
          <w:color w:val="auto"/>
        </w:rPr>
      </w:pPr>
    </w:p>
    <w:p>
      <w:pPr>
        <w:ind w:right="320" w:firstLine="8"/>
        <w:spacing w:after="0" w:line="248" w:lineRule="auto"/>
        <w:tabs>
          <w:tab w:leader="none" w:pos="318"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amounts that would be distributable to Comcast Spectacor Shareholder at such time based on a hypothetical liquidation of the Company as if all Company Assets were sold at the Quarterly Value thereof.</w:t>
      </w:r>
    </w:p>
    <w:p>
      <w:pPr>
        <w:spacing w:after="0" w:line="178"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I-B Asset Ratio</w:t>
      </w:r>
      <w:r>
        <w:rPr>
          <w:rFonts w:ascii="Times New Roman" w:cs="Times New Roman" w:eastAsia="Times New Roman" w:hAnsi="Times New Roman"/>
          <w:sz w:val="22"/>
          <w:szCs w:val="22"/>
          <w:color w:val="auto"/>
        </w:rPr>
        <w:t>” means, with respect to any repurchase of Class I-B Shares from ManagementCo Shareholder in accordance with Section 8.05(g) at any time, the percentage determined by dividing (i) the aggregate Distribution Tier Return Amounts for Class I-B Shares in respect of the distribution event giving rise to such repurchase, by (ii) the aggregate amounts that would be distributable to ManagementCo Shareholder in respect of its Class I-B Shares at such time based on a hypothetical liquidation of the Company as if all Company Assets were sold at the Quarterly Value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I-B Shares</w:t>
      </w:r>
      <w:r>
        <w:rPr>
          <w:rFonts w:ascii="Times New Roman" w:cs="Times New Roman" w:eastAsia="Times New Roman" w:hAnsi="Times New Roman"/>
          <w:sz w:val="22"/>
          <w:szCs w:val="22"/>
          <w:color w:val="auto"/>
        </w:rPr>
        <w:t>” means the Class I-B Shares, par value US$0.0001 per share, of the Company.</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II Asset Ratio</w:t>
      </w:r>
      <w:r>
        <w:rPr>
          <w:rFonts w:ascii="Times New Roman" w:cs="Times New Roman" w:eastAsia="Times New Roman" w:hAnsi="Times New Roman"/>
          <w:sz w:val="22"/>
          <w:szCs w:val="22"/>
          <w:color w:val="auto"/>
        </w:rPr>
        <w:t>” means, with respect to any repurchase of Class II Shares from ManagementCo Shareholder in accordance with Section 8.05(g) at any time, the percentage determined by dividing (i) the aggregate Distribution Tier Return Amounts for Class II Shares in respect of the distribution event giving rise to such repurchase, by (ii) the aggregate amounts that would be distributable to ManagementCo Shareholder in respect of its Class II Shares at such time based on a hypothetical liquidation of the Company as if all Company Assets were sold at the Quarterly Value thereof .</w:t>
      </w:r>
    </w:p>
    <w:p>
      <w:pPr>
        <w:spacing w:after="0" w:line="176"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II Distribution</w:t>
      </w:r>
      <w:r>
        <w:rPr>
          <w:rFonts w:ascii="Times New Roman" w:cs="Times New Roman" w:eastAsia="Times New Roman" w:hAnsi="Times New Roman"/>
          <w:sz w:val="22"/>
          <w:szCs w:val="22"/>
          <w:color w:val="auto"/>
        </w:rPr>
        <w:t>” means any amount distributed to the holder of Class II Shares pursuant to Section 8.02(e)(ii), 8.02(f) or 8.02(g) or (to the extent attributable to Section 8.02(e)(ii), 8.02(f) or 8.02(g)), Section 11.01(b).</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II Shareholder</w:t>
      </w:r>
      <w:r>
        <w:rPr>
          <w:rFonts w:ascii="Times New Roman" w:cs="Times New Roman" w:eastAsia="Times New Roman" w:hAnsi="Times New Roman"/>
          <w:sz w:val="22"/>
          <w:szCs w:val="22"/>
          <w:color w:val="auto"/>
        </w:rPr>
        <w:t>” means the Shareholder holding Class II Shares.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II Shares</w:t>
      </w:r>
      <w:r>
        <w:rPr>
          <w:rFonts w:ascii="Times New Roman" w:cs="Times New Roman" w:eastAsia="Times New Roman" w:hAnsi="Times New Roman"/>
          <w:sz w:val="22"/>
          <w:szCs w:val="22"/>
          <w:color w:val="auto"/>
        </w:rPr>
        <w:t>” means the Class II Shares, par value US$0.0001 per share,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22" w:right="399" w:bottom="1440" w:gutter="0" w:footer="0" w:header="0"/>
        </w:sectPr>
      </w:pPr>
    </w:p>
    <w:bookmarkStart w:id="264" w:name="page265"/>
    <w:bookmarkEnd w:id="264"/>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Core Business</w:t>
      </w:r>
      <w:r>
        <w:rPr>
          <w:rFonts w:ascii="Times New Roman" w:cs="Times New Roman" w:eastAsia="Times New Roman" w:hAnsi="Times New Roman"/>
          <w:sz w:val="22"/>
          <w:szCs w:val="22"/>
          <w:color w:val="auto"/>
        </w:rPr>
        <w:t xml:space="preserve">” means a core business of Comcast and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business set forth on Schedule II shall constitute a “Comcast Core Business” (it being understood that the businesses set forth on Schedule II are provided merely as examples of businesses that are not Comcast Core Businesses, and the failure to include any business on Schedule II does not create any implication that any such omitted business is, or is not, a Comcast Core Business).</w:t>
      </w:r>
    </w:p>
    <w:p>
      <w:pPr>
        <w:spacing w:after="0" w:line="17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Indemnified Party</w:t>
      </w:r>
      <w:r>
        <w:rPr>
          <w:rFonts w:ascii="Times New Roman" w:cs="Times New Roman" w:eastAsia="Times New Roman" w:hAnsi="Times New Roman"/>
          <w:sz w:val="22"/>
          <w:szCs w:val="22"/>
          <w:color w:val="auto"/>
        </w:rPr>
        <w:t xml:space="preserve">” means any of the following parties: (i) each Comcast Shareholder, (ii) each Affiliate of each Comcast Shareholder, (iii) each partner, stockholder, member, director, officer, fiduciary, manager, controlling Person, employee and agent of each Comcast Shareholder or any Affiliate of each Comcast Shareholder and (iv) each partner, stockholder, member, director, officer, fiduciary, manager, controlling Person, employee and agent of any Person specified in clause (iii) of this sentence;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stockholder of Comcast shall not be a Comcast Indemnified Party if such Person would be a Comcast Indemnified Party solely by reason of such Person’s status as a stockholder of Comcast.</w:t>
      </w:r>
    </w:p>
    <w:p>
      <w:pPr>
        <w:spacing w:after="0" w:line="180" w:lineRule="exact"/>
        <w:rPr>
          <w:sz w:val="20"/>
          <w:szCs w:val="20"/>
          <w:color w:val="auto"/>
        </w:rPr>
      </w:pPr>
    </w:p>
    <w:p>
      <w:pPr>
        <w:ind w:right="6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Investment Vehicle</w:t>
      </w:r>
      <w:r>
        <w:rPr>
          <w:rFonts w:ascii="Times New Roman" w:cs="Times New Roman" w:eastAsia="Times New Roman" w:hAnsi="Times New Roman"/>
          <w:sz w:val="22"/>
          <w:szCs w:val="22"/>
          <w:color w:val="auto"/>
        </w:rPr>
        <w:t>” means any Alternative Investment Vehicle in which Comcast Shareholder (or any Affiliate thereof) participates or owns an interest, directly or indirectly.</w:t>
      </w:r>
    </w:p>
    <w:p>
      <w:pPr>
        <w:spacing w:after="0" w:line="149"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Permitted Affiliate Transferee</w:t>
      </w:r>
      <w:r>
        <w:rPr>
          <w:rFonts w:ascii="Times New Roman" w:cs="Times New Roman" w:eastAsia="Times New Roman" w:hAnsi="Times New Roman"/>
          <w:sz w:val="22"/>
          <w:szCs w:val="22"/>
          <w:color w:val="auto"/>
        </w:rPr>
        <w:t>” means Comcast, any Comcast Successor or any Subsidiary of Comcast or any Comcast Successor.</w:t>
      </w:r>
    </w:p>
    <w:p>
      <w:pPr>
        <w:spacing w:after="0" w:line="149"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Permitted Spin Transferee</w:t>
      </w:r>
      <w:r>
        <w:rPr>
          <w:rFonts w:ascii="Times New Roman" w:cs="Times New Roman" w:eastAsia="Times New Roman" w:hAnsi="Times New Roman"/>
          <w:sz w:val="22"/>
          <w:szCs w:val="22"/>
          <w:color w:val="auto"/>
        </w:rPr>
        <w:t xml:space="preserve">” means any Person to whom Company Securities are Transferred in connection with a Comcast Spin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 has, and demonstrates to the reasonable satisfaction of the Manager, the financial wherewithal to honor (i) in the case of a Transfer of all of Comcast Shareholder’s Company Securities to such Person, Comcast Shareholder’s obligations under this Agreement and the Memorandum and Articles of Association or (ii) in the case of a Partial Spin Transfer, the obligations of Comcast Shareholder under this Agreement and the Memorandum and Articles of Association that are indirectly allocated to such Person pursuant to Section 5.03(c)(ii).</w:t>
      </w:r>
    </w:p>
    <w:p>
      <w:pPr>
        <w:spacing w:after="0" w:line="180" w:lineRule="exact"/>
        <w:rPr>
          <w:sz w:val="20"/>
          <w:szCs w:val="20"/>
          <w:color w:val="auto"/>
        </w:rPr>
      </w:pPr>
    </w:p>
    <w:p>
      <w:pPr>
        <w:ind w:right="7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Permitted Transferee</w:t>
      </w:r>
      <w:r>
        <w:rPr>
          <w:rFonts w:ascii="Times New Roman" w:cs="Times New Roman" w:eastAsia="Times New Roman" w:hAnsi="Times New Roman"/>
          <w:sz w:val="22"/>
          <w:szCs w:val="22"/>
          <w:color w:val="auto"/>
        </w:rPr>
        <w:t>” means a Comcast Permitted Affiliate Transferee or a Comcast Permitted Spin Transferee.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Provisions</w:t>
      </w:r>
      <w:r>
        <w:rPr>
          <w:rFonts w:ascii="Times New Roman" w:cs="Times New Roman" w:eastAsia="Times New Roman" w:hAnsi="Times New Roman"/>
          <w:sz w:val="22"/>
          <w:szCs w:val="22"/>
          <w:color w:val="auto"/>
        </w:rPr>
        <w:t>” means Sections 10.03, 10.08, 10.09, 10.10 and 10.11 and Article 12.</w:t>
      </w:r>
    </w:p>
    <w:p>
      <w:pPr>
        <w:spacing w:after="0" w:line="220"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Shareholder Rights and Obligations</w:t>
      </w:r>
      <w:r>
        <w:rPr>
          <w:rFonts w:ascii="Times New Roman" w:cs="Times New Roman" w:eastAsia="Times New Roman" w:hAnsi="Times New Roman"/>
          <w:sz w:val="22"/>
          <w:szCs w:val="22"/>
          <w:color w:val="auto"/>
        </w:rPr>
        <w:t>” means all rights and obligations that apply to Comcast Shareholder under this Agreement and the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18" w:right="379" w:bottom="1440" w:gutter="0" w:footer="0" w:header="0"/>
        </w:sectPr>
      </w:pPr>
    </w:p>
    <w:bookmarkStart w:id="265" w:name="page266"/>
    <w:bookmarkEnd w:id="265"/>
    <w:p>
      <w:pPr>
        <w:ind w:right="2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Spin Transaction</w:t>
      </w:r>
      <w:r>
        <w:rPr>
          <w:rFonts w:ascii="Times New Roman" w:cs="Times New Roman" w:eastAsia="Times New Roman" w:hAnsi="Times New Roman"/>
          <w:sz w:val="22"/>
          <w:szCs w:val="22"/>
          <w:color w:val="auto"/>
        </w:rPr>
        <w:t>” means a demerger, spinoff, splitoff or similar transaction involving the separation of any Comcast businesses by means of a distribution to Comcast shareholders.</w:t>
      </w:r>
    </w:p>
    <w:p>
      <w:pPr>
        <w:spacing w:after="0" w:line="149" w:lineRule="exact"/>
        <w:rPr>
          <w:sz w:val="20"/>
          <w:szCs w:val="20"/>
          <w:color w:val="auto"/>
        </w:rPr>
      </w:pPr>
    </w:p>
    <w:p>
      <w:pPr>
        <w:ind w:right="4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Comcast Successor</w:t>
      </w:r>
      <w:r>
        <w:rPr>
          <w:rFonts w:ascii="Times New Roman" w:cs="Times New Roman" w:eastAsia="Times New Roman" w:hAnsi="Times New Roman"/>
          <w:sz w:val="22"/>
          <w:szCs w:val="22"/>
          <w:color w:val="auto"/>
        </w:rPr>
        <w:t>” means any entity (i) into which Comcast merges, (ii) to which Comcast transfers all or substantially all of its assets or (iii) of which Comcast becomes a Subsidiary as part of a reorganization, restructuring or other transaction (or, if such entity has an ultimate parent company, the ultimate parent company of such entity).</w:t>
      </w:r>
    </w:p>
    <w:p>
      <w:pPr>
        <w:spacing w:after="0" w:line="166" w:lineRule="exact"/>
        <w:rPr>
          <w:sz w:val="20"/>
          <w:szCs w:val="20"/>
          <w:color w:val="auto"/>
        </w:rPr>
      </w:pPr>
    </w:p>
    <w:p>
      <w:pPr>
        <w:ind w:right="6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means January 1, 2016 or such other date as may be mutually agreed by Comcast and the Manager.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 Period</w:t>
      </w:r>
      <w:r>
        <w:rPr>
          <w:rFonts w:ascii="Times New Roman" w:cs="Times New Roman" w:eastAsia="Times New Roman" w:hAnsi="Times New Roman"/>
          <w:sz w:val="21"/>
          <w:szCs w:val="21"/>
          <w:color w:val="auto"/>
        </w:rPr>
        <w:t>” means the period commencing on the Commencement Date and ending on the earlier to occur of</w:t>
      </w:r>
    </w:p>
    <w:p>
      <w:pPr>
        <w:spacing w:after="0" w:line="43" w:lineRule="exact"/>
        <w:rPr>
          <w:sz w:val="20"/>
          <w:szCs w:val="20"/>
          <w:color w:val="auto"/>
        </w:rPr>
      </w:pPr>
    </w:p>
    <w:p>
      <w:pPr>
        <w:ind w:firstLine="8"/>
        <w:spacing w:after="0" w:line="244" w:lineRule="auto"/>
        <w:tabs>
          <w:tab w:leader="none" w:pos="25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close of business on the fourteen-year and six month anniversary of the Commencement Date (or, if such day is not a Business Day, the first Business Day following the fourteen-year and six month anniversary of the Commencement Date), subject to extension for up to two additional years in the sole discretion of the Manager by notice to each Shareholder, which notice may not be given earlier than the thirteen-year and six month anniversary of the Commencement Date or later than the fourteen-year and three month anniversary of the Commencement Date; and (ii) the early termination of the Commitment Period pursuant to Section 6.01(c).</w:t>
      </w:r>
    </w:p>
    <w:p>
      <w:pPr>
        <w:spacing w:after="0" w:line="184"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Communications Act</w:t>
      </w:r>
      <w:r>
        <w:rPr>
          <w:rFonts w:ascii="Times New Roman" w:cs="Times New Roman" w:eastAsia="Times New Roman" w:hAnsi="Times New Roman"/>
          <w:sz w:val="22"/>
          <w:szCs w:val="22"/>
          <w:color w:val="auto"/>
        </w:rPr>
        <w:t>” means the U.S. Communications Act of 1934, together with the written orders, policies and decisions of the FCC.</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Debt</w:t>
      </w:r>
      <w:r>
        <w:rPr>
          <w:rFonts w:ascii="Times New Roman" w:cs="Times New Roman" w:eastAsia="Times New Roman" w:hAnsi="Times New Roman"/>
          <w:sz w:val="22"/>
          <w:szCs w:val="22"/>
          <w:color w:val="auto"/>
        </w:rPr>
        <w:t>” means the aggregate Debt of the Company and its Subsidiaries.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Debt Expenses</w:t>
      </w:r>
      <w:r>
        <w:rPr>
          <w:rFonts w:ascii="Times New Roman" w:cs="Times New Roman" w:eastAsia="Times New Roman" w:hAnsi="Times New Roman"/>
          <w:sz w:val="22"/>
          <w:szCs w:val="22"/>
          <w:color w:val="auto"/>
        </w:rPr>
        <w:t>” means any liabilities of the Company in respect of Company Debt.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Entities</w:t>
      </w:r>
      <w:r>
        <w:rPr>
          <w:rFonts w:ascii="Times New Roman" w:cs="Times New Roman" w:eastAsia="Times New Roman" w:hAnsi="Times New Roman"/>
          <w:sz w:val="22"/>
          <w:szCs w:val="22"/>
          <w:color w:val="auto"/>
        </w:rPr>
        <w:t>” means (i) the Company, (ii) any Comcast Investment Vehicle, (iii) any Subsidiary of the Company or of any Comcast Investment Vehicle, (iv) any Flow-Through Portfolio Company and any of its Subsidiaries that is treated either as a partnership or a disregarded entity for U.S. federal income tax purposes and (v) any Consolidated Portfolio Company and any of its Subsidiaries.</w:t>
      </w:r>
    </w:p>
    <w:p>
      <w:pPr>
        <w:spacing w:after="0" w:line="175"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Expenses Drawdown Amount</w:t>
      </w:r>
      <w:r>
        <w:rPr>
          <w:rFonts w:ascii="Times New Roman" w:cs="Times New Roman" w:eastAsia="Times New Roman" w:hAnsi="Times New Roman"/>
          <w:sz w:val="22"/>
          <w:szCs w:val="22"/>
          <w:color w:val="auto"/>
        </w:rPr>
        <w:t>” means the aggregate Capital Contributions to be made by the Shareholders with respect to Company Expenses in connection with any draw of Capital Contributions pursuant to Article 6.</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Securities</w:t>
      </w:r>
      <w:r>
        <w:rPr>
          <w:rFonts w:ascii="Times New Roman" w:cs="Times New Roman" w:eastAsia="Times New Roman" w:hAnsi="Times New Roman"/>
          <w:sz w:val="22"/>
          <w:szCs w:val="22"/>
          <w:color w:val="auto"/>
        </w:rPr>
        <w:t>” means (i) the Class I-A Shares, (ii) the Class I-B Shares and (iii) the Class II Shares.</w:t>
      </w:r>
    </w:p>
    <w:p>
      <w:pPr>
        <w:spacing w:after="0" w:line="220" w:lineRule="exact"/>
        <w:rPr>
          <w:sz w:val="20"/>
          <w:szCs w:val="20"/>
          <w:color w:val="auto"/>
        </w:rPr>
      </w:pPr>
    </w:p>
    <w:p>
      <w:pPr>
        <w:ind w:right="7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Portfolio Company</w:t>
      </w:r>
      <w:r>
        <w:rPr>
          <w:rFonts w:ascii="Times New Roman" w:cs="Times New Roman" w:eastAsia="Times New Roman" w:hAnsi="Times New Roman"/>
          <w:sz w:val="22"/>
          <w:szCs w:val="22"/>
          <w:color w:val="auto"/>
        </w:rPr>
        <w:t>” means a Controlled Portfolio Company that is not a Flow-Through Portfolio Company and is required by Applicable Law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included in a combined, consolidated or unitary tax return with Comcast or any of its Affiliates.</w:t>
      </w:r>
    </w:p>
    <w:p>
      <w:pPr>
        <w:spacing w:after="0" w:line="216" w:lineRule="exact"/>
        <w:rPr>
          <w:sz w:val="20"/>
          <w:szCs w:val="20"/>
          <w:color w:val="auto"/>
        </w:rPr>
      </w:pPr>
    </w:p>
    <w:p>
      <w:pPr>
        <w:ind w:right="3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Portfolio Company</w:t>
      </w:r>
      <w:r>
        <w:rPr>
          <w:rFonts w:ascii="Times New Roman" w:cs="Times New Roman" w:eastAsia="Times New Roman" w:hAnsi="Times New Roman"/>
          <w:sz w:val="22"/>
          <w:szCs w:val="22"/>
          <w:color w:val="auto"/>
        </w:rPr>
        <w:t>” means a Portfolio Company if the Company, directly or through one or more Subsidiaries, owns securities having a majority of the voting power in electing the board of directors (or analogous governing body) of such Portfolio Company or, in the case of a partnership, limited liability company or other similar entity that is not governed by a board of managers (or analogous governing body), the Company, directly or through one or more Subsidiaries, serves as general partner or managing member of such Portfolio Company.</w:t>
      </w:r>
    </w:p>
    <w:p>
      <w:pPr>
        <w:spacing w:after="0" w:line="176" w:lineRule="exact"/>
        <w:rPr>
          <w:sz w:val="20"/>
          <w:szCs w:val="20"/>
          <w:color w:val="auto"/>
        </w:rPr>
      </w:pPr>
    </w:p>
    <w:p>
      <w:pPr>
        <w:ind w:right="7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Security</w:t>
      </w:r>
      <w:r>
        <w:rPr>
          <w:rFonts w:ascii="Times New Roman" w:cs="Times New Roman" w:eastAsia="Times New Roman" w:hAnsi="Times New Roman"/>
          <w:sz w:val="22"/>
          <w:szCs w:val="22"/>
          <w:color w:val="auto"/>
        </w:rPr>
        <w:t>” means any security of a Portfolio Company that is exercisable or exchangeable for, or convertible into, any other security of such Portfolio Company, including warrants, options, convertible or exchangeable securities and other similar securities.</w:t>
      </w:r>
    </w:p>
    <w:p>
      <w:pPr>
        <w:spacing w:after="0" w:line="16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means, with respect to any Person, (i) all indebtedness of such Person for borrowed money; (ii) all obligations of such Person evidenced by bonds, debentures, notes or other similar instruments; (iii) all obligations of such Person in respect of letters of credit, bankers’ acceptances or other similar instruments; (iv) all obligations of such Person to pay the deferred and unpaid purchase price of property or services which are recorded as liabilities under GAAP, excluding trade payables arising in the ordinary course of business; (v) all obligations of such Person as lessee under any lease of any property which, in conformity with GAAP, is required to be capitalized on the balance sheet of such Person; and (vi) all obligations of the types described in the preceding clauses (i) through (v) of other Persons guaranteed by such Person or secured by a lien on any asset of such Person, whether or not such obligation is assumed by such Person.</w:t>
      </w:r>
    </w:p>
    <w:p>
      <w:pPr>
        <w:spacing w:after="0" w:line="185"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Depreciation</w:t>
      </w:r>
      <w:r>
        <w:rPr>
          <w:rFonts w:ascii="Times New Roman" w:cs="Times New Roman" w:eastAsia="Times New Roman" w:hAnsi="Times New Roman"/>
          <w:sz w:val="22"/>
          <w:szCs w:val="22"/>
          <w:color w:val="auto"/>
        </w:rPr>
        <w:t>” means, with respect to any asset of the Company, the depreciation, amortization or other cost recovery deduction, if any, allowable with respect to such asset for U.S. federal income tax purposes, except that if the Carrying Value of such asset differs from such asset’s adjusted basis for U.S. federal income tax purposes, any Depreciation with respect to such asset shall be computed pursuant to U.S. Treasury Regulations Section 1.704-1(b)(2)(iv)(g) by reference to the Carrying Value of such asset, rather than by reference to the adjusted tax basis of such asset.</w:t>
      </w:r>
    </w:p>
    <w:p>
      <w:pPr>
        <w:spacing w:after="0" w:line="176" w:lineRule="exact"/>
        <w:rPr>
          <w:sz w:val="20"/>
          <w:szCs w:val="20"/>
          <w:color w:val="auto"/>
        </w:rPr>
      </w:pPr>
    </w:p>
    <w:p>
      <w:pPr>
        <w:ind w:right="4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means any sale, exchange, transfer or other disposition of all or any portion of any Portfolio Company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Tier</w:t>
      </w:r>
      <w:r>
        <w:rPr>
          <w:rFonts w:ascii="Times New Roman" w:cs="Times New Roman" w:eastAsia="Times New Roman" w:hAnsi="Times New Roman"/>
          <w:sz w:val="22"/>
          <w:szCs w:val="22"/>
          <w:color w:val="auto"/>
        </w:rPr>
        <w:t>” means each of Sections 8.02(a), 8.02(b), 8.02(c), 8.02(d), 8.02(e), 8.02(f) and 8.02(g).</w:t>
      </w:r>
    </w:p>
    <w:p>
      <w:pPr>
        <w:spacing w:after="0" w:line="220" w:lineRule="exact"/>
        <w:rPr>
          <w:sz w:val="20"/>
          <w:szCs w:val="20"/>
          <w:color w:val="auto"/>
        </w:rPr>
      </w:pPr>
    </w:p>
    <w:p>
      <w:pPr>
        <w:ind w:right="420"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ROFO Holder</w:t>
      </w:r>
      <w:r>
        <w:rPr>
          <w:rFonts w:ascii="Times New Roman" w:cs="Times New Roman" w:eastAsia="Times New Roman" w:hAnsi="Times New Roman"/>
          <w:sz w:val="21"/>
          <w:szCs w:val="21"/>
          <w:color w:val="auto"/>
        </w:rPr>
        <w:t>” means, with respect to any Person, that one or more Eligible ROFO Persons collectively, directly or indirectly, (i) own equity securities issued by such Person that carry voting power representing at least 20% of the aggregate voting power of all classes of equity securities issued by such Person having the right to elect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2" w:right="379" w:bottom="1440" w:gutter="0" w:footer="0" w:header="0"/>
        </w:sectPr>
      </w:pPr>
    </w:p>
    <w:bookmarkStart w:id="267" w:name="page268"/>
    <w:bookmarkEnd w:id="267"/>
    <w:p>
      <w:pPr>
        <w:ind w:right="40"/>
        <w:spacing w:after="0" w:line="271" w:lineRule="auto"/>
        <w:rPr>
          <w:sz w:val="20"/>
          <w:szCs w:val="20"/>
          <w:color w:val="auto"/>
        </w:rPr>
      </w:pPr>
      <w:r>
        <w:rPr>
          <w:rFonts w:ascii="Times New Roman" w:cs="Times New Roman" w:eastAsia="Times New Roman" w:hAnsi="Times New Roman"/>
          <w:sz w:val="22"/>
          <w:szCs w:val="22"/>
          <w:color w:val="auto"/>
        </w:rPr>
        <w:t>board of directors (or analogous governing body) of such Person or (ii) otherwise exercise substantial influence over such Person (through the ownership of voting securities, by contract or otherwise).</w:t>
      </w:r>
    </w:p>
    <w:p>
      <w:pPr>
        <w:spacing w:after="0" w:line="1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ROFO Persons</w:t>
      </w:r>
      <w:r>
        <w:rPr>
          <w:rFonts w:ascii="Times New Roman" w:cs="Times New Roman" w:eastAsia="Times New Roman" w:hAnsi="Times New Roman"/>
          <w:sz w:val="21"/>
          <w:szCs w:val="21"/>
          <w:color w:val="auto"/>
        </w:rPr>
        <w:t>” means (i) Brian L. Roberts, (ii) any lineal descendant or ancestor or sibling (by birth or adoption) of Brian L.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Comcast, the Comcast Permitted Spin Transferee or any of their respective controlled Affiliates).</w:t>
      </w:r>
    </w:p>
    <w:p>
      <w:pPr>
        <w:spacing w:after="0" w:line="160"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Transaction Fees</w:t>
      </w:r>
      <w:r>
        <w:rPr>
          <w:rFonts w:ascii="Times New Roman" w:cs="Times New Roman" w:eastAsia="Times New Roman" w:hAnsi="Times New Roman"/>
          <w:sz w:val="22"/>
          <w:szCs w:val="22"/>
          <w:color w:val="auto"/>
        </w:rPr>
        <w:t>” means any Transaction Fees received by the Company or the Manager or any of its Affiliates that exceed the amount of subsequently payable Management Fees pursuant to the Management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w:t>
      </w:r>
    </w:p>
    <w:p>
      <w:pPr>
        <w:spacing w:after="0" w:line="22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with respect to any assets, as of the relevant date of determination, the price that a willing buyer, not Affiliated with the seller and under no compulsion to buy, would pay in an arms-length transaction for such assets to a willing seller, under no compulsion to sell.</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FCC</w:t>
      </w:r>
      <w:r>
        <w:rPr>
          <w:rFonts w:ascii="Times New Roman" w:cs="Times New Roman" w:eastAsia="Times New Roman" w:hAnsi="Times New Roman"/>
          <w:sz w:val="22"/>
          <w:szCs w:val="22"/>
          <w:color w:val="auto"/>
        </w:rPr>
        <w:t>” means the U.S. Federal Communications Commission.</w:t>
      </w:r>
    </w:p>
    <w:p>
      <w:pPr>
        <w:spacing w:after="0" w:line="220" w:lineRule="exact"/>
        <w:rPr>
          <w:sz w:val="20"/>
          <w:szCs w:val="20"/>
          <w:color w:val="auto"/>
        </w:rPr>
      </w:pPr>
    </w:p>
    <w:p>
      <w:pPr>
        <w:ind w:right="76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Flow-Through Portfolio Company</w:t>
      </w:r>
      <w:r>
        <w:rPr>
          <w:rFonts w:ascii="Times New Roman" w:cs="Times New Roman" w:eastAsia="Times New Roman" w:hAnsi="Times New Roman"/>
          <w:sz w:val="22"/>
          <w:szCs w:val="22"/>
          <w:color w:val="auto"/>
        </w:rPr>
        <w:t>” means a Controlled Portfolio Company treated either as a partnership or a disregarded entity for U.S. federal income tax purposes.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transnational, domestic or foreign federal, state or local governmental, regulatory or administrative authority, department, court, agency or official, including any political subdivision thereof.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Order</w:t>
      </w:r>
      <w:r>
        <w:rPr>
          <w:rFonts w:ascii="Times New Roman" w:cs="Times New Roman" w:eastAsia="Times New Roman" w:hAnsi="Times New Roman"/>
          <w:sz w:val="22"/>
          <w:szCs w:val="22"/>
          <w:color w:val="auto"/>
        </w:rPr>
        <w:t>” means any order, decree, injunction or judgment of any Governmental Authority.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means any Comcast Indemnified Party and any Manager Indemnified Party.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CEO</w:t>
      </w:r>
      <w:r>
        <w:rPr>
          <w:rFonts w:ascii="Times New Roman" w:cs="Times New Roman" w:eastAsia="Times New Roman" w:hAnsi="Times New Roman"/>
          <w:sz w:val="22"/>
          <w:szCs w:val="22"/>
          <w:color w:val="auto"/>
        </w:rPr>
        <w:t>” means Michael J. Angelakis.</w:t>
      </w:r>
    </w:p>
    <w:p>
      <w:pPr>
        <w:spacing w:after="0" w:line="22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CEO Event</w:t>
      </w:r>
      <w:r>
        <w:rPr>
          <w:rFonts w:ascii="Times New Roman" w:cs="Times New Roman" w:eastAsia="Times New Roman" w:hAnsi="Times New Roman"/>
          <w:sz w:val="22"/>
          <w:szCs w:val="22"/>
          <w:color w:val="auto"/>
        </w:rPr>
        <w:t>” means an event that shall be deemed to have occurred if the Initial CEO: (i) is no longer dedicated on a substantially full-time basis to the Company’s business; (ii) is not the Manager’s or the Company’s chief executive officer or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22" w:right="379" w:bottom="1440" w:gutter="0" w:footer="0" w:header="0"/>
        </w:sectPr>
      </w:pPr>
    </w:p>
    <w:bookmarkStart w:id="268" w:name="page269"/>
    <w:bookmarkEnd w:id="268"/>
    <w:p>
      <w:pPr>
        <w:ind w:right="180"/>
        <w:spacing w:after="0" w:line="263" w:lineRule="auto"/>
        <w:rPr>
          <w:sz w:val="20"/>
          <w:szCs w:val="20"/>
          <w:color w:val="auto"/>
        </w:rPr>
      </w:pPr>
      <w:r>
        <w:rPr>
          <w:rFonts w:ascii="Times New Roman" w:cs="Times New Roman" w:eastAsia="Times New Roman" w:hAnsi="Times New Roman"/>
          <w:sz w:val="21"/>
          <w:szCs w:val="21"/>
          <w:color w:val="auto"/>
        </w:rPr>
        <w:t>investment professional; (iii) (a) does not control, directly or indirectly, the general partner of the Manager or does not hold, directly or indirectly, a majority of the voting power of the equity interests of the Manager entitled to vote generally, or (b) does not control, directly or indirectly, the general partner of ManagementCo Shareholder or does not hold, directly or indirectly, a majority of the voting power of the equity interests of ManagementCo Shareholder entitled to vote generally; or (iv) does not, together with any estate planning or similar vehicles of the Initial CEO, hold, directly or indirectly, economic interests of ManagementCo Shareholder representing the right to receive at least 20% of the proceeds of Class II Distributions.</w:t>
      </w:r>
    </w:p>
    <w:p>
      <w:pPr>
        <w:spacing w:after="0" w:line="16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xml:space="preserve">” means an investment by the Company or an Alternative Investment Vehicle in any equity securities or equity-related securities (including preferred equity, convertible debt or similar securities) or debt securities or in other economic rights (including pursuant to any profit sharing, revenue sharing or financing arrangement);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any investment of cash pursuant to Section 2.03 shall not constitute an Investment.</w:t>
      </w:r>
    </w:p>
    <w:p>
      <w:pPr>
        <w:spacing w:after="0" w:line="175"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Drawdown Amount</w:t>
      </w:r>
      <w:r>
        <w:rPr>
          <w:rFonts w:ascii="Times New Roman" w:cs="Times New Roman" w:eastAsia="Times New Roman" w:hAnsi="Times New Roman"/>
          <w:sz w:val="22"/>
          <w:szCs w:val="22"/>
          <w:color w:val="auto"/>
        </w:rPr>
        <w:t>” means the aggregate Capital Contributions to be made by the Shareholders with respect to an Investment in connection with any draw of Capital Contributions pursuant to Article 6.</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IRR</w:t>
      </w:r>
      <w:r>
        <w:rPr>
          <w:rFonts w:ascii="Times New Roman" w:cs="Times New Roman" w:eastAsia="Times New Roman" w:hAnsi="Times New Roman"/>
          <w:sz w:val="22"/>
          <w:szCs w:val="22"/>
          <w:color w:val="auto"/>
        </w:rPr>
        <w:t>” means, with respect to any Capital Contributions and issuance of Class I Shares, an internal rate of return on such Capital Contribution calculated in accordance with accepted financial principles, compounded annually. The following rules shall be used in calculating an IRR:</w:t>
      </w:r>
    </w:p>
    <w:p>
      <w:pPr>
        <w:spacing w:after="0" w:line="170" w:lineRule="exact"/>
        <w:rPr>
          <w:sz w:val="20"/>
          <w:szCs w:val="20"/>
          <w:color w:val="auto"/>
        </w:rPr>
      </w:pPr>
    </w:p>
    <w:p>
      <w:pPr>
        <w:ind w:left="1720" w:hanging="416"/>
        <w:spacing w:after="0"/>
        <w:tabs>
          <w:tab w:leader="none" w:pos="172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calculation shall take into account each Capital Contribution at the time such Capital Contribution was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and</w:t>
      </w:r>
    </w:p>
    <w:p>
      <w:pPr>
        <w:spacing w:after="0" w:line="195" w:lineRule="exact"/>
        <w:rPr>
          <w:rFonts w:ascii="Times New Roman" w:cs="Times New Roman" w:eastAsia="Times New Roman" w:hAnsi="Times New Roman"/>
          <w:sz w:val="22"/>
          <w:szCs w:val="22"/>
          <w:color w:val="auto"/>
        </w:rPr>
      </w:pPr>
    </w:p>
    <w:p>
      <w:pPr>
        <w:ind w:left="660" w:right="140" w:firstLine="644"/>
        <w:spacing w:after="0" w:line="257" w:lineRule="auto"/>
        <w:tabs>
          <w:tab w:leader="none" w:pos="1788"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calculation shall take into account (A) the distribution in question at the time such distribution is made or to be made and (B) each prior distribution in respect of the Class I Shares issued pursuant to the relevant Capital Contribution at the time such prior distribution was made.</w:t>
      </w:r>
    </w:p>
    <w:p>
      <w:pPr>
        <w:spacing w:after="0" w:line="169" w:lineRule="exact"/>
        <w:rPr>
          <w:sz w:val="20"/>
          <w:szCs w:val="20"/>
          <w:color w:val="auto"/>
        </w:rPr>
      </w:pPr>
    </w:p>
    <w:p>
      <w:pPr>
        <w:ind w:right="12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Agreement</w:t>
      </w:r>
      <w:r>
        <w:rPr>
          <w:rFonts w:ascii="Times New Roman" w:cs="Times New Roman" w:eastAsia="Times New Roman" w:hAnsi="Times New Roman"/>
          <w:sz w:val="21"/>
          <w:szCs w:val="21"/>
          <w:color w:val="auto"/>
        </w:rPr>
        <w:t>” means the Letter Agreement dated the date of the Original Agreement among the Initial CEO, Comcast, the Company, Comcast AG Shareholder, ManagementCo Shareholder and the Manager, as in effect from time to time.</w:t>
      </w:r>
    </w:p>
    <w:p>
      <w:pPr>
        <w:spacing w:after="0" w:line="127"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 Agreement</w:t>
      </w:r>
      <w:r>
        <w:rPr>
          <w:rFonts w:ascii="Times New Roman" w:cs="Times New Roman" w:eastAsia="Times New Roman" w:hAnsi="Times New Roman"/>
          <w:sz w:val="22"/>
          <w:szCs w:val="22"/>
          <w:color w:val="auto"/>
        </w:rPr>
        <w:t>” means the Management Agreement between the Manager and the Company entered into on the date of the Original Agreement, as in effect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 Fee</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1300" w:right="220" w:hanging="320"/>
        <w:spacing w:after="0" w:line="271" w:lineRule="auto"/>
        <w:tabs>
          <w:tab w:leader="none" w:pos="1288"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calendar years 2016 and 2017, an annual management fee equal to $40,000,000 for calendar year 2016 and increased for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269" w:name="page270"/>
    <w:bookmarkEnd w:id="269"/>
    <w:p>
      <w:pPr>
        <w:jc w:val="both"/>
        <w:ind w:left="1300" w:right="660"/>
        <w:spacing w:after="0" w:line="295" w:lineRule="auto"/>
        <w:rPr>
          <w:sz w:val="20"/>
          <w:szCs w:val="20"/>
          <w:color w:val="auto"/>
        </w:rPr>
      </w:pPr>
      <w:r>
        <w:rPr>
          <w:rFonts w:ascii="Times New Roman" w:cs="Times New Roman" w:eastAsia="Times New Roman" w:hAnsi="Times New Roman"/>
          <w:sz w:val="21"/>
          <w:szCs w:val="21"/>
          <w:color w:val="auto"/>
        </w:rPr>
        <w:t>year 2017 based on the percentage increase in the U.S. Consumer Price Index for all Urban Consumers (as published by the U.S. Department of Labor – Bureau of Labor Statistics) (“</w:t>
      </w:r>
      <w:r>
        <w:rPr>
          <w:rFonts w:ascii="Times New Roman" w:cs="Times New Roman" w:eastAsia="Times New Roman" w:hAnsi="Times New Roman"/>
          <w:sz w:val="21"/>
          <w:szCs w:val="21"/>
          <w:b w:val="1"/>
          <w:bCs w:val="1"/>
          <w:color w:val="auto"/>
        </w:rPr>
        <w:t>CPI</w:t>
      </w:r>
      <w:r>
        <w:rPr>
          <w:rFonts w:ascii="Times New Roman" w:cs="Times New Roman" w:eastAsia="Times New Roman" w:hAnsi="Times New Roman"/>
          <w:sz w:val="21"/>
          <w:szCs w:val="21"/>
          <w:color w:val="auto"/>
        </w:rPr>
        <w:t>”) for the prior 12 months;</w:t>
      </w:r>
    </w:p>
    <w:p>
      <w:pPr>
        <w:spacing w:after="0" w:line="135" w:lineRule="exact"/>
        <w:rPr>
          <w:sz w:val="20"/>
          <w:szCs w:val="20"/>
          <w:color w:val="auto"/>
        </w:rPr>
      </w:pPr>
    </w:p>
    <w:p>
      <w:pPr>
        <w:ind w:left="1300" w:hanging="320"/>
        <w:spacing w:after="0" w:line="295" w:lineRule="auto"/>
        <w:tabs>
          <w:tab w:leader="none" w:pos="1294"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first and second quarters of calendar year 2018, an annual management fee equal to the management fee for calendar year 2017, increased as of January 1, 2018 based on the CPI for the prior 12 months;</w:t>
      </w:r>
    </w:p>
    <w:p>
      <w:pPr>
        <w:spacing w:after="0" w:line="135" w:lineRule="exact"/>
        <w:rPr>
          <w:rFonts w:ascii="Times New Roman" w:cs="Times New Roman" w:eastAsia="Times New Roman" w:hAnsi="Times New Roman"/>
          <w:sz w:val="21"/>
          <w:szCs w:val="21"/>
          <w:color w:val="auto"/>
        </w:rPr>
      </w:pPr>
    </w:p>
    <w:p>
      <w:pPr>
        <w:ind w:left="1300" w:right="160" w:hanging="320"/>
        <w:spacing w:after="0" w:line="257" w:lineRule="auto"/>
        <w:tabs>
          <w:tab w:leader="none" w:pos="135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third and fourth quarters of calendar year 2018, an annual management fee equal to the management fee for the second quarter of calendar year 2018 calculated in accordance with the foregoing clause (ii), plus $1,250,000 per quarter (the “</w:t>
      </w:r>
      <w:r>
        <w:rPr>
          <w:rFonts w:ascii="Times New Roman" w:cs="Times New Roman" w:eastAsia="Times New Roman" w:hAnsi="Times New Roman"/>
          <w:sz w:val="22"/>
          <w:szCs w:val="22"/>
          <w:b w:val="1"/>
          <w:bCs w:val="1"/>
          <w:color w:val="auto"/>
        </w:rPr>
        <w:t>Step-Up</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300" w:right="160" w:hanging="320"/>
        <w:spacing w:after="0" w:line="252" w:lineRule="auto"/>
        <w:tabs>
          <w:tab w:leader="none" w:pos="13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calendar year 2019, an annual management fee equal to the management fee for calendar year 2018, calculated as if the Step-Up had applied for all of calendar year 2018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as if the management fee for 2018 has been increased by $5,000,000), increased as of January 1, 2019 based on the percentage increase in the CPI for the prior 12 months; and</w:t>
      </w:r>
    </w:p>
    <w:p>
      <w:pPr>
        <w:spacing w:after="0" w:line="179" w:lineRule="exact"/>
        <w:rPr>
          <w:rFonts w:ascii="Times New Roman" w:cs="Times New Roman" w:eastAsia="Times New Roman" w:hAnsi="Times New Roman"/>
          <w:sz w:val="22"/>
          <w:szCs w:val="22"/>
          <w:color w:val="auto"/>
        </w:rPr>
      </w:pPr>
    </w:p>
    <w:p>
      <w:pPr>
        <w:ind w:left="1300" w:right="360" w:hanging="320"/>
        <w:spacing w:after="0" w:line="257" w:lineRule="auto"/>
        <w:tabs>
          <w:tab w:leader="none" w:pos="1295"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subsequent calendar year, an annual management equal to the management fee for the immediately preceding calendar year, increased as of January 1 of such subsequent calendar year based on the percentage increase in the CPI for the prior 12 months,</w:t>
      </w:r>
    </w:p>
    <w:p>
      <w:pPr>
        <w:spacing w:after="0" w:line="17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in each case payable quarterly in advance on the first Business Day of each Quarterly Period, except as provided under the terms of any Management Fee Payment Agreement then in effect.</w:t>
      </w:r>
    </w:p>
    <w:p>
      <w:pPr>
        <w:spacing w:after="0" w:line="15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If the Manager fails to maintain an office outside of the United States at any time after January 1, 2019, the then-applicable Management Fee amount will be reduced by an amount equal to $5,000,000 plus the aggregate amount of any increases calculated in accordance with clause (iv) or (v) of the immediately preceding sentence attributable to the additional $5,000,000, as calculated by the Manager in its reasonable discretion. The terms of any Management Fee Payment Agreement shall not alter the calculation of the amount of the Management Fee in respect of any period.</w:t>
      </w:r>
    </w:p>
    <w:p>
      <w:pPr>
        <w:spacing w:after="0" w:line="177" w:lineRule="exact"/>
        <w:rPr>
          <w:sz w:val="20"/>
          <w:szCs w:val="20"/>
          <w:color w:val="auto"/>
        </w:rPr>
      </w:pPr>
    </w:p>
    <w:p>
      <w:pPr>
        <w:ind w:right="3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 Fee Payment Agreement</w:t>
      </w:r>
      <w:r>
        <w:rPr>
          <w:rFonts w:ascii="Times New Roman" w:cs="Times New Roman" w:eastAsia="Times New Roman" w:hAnsi="Times New Roman"/>
          <w:sz w:val="22"/>
          <w:szCs w:val="22"/>
          <w:color w:val="auto"/>
        </w:rPr>
        <w:t>” means any agreement entered into between the Company and the Manager concerning the terms of the payment of the Management Fee, which agreement may not accelerate the payment of the Management Fee.</w:t>
      </w:r>
    </w:p>
    <w:p>
      <w:pPr>
        <w:spacing w:after="0" w:line="166" w:lineRule="exact"/>
        <w:rPr>
          <w:sz w:val="20"/>
          <w:szCs w:val="20"/>
          <w:color w:val="auto"/>
        </w:rPr>
      </w:pPr>
    </w:p>
    <w:p>
      <w:pPr>
        <w:ind w:right="2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ManagementCo Shareholder Partnership Agreement</w:t>
      </w:r>
      <w:r>
        <w:rPr>
          <w:rFonts w:ascii="Times New Roman" w:cs="Times New Roman" w:eastAsia="Times New Roman" w:hAnsi="Times New Roman"/>
          <w:sz w:val="22"/>
          <w:szCs w:val="22"/>
          <w:color w:val="auto"/>
        </w:rPr>
        <w:t>” means the Amended and Restated Agreement of Exempted Limited Partnership of ManagementCo Shareholder,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80"/>
          </w:cols>
          <w:pgMar w:left="320" w:top="1422" w:right="399" w:bottom="1440" w:gutter="0" w:footer="0" w:header="0"/>
        </w:sectPr>
      </w:pPr>
    </w:p>
    <w:bookmarkStart w:id="270" w:name="page271"/>
    <w:bookmarkEnd w:id="27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ManagementCo Shareholder Permitted Transferee</w:t>
      </w:r>
      <w:r>
        <w:rPr>
          <w:rFonts w:ascii="Times New Roman" w:cs="Times New Roman" w:eastAsia="Times New Roman" w:hAnsi="Times New Roman"/>
          <w:sz w:val="22"/>
          <w:szCs w:val="22"/>
          <w:color w:val="auto"/>
        </w:rPr>
        <w:t>” means any controlled Affiliate of the Initial CEO.</w:t>
      </w:r>
    </w:p>
    <w:p>
      <w:pPr>
        <w:spacing w:after="0" w:line="220"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Manager Indemnified Party</w:t>
      </w:r>
      <w:r>
        <w:rPr>
          <w:rFonts w:ascii="Times New Roman" w:cs="Times New Roman" w:eastAsia="Times New Roman" w:hAnsi="Times New Roman"/>
          <w:sz w:val="21"/>
          <w:szCs w:val="21"/>
          <w:color w:val="auto"/>
        </w:rPr>
        <w:t>” means any of the following parties: (i) each director of the Board, (ii) the Manager, (iii) ManagementCo Shareholder (including when acting in the capacity as the Tax Matters Partner or the Partnership Representative),</w:t>
      </w:r>
    </w:p>
    <w:p>
      <w:pPr>
        <w:spacing w:after="0" w:line="2" w:lineRule="exact"/>
        <w:rPr>
          <w:sz w:val="20"/>
          <w:szCs w:val="20"/>
          <w:color w:val="auto"/>
        </w:rPr>
      </w:pPr>
    </w:p>
    <w:p>
      <w:pPr>
        <w:ind w:firstLine="8"/>
        <w:spacing w:after="0" w:line="260" w:lineRule="auto"/>
        <w:tabs>
          <w:tab w:leader="none" w:pos="366"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Affiliate of the Manager or ManagementCo Shareholder, (v) each partner, stockholder, member, director, officer, fiduciary, manager, controlling Person, employee and agent of the Manager, ManagementCo Shareholder or any Affiliate of the Manager or ManagementCo Shareholder, including the Designated Individual, and (vi) each partner, stockholder, member, director, officer, fiduciary, manager, controlling Person, employee and agent of any Person specified in clause (v) of this sentence.</w:t>
      </w:r>
    </w:p>
    <w:p>
      <w:pPr>
        <w:spacing w:after="0" w:line="168"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Marketable Securities</w:t>
      </w:r>
      <w:r>
        <w:rPr>
          <w:rFonts w:ascii="Times New Roman" w:cs="Times New Roman" w:eastAsia="Times New Roman" w:hAnsi="Times New Roman"/>
          <w:sz w:val="22"/>
          <w:szCs w:val="22"/>
          <w:color w:val="auto"/>
        </w:rPr>
        <w:t>” mean Publicly Traded Securities that are not subject to material legal or contractual restrictions on transferability, including any volume limitations under Rule 144 of the Securities Act.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Memorandum and Articles of Association</w:t>
      </w:r>
      <w:r>
        <w:rPr>
          <w:rFonts w:ascii="Times New Roman" w:cs="Times New Roman" w:eastAsia="Times New Roman" w:hAnsi="Times New Roman"/>
          <w:sz w:val="22"/>
          <w:szCs w:val="22"/>
          <w:color w:val="auto"/>
        </w:rPr>
        <w:t>” means the Memorandum and Articles of Association of the Company.</w:t>
      </w:r>
    </w:p>
    <w:p>
      <w:pPr>
        <w:spacing w:after="0" w:line="22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Non-Recourse</w:t>
      </w:r>
      <w:r>
        <w:rPr>
          <w:rFonts w:ascii="Times New Roman" w:cs="Times New Roman" w:eastAsia="Times New Roman" w:hAnsi="Times New Roman"/>
          <w:sz w:val="22"/>
          <w:szCs w:val="22"/>
          <w:color w:val="auto"/>
        </w:rPr>
        <w:t xml:space="preserve">” means, with respect to any Debt and any Person, that (i) no portion of such Debt is guaranteed by such Person or any of its Subsidiaries, directly or indirectly, contingently or otherwise, (ii) no portion of such Debt is recourse to or obligates such Person or any of its Subsidiaries in any way, directly or indirectly, contingently or otherwise, (iii) no portion of such Debt subjects any property or asset of such Person or any of its Subsidiaries, directly or indirectly, contingently or otherwise, to the satisfaction thereof and (iv) neither such Person nor any of its Subsidiaries has any obligation to maintain or preserve its financial condition or achieve any levels of operating results with respect to such Debt;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the avoidance of doubt, (x) Company Debt shall not fail to satisfy the conditions to being Non-Recourse with respect to Comcast set forth in clauses (ii) or (iv) solely because such Company Debt is secured by the Company’s rights in and to the Capital Commitments, the Shareholders’ obligations to make Capital Contributions and related assets and (y) Company Debt and Debt of any Portfolio Company or any Subsidiaries of any Portfolio Company shall not fail to satisfy the conditions to being Non-Recourse with respect to Comcast set forth in clause (iii) solely by reason of the fact that such Debt or the satisfaction thereof may reduce the value of any Company Securities held by the Comcast Shareholder.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Non-U.S. Law</w:t>
      </w:r>
      <w:r>
        <w:rPr>
          <w:rFonts w:ascii="Times New Roman" w:cs="Times New Roman" w:eastAsia="Times New Roman" w:hAnsi="Times New Roman"/>
          <w:sz w:val="22"/>
          <w:szCs w:val="22"/>
          <w:color w:val="auto"/>
        </w:rPr>
        <w:t>” means any Applicable Law, other than a U.S. Law.</w:t>
      </w:r>
    </w:p>
    <w:p>
      <w:pPr>
        <w:spacing w:after="0" w:line="220"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Partnership Audit Reform Rules</w:t>
      </w:r>
      <w:r>
        <w:rPr>
          <w:rFonts w:ascii="Times New Roman" w:cs="Times New Roman" w:eastAsia="Times New Roman" w:hAnsi="Times New Roman"/>
          <w:sz w:val="22"/>
          <w:szCs w:val="22"/>
          <w:color w:val="auto"/>
        </w:rPr>
        <w:t>” means the amendments to Chapter 63, Subchapter C of the Code as promulgated under Section 1101(c)(1) of the “Bipartisan Budget Act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8" w:right="339" w:bottom="1440" w:gutter="0" w:footer="0" w:header="0"/>
        </w:sectPr>
      </w:pPr>
    </w:p>
    <w:bookmarkStart w:id="271" w:name="page272"/>
    <w:bookmarkEnd w:id="271"/>
    <w:p>
      <w:pPr>
        <w:ind w:right="3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limited liability company, partnership, association, trust or other entity or organization, including a government or political subdivision or an agency or instrumentality thereof.</w:t>
      </w:r>
    </w:p>
    <w:p>
      <w:pPr>
        <w:spacing w:after="0" w:line="149"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Portfolio Company</w:t>
      </w:r>
      <w:r>
        <w:rPr>
          <w:rFonts w:ascii="Times New Roman" w:cs="Times New Roman" w:eastAsia="Times New Roman" w:hAnsi="Times New Roman"/>
          <w:sz w:val="22"/>
          <w:szCs w:val="22"/>
          <w:color w:val="auto"/>
        </w:rPr>
        <w:t>” means, with respect to any Investment, any Person that is the issuer of any equity securities or equity-related securities (including preferred equity, convertible debt or similar securities) or debt securities or that has granted the other economic rights that represent such Investment. For the avoidance of doubt, in the event the Company makes any Investment through a holding company formed for the purpose of consummating such Investment and one or more third parties (including members of management or other investors) hold interests in such holding company, such holding company shall be the Portfolio Company for purposes of such Investment.</w:t>
      </w:r>
    </w:p>
    <w:p>
      <w:pPr>
        <w:spacing w:after="0" w:line="180" w:lineRule="exact"/>
        <w:rPr>
          <w:sz w:val="20"/>
          <w:szCs w:val="20"/>
          <w:color w:val="auto"/>
        </w:rPr>
      </w:pPr>
    </w:p>
    <w:p>
      <w:pPr>
        <w:jc w:val="both"/>
        <w:ind w:right="3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Portfolio Company Securities</w:t>
      </w:r>
      <w:r>
        <w:rPr>
          <w:rFonts w:ascii="Times New Roman" w:cs="Times New Roman" w:eastAsia="Times New Roman" w:hAnsi="Times New Roman"/>
          <w:sz w:val="22"/>
          <w:szCs w:val="22"/>
          <w:color w:val="auto"/>
        </w:rPr>
        <w:t>” means any equity securities or equity-related securities (including preferred equity, convertible debt or similar securities) or debt securities that are issued by a Portfolio Company or other economic rights with respect to a Portfolio Company.</w:t>
      </w:r>
    </w:p>
    <w:p>
      <w:pPr>
        <w:spacing w:after="0" w:line="16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Priority Return</w:t>
      </w:r>
      <w:r>
        <w:rPr>
          <w:rFonts w:ascii="Times New Roman" w:cs="Times New Roman" w:eastAsia="Times New Roman" w:hAnsi="Times New Roman"/>
          <w:sz w:val="22"/>
          <w:szCs w:val="22"/>
          <w:color w:val="auto"/>
        </w:rPr>
        <w:t>” means, with respect to any Shareholder in connection with any determination pursuant to Section 8.02 or Section 11.02, the dollar amount necessary to be distributed to such Shareholder at such time so that, with respect to the relevant Capital Contributions (in the case of Section 8.02) or with respect to each Capital Contribution (in the case of Section 11.02) made by such Shareholder, such Shareholder receives or has received at such time aggregate distributions (after giving effect to all prior distributions and the distribution in question) resulting in an IRR on such Capital Contribution of 2%.</w:t>
      </w:r>
    </w:p>
    <w:p>
      <w:pPr>
        <w:spacing w:after="0" w:line="176"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Proceeds</w:t>
      </w:r>
      <w:r>
        <w:rPr>
          <w:rFonts w:ascii="Times New Roman" w:cs="Times New Roman" w:eastAsia="Times New Roman" w:hAnsi="Times New Roman"/>
          <w:sz w:val="22"/>
          <w:szCs w:val="22"/>
          <w:color w:val="auto"/>
        </w:rPr>
        <w:t>” means, with respect to any Investment, without duplication, (i) the cash and non-cash proceeds received by the Company from any Disposition of such Investment and (ii) any dividends, interest or other distributions, and any other proceeds or other income, received in connection with such Investment.</w:t>
      </w:r>
    </w:p>
    <w:p>
      <w:pPr>
        <w:spacing w:after="0" w:line="16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Profits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for each fiscal period of the Company, the net income or net loss of the Company for such period, determined in accordance with U.S. federal income tax accounting principles, with the following adjustments (without duplication):</w:t>
      </w:r>
    </w:p>
    <w:p>
      <w:pPr>
        <w:spacing w:after="0" w:line="170" w:lineRule="exact"/>
        <w:rPr>
          <w:sz w:val="20"/>
          <w:szCs w:val="20"/>
          <w:color w:val="auto"/>
        </w:rPr>
      </w:pPr>
    </w:p>
    <w:p>
      <w:pPr>
        <w:ind w:left="1080" w:hanging="424"/>
        <w:spacing w:after="0"/>
        <w:tabs>
          <w:tab w:leader="none" w:pos="10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income of the Company that is exempt from U.S. federal income tax shall be included as income;</w:t>
      </w:r>
    </w:p>
    <w:p>
      <w:pPr>
        <w:spacing w:after="0" w:line="219" w:lineRule="exact"/>
        <w:rPr>
          <w:rFonts w:ascii="Times New Roman" w:cs="Times New Roman" w:eastAsia="Times New Roman" w:hAnsi="Times New Roman"/>
          <w:sz w:val="22"/>
          <w:szCs w:val="22"/>
          <w:color w:val="auto"/>
        </w:rPr>
      </w:pPr>
    </w:p>
    <w:p>
      <w:pPr>
        <w:ind w:right="20" w:firstLine="656"/>
        <w:spacing w:after="0" w:line="257" w:lineRule="auto"/>
        <w:tabs>
          <w:tab w:leader="none" w:pos="112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expenditures of the Company described in Section 705(a)(2)(B) of the Code (or treated as expenditures described in Section 705(a)(2)(B) of the Code pursuant to U.S. Treasury Regulations Section 1.704-l(b)(2)(iv)</w:t>
      </w:r>
      <w:r>
        <w:rPr>
          <w:rFonts w:ascii="Times New Roman" w:cs="Times New Roman" w:eastAsia="Times New Roman" w:hAnsi="Times New Roman"/>
          <w:sz w:val="22"/>
          <w:szCs w:val="22"/>
          <w:i w:val="1"/>
          <w:iCs w:val="1"/>
          <w:color w:val="auto"/>
        </w:rPr>
        <w:t>(i)</w:t>
      </w:r>
      <w:r>
        <w:rPr>
          <w:rFonts w:ascii="Times New Roman" w:cs="Times New Roman" w:eastAsia="Times New Roman" w:hAnsi="Times New Roman"/>
          <w:sz w:val="22"/>
          <w:szCs w:val="22"/>
          <w:color w:val="auto"/>
        </w:rPr>
        <w:t>) shall be treated as current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18" w:right="399" w:bottom="1440" w:gutter="0" w:footer="0" w:header="0"/>
        </w:sectPr>
      </w:pPr>
    </w:p>
    <w:bookmarkStart w:id="272" w:name="page273"/>
    <w:bookmarkEnd w:id="272"/>
    <w:p>
      <w:pPr>
        <w:ind w:right="200" w:firstLine="656"/>
        <w:spacing w:after="0" w:line="252" w:lineRule="auto"/>
        <w:tabs>
          <w:tab w:leader="none" w:pos="1188"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Carrying Value of any Company asset is adjusted pursuant to clause (ii) or clause (iii) of the definition of “Carrying Value,” the amount of such adjustment shall be taken into account as gain (if the adjustment increases the Carrying Value of the asset) or loss (if the adjustment reduces the Carrying Value of the asset) from the sale of such asset for purposes of computing Profits or Losses;</w:t>
      </w:r>
    </w:p>
    <w:p>
      <w:pPr>
        <w:spacing w:after="0" w:line="179" w:lineRule="exact"/>
        <w:rPr>
          <w:rFonts w:ascii="Times New Roman" w:cs="Times New Roman" w:eastAsia="Times New Roman" w:hAnsi="Times New Roman"/>
          <w:sz w:val="22"/>
          <w:szCs w:val="22"/>
          <w:color w:val="auto"/>
        </w:rPr>
      </w:pPr>
    </w:p>
    <w:p>
      <w:pPr>
        <w:ind w:right="100" w:firstLine="656"/>
        <w:spacing w:after="0" w:line="275" w:lineRule="auto"/>
        <w:tabs>
          <w:tab w:leader="none" w:pos="1176"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Carrying Value of any Company asset differs from such asset’s adjusted basis for U.S. federal income tax purposes, gain or loss resulting from any disposition of such asset shall be computed by reference to such asset’s Carrying Value (as of the date of disposition), rather than by reference to such asset’s adjusted basis for U.S. federal income tax purposes;</w:t>
      </w:r>
    </w:p>
    <w:p>
      <w:pPr>
        <w:spacing w:after="0" w:line="155" w:lineRule="exact"/>
        <w:rPr>
          <w:rFonts w:ascii="Times New Roman" w:cs="Times New Roman" w:eastAsia="Times New Roman" w:hAnsi="Times New Roman"/>
          <w:sz w:val="21"/>
          <w:szCs w:val="21"/>
          <w:color w:val="auto"/>
        </w:rPr>
      </w:pPr>
    </w:p>
    <w:p>
      <w:pPr>
        <w:ind w:right="300" w:firstLine="656"/>
        <w:spacing w:after="0" w:line="271" w:lineRule="auto"/>
        <w:tabs>
          <w:tab w:leader="none" w:pos="111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computing Profits or Losses, Depreciation shall be taken into account instead of the depreciation, amortization and other cost recovery deductions, if any, allowable for U.S. federal income tax purposes;</w:t>
      </w:r>
    </w:p>
    <w:p>
      <w:pPr>
        <w:spacing w:after="0" w:line="157" w:lineRule="exact"/>
        <w:rPr>
          <w:rFonts w:ascii="Times New Roman" w:cs="Times New Roman" w:eastAsia="Times New Roman" w:hAnsi="Times New Roman"/>
          <w:sz w:val="22"/>
          <w:szCs w:val="22"/>
          <w:color w:val="auto"/>
        </w:rPr>
      </w:pPr>
    </w:p>
    <w:p>
      <w:pPr>
        <w:ind w:right="180" w:firstLine="656"/>
        <w:spacing w:after="0" w:line="250" w:lineRule="auto"/>
        <w:tabs>
          <w:tab w:leader="none" w:pos="117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 adjustment to the adjusted tax basis of any Company asset pursuant to Section 734(b) of the Code or Section 743(b) of the Code is required, pursuant to U.S. Treasury Regulations Section 1.704-l(b)(2)(iv)</w:t>
      </w:r>
      <w:r>
        <w:rPr>
          <w:rFonts w:ascii="Times New Roman" w:cs="Times New Roman" w:eastAsia="Times New Roman" w:hAnsi="Times New Roman"/>
          <w:sz w:val="22"/>
          <w:szCs w:val="22"/>
          <w:i w:val="1"/>
          <w:iCs w:val="1"/>
          <w:color w:val="auto"/>
        </w:rPr>
        <w:t>(m)</w:t>
      </w:r>
      <w:r>
        <w:rPr>
          <w:rFonts w:ascii="Times New Roman" w:cs="Times New Roman" w:eastAsia="Times New Roman" w:hAnsi="Times New Roman"/>
          <w:sz w:val="22"/>
          <w:szCs w:val="22"/>
          <w:color w:val="auto"/>
        </w:rPr>
        <w:t>, to be taken into account in determining Capital Accounts, such adjustment shall be taken into account as gain (if the adjustment increases the basis of the asset) or loss (if the adjustment decreases the basis of the asset) from the disposition of such asset for purposes of computing Profits or Losses; and</w:t>
      </w:r>
    </w:p>
    <w:p>
      <w:pPr>
        <w:spacing w:after="0" w:line="180" w:lineRule="exact"/>
        <w:rPr>
          <w:rFonts w:ascii="Times New Roman" w:cs="Times New Roman" w:eastAsia="Times New Roman" w:hAnsi="Times New Roman"/>
          <w:sz w:val="22"/>
          <w:szCs w:val="22"/>
          <w:color w:val="auto"/>
        </w:rPr>
      </w:pPr>
    </w:p>
    <w:p>
      <w:pPr>
        <w:ind w:right="40" w:firstLine="656"/>
        <w:spacing w:after="0" w:line="271" w:lineRule="auto"/>
        <w:tabs>
          <w:tab w:leader="none" w:pos="123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of income, gain, loss and deduction allocated under Sections 8.07(a) and 8.08 shall not be taken into account in computing Profits or Losses.</w:t>
      </w:r>
    </w:p>
    <w:p>
      <w:pPr>
        <w:spacing w:after="0" w:line="154"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Publicly Traded Securities</w:t>
      </w:r>
      <w:r>
        <w:rPr>
          <w:rFonts w:ascii="Times New Roman" w:cs="Times New Roman" w:eastAsia="Times New Roman" w:hAnsi="Times New Roman"/>
          <w:sz w:val="22"/>
          <w:szCs w:val="22"/>
          <w:color w:val="auto"/>
        </w:rPr>
        <w:t>” means securities that are traded on a securities exchange, reported through the U.S. National Association of Securities Dealers Automated Quotation System or comparable established non-U.S. over-the-counter trading system or otherwise traded over-the-counter for which quotations of market prices are readily available.</w:t>
      </w:r>
    </w:p>
    <w:p>
      <w:pPr>
        <w:spacing w:after="0" w:line="16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Quarterly Period</w:t>
      </w:r>
      <w:r>
        <w:rPr>
          <w:rFonts w:ascii="Times New Roman" w:cs="Times New Roman" w:eastAsia="Times New Roman" w:hAnsi="Times New Roman"/>
          <w:sz w:val="22"/>
          <w:szCs w:val="22"/>
          <w:color w:val="auto"/>
        </w:rPr>
        <w:t>” means (i) the short period, if any, commencing on the Commencement Date and ending on the next succeeding day that is the last day of a calendar quarter, (ii) each full calendar quarter thereafter prior to the occurrence of a Wind-Up Event and (iii) the short period, if any, commencing on the first day of the calendar quarter immediately following the last such full calendar quarter and ending on the day of the occurrence of a Wind-Up Event.</w:t>
      </w:r>
    </w:p>
    <w:p>
      <w:pPr>
        <w:spacing w:after="0" w:line="17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Quarterly Value</w:t>
      </w:r>
      <w:r>
        <w:rPr>
          <w:rFonts w:ascii="Times New Roman" w:cs="Times New Roman" w:eastAsia="Times New Roman" w:hAnsi="Times New Roman"/>
          <w:sz w:val="22"/>
          <w:szCs w:val="22"/>
          <w:color w:val="auto"/>
        </w:rPr>
        <w:t>” means, as of any determination date, with respect to any Investment or other Company Asset, the value of such Investment or other Company Asset as reflected in the most recent quarterly financial statements of the Company and its consolidated Subsidiaries prepared and delivered to each Shareholder in accordance with Section 10.02(a)(ii). In the event the most recent quarterly financial statements of the Company and its consolidated Subsidiaries referred to in the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22" w:right="379" w:bottom="1440" w:gutter="0" w:footer="0" w:header="0"/>
        </w:sectPr>
      </w:pPr>
    </w:p>
    <w:bookmarkStart w:id="273" w:name="page274"/>
    <w:bookmarkEnd w:id="273"/>
    <w:p>
      <w:pPr>
        <w:spacing w:after="0" w:line="261" w:lineRule="auto"/>
        <w:rPr>
          <w:sz w:val="20"/>
          <w:szCs w:val="20"/>
          <w:color w:val="auto"/>
        </w:rPr>
      </w:pPr>
      <w:r>
        <w:rPr>
          <w:rFonts w:ascii="Times New Roman" w:cs="Times New Roman" w:eastAsia="Times New Roman" w:hAnsi="Times New Roman"/>
          <w:sz w:val="21"/>
          <w:szCs w:val="21"/>
          <w:color w:val="auto"/>
        </w:rPr>
        <w:t>sentence do not include valuations of Investments or other Company Assets, the Company shall cause to be prepared financial statements for such quarter which include such valuations on the same basis as if the Company were treated as an “investment company” for purposes of preparing financial statements in accordance with GAAP, and the immediately preceding sentence shall be deemed to refer to such financial statements in lieu of the most recent quarterly financial statements prepared and delivered to each Shareholder in accordance with Section 10.02(a)(ii). In the case of any Investment or other Company Asset acquired after the date of the applicable quarter end of the applicable financial statements, “</w:t>
      </w:r>
      <w:r>
        <w:rPr>
          <w:rFonts w:ascii="Times New Roman" w:cs="Times New Roman" w:eastAsia="Times New Roman" w:hAnsi="Times New Roman"/>
          <w:sz w:val="21"/>
          <w:szCs w:val="21"/>
          <w:b w:val="1"/>
          <w:bCs w:val="1"/>
          <w:color w:val="auto"/>
        </w:rPr>
        <w:t>Quarterly Value”</w:t>
      </w:r>
      <w:r>
        <w:rPr>
          <w:rFonts w:ascii="Times New Roman" w:cs="Times New Roman" w:eastAsia="Times New Roman" w:hAnsi="Times New Roman"/>
          <w:sz w:val="21"/>
          <w:szCs w:val="21"/>
          <w:color w:val="auto"/>
        </w:rPr>
        <w:t xml:space="preserve"> shall mean the cost of such Investment or other Company Asset (or, in the case of any Company Asset consisting of cash, the amount of such cash).</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Regulated Investment</w:t>
      </w:r>
      <w:r>
        <w:rPr>
          <w:rFonts w:ascii="Times New Roman" w:cs="Times New Roman" w:eastAsia="Times New Roman" w:hAnsi="Times New Roman"/>
          <w:sz w:val="21"/>
          <w:szCs w:val="21"/>
          <w:color w:val="auto"/>
        </w:rPr>
        <w:t>” means an Investment in a Portfolio Company that directly or indirectly holds an interest in any</w:t>
      </w:r>
    </w:p>
    <w:p>
      <w:pPr>
        <w:spacing w:after="0" w:line="43" w:lineRule="exact"/>
        <w:rPr>
          <w:sz w:val="20"/>
          <w:szCs w:val="20"/>
          <w:color w:val="auto"/>
        </w:rPr>
      </w:pPr>
    </w:p>
    <w:p>
      <w:pPr>
        <w:ind w:right="20" w:firstLine="8"/>
        <w:spacing w:after="0" w:line="244" w:lineRule="auto"/>
        <w:tabs>
          <w:tab w:leader="none" w:pos="25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broadcast or wireless radio service license issued by the FCC, (ii) daily newspaper in the United States, (iii) multichannel video programming distributor or online video distributor in the United States, (iv) provider of broadband internet access services in the United States, (v) video programmer in the United States, (vi) other business subject to regulation by U.S. state public utility commissions, local franchise authorities or other similar U.S. state or local regulatory authorities, (vii) any other business that is subject to regulation by the FCC at the time of the relevant determination and (viii) business of a type described in the preceding clauses (i) through (vii) but operated outside of the United States and subject to regulation under Non-U.S. Law comparable to the regulation under Relevant Law of any business of a type described in the preceding clauses (i) through (vii) in the United States.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Law</w:t>
      </w:r>
      <w:r>
        <w:rPr>
          <w:rFonts w:ascii="Times New Roman" w:cs="Times New Roman" w:eastAsia="Times New Roman" w:hAnsi="Times New Roman"/>
          <w:sz w:val="22"/>
          <w:szCs w:val="22"/>
          <w:color w:val="auto"/>
        </w:rPr>
        <w:t>” means (i) the Communications Act, (ii) Applicable Law enacted, adopted, promulgated or applied by the FCC, (iii) U.S. Law regarding antitrust and (iv) Applicable Law enacted, adopted, promulgated or applied by a U.S. state or local Governmental Authority.</w:t>
      </w:r>
    </w:p>
    <w:p>
      <w:pPr>
        <w:spacing w:after="0" w:line="166"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Repurchase Class</w:t>
      </w:r>
      <w:r>
        <w:rPr>
          <w:rFonts w:ascii="Times New Roman" w:cs="Times New Roman" w:eastAsia="Times New Roman" w:hAnsi="Times New Roman"/>
          <w:sz w:val="22"/>
          <w:szCs w:val="22"/>
          <w:color w:val="auto"/>
        </w:rPr>
        <w:t>” means (i) with respect to amounts otherwise distributable to holders of Class I Shares in accordance with Sections 8.02(a), (b), (c), (d), (e)(i), (f) and (g), (x) the Class I-A Shares held by Comcast Spectacor Shareholder, in the case of amounts otherwise distributable to Comcast Spectacor Shareholder, (y) the Class I-A Shares held by Comcast AG Shareholder, in the case of amounts otherwise distributable to Comcast AG Shareholder and (z) the Class I-B Shares, in the case of amounts otherwise distributable with respect to the Class I-B Shares and (ii) with respect to amounts distributable to the holder of Class II Shares in accordance with Section 8.02(e)(ii), (f) and (g), the Class II Shares.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74" w:name="page275"/>
    <w:bookmarkEnd w:id="274"/>
    <w:p>
      <w:pPr>
        <w:ind w:right="3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Shareholders</w:t>
      </w:r>
      <w:r>
        <w:rPr>
          <w:rFonts w:ascii="Times New Roman" w:cs="Times New Roman" w:eastAsia="Times New Roman" w:hAnsi="Times New Roman"/>
          <w:sz w:val="22"/>
          <w:szCs w:val="22"/>
          <w:color w:val="auto"/>
        </w:rPr>
        <w:t>” means each Comcast Shareholder, ManagementCo Shareholder and any other Person that becomes a “Shareholder” in accordance with the terms hereof and the Memorandum and Articles of Association.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Spectra</w:t>
      </w:r>
      <w:r>
        <w:rPr>
          <w:rFonts w:ascii="Times New Roman" w:cs="Times New Roman" w:eastAsia="Times New Roman" w:hAnsi="Times New Roman"/>
          <w:sz w:val="22"/>
          <w:szCs w:val="22"/>
          <w:color w:val="auto"/>
        </w:rPr>
        <w:t>” means Spectra Holdco, LLC.</w:t>
      </w:r>
    </w:p>
    <w:p>
      <w:pPr>
        <w:spacing w:after="0" w:line="22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Spectra Agreement</w:t>
      </w:r>
      <w:r>
        <w:rPr>
          <w:rFonts w:ascii="Times New Roman" w:cs="Times New Roman" w:eastAsia="Times New Roman" w:hAnsi="Times New Roman"/>
          <w:sz w:val="22"/>
          <w:szCs w:val="22"/>
          <w:color w:val="auto"/>
        </w:rPr>
        <w:t>” means the Acquisition Agreement entered into among the Company, ManagementCo Shareholder, Comcast Spectacor Shareholder and Comcast, relating to the purchase and sale of Units of Spectra, dated as of February 15, 2018.</w:t>
      </w:r>
    </w:p>
    <w:p>
      <w:pPr>
        <w:spacing w:after="0" w:line="16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the Company or any other Person, any Person of which the Company (or such other Person) owns securities having a majority of the voting power in electing the board of directors (or analogous governing body) directly or through one or more Subsidiaries or, in the case of a partnership, limited liability company or other similar entity that is not governed by a board of managers (or analogous governing body), any Person of which the Company (or such other Person) or any Subsidiary serves as general partner or managing member. The term “Subsidiary” as used herein with respect to the Company, the ManagementCo Shareholder, the Manager and any of their respective Affiliates shall exclude each of the Portfolio Companies and each of the Subsidiaries of the Portfolio Companies.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Attribute</w:t>
      </w:r>
      <w:r>
        <w:rPr>
          <w:rFonts w:ascii="Times New Roman" w:cs="Times New Roman" w:eastAsia="Times New Roman" w:hAnsi="Times New Roman"/>
          <w:sz w:val="22"/>
          <w:szCs w:val="22"/>
          <w:color w:val="auto"/>
        </w:rPr>
        <w:t>” means any net operating loss or net capital loss.</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Quarter</w:t>
      </w:r>
      <w:r>
        <w:rPr>
          <w:rFonts w:ascii="Times New Roman" w:cs="Times New Roman" w:eastAsia="Times New Roman" w:hAnsi="Times New Roman"/>
          <w:sz w:val="22"/>
          <w:szCs w:val="22"/>
          <w:color w:val="auto"/>
        </w:rPr>
        <w:t>” means any of the following calendar periods: (i) January 1 to March 31, (ii) April 1 to June 30, (iii) July 1 to September 30, and (iv) October 1 to December 31.</w:t>
      </w:r>
    </w:p>
    <w:p>
      <w:pPr>
        <w:spacing w:after="0" w:line="149"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Rate</w:t>
      </w:r>
      <w:r>
        <w:rPr>
          <w:rFonts w:ascii="Times New Roman" w:cs="Times New Roman" w:eastAsia="Times New Roman" w:hAnsi="Times New Roman"/>
          <w:sz w:val="21"/>
          <w:szCs w:val="21"/>
          <w:color w:val="auto"/>
        </w:rPr>
        <w:t>” means (i) with respect to income treated as net capital gain and “qualified dividend income,” the highest blended U.S. federal, state and local income tax rate applicable to such type of gain or income, and (ii) with respect to all other income and gain, the highest blended U.S. federal, state and local income tax rate applicable to ordinary income (including the Medicare Contribution tax on net investment income), in each case, taking into account the tax rate applicable in the year in which such distribution or allocation is made, assuming that the taxpayer in question is (a) an individual resident in New York, New York, (b) fully subject to the alternative minimum tax rates and rules and taking into account the deductibility of state and local taxes for U.S. federal income tax purposes, including any limitations on the deductibility thereof.</w:t>
      </w:r>
    </w:p>
    <w:p>
      <w:pPr>
        <w:spacing w:after="0" w:line="166" w:lineRule="exact"/>
        <w:rPr>
          <w:sz w:val="20"/>
          <w:szCs w:val="20"/>
          <w:color w:val="auto"/>
        </w:rPr>
      </w:pPr>
    </w:p>
    <w:p>
      <w:pPr>
        <w:ind w:right="6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Temporary Cash Funds</w:t>
      </w:r>
      <w:r>
        <w:rPr>
          <w:rFonts w:ascii="Times New Roman" w:cs="Times New Roman" w:eastAsia="Times New Roman" w:hAnsi="Times New Roman"/>
          <w:sz w:val="22"/>
          <w:szCs w:val="22"/>
          <w:color w:val="auto"/>
        </w:rPr>
        <w:t>” shall mean a reserve that is established by the Company, in its reasonable discretion, to facilitate the payment of Company Expenses or the purchase price of Investments.</w:t>
      </w:r>
    </w:p>
    <w:p>
      <w:pPr>
        <w:spacing w:after="0" w:line="149"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Fees</w:t>
      </w:r>
      <w:r>
        <w:rPr>
          <w:rFonts w:ascii="Times New Roman" w:cs="Times New Roman" w:eastAsia="Times New Roman" w:hAnsi="Times New Roman"/>
          <w:sz w:val="22"/>
          <w:szCs w:val="22"/>
          <w:color w:val="auto"/>
        </w:rPr>
        <w:t>” means, with respect to any Investment or proposed Investment, whether paid in the form of cash or securities, (i) any fees or amounts that are paid to the Company, the Manager or any of its Affiliates by any Person in connection with the termination, cancellation or abandonment of such proposed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18" w:right="379" w:bottom="1440" w:gutter="0" w:footer="0" w:header="0"/>
        </w:sectPr>
      </w:pPr>
    </w:p>
    <w:bookmarkStart w:id="275" w:name="page276"/>
    <w:bookmarkEnd w:id="275"/>
    <w:p>
      <w:pPr>
        <w:spacing w:after="0" w:line="258" w:lineRule="auto"/>
        <w:rPr>
          <w:sz w:val="20"/>
          <w:szCs w:val="20"/>
          <w:color w:val="auto"/>
        </w:rPr>
      </w:pPr>
      <w:r>
        <w:rPr>
          <w:rFonts w:ascii="Times New Roman" w:cs="Times New Roman" w:eastAsia="Times New Roman" w:hAnsi="Times New Roman"/>
          <w:sz w:val="21"/>
          <w:szCs w:val="21"/>
          <w:color w:val="auto"/>
        </w:rPr>
        <w:t xml:space="preserve">including “break-up” or “topping” fees, (ii) any fees or amounts that are paid to the Company, the Manager or any of its Affiliates as a “commitment fee” with respect to commitments of the Company’s capital with respect to such proposed Investment, (iii) any organization or success fees received by the Company, the Manager or any of its Affiliates in connection with the making of such proposed Investment or the Disposition of any Investment (including any accelerated advisory, monitoring, consulting or other similar fees), (iv) any periodic advisory, monitoring, consulting or other similar fees charged by the Manager or any of its Affiliates to any Portfolio Company or any Subsidiary of such Portfolio Company, or (v) any fees or amounts received by Affiliates or employees of the Manager or any of its Affiliates acting as a director or in a similar capacity for any Portfolio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“Transaction Fees” received by the Manager or any of its Affiliates shall not include any reimbursement by actual or potential Portfolio Companies of out-of-pocket expenses incurred by the Manager or any of its Affiliates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due diligence, legal, accounting, investment banking and similar expenses incurred in connection with any actual or prospective transactions, travel expenses associated with attending board meetings and otherwise conducting investment oversight, etc.);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“Transaction Fees” shall not include any compensation referred to in Section 4.02(b).</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means, with respect to any Company Securities or other assets, (i) when used as a verb, to sell, assign, dispose of, exchange, pledge, encumber, hypothecate or otherwise transfer such Company Securities or other assets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other assets or any participation or interest therein, whether directly or indirectly (including pursuant to a derivative transaction), or any agreement or commitment to do any of the foregoing;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neither the issuance by Comcast or any Comcast Successor (or by the Comcast Permitted Spin Transferee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ultimate parent company of the Comcast Permitted Spin Transferee), or, to the extent permitted by the ManagementCo Shareholder Partnership Agreement, ManagementCo Shareholder, of any equity securities or equity-related securities, nor the change in ownership of any outstanding equity securities or equity-related securities issued by Comcast or any Comcast Successor (or by the Comcast Permitted Spin Transferee or the ultimate parent company of the Comcast Permitted Spin Transferee), or, to the extent permitted by the ManagementCo Shareholder Partnership Agreement, ManagementCo Shareholder, shall constitute a Transfer by Comcast Shareholder (or the Comcast Permitted Spin Transferee) or ManagementCo Shareholder, as applicable, of any Company Securities;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pledge, encumbrance or hypothecation of Company Securities by Comcast Shareholder (or the Comcast Permitted Spin Transferee) in connection with the general pledge, encumbrance or hypothecation by Comcast or any Comcast Successor (or the Comcast Permitted Spin Transferee) of all or substantially all of its assets made in connection with a bona fide debt financing, or the Transfer of Company Securities upon the exercise of remedies in respect of any such pledge, encumbrance or hypothecation,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76" w:name="page277"/>
    <w:bookmarkEnd w:id="276"/>
    <w:p>
      <w:pPr>
        <w:spacing w:after="0" w:line="247" w:lineRule="auto"/>
        <w:rPr>
          <w:sz w:val="20"/>
          <w:szCs w:val="20"/>
          <w:color w:val="auto"/>
        </w:rPr>
      </w:pPr>
      <w:r>
        <w:rPr>
          <w:rFonts w:ascii="Times New Roman" w:cs="Times New Roman" w:eastAsia="Times New Roman" w:hAnsi="Times New Roman"/>
          <w:sz w:val="22"/>
          <w:szCs w:val="22"/>
          <w:color w:val="auto"/>
        </w:rPr>
        <w:t xml:space="preserve">shall not constitute a Transfer of any Company Securities;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pledge, encumbrance or hypothecation of Company Securities (other than as prohibited under Section 10.17) by ManagementCo Shareholder in connection with the general pledge, encumbrance or hypothecation by ManagementCo Shareholder of all or substantially all of its assets made in connection with a bona fide debt financing, or the Transfer of Company Securities upon the exercise of remedies in respect of any such pledge, encumbrance or hypothecation, shall not constitute a Transfer of any Company Securities;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pledge, encumbrance or hypothecation of any assets of the Company or any of its Subsidiaries in connection with any Company Debt permitted pursuant to Section 2.04, or the transfer of such assets upon the exercise of remedies in respect of any such pledge, encumbrance or hypothecation, shall not constitute a Transfer.</w:t>
      </w:r>
    </w:p>
    <w:p>
      <w:pPr>
        <w:spacing w:after="0" w:line="185"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Unreturned Capital Amount</w:t>
      </w:r>
      <w:r>
        <w:rPr>
          <w:rFonts w:ascii="Times New Roman" w:cs="Times New Roman" w:eastAsia="Times New Roman" w:hAnsi="Times New Roman"/>
          <w:sz w:val="22"/>
          <w:szCs w:val="22"/>
          <w:color w:val="auto"/>
        </w:rPr>
        <w:t>” means, with respect to Comcast Shareholder as of any determination date, the excess, if any, of (i) Comcast Shareholder’s aggregate Capital Contributions as of such date (other than Capital Contributions made for the purpose of funding Company Expenses or the Management Fee) over (ii) the aggregate distributions to Comcast Shareholder pursuant to Sections 8.02 and 8.04 as of such date. In the event there is no such excess as of any determination date, the Unreturned Capital Amount shall be deemed to be zero.</w:t>
      </w:r>
    </w:p>
    <w:p>
      <w:pPr>
        <w:spacing w:after="0" w:line="176" w:lineRule="exact"/>
        <w:rPr>
          <w:sz w:val="20"/>
          <w:szCs w:val="20"/>
          <w:color w:val="auto"/>
        </w:rPr>
      </w:pPr>
    </w:p>
    <w:p>
      <w:pPr>
        <w:ind w:right="76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Law</w:t>
      </w:r>
      <w:r>
        <w:rPr>
          <w:rFonts w:ascii="Times New Roman" w:cs="Times New Roman" w:eastAsia="Times New Roman" w:hAnsi="Times New Roman"/>
          <w:sz w:val="22"/>
          <w:szCs w:val="22"/>
          <w:color w:val="auto"/>
        </w:rPr>
        <w:t>” means any Applicable Law enacted, adopted, promulgated or applied by a U.S. federal, state or local Governmental Authority.</w:t>
      </w:r>
    </w:p>
    <w:p>
      <w:pPr>
        <w:spacing w:after="0" w:line="153" w:lineRule="exact"/>
        <w:rPr>
          <w:sz w:val="20"/>
          <w:szCs w:val="20"/>
          <w:color w:val="auto"/>
        </w:rPr>
      </w:pPr>
    </w:p>
    <w:p>
      <w:pPr>
        <w:ind w:left="1120" w:hanging="464"/>
        <w:spacing w:after="0"/>
        <w:tabs>
          <w:tab w:leader="none" w:pos="112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terms is defined in the Section set forth opposite such term:</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2040" w:type="dxa"/>
            <w:vAlign w:val="bottom"/>
          </w:tcPr>
          <w:p>
            <w:pPr>
              <w:spacing w:after="0"/>
              <w:rPr>
                <w:sz w:val="22"/>
                <w:szCs w:val="22"/>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9"/>
              </w:rPr>
              <w:t>Section</w:t>
            </w:r>
          </w:p>
        </w:tc>
      </w:tr>
      <w:tr>
        <w:trPr>
          <w:trHeight w:val="20"/>
        </w:trPr>
        <w:tc>
          <w:tcPr>
            <w:tcW w:w="5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9"/>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Advisory Board</w:t>
            </w:r>
          </w:p>
        </w:tc>
        <w:tc>
          <w:tcPr>
            <w:tcW w:w="2720" w:type="dxa"/>
            <w:vAlign w:val="bottom"/>
            <w:gridSpan w:val="2"/>
          </w:tcPr>
          <w:p>
            <w:pPr>
              <w:jc w:val="center"/>
              <w:ind w:left="1932"/>
              <w:spacing w:after="0"/>
              <w:rPr>
                <w:sz w:val="20"/>
                <w:szCs w:val="20"/>
                <w:color w:val="auto"/>
              </w:rPr>
            </w:pPr>
            <w:r>
              <w:rPr>
                <w:rFonts w:ascii="Times New Roman" w:cs="Times New Roman" w:eastAsia="Times New Roman" w:hAnsi="Times New Roman"/>
                <w:sz w:val="22"/>
                <w:szCs w:val="22"/>
                <w:color w:val="auto"/>
                <w:w w:val="96"/>
              </w:rPr>
              <w:t>10.09</w:t>
            </w:r>
          </w:p>
        </w:tc>
        <w:tc>
          <w:tcPr>
            <w:tcW w:w="60" w:type="dxa"/>
            <w:vAlign w:val="bottom"/>
          </w:tcPr>
          <w:p>
            <w:pPr>
              <w:spacing w:after="0"/>
              <w:rPr>
                <w:sz w:val="24"/>
                <w:szCs w:val="24"/>
                <w:color w:val="auto"/>
              </w:rPr>
            </w:pPr>
          </w:p>
        </w:tc>
      </w:tr>
      <w:tr>
        <w:trPr>
          <w:trHeight w:val="271"/>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09"/>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Capital Account</w:t>
            </w:r>
          </w:p>
        </w:tc>
        <w:tc>
          <w:tcPr>
            <w:tcW w:w="2720" w:type="dxa"/>
            <w:vAlign w:val="bottom"/>
            <w:gridSpan w:val="2"/>
          </w:tcPr>
          <w:p>
            <w:pPr>
              <w:jc w:val="center"/>
              <w:ind w:left="1932"/>
              <w:spacing w:after="0"/>
              <w:rPr>
                <w:sz w:val="20"/>
                <w:szCs w:val="20"/>
                <w:color w:val="auto"/>
              </w:rPr>
            </w:pPr>
            <w:r>
              <w:rPr>
                <w:rFonts w:ascii="Times New Roman" w:cs="Times New Roman" w:eastAsia="Times New Roman" w:hAnsi="Times New Roman"/>
                <w:sz w:val="22"/>
                <w:szCs w:val="22"/>
                <w:color w:val="auto"/>
                <w:w w:val="93"/>
              </w:rPr>
              <w:t>8.06</w:t>
            </w:r>
          </w:p>
        </w:tc>
        <w:tc>
          <w:tcPr>
            <w:tcW w:w="60" w:type="dxa"/>
            <w:vAlign w:val="bottom"/>
          </w:tcPr>
          <w:p>
            <w:pPr>
              <w:spacing w:after="0"/>
              <w:rPr>
                <w:sz w:val="24"/>
                <w:szCs w:val="24"/>
                <w:color w:val="auto"/>
              </w:rPr>
            </w:pPr>
          </w:p>
        </w:tc>
      </w:tr>
      <w:tr>
        <w:trPr>
          <w:trHeight w:val="311"/>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Cause Redemption</w:t>
            </w:r>
          </w:p>
        </w:tc>
        <w:tc>
          <w:tcPr>
            <w:tcW w:w="20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color w:val="auto"/>
                <w:w w:val="95"/>
              </w:rPr>
              <w:t>3.04(a)</w:t>
            </w:r>
          </w:p>
        </w:tc>
      </w:tr>
      <w:tr>
        <w:trPr>
          <w:trHeight w:val="31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Class II Maximum Amount</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7"/>
              </w:rPr>
              <w:t>11.02(a)</w:t>
            </w:r>
          </w:p>
        </w:tc>
      </w:tr>
      <w:tr>
        <w:trPr>
          <w:trHeight w:val="271"/>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Co-Investment Opportunity</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7"/>
              </w:rPr>
              <w:t>10.07(a)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AG Shareholder</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Confidential Information</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5"/>
              </w:rPr>
              <w:t>10.01(b)</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Core Integrated Investment</w:t>
            </w:r>
          </w:p>
        </w:tc>
        <w:tc>
          <w:tcPr>
            <w:tcW w:w="204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color w:val="auto"/>
                <w:w w:val="99"/>
              </w:rPr>
              <w:t>4.01(f)</w:t>
            </w:r>
          </w:p>
        </w:tc>
      </w:tr>
      <w:tr>
        <w:trPr>
          <w:trHeight w:val="309"/>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Core Non-Integrated Investment</w:t>
            </w:r>
          </w:p>
        </w:tc>
        <w:tc>
          <w:tcPr>
            <w:tcW w:w="20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color w:val="auto"/>
                <w:w w:val="99"/>
              </w:rPr>
              <w:t>4.01(g)</w:t>
            </w:r>
          </w:p>
        </w:tc>
      </w:tr>
      <w:tr>
        <w:trPr>
          <w:trHeight w:val="31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Guarantee</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7"/>
              </w:rPr>
              <w:t>12.12(a)</w:t>
            </w:r>
          </w:p>
        </w:tc>
      </w:tr>
      <w:tr>
        <w:trPr>
          <w:trHeight w:val="310"/>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ROFO Purchaser</w:t>
            </w:r>
          </w:p>
        </w:tc>
        <w:tc>
          <w:tcPr>
            <w:tcW w:w="20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color w:val="auto"/>
                <w:w w:val="99"/>
              </w:rPr>
              <w:t>9.01(b)</w:t>
            </w:r>
          </w:p>
        </w:tc>
      </w:tr>
      <w:tr>
        <w:trPr>
          <w:trHeight w:val="271"/>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Shareholder</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09"/>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Shareholder Obligations</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7"/>
              </w:rPr>
              <w:t>12.12(a)</w:t>
            </w:r>
          </w:p>
        </w:tc>
      </w:tr>
      <w:tr>
        <w:trPr>
          <w:trHeight w:val="283"/>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Spectacor Shareholder</w:t>
            </w:r>
          </w:p>
        </w:tc>
        <w:tc>
          <w:tcPr>
            <w:tcW w:w="2780" w:type="dxa"/>
            <w:vAlign w:val="bottom"/>
            <w:gridSpan w:val="3"/>
          </w:tcPr>
          <w:p>
            <w:pPr>
              <w:jc w:val="center"/>
              <w:ind w:left="1872"/>
              <w:spacing w:after="0"/>
              <w:rPr>
                <w:sz w:val="20"/>
                <w:szCs w:val="20"/>
                <w:color w:val="auto"/>
              </w:rPr>
            </w:pPr>
            <w:r>
              <w:rPr>
                <w:rFonts w:ascii="Times New Roman" w:cs="Times New Roman" w:eastAsia="Times New Roman" w:hAnsi="Times New Roman"/>
                <w:sz w:val="22"/>
                <w:szCs w:val="22"/>
                <w:color w:val="auto"/>
                <w:w w:val="96"/>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18" w:right="359" w:bottom="1440" w:gutter="0" w:footer="0" w:header="0"/>
        </w:sectPr>
      </w:pPr>
    </w:p>
    <w:bookmarkStart w:id="277" w:name="page278"/>
    <w:bookmarkEnd w:id="277"/>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Assets</w:t>
      </w:r>
    </w:p>
    <w:p>
      <w:pPr>
        <w:spacing w:after="0" w:line="45" w:lineRule="exact"/>
        <w:rPr>
          <w:sz w:val="20"/>
          <w:szCs w:val="20"/>
          <w:color w:val="auto"/>
        </w:rPr>
      </w:pPr>
    </w:p>
    <w:p>
      <w:pPr>
        <w:ind w:right="1720"/>
        <w:spacing w:after="0" w:line="294" w:lineRule="auto"/>
        <w:rPr>
          <w:sz w:val="20"/>
          <w:szCs w:val="20"/>
          <w:color w:val="auto"/>
        </w:rPr>
      </w:pPr>
      <w:r>
        <w:rPr>
          <w:rFonts w:ascii="Times New Roman" w:cs="Times New Roman" w:eastAsia="Times New Roman" w:hAnsi="Times New Roman"/>
          <w:sz w:val="22"/>
          <w:szCs w:val="22"/>
          <w:color w:val="auto"/>
        </w:rPr>
        <w:t>Company Confidential Information Company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Core Business Evaluation Material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Designated Individual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Distributable Amounts</w:t>
      </w:r>
    </w:p>
    <w:p>
      <w:pPr>
        <w:spacing w:after="0" w:line="45" w:lineRule="exact"/>
        <w:rPr>
          <w:sz w:val="20"/>
          <w:szCs w:val="20"/>
          <w:color w:val="auto"/>
        </w:rPr>
      </w:pPr>
    </w:p>
    <w:p>
      <w:pPr>
        <w:ind w:right="1920"/>
        <w:spacing w:after="0" w:line="275" w:lineRule="auto"/>
        <w:rPr>
          <w:sz w:val="20"/>
          <w:szCs w:val="20"/>
          <w:color w:val="auto"/>
        </w:rPr>
      </w:pPr>
      <w:r>
        <w:rPr>
          <w:rFonts w:ascii="Times New Roman" w:cs="Times New Roman" w:eastAsia="Times New Roman" w:hAnsi="Times New Roman"/>
          <w:sz w:val="22"/>
          <w:szCs w:val="22"/>
          <w:color w:val="auto"/>
        </w:rPr>
        <w:t>Distribution Tier Return Amount Drawdown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Drawdown Notices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FCC Order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Amended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Indemnified Liabilities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Interim Clawback Amount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Interim Clawback Date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ManagementCo Shareholder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Manager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 Price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Offered ROFO Assets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Partial Spin Transfer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Partnership Representative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Qualifying Company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Recap Dividends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Regulatory Allocations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ROFO Assets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ROFO Rights</w:t>
      </w:r>
    </w:p>
    <w:p>
      <w:pPr>
        <w:spacing w:after="0" w:line="29" w:lineRule="exact"/>
        <w:rPr>
          <w:sz w:val="20"/>
          <w:szCs w:val="20"/>
          <w:color w:val="auto"/>
        </w:rPr>
      </w:pPr>
    </w:p>
    <w:p>
      <w:pPr>
        <w:ind w:right="1840"/>
        <w:spacing w:after="0" w:line="261" w:lineRule="auto"/>
        <w:rPr>
          <w:sz w:val="20"/>
          <w:szCs w:val="20"/>
          <w:color w:val="auto"/>
        </w:rPr>
      </w:pPr>
      <w:r>
        <w:rPr>
          <w:rFonts w:ascii="Times New Roman" w:cs="Times New Roman" w:eastAsia="Times New Roman" w:hAnsi="Times New Roman"/>
          <w:sz w:val="22"/>
          <w:szCs w:val="22"/>
          <w:color w:val="auto"/>
        </w:rPr>
        <w:t>Second Amended Agreement Surviving ROFO Rights Principle Tax Matters Partner Tax Year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Upper Tier Indemnitor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Wind-Up Event</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Times New Roman" w:cs="Times New Roman" w:eastAsia="Times New Roman" w:hAnsi="Times New Roman"/>
          <w:sz w:val="22"/>
          <w:szCs w:val="22"/>
          <w:color w:val="auto"/>
        </w:rPr>
        <w:t>Preamble</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11.01(b)</w:t>
      </w:r>
    </w:p>
    <w:p>
      <w:pPr>
        <w:spacing w:after="0" w:line="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10.01(a)</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7.02(a)</w:t>
      </w:r>
    </w:p>
    <w:p>
      <w:pPr>
        <w:spacing w:after="0" w:line="5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4.03</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10.19(d)</w:t>
      </w:r>
    </w:p>
    <w:p>
      <w:pPr>
        <w:spacing w:after="0" w:line="4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8.05(c)</w:t>
      </w:r>
    </w:p>
    <w:p>
      <w:pPr>
        <w:spacing w:after="0" w:line="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8.05(g)</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6.02(b)(iii)</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6.02(a)</w:t>
      </w:r>
    </w:p>
    <w:p>
      <w:pPr>
        <w:spacing w:after="0" w:line="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10.14</w:t>
      </w: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Preamble</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10.06(a)</w:t>
      </w:r>
    </w:p>
    <w:p>
      <w:pPr>
        <w:spacing w:after="0" w:line="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11.02(b)</w:t>
      </w:r>
    </w:p>
    <w:p>
      <w:pPr>
        <w:spacing w:after="0" w:line="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11.02(b)</w:t>
      </w: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Preamble</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Preamble</w:t>
      </w:r>
    </w:p>
    <w:p>
      <w:pPr>
        <w:spacing w:after="0" w:line="3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7.01</w:t>
      </w:r>
    </w:p>
    <w:p>
      <w:pPr>
        <w:spacing w:after="0" w:line="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9.01(b)</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9.01(a)</w:t>
      </w:r>
    </w:p>
    <w:p>
      <w:pPr>
        <w:spacing w:after="0" w:line="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9.01(b)</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9.01(a)</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9.01(a)</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Recitals</w:t>
      </w:r>
    </w:p>
    <w:p>
      <w:pPr>
        <w:spacing w:after="0" w:line="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5.03(c)(ii)</w:t>
      </w:r>
    </w:p>
    <w:p>
      <w:pPr>
        <w:spacing w:after="0" w:line="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10.19(d)</w:t>
      </w:r>
    </w:p>
    <w:p>
      <w:pPr>
        <w:spacing w:after="0" w:line="3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8.02(d)</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8.03(c)</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8.08(e)</w:t>
      </w:r>
    </w:p>
    <w:p>
      <w:pPr>
        <w:spacing w:after="0" w:line="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10.01(a)</w:t>
      </w:r>
    </w:p>
    <w:p>
      <w:pPr>
        <w:spacing w:after="0" w:line="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9.01(a)</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5.03(d)(i)(A)(1)</w:t>
      </w:r>
    </w:p>
    <w:p>
      <w:pPr>
        <w:spacing w:after="0" w:line="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Preamble</w:t>
      </w:r>
    </w:p>
    <w:p>
      <w:pPr>
        <w:spacing w:after="0" w:line="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5.03(d)(i)(A)(2)</w:t>
      </w:r>
    </w:p>
    <w:p>
      <w:pPr>
        <w:spacing w:after="0" w:line="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10.19(d)</w:t>
      </w:r>
    </w:p>
    <w:p>
      <w:pPr>
        <w:spacing w:after="0" w:line="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10.20</w:t>
      </w:r>
    </w:p>
    <w:p>
      <w:pPr>
        <w:spacing w:after="0" w:line="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8.02(e)(ii)</w:t>
      </w:r>
    </w:p>
    <w:p>
      <w:pPr>
        <w:spacing w:after="0" w:line="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10.06(d)</w:t>
      </w:r>
    </w:p>
    <w:p>
      <w:pPr>
        <w:spacing w:after="0" w:line="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11.01(a)(iv)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2">
            <w:col w:w="4780" w:space="720"/>
            <w:col w:w="4619"/>
          </w:cols>
          <w:pgMar w:left="340" w:top="1440" w:right="1440" w:bottom="1440" w:gutter="0" w:footer="0" w:header="0"/>
        </w:sectPr>
      </w:pPr>
    </w:p>
    <w:bookmarkStart w:id="278" w:name="page279"/>
    <w:bookmarkEnd w:id="278"/>
    <w:p>
      <w:pPr>
        <w:ind w:firstLine="972"/>
        <w:spacing w:after="0" w:line="245"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Other Definitional and Interpretative Provisions.</w:t>
      </w:r>
      <w:r>
        <w:rPr>
          <w:rFonts w:ascii="Times New Roman" w:cs="Times New Roman" w:eastAsia="Times New Roman" w:hAnsi="Times New Roman"/>
          <w:sz w:val="22"/>
          <w:szCs w:val="22"/>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constitutional document, agreement or contract are to that agreement or contract as amended, modified or supplemented from time to time in accordance with the terms hereof and thereof. References to any law are to that law as amended from time to time and include all rules and regulations promulgated thereunder. References to any Person include the successors and permitted assigns of that Person. References from or through any date mean, unless otherwise specified, from and including or through and including, respectively. References to Comcast Shareholder shall be deemed to refer to each of Comcast AG Shareholder and Comcast Spectacor Shareholder individually, or to Comcast AG Shareholder and Comcast Spectacor Shareholder collectively, as the context requires. The Manager shall have the power and authority, without the consent of any Shareholder, to interpret in good faith any provision of this Agreement to give effect to the intent of the provisions of Sections 6.02(c), (d) and (f), 8.05(f), 8.05(g), 8.05(h) and 8.07(c).</w:t>
      </w:r>
    </w:p>
    <w:p>
      <w:pPr>
        <w:spacing w:after="0" w:line="2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2</w:t>
      </w:r>
    </w:p>
    <w:p>
      <w:pPr>
        <w:spacing w:after="0" w:line="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Purposes; Investments; Debt; Issuance of Company Securities</w:t>
      </w:r>
    </w:p>
    <w:p>
      <w:pPr>
        <w:spacing w:after="0" w:line="243" w:lineRule="exact"/>
        <w:rPr>
          <w:sz w:val="20"/>
          <w:szCs w:val="20"/>
          <w:color w:val="auto"/>
        </w:rPr>
      </w:pPr>
    </w:p>
    <w:p>
      <w:pPr>
        <w:ind w:right="20" w:firstLine="972"/>
        <w:spacing w:after="0" w:line="248"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i w:val="1"/>
          <w:iCs w:val="1"/>
          <w:color w:val="auto"/>
        </w:rPr>
        <w:t>Business Purpose.</w:t>
      </w:r>
      <w:r>
        <w:rPr>
          <w:rFonts w:ascii="Times New Roman" w:cs="Times New Roman" w:eastAsia="Times New Roman" w:hAnsi="Times New Roman"/>
          <w:sz w:val="22"/>
          <w:szCs w:val="22"/>
          <w:color w:val="auto"/>
        </w:rPr>
        <w:t xml:space="preserve"> The business for which the Company has been established is (a) to identify potential Investments in public and private entities globally, in a range of industries and business sectors, (b) to acquire, hold and dispose of such Investments, (c) pending utilization or disbursement of funds of the Company, to invest such funds in accordance with the terms of this Agreement and (d) to enter into other financial or commercial arrangements with Comcast (including, potentially, the purchase of non-core assets) as may be agreed by the Company and Comcast from time to time. The Company shall have the power to do any and all acts necessary, appropriate, desirable, incidental or convenient to or for the furtherance of the purposes described in this Section 2.01 or otherwise as provided for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18" w:right="379" w:bottom="1440" w:gutter="0" w:footer="0" w:header="0"/>
        </w:sectPr>
      </w:pPr>
    </w:p>
    <w:bookmarkStart w:id="279" w:name="page280"/>
    <w:bookmarkEnd w:id="279"/>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i w:val="1"/>
          <w:iCs w:val="1"/>
          <w:color w:val="auto"/>
        </w:rPr>
        <w:t>Investments.</w:t>
      </w:r>
    </w:p>
    <w:p>
      <w:pPr>
        <w:spacing w:after="0" w:line="224" w:lineRule="exact"/>
        <w:rPr>
          <w:sz w:val="20"/>
          <w:szCs w:val="20"/>
          <w:color w:val="auto"/>
        </w:rPr>
      </w:pPr>
    </w:p>
    <w:p>
      <w:pPr>
        <w:ind w:right="440" w:firstLine="1174"/>
        <w:spacing w:after="0" w:line="257" w:lineRule="auto"/>
        <w:tabs>
          <w:tab w:leader="none" w:pos="1610"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may involve investing in one or more classes or series of securities issued by, or other economic rights granted by, a Portfolio Company. Subject to Section 2.02(b), any Investment shall be made by the Company directly or through one or more wholly owned Subsidiaries.</w:t>
      </w:r>
    </w:p>
    <w:p>
      <w:pPr>
        <w:spacing w:after="0" w:line="172" w:lineRule="exact"/>
        <w:rPr>
          <w:rFonts w:ascii="Times New Roman" w:cs="Times New Roman" w:eastAsia="Times New Roman" w:hAnsi="Times New Roman"/>
          <w:sz w:val="22"/>
          <w:szCs w:val="22"/>
          <w:color w:val="auto"/>
        </w:rPr>
      </w:pPr>
    </w:p>
    <w:p>
      <w:pPr>
        <w:ind w:firstLine="1174"/>
        <w:spacing w:after="0" w:line="246" w:lineRule="auto"/>
        <w:tabs>
          <w:tab w:leader="none" w:pos="1634"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accommodate tax, legal, regulatory or similar considerations of the Company or any Shareholder or otherwise to facilitate the making of an Investment, the Manager may cause an Investment (or any portion thereof) to be made through an Alternative Investment Vehicle;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making of any Investment (or any portion thereof) through an Alternative Investment Vehicle shall be subject to the prior written consent of the applicable Comcast Shareholder, which consent shall not be unreasonably withheld. If any Investment is made through an Alternative Investment Vehicle, the parties will agree in good faith on such modifications to this Agreement, and enter into such other agreements, as are necessary to address such Investment, it being understood that, for all purposes hereof (including Section 8.02 and Article 11), any Investment made through an Alternative Investment Vehicle will be taken into account and treated as if such Investment were made through the Company.</w:t>
      </w:r>
    </w:p>
    <w:p>
      <w:pPr>
        <w:spacing w:after="0" w:line="190" w:lineRule="exact"/>
        <w:rPr>
          <w:rFonts w:ascii="Times New Roman" w:cs="Times New Roman" w:eastAsia="Times New Roman" w:hAnsi="Times New Roman"/>
          <w:sz w:val="22"/>
          <w:szCs w:val="22"/>
          <w:color w:val="auto"/>
        </w:rPr>
      </w:pPr>
    </w:p>
    <w:p>
      <w:pPr>
        <w:ind w:left="1640" w:hanging="466"/>
        <w:spacing w:after="0"/>
        <w:tabs>
          <w:tab w:leader="none" w:pos="1640"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w:t>
      </w:r>
    </w:p>
    <w:p>
      <w:pPr>
        <w:spacing w:after="0" w:line="219" w:lineRule="exact"/>
        <w:rPr>
          <w:rFonts w:ascii="Times New Roman" w:cs="Times New Roman" w:eastAsia="Times New Roman" w:hAnsi="Times New Roman"/>
          <w:sz w:val="22"/>
          <w:szCs w:val="22"/>
          <w:color w:val="auto"/>
        </w:rPr>
      </w:pPr>
    </w:p>
    <w:p>
      <w:pPr>
        <w:ind w:right="80" w:firstLine="1424"/>
        <w:spacing w:after="0" w:line="257" w:lineRule="auto"/>
        <w:tabs>
          <w:tab w:leader="none" w:pos="1944"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securities of a Portfolio Company of the same class or series and all other economic rights granted by a Portfolio Company that are similarly comparable shall, in each case, be treated as a single “Investment,” regardless of whether such securities or economic rights are acquired in a single transaction or a series of related or unrelated transactions;</w:t>
      </w:r>
    </w:p>
    <w:p>
      <w:pPr>
        <w:spacing w:after="0" w:line="172" w:lineRule="exact"/>
        <w:rPr>
          <w:rFonts w:ascii="Times New Roman" w:cs="Times New Roman" w:eastAsia="Times New Roman" w:hAnsi="Times New Roman"/>
          <w:sz w:val="22"/>
          <w:szCs w:val="22"/>
          <w:color w:val="auto"/>
        </w:rPr>
      </w:pPr>
    </w:p>
    <w:p>
      <w:pPr>
        <w:ind w:right="80" w:firstLine="1364"/>
        <w:spacing w:after="0" w:line="266" w:lineRule="auto"/>
        <w:tabs>
          <w:tab w:leader="none" w:pos="1944" w:val="left"/>
        </w:tabs>
        <w:numPr>
          <w:ilvl w:val="2"/>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2.02(c)(iii), different classes or series of securities of a Portfolio Company and other economic rights granted by a Portfolio Company that do not qualify for treatment as a single “Investment” under Section 2.02(c)</w:t>
      </w:r>
    </w:p>
    <w:p>
      <w:pPr>
        <w:spacing w:after="0" w:line="1" w:lineRule="exact"/>
        <w:rPr>
          <w:rFonts w:ascii="Times New Roman" w:cs="Times New Roman" w:eastAsia="Times New Roman" w:hAnsi="Times New Roman"/>
          <w:sz w:val="21"/>
          <w:szCs w:val="21"/>
          <w:color w:val="auto"/>
        </w:rPr>
      </w:pPr>
    </w:p>
    <w:p>
      <w:pPr>
        <w:ind w:right="80" w:firstLine="8"/>
        <w:spacing w:after="0" w:line="248" w:lineRule="auto"/>
        <w:tabs>
          <w:tab w:leader="none" w:pos="258"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in each case, be treated as separate “Investments”, regardless of whether such securities or economic rights are acquired in a single transaction or a series of related or unrelated transactions; and</w:t>
      </w:r>
    </w:p>
    <w:p>
      <w:pPr>
        <w:spacing w:after="0" w:line="182" w:lineRule="exact"/>
        <w:rPr>
          <w:rFonts w:ascii="Times New Roman" w:cs="Times New Roman" w:eastAsia="Times New Roman" w:hAnsi="Times New Roman"/>
          <w:sz w:val="22"/>
          <w:szCs w:val="22"/>
          <w:color w:val="auto"/>
        </w:rPr>
      </w:pPr>
    </w:p>
    <w:p>
      <w:pPr>
        <w:ind w:right="200" w:firstLine="1304"/>
        <w:spacing w:after="0" w:line="271" w:lineRule="auto"/>
        <w:tabs>
          <w:tab w:leader="none" w:pos="1944"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issued upon exercise, exchange or conversion of any Convertible Securities shall constitute the same “Investment” as the “Investment” in such Convertible Securities.</w:t>
      </w:r>
    </w:p>
    <w:p>
      <w:pPr>
        <w:spacing w:after="0" w:line="154" w:lineRule="exact"/>
        <w:rPr>
          <w:sz w:val="20"/>
          <w:szCs w:val="20"/>
          <w:color w:val="auto"/>
        </w:rPr>
      </w:pPr>
    </w:p>
    <w:p>
      <w:pPr>
        <w:ind w:right="120" w:firstLine="972"/>
        <w:spacing w:after="0" w:line="251"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Temporary Investment of Funds.</w:t>
      </w:r>
      <w:r>
        <w:rPr>
          <w:rFonts w:ascii="Times New Roman" w:cs="Times New Roman" w:eastAsia="Times New Roman" w:hAnsi="Times New Roman"/>
          <w:sz w:val="22"/>
          <w:szCs w:val="22"/>
          <w:color w:val="auto"/>
        </w:rPr>
        <w:t xml:space="preserve"> The Company shall invest all cash held by the Company in accordance with the limitations set forth in, and in the interest bearing instruments or accounts specified in,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The Company may amend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with the approval of Comcast Shareholder, such approval not to be unreasonably withheld or delayed. Cash held by the Company includes all amounts being held by the Company for future investment in Investments, payment of Company Expenses or distribution to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18" w:right="359" w:bottom="1440" w:gutter="0" w:footer="0" w:header="0"/>
        </w:sectPr>
      </w:pPr>
    </w:p>
    <w:bookmarkStart w:id="280" w:name="page281"/>
    <w:bookmarkEnd w:id="280"/>
    <w:p>
      <w:pPr>
        <w:ind w:left="960"/>
        <w:spacing w:after="0" w:line="295" w:lineRule="exact"/>
        <w:tabs>
          <w:tab w:leader="none" w:pos="2280" w:val="left"/>
        </w:tabs>
        <w:rPr>
          <w:sz w:val="20"/>
          <w:szCs w:val="20"/>
          <w:color w:val="auto"/>
        </w:rPr>
      </w:pPr>
      <w:r>
        <w:rPr>
          <w:rFonts w:ascii="Arial Unicode MS" w:cs="Arial Unicode MS" w:eastAsia="Arial Unicode MS" w:hAnsi="Arial Unicode MS"/>
          <w:sz w:val="22"/>
          <w:szCs w:val="22"/>
          <w:color w:val="auto"/>
        </w:rPr>
        <w:t>Section 2.04.</w:t>
      </w:r>
      <w:r>
        <w:rPr>
          <w:sz w:val="20"/>
          <w:szCs w:val="20"/>
          <w:color w:val="auto"/>
        </w:rPr>
        <w:tab/>
      </w:r>
      <w:r>
        <w:rPr>
          <w:rFonts w:ascii="Times New Roman" w:cs="Times New Roman" w:eastAsia="Times New Roman" w:hAnsi="Times New Roman"/>
          <w:sz w:val="21"/>
          <w:szCs w:val="21"/>
          <w:i w:val="1"/>
          <w:iCs w:val="1"/>
          <w:color w:val="auto"/>
        </w:rPr>
        <w:t>Company Debt.</w:t>
      </w:r>
    </w:p>
    <w:p>
      <w:pPr>
        <w:spacing w:after="0" w:line="194" w:lineRule="exact"/>
        <w:rPr>
          <w:sz w:val="20"/>
          <w:szCs w:val="20"/>
          <w:color w:val="auto"/>
        </w:rPr>
      </w:pPr>
    </w:p>
    <w:p>
      <w:pPr>
        <w:ind w:left="-20" w:firstLine="1174"/>
        <w:spacing w:after="0" w:line="258" w:lineRule="exact"/>
        <w:tabs>
          <w:tab w:leader="none" w:pos="1598" w:val="left"/>
        </w:tabs>
        <w:numPr>
          <w:ilvl w:val="0"/>
          <w:numId w:val="269"/>
        </w:numPr>
        <w:rPr>
          <w:rFonts w:ascii="Arial Unicode MS" w:cs="Arial Unicode MS" w:eastAsia="Arial Unicode MS" w:hAnsi="Arial Unicode MS"/>
          <w:sz w:val="19"/>
          <w:szCs w:val="19"/>
          <w:color w:val="auto"/>
        </w:rPr>
      </w:pPr>
      <w:r>
        <w:rPr>
          <w:rFonts w:ascii="Arial Unicode MS" w:cs="Arial Unicode MS" w:eastAsia="Arial Unicode MS" w:hAnsi="Arial Unicode MS"/>
          <w:sz w:val="19"/>
          <w:szCs w:val="19"/>
          <w:color w:val="auto"/>
        </w:rPr>
        <w:t xml:space="preserve">The Company shall be permitted to incur Company Debt, whether directly or indirectly, through a Subsidiary, </w:t>
      </w:r>
      <w:r>
        <w:rPr>
          <w:rFonts w:ascii="Times New Roman" w:cs="Times New Roman" w:eastAsia="Times New Roman" w:hAnsi="Times New Roman"/>
          <w:sz w:val="19"/>
          <w:szCs w:val="19"/>
          <w:i w:val="1"/>
          <w:iCs w:val="1"/>
          <w:color w:val="auto"/>
        </w:rPr>
        <w:t xml:space="preserve">provided </w:t>
      </w:r>
      <w:r>
        <w:rPr>
          <w:rFonts w:ascii="Arial Unicode MS" w:cs="Arial Unicode MS" w:eastAsia="Arial Unicode MS" w:hAnsi="Arial Unicode MS"/>
          <w:sz w:val="19"/>
          <w:szCs w:val="19"/>
          <w:color w:val="auto"/>
        </w:rPr>
        <w:t>(i) the aggregate amount of Company Debt outstanding at any time shall not exceed $5 billion and (ii) all Company</w:t>
      </w:r>
      <w:r>
        <w:rPr>
          <w:rFonts w:ascii="Times New Roman" w:cs="Times New Roman" w:eastAsia="Times New Roman" w:hAnsi="Times New Roman"/>
          <w:sz w:val="19"/>
          <w:szCs w:val="19"/>
          <w:i w:val="1"/>
          <w:iCs w:val="1"/>
          <w:color w:val="auto"/>
        </w:rPr>
        <w:t xml:space="preserve"> </w:t>
      </w:r>
      <w:r>
        <w:rPr>
          <w:rFonts w:ascii="Arial Unicode MS" w:cs="Arial Unicode MS" w:eastAsia="Arial Unicode MS" w:hAnsi="Arial Unicode MS"/>
          <w:sz w:val="19"/>
          <w:szCs w:val="19"/>
          <w:color w:val="auto"/>
        </w:rPr>
        <w:t>Debt shall be Non-Recourse to Comcast. In connection with the incurrence of Company Debt, the Company is hereby authorized to pledge, hypothecate, mortgage, assign or grant security interests in or other liens on any assets of the Company or any Subsidiary of the Company, including without limitation (x) all of the Company’s rights in and to the Capital Commitments, the Shareholders’ obligations to make Capital Contributions and the Company’s right to issue Drawdown Notices, (y) the proceeds of any Capital Contributions and the deposit account into which Capital Contributions are made and (z) any other assets, rights or remedies of the Company hereunder including without limitation, the right to exercise remedies upon a default by a Shareholder in the payment of its Capital Contributions and the right to receive Capital Contributions and other payments;</w:t>
      </w:r>
      <w:r>
        <w:rPr>
          <w:rFonts w:ascii="Times New Roman" w:cs="Times New Roman" w:eastAsia="Times New Roman" w:hAnsi="Times New Roman"/>
          <w:sz w:val="19"/>
          <w:szCs w:val="19"/>
          <w:i w:val="1"/>
          <w:iCs w:val="1"/>
          <w:color w:val="auto"/>
        </w:rPr>
        <w:t xml:space="preserve"> provided</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i w:val="1"/>
          <w:iCs w:val="1"/>
          <w:color w:val="auto"/>
        </w:rPr>
        <w:t xml:space="preserve"> however</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i w:val="1"/>
          <w:iCs w:val="1"/>
          <w:color w:val="auto"/>
        </w:rPr>
        <w:t xml:space="preserve"> </w:t>
      </w:r>
      <w:r>
        <w:rPr>
          <w:rFonts w:ascii="Arial Unicode MS" w:cs="Arial Unicode MS" w:eastAsia="Arial Unicode MS" w:hAnsi="Arial Unicode MS"/>
          <w:sz w:val="19"/>
          <w:szCs w:val="19"/>
          <w:color w:val="auto"/>
        </w:rPr>
        <w:t>that the Company may not assign to any lender the right to make investment decisions on behalf of the Company. Each Shareholder agrees to cooperate with the Company and provide such information and documentation as the Company or its lender may reasonably request in connection with any such borrowing;</w:t>
      </w:r>
      <w:r>
        <w:rPr>
          <w:rFonts w:ascii="Times New Roman" w:cs="Times New Roman" w:eastAsia="Times New Roman" w:hAnsi="Times New Roman"/>
          <w:sz w:val="19"/>
          <w:szCs w:val="19"/>
          <w:i w:val="1"/>
          <w:iCs w:val="1"/>
          <w:color w:val="auto"/>
        </w:rPr>
        <w:t xml:space="preserve"> provided </w:t>
      </w:r>
      <w:r>
        <w:rPr>
          <w:rFonts w:ascii="Arial Unicode MS" w:cs="Arial Unicode MS" w:eastAsia="Arial Unicode MS" w:hAnsi="Arial Unicode MS"/>
          <w:sz w:val="19"/>
          <w:szCs w:val="19"/>
          <w:color w:val="auto"/>
        </w:rPr>
        <w:t>that neither the Comcast AG Shareholder nor the</w:t>
      </w:r>
      <w:r>
        <w:rPr>
          <w:rFonts w:ascii="Times New Roman" w:cs="Times New Roman" w:eastAsia="Times New Roman" w:hAnsi="Times New Roman"/>
          <w:sz w:val="19"/>
          <w:szCs w:val="19"/>
          <w:i w:val="1"/>
          <w:iCs w:val="1"/>
          <w:color w:val="auto"/>
        </w:rPr>
        <w:t xml:space="preserve"> </w:t>
      </w:r>
      <w:r>
        <w:rPr>
          <w:rFonts w:ascii="Arial Unicode MS" w:cs="Arial Unicode MS" w:eastAsia="Arial Unicode MS" w:hAnsi="Arial Unicode MS"/>
          <w:sz w:val="19"/>
          <w:szCs w:val="19"/>
          <w:color w:val="auto"/>
        </w:rPr>
        <w:t>Comcast Spectacor Shareholder shall be required to provide any (i) nancial information, other than nancial information of Comcast that is publicly available or (ii) certicate, opinion or guarantee (it being understood that an “investor letter” in customary form does not constitute a certicate, opinion or guarantee). All rights granted to a lender pursuant to this Section 2.04 shall apply to its agents and its successors and assigns. To the extent Company Debt is utilized to fund the acquisition of all or any portion of an Investment, such Investment shall be made, or the Company shall have entered into a binding commitment to make such Investment, on or before termination of the Commitment Period.</w:t>
      </w:r>
    </w:p>
    <w:p>
      <w:pPr>
        <w:spacing w:after="0" w:line="193" w:lineRule="exact"/>
        <w:rPr>
          <w:rFonts w:ascii="Arial Unicode MS" w:cs="Arial Unicode MS" w:eastAsia="Arial Unicode MS" w:hAnsi="Arial Unicode MS"/>
          <w:sz w:val="19"/>
          <w:szCs w:val="19"/>
          <w:color w:val="auto"/>
        </w:rPr>
      </w:pPr>
    </w:p>
    <w:p>
      <w:pPr>
        <w:ind w:left="-20" w:right="200" w:firstLine="1174"/>
        <w:spacing w:after="0" w:line="261" w:lineRule="exact"/>
        <w:tabs>
          <w:tab w:leader="none" w:pos="1614" w:val="left"/>
        </w:tabs>
        <w:numPr>
          <w:ilvl w:val="0"/>
          <w:numId w:val="269"/>
        </w:numPr>
        <w:rPr>
          <w:rFonts w:ascii="Arial Unicode MS" w:cs="Arial Unicode MS" w:eastAsia="Arial Unicode MS" w:hAnsi="Arial Unicode MS"/>
          <w:sz w:val="21"/>
          <w:szCs w:val="21"/>
          <w:color w:val="auto"/>
        </w:rPr>
      </w:pPr>
      <w:r>
        <w:rPr>
          <w:rFonts w:ascii="Arial Unicode MS" w:cs="Arial Unicode MS" w:eastAsia="Arial Unicode MS" w:hAnsi="Arial Unicode MS"/>
          <w:sz w:val="21"/>
          <w:szCs w:val="21"/>
          <w:color w:val="auto"/>
        </w:rPr>
        <w:t>Each Shareholder agrees (i) to recognize the rights and interests of lenders in connection with any borrowing described in this Section 2.04, and (ii) to fund Capital Contributions duly called by the Company or by a secured lender of the Company, without setoff, defense or counterclaim, including without limitation, any defense under Section 365 of the U.S. Bankruptcy Code;</w:t>
      </w:r>
      <w:r>
        <w:rPr>
          <w:rFonts w:ascii="Times New Roman" w:cs="Times New Roman" w:eastAsia="Times New Roman" w:hAnsi="Times New Roman"/>
          <w:sz w:val="21"/>
          <w:szCs w:val="21"/>
          <w:i w:val="1"/>
          <w:iCs w:val="1"/>
          <w:color w:val="auto"/>
        </w:rPr>
        <w:t xml:space="preserve"> provided</w:t>
      </w:r>
      <w:r>
        <w:rPr>
          <w:rFonts w:ascii="Arial Unicode MS" w:cs="Arial Unicode MS" w:eastAsia="Arial Unicode MS" w:hAnsi="Arial Unicode MS"/>
          <w:sz w:val="21"/>
          <w:szCs w:val="21"/>
          <w:color w:val="auto"/>
        </w:rPr>
        <w:t>,</w:t>
      </w:r>
      <w:r>
        <w:rPr>
          <w:rFonts w:ascii="Times New Roman" w:cs="Times New Roman" w:eastAsia="Times New Roman" w:hAnsi="Times New Roman"/>
          <w:sz w:val="21"/>
          <w:szCs w:val="21"/>
          <w:i w:val="1"/>
          <w:iCs w:val="1"/>
          <w:color w:val="auto"/>
        </w:rPr>
        <w:t xml:space="preserve"> however</w:t>
      </w:r>
      <w:r>
        <w:rPr>
          <w:rFonts w:ascii="Arial Unicode MS" w:cs="Arial Unicode MS" w:eastAsia="Arial Unicode MS" w:hAnsi="Arial Unicode MS"/>
          <w:sz w:val="21"/>
          <w:szCs w:val="21"/>
          <w:color w:val="auto"/>
        </w:rPr>
        <w:t>, that the foregoing shall not limit any Shareholder from asserting any claim in a separate</w:t>
      </w:r>
      <w:r>
        <w:rPr>
          <w:rFonts w:ascii="Times New Roman" w:cs="Times New Roman" w:eastAsia="Times New Roman" w:hAnsi="Times New Roman"/>
          <w:sz w:val="21"/>
          <w:szCs w:val="21"/>
          <w:i w:val="1"/>
          <w:iCs w:val="1"/>
          <w:color w:val="auto"/>
        </w:rPr>
        <w:t xml:space="preserve"> </w:t>
      </w:r>
      <w:r>
        <w:rPr>
          <w:rFonts w:ascii="Arial Unicode MS" w:cs="Arial Unicode MS" w:eastAsia="Arial Unicode MS" w:hAnsi="Arial Unicode MS"/>
          <w:sz w:val="21"/>
          <w:szCs w:val="21"/>
          <w:color w:val="auto"/>
        </w:rPr>
        <w:t>action against the Company. Such lender and its agents, successors and assigns may rely upon, and are express third party beneficiaries of, the provisions of this Section 2.04.</w:t>
      </w:r>
    </w:p>
    <w:p>
      <w:pPr>
        <w:spacing w:after="0" w:line="177" w:lineRule="exact"/>
        <w:rPr>
          <w:sz w:val="20"/>
          <w:szCs w:val="20"/>
          <w:color w:val="auto"/>
        </w:rPr>
      </w:pPr>
    </w:p>
    <w:p>
      <w:pPr>
        <w:ind w:left="960"/>
        <w:spacing w:after="0" w:line="295" w:lineRule="exact"/>
        <w:tabs>
          <w:tab w:leader="none" w:pos="2280" w:val="left"/>
        </w:tabs>
        <w:rPr>
          <w:sz w:val="20"/>
          <w:szCs w:val="20"/>
          <w:color w:val="auto"/>
        </w:rPr>
      </w:pPr>
      <w:r>
        <w:rPr>
          <w:rFonts w:ascii="Arial Unicode MS" w:cs="Arial Unicode MS" w:eastAsia="Arial Unicode MS" w:hAnsi="Arial Unicode MS"/>
          <w:sz w:val="22"/>
          <w:szCs w:val="22"/>
          <w:color w:val="auto"/>
        </w:rPr>
        <w:t>Section 2.05.</w:t>
      </w:r>
      <w:r>
        <w:rPr>
          <w:sz w:val="20"/>
          <w:szCs w:val="20"/>
          <w:color w:val="auto"/>
        </w:rPr>
        <w:tab/>
      </w:r>
      <w:r>
        <w:rPr>
          <w:rFonts w:ascii="Times New Roman" w:cs="Times New Roman" w:eastAsia="Times New Roman" w:hAnsi="Times New Roman"/>
          <w:sz w:val="21"/>
          <w:szCs w:val="21"/>
          <w:i w:val="1"/>
          <w:iCs w:val="1"/>
          <w:color w:val="auto"/>
        </w:rPr>
        <w:t>Issuance of Company Securities</w:t>
      </w:r>
      <w:r>
        <w:rPr>
          <w:rFonts w:ascii="Arial Unicode MS" w:cs="Arial Unicode MS" w:eastAsia="Arial Unicode MS" w:hAnsi="Arial Unicode MS"/>
          <w:sz w:val="21"/>
          <w:szCs w:val="21"/>
          <w:color w:val="auto"/>
        </w:rPr>
        <w:t>.</w:t>
      </w:r>
    </w:p>
    <w:p>
      <w:pPr>
        <w:spacing w:after="0" w:line="194" w:lineRule="exact"/>
        <w:rPr>
          <w:sz w:val="20"/>
          <w:szCs w:val="20"/>
          <w:color w:val="auto"/>
        </w:rPr>
      </w:pPr>
    </w:p>
    <w:p>
      <w:pPr>
        <w:ind w:left="-20" w:right="60" w:firstLine="1174"/>
        <w:spacing w:after="0" w:line="261" w:lineRule="exact"/>
        <w:tabs>
          <w:tab w:leader="none" w:pos="1602" w:val="left"/>
        </w:tabs>
        <w:numPr>
          <w:ilvl w:val="0"/>
          <w:numId w:val="270"/>
        </w:numPr>
        <w:rPr>
          <w:rFonts w:ascii="Arial Unicode MS" w:cs="Arial Unicode MS" w:eastAsia="Arial Unicode MS" w:hAnsi="Arial Unicode MS"/>
          <w:sz w:val="22"/>
          <w:szCs w:val="22"/>
          <w:color w:val="auto"/>
        </w:rPr>
      </w:pPr>
      <w:r>
        <w:rPr>
          <w:rFonts w:ascii="Arial Unicode MS" w:cs="Arial Unicode MS" w:eastAsia="Arial Unicode MS" w:hAnsi="Arial Unicode MS"/>
          <w:sz w:val="22"/>
          <w:szCs w:val="22"/>
          <w:color w:val="auto"/>
        </w:rPr>
        <w:t xml:space="preserve">On the date of the Original Agreement, in consideration of the covenants and agreements set forth therein, the Company issued to Comcast AG Shareholder and ManagementCo Shareholder the number and class of Company Securities set forth opposite the names of such Persons on </w:t>
      </w:r>
      <w:r>
        <w:rPr>
          <w:rFonts w:ascii="Arial Unicode MS" w:cs="Arial Unicode MS" w:eastAsia="Arial Unicode MS" w:hAnsi="Arial Unicode MS"/>
          <w:sz w:val="22"/>
          <w:szCs w:val="22"/>
          <w:u w:val="single" w:color="auto"/>
          <w:color w:val="auto"/>
        </w:rPr>
        <w:t>Schedule I</w:t>
      </w:r>
      <w:r>
        <w:rPr>
          <w:rFonts w:ascii="Arial Unicode MS" w:cs="Arial Unicode MS" w:eastAsia="Arial Unicode MS" w:hAnsi="Arial Unicode MS"/>
          <w:sz w:val="22"/>
          <w:szCs w:val="22"/>
          <w:color w:val="auto"/>
        </w:rPr>
        <w:t xml:space="preserve"> to the Original Agreement. On the date of the First Amended Agreement, in consideration of the covenants and agreements set forth therein, the Company issued to Comcast Spectacor Shareholder the number and class of Company Securities set forth opposite the names of such Person on </w:t>
      </w:r>
      <w:r>
        <w:rPr>
          <w:rFonts w:ascii="Arial Unicode MS" w:cs="Arial Unicode MS" w:eastAsia="Arial Unicode MS" w:hAnsi="Arial Unicode MS"/>
          <w:sz w:val="22"/>
          <w:szCs w:val="22"/>
          <w:u w:val="single" w:color="auto"/>
          <w:color w:val="auto"/>
        </w:rPr>
        <w:t>Schedule I</w:t>
      </w:r>
      <w:r>
        <w:rPr>
          <w:rFonts w:ascii="Arial Unicode MS" w:cs="Arial Unicode MS" w:eastAsia="Arial Unicode MS" w:hAnsi="Arial Unicode MS"/>
          <w:sz w:val="22"/>
          <w:szCs w:val="22"/>
          <w:color w:val="auto"/>
        </w:rPr>
        <w:t xml:space="preserve"> to the First Amended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line="295" w:lineRule="exact"/>
        <w:rPr>
          <w:sz w:val="20"/>
          <w:szCs w:val="20"/>
          <w:color w:val="auto"/>
        </w:rPr>
      </w:pPr>
      <w:r>
        <w:rPr>
          <w:rFonts w:ascii="Arial Unicode MS" w:cs="Arial Unicode MS" w:eastAsia="Arial Unicode MS" w:hAnsi="Arial Unicode MS"/>
          <w:sz w:val="22"/>
          <w:szCs w:val="22"/>
          <w:color w:val="auto"/>
        </w:rPr>
        <w:t>22</w:t>
      </w:r>
    </w:p>
    <w:p>
      <w:pPr>
        <w:sectPr>
          <w:pgSz w:w="11900" w:h="16838" w:orient="portrait"/>
          <w:cols w:equalWidth="0" w:num="1">
            <w:col w:w="11220"/>
          </w:cols>
          <w:pgMar w:left="340" w:top="1405" w:right="339" w:bottom="1440" w:gutter="0" w:footer="0" w:header="0"/>
        </w:sectPr>
      </w:pPr>
    </w:p>
    <w:bookmarkStart w:id="281" w:name="page282"/>
    <w:bookmarkEnd w:id="281"/>
    <w:p>
      <w:pPr>
        <w:spacing w:after="0" w:line="198" w:lineRule="exact"/>
        <w:rPr>
          <w:sz w:val="20"/>
          <w:szCs w:val="20"/>
          <w:color w:val="auto"/>
        </w:rPr>
      </w:pPr>
    </w:p>
    <w:p>
      <w:pPr>
        <w:ind w:left="-20" w:right="80" w:firstLine="1174"/>
        <w:spacing w:after="0" w:line="261" w:lineRule="auto"/>
        <w:tabs>
          <w:tab w:leader="none" w:pos="1614"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making by any Shareholder of any Capital Contributions pursuant to this Agreement, the Company shall issue to such Shareholder a number of Class I Shares (which shall be Class I-A Shares if such Shareholder holds Class I-A Shares or Class I-B Shares if such Shareholder does not hold Class I-A Shares) equal to (i) the amount of the Capital Contribution made by such Shareholder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(ii) 1,000;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first 100 Class I-A Shares and the first 100 Class I-B Shares that would otherwise be issued by the Company to each of Comcast AG Shareholder, Comcast Spectacor Shareholder and ManagementCo Shareholder, respectively, pursuant to this Section 2.05(b) shall be offset against the Class I-A Shares and Class I-B Shares issued to such Persons on the respective date their admission as a Shareholder of the Company.</w:t>
      </w:r>
    </w:p>
    <w:p>
      <w:pPr>
        <w:spacing w:after="0" w:line="173" w:lineRule="exact"/>
        <w:rPr>
          <w:rFonts w:ascii="Times New Roman" w:cs="Times New Roman" w:eastAsia="Times New Roman" w:hAnsi="Times New Roman"/>
          <w:sz w:val="21"/>
          <w:szCs w:val="21"/>
          <w:color w:val="auto"/>
        </w:rPr>
      </w:pPr>
    </w:p>
    <w:p>
      <w:pPr>
        <w:ind w:left="-20" w:right="320" w:firstLine="1174"/>
        <w:spacing w:after="0" w:line="295" w:lineRule="auto"/>
        <w:tabs>
          <w:tab w:leader="none" w:pos="1602"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issuance of Shares pursuant to the provisions of this Agreement shall be recorded in the Company’s register of members. All issued Company Securities shall be uncertificated, unless a certificate is required by Applicable Law.</w:t>
      </w:r>
    </w:p>
    <w:p>
      <w:pPr>
        <w:spacing w:after="0" w:line="1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ARTICLE 3</w:t>
      </w:r>
    </w:p>
    <w:p>
      <w:pPr>
        <w:spacing w:after="0" w:line="7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Management of the Company; the Manager</w:t>
      </w:r>
    </w:p>
    <w:p>
      <w:pPr>
        <w:spacing w:after="0" w:line="243" w:lineRule="exact"/>
        <w:rPr>
          <w:sz w:val="20"/>
          <w:szCs w:val="20"/>
          <w:color w:val="auto"/>
        </w:rPr>
      </w:pPr>
    </w:p>
    <w:p>
      <w:pPr>
        <w:ind w:left="960"/>
        <w:spacing w:after="0"/>
        <w:tabs>
          <w:tab w:leader="none" w:pos="228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i w:val="1"/>
          <w:iCs w:val="1"/>
          <w:color w:val="auto"/>
        </w:rPr>
        <w:t>Management Generally.</w:t>
      </w:r>
    </w:p>
    <w:p>
      <w:pPr>
        <w:spacing w:after="0" w:line="224" w:lineRule="exact"/>
        <w:rPr>
          <w:sz w:val="20"/>
          <w:szCs w:val="20"/>
          <w:color w:val="auto"/>
        </w:rPr>
      </w:pPr>
    </w:p>
    <w:p>
      <w:pPr>
        <w:ind w:left="-20" w:firstLine="1174"/>
        <w:spacing w:after="0" w:line="250" w:lineRule="auto"/>
        <w:tabs>
          <w:tab w:leader="none" w:pos="160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3.01(b), the power to direct or cause the direction of the management and policies of the Company shall be vested exclusively in the Board. Any references in this Agreement to a determination made by, or the judgment of, the Company shall be deemed to refer to a determination made by, or the judgment of, the Board, respectively. The Shareholders shall have no part in the management or control of the Company and shall have no authority or right to act on behalf of the Company in connection with any matter.</w:t>
      </w:r>
    </w:p>
    <w:p>
      <w:pPr>
        <w:spacing w:after="0" w:line="180" w:lineRule="exact"/>
        <w:rPr>
          <w:rFonts w:ascii="Times New Roman" w:cs="Times New Roman" w:eastAsia="Times New Roman" w:hAnsi="Times New Roman"/>
          <w:sz w:val="22"/>
          <w:szCs w:val="22"/>
          <w:color w:val="auto"/>
        </w:rPr>
      </w:pPr>
    </w:p>
    <w:p>
      <w:pPr>
        <w:ind w:left="-20" w:right="80" w:firstLine="1174"/>
        <w:spacing w:after="0" w:line="250" w:lineRule="auto"/>
        <w:tabs>
          <w:tab w:leader="none" w:pos="161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limitations under Applicable Law, the Board may appoint one or more officers of the Company (the “</w:t>
      </w:r>
      <w:r>
        <w:rPr>
          <w:rFonts w:ascii="Times New Roman" w:cs="Times New Roman" w:eastAsia="Times New Roman" w:hAnsi="Times New Roman"/>
          <w:sz w:val="22"/>
          <w:szCs w:val="22"/>
          <w:b w:val="1"/>
          <w:bCs w:val="1"/>
          <w:color w:val="auto"/>
        </w:rPr>
        <w:t>Officers</w:t>
      </w:r>
      <w:r>
        <w:rPr>
          <w:rFonts w:ascii="Times New Roman" w:cs="Times New Roman" w:eastAsia="Times New Roman" w:hAnsi="Times New Roman"/>
          <w:sz w:val="22"/>
          <w:szCs w:val="22"/>
          <w:color w:val="auto"/>
        </w:rPr>
        <w:t>”) and delegate to any Officer such authority as the Board may determine. To the extent any such delegated authority would otherwise be an authority of the Board under Applicable Law or this Agreement, any determination made by, or the judgment of, the Officer exercising such authority in accordance with such delegation shall be deemed to be a determination made by, or the judgment of, the Board. The Board may remove any Officer at any time with or without cause.</w:t>
      </w:r>
    </w:p>
    <w:p>
      <w:pPr>
        <w:spacing w:after="0" w:line="180" w:lineRule="exact"/>
        <w:rPr>
          <w:rFonts w:ascii="Times New Roman" w:cs="Times New Roman" w:eastAsia="Times New Roman" w:hAnsi="Times New Roman"/>
          <w:sz w:val="22"/>
          <w:szCs w:val="22"/>
          <w:color w:val="auto"/>
        </w:rPr>
      </w:pPr>
    </w:p>
    <w:p>
      <w:pPr>
        <w:ind w:left="-20" w:right="140" w:firstLine="1174"/>
        <w:spacing w:after="0" w:line="250" w:lineRule="auto"/>
        <w:tabs>
          <w:tab w:leader="none" w:pos="160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explicitly designated as such, the Officers are not members of the Board. One individual may hold more than one office. Each Officer shall hold his or her office until his or her successor is appointed or until his or her earlier resignation, removal, incapacity or death. Any Officer may resign by delivering his or her written resignation to the Company, and such resignation shall be effective upon receipt unless it is specified to be effective at such other time or upon the happening of some event.</w:t>
      </w:r>
    </w:p>
    <w:p>
      <w:pPr>
        <w:spacing w:after="0" w:line="180" w:lineRule="exact"/>
        <w:rPr>
          <w:rFonts w:ascii="Times New Roman" w:cs="Times New Roman" w:eastAsia="Times New Roman" w:hAnsi="Times New Roman"/>
          <w:sz w:val="22"/>
          <w:szCs w:val="22"/>
          <w:color w:val="auto"/>
        </w:rPr>
      </w:pPr>
    </w:p>
    <w:p>
      <w:pPr>
        <w:ind w:left="-20" w:right="60" w:firstLine="1174"/>
        <w:spacing w:after="0" w:line="257" w:lineRule="auto"/>
        <w:tabs>
          <w:tab w:leader="none" w:pos="161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dealing with any Officer shall be required to determine such Officer’s authority to make any commitment or undertaking on behalf of the Company or to determine any fact or circumstance bearing upon the existence of the authority of such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40" w:top="1440" w:right="339" w:bottom="1440" w:gutter="0" w:footer="0" w:header="0"/>
        </w:sectPr>
      </w:pPr>
    </w:p>
    <w:bookmarkStart w:id="282" w:name="page283"/>
    <w:bookmarkEnd w:id="282"/>
    <w:p>
      <w:pPr>
        <w:ind w:firstLine="972"/>
        <w:spacing w:after="0" w:line="269"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Memorandum and Articles of Association Provisions</w:t>
      </w:r>
      <w:r>
        <w:rPr>
          <w:rFonts w:ascii="Times New Roman" w:cs="Times New Roman" w:eastAsia="Times New Roman" w:hAnsi="Times New Roman"/>
          <w:sz w:val="21"/>
          <w:szCs w:val="21"/>
          <w:color w:val="auto"/>
        </w:rPr>
        <w:t>. Each Shareholder agrees to vote all of its Company Securities or execute proxies or written consents, as the case may be, and to take all other actions necessary, to ensure that the Memorandum and Articles of Association facilitate, and do not at any time conflict with, any provision of this Agreement and permit each Shareholder to receive the benefits to which each such Shareholder is entitled under this Agreement.</w:t>
      </w:r>
    </w:p>
    <w:p>
      <w:pPr>
        <w:spacing w:after="0" w:line="159" w:lineRule="exact"/>
        <w:rPr>
          <w:sz w:val="20"/>
          <w:szCs w:val="20"/>
          <w:color w:val="auto"/>
        </w:rPr>
      </w:pPr>
    </w:p>
    <w:p>
      <w:pPr>
        <w:ind w:firstLine="972"/>
        <w:spacing w:after="0" w:line="246"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i w:val="1"/>
          <w:iCs w:val="1"/>
          <w:color w:val="auto"/>
        </w:rPr>
        <w:t>The Manager.</w:t>
      </w:r>
      <w:r>
        <w:rPr>
          <w:rFonts w:ascii="Times New Roman" w:cs="Times New Roman" w:eastAsia="Times New Roman" w:hAnsi="Times New Roman"/>
          <w:sz w:val="22"/>
          <w:szCs w:val="22"/>
          <w:color w:val="auto"/>
        </w:rPr>
        <w:t xml:space="preserve"> To the fullest extent permitted by Cayman law, the Board shall have the right to delegate management and conduct of the business of the Company to another Person designated to act as the manager of the Company. To the extent of any such delegation, any references in this Agreement to a determination made by, or the judgment of, the Company or the Board shall be deemed to refer to a determination made by, or the judgment of, such manager, respectively. Without limiting the foregoing, on the date of the Original Agreement, the Company entered into the Management Agreement with the Manager pursuant to which the Company appointed the Manager to act as the manager of the Company to the extent contemplated by the Management Agreement, and as of the date hereof the Manager continues to act as the manager of the Company to the extent so contemplated. In the event that, at any time, the Manager is not serving as manager of the Company, any references in this Agreement to a determination made by, or the judgment of, the Manager shall be deemed to refer to a determination made by, or the judgment of, the Board or such other Person to which the Board has delegated such determination or judgment.</w:t>
      </w:r>
    </w:p>
    <w:p>
      <w:pPr>
        <w:spacing w:after="0" w:line="18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i w:val="1"/>
          <w:iCs w:val="1"/>
          <w:color w:val="auto"/>
        </w:rPr>
        <w:t>Cause Event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120" w:firstLine="1174"/>
        <w:spacing w:after="0" w:line="257" w:lineRule="auto"/>
        <w:tabs>
          <w:tab w:leader="none" w:pos="162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Cause Event, at Comcast AG Shareholder’s election, the Company shall redeem the Company Securities held by ManagementCo Shareholder (a “</w:t>
      </w:r>
      <w:r>
        <w:rPr>
          <w:rFonts w:ascii="Times New Roman" w:cs="Times New Roman" w:eastAsia="Times New Roman" w:hAnsi="Times New Roman"/>
          <w:sz w:val="22"/>
          <w:szCs w:val="22"/>
          <w:b w:val="1"/>
          <w:bCs w:val="1"/>
          <w:color w:val="auto"/>
        </w:rPr>
        <w:t>Cause Redemption</w:t>
      </w:r>
      <w:r>
        <w:rPr>
          <w:rFonts w:ascii="Times New Roman" w:cs="Times New Roman" w:eastAsia="Times New Roman" w:hAnsi="Times New Roman"/>
          <w:sz w:val="22"/>
          <w:szCs w:val="22"/>
          <w:color w:val="auto"/>
        </w:rPr>
        <w:t>”) in accordance with this Section 3.04 and terminate the Management Agreement.</w:t>
      </w:r>
    </w:p>
    <w:p>
      <w:pPr>
        <w:spacing w:after="0" w:line="172" w:lineRule="exact"/>
        <w:rPr>
          <w:rFonts w:ascii="Times New Roman" w:cs="Times New Roman" w:eastAsia="Times New Roman" w:hAnsi="Times New Roman"/>
          <w:sz w:val="22"/>
          <w:szCs w:val="22"/>
          <w:color w:val="auto"/>
        </w:rPr>
      </w:pPr>
    </w:p>
    <w:p>
      <w:pPr>
        <w:ind w:right="40" w:firstLine="1174"/>
        <w:spacing w:after="0" w:line="245" w:lineRule="auto"/>
        <w:tabs>
          <w:tab w:leader="none" w:pos="163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Cause Redemption, the Class I-B Shares held by ManagementCo Shareholder and the Class II Shares shall be compulsorily redeemed by the Company, ManagementCo Shareholder shall cease to have any rights, powers, obligations or duties provided to it under this Agreement (except for any rights, powers, obligations and duties under this Section 3.04(b) and Section 10.06) or otherwise in respect of its Class I-B Shares or the Class II Shares, ManagementCo Shareholder shall cause each member of the Board to resign, effective as of the date of such redemption, and Section 11.02 shall apply as if (A) the date of such redemption is an Interim Clawback Date and (B) the Company had sold all Company Assets at the Quarterly Value, settled all of its liabilities and distributed the resulting cash pursuant to Section 11.01 on the date of such redemption (and, for the avoidance of doubt, ManagementCo Shareholder shall not participate in any appreciation in the value of any Company Assets after the date of such redemption). In connection with a Cause Redemption, ManagementCo Shareholder shall be entitled to receive from the Company as of the date of redemption an amount equal to the distributions it would be entitled to receive in such assumed liquidation as contemplated by clause (iv) of the preceding sentence, less 20% of the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18" w:right="339" w:bottom="1440" w:gutter="0" w:footer="0" w:header="0"/>
        </w:sectPr>
      </w:pPr>
    </w:p>
    <w:bookmarkStart w:id="283" w:name="page284"/>
    <w:bookmarkEnd w:id="283"/>
    <w:p>
      <w:pPr>
        <w:spacing w:after="0" w:line="1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such amount that is attributable to undistributed Class II Proceeds, and ManagementCo Shareholder shall be deemed to have an Available Capital Commitment equal to zero from and after the date of redemption. Any amount paid to ManagementCo Shareholder pursuant to this Section 3.04(b) shall be paid in the form of a promissory note, which promissory note shall be non-interest bearing, shall have a final maturity date not later than the last day on which the Company makes distributions pursuant to Section 11.01 and shall provide that ManagementCo Shareholder will receive payments in respect thereto on each date on which a distribution is made to the Shareholders in proportion to the distributions that ManagementCo Shareholder would have received had a Cause Redemption not occurred. The Shareholders and the Company agree that, to the maximum extent permissible, all payments under this Section 3.04(b) (other than the issuance of the promissory note to the extent such issuance is not otherwise a taxable event under the Code) shall be treated as payments described in Section 736(b)(1) of the Code.</w:t>
      </w:r>
    </w:p>
    <w:p>
      <w:pPr>
        <w:spacing w:after="0" w:line="170" w:lineRule="exact"/>
        <w:rPr>
          <w:sz w:val="20"/>
          <w:szCs w:val="20"/>
          <w:color w:val="auto"/>
        </w:rPr>
      </w:pPr>
    </w:p>
    <w:p>
      <w:pPr>
        <w:jc w:val="both"/>
        <w:ind w:right="380" w:firstLine="1174"/>
        <w:spacing w:after="0" w:line="257" w:lineRule="auto"/>
        <w:tabs>
          <w:tab w:leader="none" w:pos="1622"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termination of the Management Agreement, the Manager shall cease to have any rights, powers, obligations or duties provided to it under this Agreement (except for any rights, powers, obligations and duties under Section 10.06).</w:t>
      </w:r>
    </w:p>
    <w:p>
      <w:pPr>
        <w:spacing w:after="0" w:line="18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4</w:t>
      </w:r>
    </w:p>
    <w:p>
      <w:pPr>
        <w:spacing w:after="0" w:line="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Consent Rights</w:t>
      </w:r>
    </w:p>
    <w:p>
      <w:pPr>
        <w:spacing w:after="0" w:line="243" w:lineRule="exact"/>
        <w:rPr>
          <w:sz w:val="20"/>
          <w:szCs w:val="20"/>
          <w:color w:val="auto"/>
        </w:rPr>
      </w:pPr>
    </w:p>
    <w:p>
      <w:pPr>
        <w:ind w:right="8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Actions Requiring Consent.</w:t>
      </w:r>
      <w:r>
        <w:rPr>
          <w:rFonts w:ascii="Times New Roman" w:cs="Times New Roman" w:eastAsia="Times New Roman" w:hAnsi="Times New Roman"/>
          <w:sz w:val="22"/>
          <w:szCs w:val="22"/>
          <w:color w:val="auto"/>
        </w:rPr>
        <w:t xml:space="preserve"> The Company agrees that it shall not take any of the following actions (in each case, including any action by the Board or any committee of the Board or the Manager or any other manager of the Company) without the approval of Comcast AG Shareholder:</w:t>
      </w:r>
    </w:p>
    <w:p>
      <w:pPr>
        <w:spacing w:after="0" w:line="170" w:lineRule="exact"/>
        <w:rPr>
          <w:sz w:val="20"/>
          <w:szCs w:val="20"/>
          <w:color w:val="auto"/>
        </w:rPr>
      </w:pPr>
    </w:p>
    <w:p>
      <w:pPr>
        <w:ind w:firstLine="1174"/>
        <w:spacing w:after="0" w:line="250" w:lineRule="auto"/>
        <w:tabs>
          <w:tab w:leader="none" w:pos="162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individual Investment (or a series of Investments that are part of the same overall transaction) of more than $400 million in the aggregate sourced from Capital Contributions or Distributable Amounts;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at any time at which the Unreturned Capital Amount of Comcast Shareholder is zero, the Company may make any individual Investment (or a series of Investments that are part of the same overall transaction) of up to $750 million in the aggregate sourced from Distributable Amounts without the approval of Comcast AG Shareholder; or</w:t>
      </w:r>
    </w:p>
    <w:p>
      <w:pPr>
        <w:spacing w:after="0" w:line="180" w:lineRule="exact"/>
        <w:rPr>
          <w:rFonts w:ascii="Times New Roman" w:cs="Times New Roman" w:eastAsia="Times New Roman" w:hAnsi="Times New Roman"/>
          <w:sz w:val="22"/>
          <w:szCs w:val="22"/>
          <w:color w:val="auto"/>
        </w:rPr>
      </w:pPr>
    </w:p>
    <w:p>
      <w:pPr>
        <w:ind w:right="80" w:firstLine="1174"/>
        <w:spacing w:after="0" w:line="252" w:lineRule="auto"/>
        <w:tabs>
          <w:tab w:leader="none" w:pos="1634"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Investments (i) of more than $2 billion in the aggregate sourced from Capital Contributions or Distributable Amounts in any 12-month period or (ii) of more than $400 million in the aggregate sourced from Available Capital Commitments (other than any increase thereof pursuant to Section 6.03 hereof) in any 12-month period beginning on the date hereof;</w:t>
      </w:r>
    </w:p>
    <w:p>
      <w:pPr>
        <w:spacing w:after="0" w:line="179" w:lineRule="exact"/>
        <w:rPr>
          <w:rFonts w:ascii="Times New Roman" w:cs="Times New Roman" w:eastAsia="Times New Roman" w:hAnsi="Times New Roman"/>
          <w:sz w:val="22"/>
          <w:szCs w:val="22"/>
          <w:color w:val="auto"/>
        </w:rPr>
      </w:pPr>
    </w:p>
    <w:p>
      <w:pPr>
        <w:ind w:left="1640" w:hanging="466"/>
        <w:spacing w:after="0"/>
        <w:tabs>
          <w:tab w:leader="none" w:pos="164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Regulated Investment that would:</w:t>
      </w:r>
    </w:p>
    <w:p>
      <w:pPr>
        <w:spacing w:after="0" w:line="219" w:lineRule="exact"/>
        <w:rPr>
          <w:rFonts w:ascii="Times New Roman" w:cs="Times New Roman" w:eastAsia="Times New Roman" w:hAnsi="Times New Roman"/>
          <w:sz w:val="22"/>
          <w:szCs w:val="22"/>
          <w:color w:val="auto"/>
        </w:rPr>
      </w:pPr>
    </w:p>
    <w:p>
      <w:pPr>
        <w:jc w:val="both"/>
        <w:ind w:right="180" w:firstLine="1952"/>
        <w:spacing w:after="0" w:line="252" w:lineRule="auto"/>
        <w:tabs>
          <w:tab w:leader="none" w:pos="2364"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or impair in any significant respect the activities of (A) any then-existing or then-contemplated Comcast Core Business under any provision of Relevant Law or (B) any then-existing Comcast Core Business operating in any jurisdiction outside of the United States under any Non-U.S. Law of any jurisdiction in which such Comcast Core Business operates;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40" w:right="359" w:bottom="1440" w:gutter="0" w:footer="0" w:header="0"/>
        </w:sectPr>
      </w:pPr>
    </w:p>
    <w:bookmarkStart w:id="284" w:name="page285"/>
    <w:bookmarkEnd w:id="284"/>
    <w:p>
      <w:pPr>
        <w:ind w:left="-20" w:right="80" w:firstLine="1952"/>
        <w:spacing w:after="0" w:line="252" w:lineRule="auto"/>
        <w:tabs>
          <w:tab w:leader="none" w:pos="2404"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 Comcast or any of its Affiliates to any additional significant obligations or requirements under Relevant Law or (B) any then-existing Comcast Core Business operating in any jurisdiction outside of the United States to any additional significant obligations or requirements under any Non-U.S. Law of any jurisdiction in which such Comcast Core Business operates;</w:t>
      </w:r>
    </w:p>
    <w:p>
      <w:pPr>
        <w:spacing w:after="0" w:line="179" w:lineRule="exact"/>
        <w:rPr>
          <w:rFonts w:ascii="Times New Roman" w:cs="Times New Roman" w:eastAsia="Times New Roman" w:hAnsi="Times New Roman"/>
          <w:sz w:val="22"/>
          <w:szCs w:val="22"/>
          <w:color w:val="auto"/>
        </w:rPr>
      </w:pPr>
    </w:p>
    <w:p>
      <w:pPr>
        <w:ind w:left="-20" w:right="100" w:firstLine="1174"/>
        <w:spacing w:after="0" w:line="271" w:lineRule="auto"/>
        <w:tabs>
          <w:tab w:leader="none" w:pos="161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Investment that would violate (or cause Comcast or any of its Affiliates to be in violation of) in any significant respect any Applicable Law;</w:t>
      </w:r>
    </w:p>
    <w:p>
      <w:pPr>
        <w:spacing w:after="0" w:line="157" w:lineRule="exact"/>
        <w:rPr>
          <w:rFonts w:ascii="Times New Roman" w:cs="Times New Roman" w:eastAsia="Times New Roman" w:hAnsi="Times New Roman"/>
          <w:sz w:val="22"/>
          <w:szCs w:val="22"/>
          <w:color w:val="auto"/>
        </w:rPr>
      </w:pPr>
    </w:p>
    <w:p>
      <w:pPr>
        <w:ind w:left="-20" w:right="40" w:firstLine="1174"/>
        <w:spacing w:after="0" w:line="252" w:lineRule="auto"/>
        <w:tabs>
          <w:tab w:leader="none" w:pos="1602"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Investment that would limit or impair in any significant respect the activities of any (i) then-existing or then-contemplated Comcast Core Business under U.S. Law regarding antitrust or (ii) then-existing Comcast Core Business operating in any jurisdiction outside of the United States under Non-U.S. Law regarding antitrust of any jurisdiction in which such Comcast Core Business operates;</w:t>
      </w:r>
    </w:p>
    <w:p>
      <w:pPr>
        <w:spacing w:after="0" w:line="179" w:lineRule="exact"/>
        <w:rPr>
          <w:rFonts w:ascii="Times New Roman" w:cs="Times New Roman" w:eastAsia="Times New Roman" w:hAnsi="Times New Roman"/>
          <w:sz w:val="22"/>
          <w:szCs w:val="22"/>
          <w:color w:val="auto"/>
        </w:rPr>
      </w:pPr>
    </w:p>
    <w:p>
      <w:pPr>
        <w:ind w:left="-20" w:right="60" w:firstLine="1174"/>
        <w:spacing w:after="0" w:line="250" w:lineRule="auto"/>
        <w:tabs>
          <w:tab w:leader="none" w:pos="157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Investment in the United States in any Comcast Core Business where Comcast wishes to acquire 100% of the relevant business and, thereafter, integrate the relevant business into Comcast’s other operations in a manner consistent with the manner in which Comcast has integrated other acquired businesses that do not have third party investors or in a manner such that it would otherwise be unduly burdensome or inappropriate for there to be third party investors in such business (a “</w:t>
      </w:r>
      <w:r>
        <w:rPr>
          <w:rFonts w:ascii="Times New Roman" w:cs="Times New Roman" w:eastAsia="Times New Roman" w:hAnsi="Times New Roman"/>
          <w:sz w:val="22"/>
          <w:szCs w:val="22"/>
          <w:b w:val="1"/>
          <w:bCs w:val="1"/>
          <w:color w:val="auto"/>
        </w:rPr>
        <w:t>Comcast Core Integrated Investment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20" w:firstLine="1174"/>
        <w:spacing w:after="0" w:line="246" w:lineRule="auto"/>
        <w:tabs>
          <w:tab w:leader="none" w:pos="161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Investment in the United States in any Comcast Core Business, other than a Comcast Core Integrated Investment (a “</w:t>
      </w:r>
      <w:r>
        <w:rPr>
          <w:rFonts w:ascii="Times New Roman" w:cs="Times New Roman" w:eastAsia="Times New Roman" w:hAnsi="Times New Roman"/>
          <w:sz w:val="22"/>
          <w:szCs w:val="22"/>
          <w:b w:val="1"/>
          <w:bCs w:val="1"/>
          <w:color w:val="auto"/>
        </w:rPr>
        <w:t>Comcast Core Non-Integrated 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any Comcast Core Non-Integrated Investment that is being independently considered by the Company, with respect to such Comcast Core Non-Integrated Investment in a domestic corporation, the Company will partner and be permitted to co-invest with Comcast for at least 25% of such Comcast Core Non-Integrated Investment,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co-investment percentage may be reduced at Comcast’s election, but not below 20%, solely to the extent necessary to enable Comcast to file a consolidated return (within the meaning of Section 1501 of the Code) with such domestic corporation; and with respect to all other Comcast Core Non-Integrated Investments, the Company will partner and be permitted to co-invest with Comcast for at least 25% of such Comcast Core Non-Integrated Investments;</w:t>
      </w:r>
    </w:p>
    <w:p>
      <w:pPr>
        <w:spacing w:after="0" w:line="190" w:lineRule="exact"/>
        <w:rPr>
          <w:rFonts w:ascii="Times New Roman" w:cs="Times New Roman" w:eastAsia="Times New Roman" w:hAnsi="Times New Roman"/>
          <w:sz w:val="22"/>
          <w:szCs w:val="22"/>
          <w:color w:val="auto"/>
        </w:rPr>
      </w:pPr>
    </w:p>
    <w:p>
      <w:pPr>
        <w:ind w:left="-20" w:right="160" w:firstLine="1174"/>
        <w:spacing w:after="0" w:line="250" w:lineRule="auto"/>
        <w:tabs>
          <w:tab w:leader="none" w:pos="161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 any Company Securities other than as contemplated by this Agreement or any other equity securities or admit third party direct investors (other than Comcast Shareholder, ManagementCo Shareholder, any Comcast Permitted Transferee and any ManagementCo Permitted Transferee) in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Comcast AG Shareholder agrees to consider any request by the Company to admit third party direct investors in the Company (it being understood that such determination will be made in Comcast AG Shareholder’s sole discretion);</w:t>
      </w:r>
    </w:p>
    <w:p>
      <w:pPr>
        <w:spacing w:after="0" w:line="180" w:lineRule="exact"/>
        <w:rPr>
          <w:rFonts w:ascii="Times New Roman" w:cs="Times New Roman" w:eastAsia="Times New Roman" w:hAnsi="Times New Roman"/>
          <w:sz w:val="22"/>
          <w:szCs w:val="22"/>
          <w:color w:val="auto"/>
        </w:rPr>
      </w:pPr>
    </w:p>
    <w:p>
      <w:pPr>
        <w:ind w:left="1580" w:hanging="426"/>
        <w:spacing w:after="0"/>
        <w:tabs>
          <w:tab w:leader="none" w:pos="158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public offering of securities issued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40" w:top="1422" w:right="359" w:bottom="1440" w:gutter="0" w:footer="0" w:header="0"/>
        </w:sectPr>
      </w:pPr>
    </w:p>
    <w:bookmarkStart w:id="285" w:name="page286"/>
    <w:bookmarkEnd w:id="285"/>
    <w:p>
      <w:pPr>
        <w:spacing w:after="0" w:line="198" w:lineRule="exact"/>
        <w:rPr>
          <w:sz w:val="20"/>
          <w:szCs w:val="20"/>
          <w:color w:val="auto"/>
        </w:rPr>
      </w:pPr>
    </w:p>
    <w:p>
      <w:pPr>
        <w:ind w:firstLine="1174"/>
        <w:spacing w:after="0" w:line="245" w:lineRule="auto"/>
        <w:tabs>
          <w:tab w:leader="none" w:pos="158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entry into any agreement or arrangement between the Company or any of its Subsidiaries or Portfolio Companies or any of their respective Subsidiaries, on the one hand, and the Manager, ManagementCo Shareholder or any of their respective Affiliates (other than the Company and its Subsidiaries), on the other hand, other than this Agreement, the Management Agreement, the Letter Agreement or any such agreement or arrangement (A) providing for reimbursement by any Portfolio Company of any expenses of the Manager, ManagementCo Shareholder or any of their respective Affiliates permitted to be reimbursed pursuant to Section 7.01, (B) providing for payment of any Transaction Fees to the Manager, the ManagementCo Shareholder or any of their respective Affiliates to the extent such payment is permitted by this Agreement or the Management Agreement, (C) providing for indemnification, contribution, exculpation or advancement of expenses by any Portfolio Company or any of its respective Subsidiaries in respect of any damages, liabilities, losses or expenses of the Manager, ManagementCo Shareholder or any of its Affiliates, (D) that is a shareholders agreement or similar agreement and does not provide for the payment of money or other items of value, directly or indirectly, to or for the benefit of the Manager, ManagementCo Shareholder or any of their respective Affiliates, or (E) that is a trademark license agreement or similar agreement related to intellectual property rights and does not provide for the payment of money or other items of value, directly or indirectly, to or for the benefit of the Manager, ManagementCo Shareholder or any of their respective Affiliates;</w:t>
      </w:r>
    </w:p>
    <w:p>
      <w:pPr>
        <w:spacing w:after="0" w:line="191" w:lineRule="exact"/>
        <w:rPr>
          <w:rFonts w:ascii="Times New Roman" w:cs="Times New Roman" w:eastAsia="Times New Roman" w:hAnsi="Times New Roman"/>
          <w:sz w:val="22"/>
          <w:szCs w:val="22"/>
          <w:color w:val="auto"/>
        </w:rPr>
      </w:pPr>
    </w:p>
    <w:p>
      <w:pPr>
        <w:ind w:right="420" w:firstLine="1174"/>
        <w:spacing w:after="0" w:line="257" w:lineRule="auto"/>
        <w:tabs>
          <w:tab w:leader="none" w:pos="163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waiver or failure to enforce by the Company or any of its Subsidiaries of any contractual obligations of the Manager, ManagementCo Shareholder or any of their respective Affiliates (other than the Company and its Subsidiaries), including obligations of the Manager pursuant to the Management Agreement;</w:t>
      </w:r>
    </w:p>
    <w:p>
      <w:pPr>
        <w:spacing w:after="0" w:line="172" w:lineRule="exact"/>
        <w:rPr>
          <w:rFonts w:ascii="Times New Roman" w:cs="Times New Roman" w:eastAsia="Times New Roman" w:hAnsi="Times New Roman"/>
          <w:sz w:val="22"/>
          <w:szCs w:val="22"/>
          <w:color w:val="auto"/>
        </w:rPr>
      </w:pPr>
    </w:p>
    <w:p>
      <w:pPr>
        <w:ind w:right="380" w:firstLine="1174"/>
        <w:spacing w:after="0" w:line="271" w:lineRule="auto"/>
        <w:tabs>
          <w:tab w:leader="none" w:pos="158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that is reasonably expected to cause the Company not to be treated as a partnership for U.S. federal income tax purposes; or</w:t>
      </w:r>
    </w:p>
    <w:p>
      <w:pPr>
        <w:spacing w:after="0" w:line="157" w:lineRule="exact"/>
        <w:rPr>
          <w:rFonts w:ascii="Times New Roman" w:cs="Times New Roman" w:eastAsia="Times New Roman" w:hAnsi="Times New Roman"/>
          <w:sz w:val="22"/>
          <w:szCs w:val="22"/>
          <w:color w:val="auto"/>
        </w:rPr>
      </w:pPr>
    </w:p>
    <w:p>
      <w:pPr>
        <w:ind w:left="1700" w:hanging="526"/>
        <w:spacing w:after="0"/>
        <w:tabs>
          <w:tab w:leader="none" w:pos="170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amendment to the Memorandum and Articles of Association.</w:t>
      </w:r>
    </w:p>
    <w:p>
      <w:pPr>
        <w:spacing w:after="0" w:line="220" w:lineRule="exact"/>
        <w:rPr>
          <w:sz w:val="20"/>
          <w:szCs w:val="20"/>
          <w:color w:val="auto"/>
        </w:rPr>
      </w:pPr>
    </w:p>
    <w:p>
      <w:pPr>
        <w:ind w:right="360" w:firstLine="204"/>
        <w:spacing w:after="0" w:line="252" w:lineRule="auto"/>
        <w:rPr>
          <w:sz w:val="20"/>
          <w:szCs w:val="20"/>
          <w:color w:val="auto"/>
        </w:rPr>
      </w:pPr>
      <w:r>
        <w:rPr>
          <w:rFonts w:ascii="Times New Roman" w:cs="Times New Roman" w:eastAsia="Times New Roman" w:hAnsi="Times New Roman"/>
          <w:sz w:val="22"/>
          <w:szCs w:val="22"/>
          <w:color w:val="auto"/>
        </w:rPr>
        <w:t>Any Capital Contributions called for purposes of repaying Company Debt that was incurred in lieu of requiring Capital Contributions from any Shareholder in order to make an Investment, as contemplated by Section 6.02(c), shall be treated as Capital Contributions to make an Investment on the date such Capital Contributions were made for purposes of repaying such Company Debt.</w:t>
      </w:r>
    </w:p>
    <w:p>
      <w:pPr>
        <w:spacing w:after="0" w:line="17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i w:val="1"/>
          <w:iCs w:val="1"/>
          <w:color w:val="auto"/>
        </w:rPr>
        <w:t>Further Agreements with Respect to Actions Requiring Consent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100" w:firstLine="1174"/>
        <w:spacing w:after="0" w:line="252" w:lineRule="auto"/>
        <w:tabs>
          <w:tab w:leader="none" w:pos="162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Comcast AG Shareholder determines not to grant its consent to a proposed action pursuant to Section 4.01, the Manager and Comcast AG Shareholder shall discuss the reasons for such withholding of consent and will consider in good faith whether there are alternative approaches that might address Comcast AG Shareholder’s concerns while permitting (a possibly modified version of) the proposed action to go forward.</w:t>
      </w:r>
    </w:p>
    <w:p>
      <w:pPr>
        <w:spacing w:after="0" w:line="179" w:lineRule="exact"/>
        <w:rPr>
          <w:rFonts w:ascii="Times New Roman" w:cs="Times New Roman" w:eastAsia="Times New Roman" w:hAnsi="Times New Roman"/>
          <w:sz w:val="22"/>
          <w:szCs w:val="22"/>
          <w:color w:val="auto"/>
        </w:rPr>
      </w:pPr>
    </w:p>
    <w:p>
      <w:pPr>
        <w:ind w:right="120" w:firstLine="1174"/>
        <w:spacing w:after="0" w:line="271" w:lineRule="auto"/>
        <w:tabs>
          <w:tab w:leader="none" w:pos="163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Comcast AG Shareholder determines not to grant its consent to a proposed Investment under Section 4.01(f) or Section 4.01(g), and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98"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is initially identified to Comcast Shareholder by the Company or the Manager, Comcast AG Shareholder, the Company and the Manager will discuss in good faith arrangements designed to compensate the Manager for its efforts in identifying/sourcing the Investment.</w:t>
      </w:r>
    </w:p>
    <w:p>
      <w:pPr>
        <w:spacing w:after="0" w:line="169"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i w:val="1"/>
          <w:iCs w:val="1"/>
          <w:color w:val="auto"/>
        </w:rPr>
        <w:t>Core Business Evaluation</w:t>
      </w:r>
      <w:r>
        <w:rPr>
          <w:rFonts w:ascii="Times New Roman" w:cs="Times New Roman" w:eastAsia="Times New Roman" w:hAnsi="Times New Roman"/>
          <w:sz w:val="21"/>
          <w:szCs w:val="21"/>
          <w:color w:val="auto"/>
        </w:rPr>
        <w:t>. Solely for the purposes of the matters covered by this Section 4.03, during the Company’s evaluation of any prospective Investment, the Manager may, in its sole discretion, present to Comcast AG Shareholder a summary description of the prospective Investment (“</w:t>
      </w:r>
      <w:r>
        <w:rPr>
          <w:rFonts w:ascii="Times New Roman" w:cs="Times New Roman" w:eastAsia="Times New Roman" w:hAnsi="Times New Roman"/>
          <w:sz w:val="21"/>
          <w:szCs w:val="21"/>
          <w:b w:val="1"/>
          <w:bCs w:val="1"/>
          <w:color w:val="auto"/>
        </w:rPr>
        <w:t>Core Business Evaluation Material</w:t>
      </w:r>
      <w:r>
        <w:rPr>
          <w:rFonts w:ascii="Times New Roman" w:cs="Times New Roman" w:eastAsia="Times New Roman" w:hAnsi="Times New Roman"/>
          <w:sz w:val="21"/>
          <w:szCs w:val="21"/>
          <w:color w:val="auto"/>
        </w:rPr>
        <w:t>”), and Comcast AG Shareholder shall have 10 Business Days from receipt of such Core Business Evaluation Material to notify the Manager in writing whether it believes that such prospective Investment is in a Comcast Core Business. To the extent Comcast AG Shareholder believes after receipt of Core Business Evaluation Material that a prospective Investment is in a Comcast Core Business, Comcast AG Shareholder will have an additional 10 Business Days from the date it notifies the Manager in writing of such belief to notify the Manager in writing whether it would designate such prospective Investment as a Comcast Core Integrated Investment or a Comcast Core Non-Integrated Investment. Notwithstanding the foregoing, Comcast AG Shareholder and Comcast acknowledge and agree that (i) any indication by Comcast AG Shareholder pursuant to this Section 4.03 that it believes a prospective Investment is in a Comcast Core Business shall not be binding on the Company, the Manager or any of their respective Affiliates and (ii) any indication by Comcast AG Shareholder pursuant to this Section 4.03 that it believes a prospective Investment is not in a Comcast Core Business shall be binding on Comcast Shareholder and its Affiliates.</w:t>
      </w:r>
    </w:p>
    <w:p>
      <w:pPr>
        <w:spacing w:after="0" w:line="19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5</w:t>
      </w:r>
    </w:p>
    <w:p>
      <w:pPr>
        <w:spacing w:after="0" w:line="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Restrictions on Transfer</w:t>
      </w:r>
    </w:p>
    <w:p>
      <w:pPr>
        <w:spacing w:after="0" w:line="24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i w:val="1"/>
          <w:iCs w:val="1"/>
          <w:color w:val="auto"/>
        </w:rPr>
        <w:t>General Restrictions on Transfer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40" w:firstLine="1174"/>
        <w:spacing w:after="0" w:line="252" w:lineRule="auto"/>
        <w:tabs>
          <w:tab w:leader="none" w:pos="1622"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Shareholder understands and agrees that the Company Securities have not been registered under the Securities Act and are restricted securities. Each Shareholder agrees that it shall not Transfer any Company Securities, except in compliance with the Securities Act, any other applicable securities or “blue sky” laws and the terms and conditions of this Agreement and the Memorandum and Articles of Association.</w:t>
      </w:r>
    </w:p>
    <w:p>
      <w:pPr>
        <w:spacing w:after="0" w:line="179" w:lineRule="exact"/>
        <w:rPr>
          <w:rFonts w:ascii="Times New Roman" w:cs="Times New Roman" w:eastAsia="Times New Roman" w:hAnsi="Times New Roman"/>
          <w:sz w:val="22"/>
          <w:szCs w:val="22"/>
          <w:color w:val="auto"/>
        </w:rPr>
      </w:pPr>
    </w:p>
    <w:p>
      <w:pPr>
        <w:ind w:right="200" w:firstLine="1174"/>
        <w:spacing w:after="0" w:line="257" w:lineRule="auto"/>
        <w:tabs>
          <w:tab w:leader="none" w:pos="1622"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attempt to Transfer any Company Securities not in compliance with this Agreement and the Memorandum and Articles of Association shall be null and void, and the Company shall not give any effect in the Company’s register of members to such attempted Transfer.</w:t>
      </w:r>
    </w:p>
    <w:p>
      <w:pPr>
        <w:spacing w:after="0" w:line="169" w:lineRule="exact"/>
        <w:rPr>
          <w:sz w:val="20"/>
          <w:szCs w:val="20"/>
          <w:color w:val="auto"/>
        </w:rPr>
      </w:pPr>
    </w:p>
    <w:p>
      <w:pPr>
        <w:ind w:right="8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xml:space="preserve"> If at any time the Company issues certificated Company Securities, then, in addition to any other legend that may be required, each certificate for Company Securities issued to any Shareholder shall bear a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00"/>
          </w:cols>
          <w:pgMar w:left="320" w:top="1440" w:right="479" w:bottom="1440" w:gutter="0" w:footer="0" w:header="0"/>
        </w:sectPr>
      </w:pPr>
    </w:p>
    <w:bookmarkStart w:id="287" w:name="page288"/>
    <w:bookmarkEnd w:id="287"/>
    <w:p>
      <w:pPr>
        <w:ind w:left="560" w:right="640"/>
        <w:spacing w:after="0" w:line="246" w:lineRule="auto"/>
        <w:rPr>
          <w:sz w:val="20"/>
          <w:szCs w:val="20"/>
          <w:color w:val="auto"/>
        </w:rPr>
      </w:pPr>
      <w:r>
        <w:rPr>
          <w:rFonts w:ascii="Times New Roman" w:cs="Times New Roman" w:eastAsia="Times New Roman" w:hAnsi="Times New Roman"/>
          <w:sz w:val="22"/>
          <w:szCs w:val="22"/>
          <w:color w:val="auto"/>
        </w:rPr>
        <w:t>THIS SECURITY HAS NOT BEEN REGISTERED UNDER THE U.S. SECURITIES ACT OF 1933, AS AMENDED, OR ANY NON-U.S. OR STATE SECURITIES LAWS AND MAY NOT BE OFFERED, SOLD, PLEDGED OR OTHERWISE TRANSFERRED EXCEPT IN COMPLIANCE THEREWITH. THIS SECURITY IS ALSO SUBJECT TO ADDITIONAL RESTRICTIONS ON TRANSFER AS SET FORTH IN THE SHAREHOLDERS AGREEMENT DATED AS OF NOVEMBER 24, 2015 AND EFFECTIVE AS OF JANUARY 1, 2016, AS AMENDED FROM TIME TO TIME, COPIES OF WHICH MAY BE OBTAINED UPON REQUEST FROM ATAIROS GROUP, INC. OR ANY SUCCESSOR THERETO, AND THIS SECURITY MAY NOT BE VOTED OR OFFERED, SOLD, PLEDGED OR OTHERWISE TRANSFERRED EXCEPT IN COMPLIANCE THEREWITH.</w:t>
      </w:r>
    </w:p>
    <w:p>
      <w:pPr>
        <w:spacing w:after="0" w:line="187" w:lineRule="exact"/>
        <w:rPr>
          <w:sz w:val="20"/>
          <w:szCs w:val="20"/>
          <w:color w:val="auto"/>
        </w:rPr>
      </w:pPr>
    </w:p>
    <w:p>
      <w:pPr>
        <w:ind w:left="88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i w:val="1"/>
          <w:iCs w:val="1"/>
          <w:color w:val="auto"/>
        </w:rPr>
        <w:t>Restrictions on Transfers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00" w:right="480" w:firstLine="1174"/>
        <w:spacing w:after="0" w:line="275" w:lineRule="auto"/>
        <w:tabs>
          <w:tab w:leader="none" w:pos="152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Transfer</w:t>
      </w:r>
      <w:r>
        <w:rPr>
          <w:rFonts w:ascii="Times New Roman" w:cs="Times New Roman" w:eastAsia="Times New Roman" w:hAnsi="Times New Roman"/>
          <w:sz w:val="22"/>
          <w:szCs w:val="22"/>
          <w:color w:val="auto"/>
        </w:rPr>
        <w:t>. Except as expressly permitted by this Agreement, no Transfer of any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shall occur.</w:t>
      </w:r>
    </w:p>
    <w:p>
      <w:pPr>
        <w:spacing w:after="0" w:line="149" w:lineRule="exact"/>
        <w:rPr>
          <w:rFonts w:ascii="Times New Roman" w:cs="Times New Roman" w:eastAsia="Times New Roman" w:hAnsi="Times New Roman"/>
          <w:sz w:val="22"/>
          <w:szCs w:val="22"/>
          <w:color w:val="auto"/>
        </w:rPr>
      </w:pPr>
    </w:p>
    <w:p>
      <w:pPr>
        <w:ind w:left="-100" w:firstLine="1174"/>
        <w:spacing w:after="0" w:line="247" w:lineRule="auto"/>
        <w:tabs>
          <w:tab w:leader="none" w:pos="1534"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Comcast Permitted Transferees</w:t>
      </w:r>
      <w:r>
        <w:rPr>
          <w:rFonts w:ascii="Times New Roman" w:cs="Times New Roman" w:eastAsia="Times New Roman" w:hAnsi="Times New Roman"/>
          <w:sz w:val="22"/>
          <w:szCs w:val="22"/>
          <w:color w:val="auto"/>
        </w:rPr>
        <w:t>. Notwithstanding Section 5.03(a), without the consent of the Company,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Manager or any other Shareholder, (i) Comcast Shareholder may Transfer some or all of its Company Securities (A) to one or more Comcast Permitted Transferees in accordance with this Section 5.03 or (B) as contemplated by Section 10.08 and, in each case, in accordance with the Memorandum and Articles of Association and (ii) ManagementCo Shareholder may Transfer some or all of its Company Securities to one or more Management Shareholder Permitted Transferees in accordance with this Section 5.03 and the Memorandum and Articles of Association. For the avoidance of doubt, in the event of a Transfer in connection with a Comcast Spin Transaction, each of Comcast AG Shareholder and Comcast Spectacor Shareholder will Transfer either (x) all of its Company Securities to a Comcast Permitted Spin Transferee or (y) in the case of a Partial Spin Transfer, its Company Securities to a Comcast Permitted Spin Transferee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w:t>
      </w:r>
    </w:p>
    <w:p>
      <w:pPr>
        <w:spacing w:after="0" w:line="185" w:lineRule="exact"/>
        <w:rPr>
          <w:rFonts w:ascii="Times New Roman" w:cs="Times New Roman" w:eastAsia="Times New Roman" w:hAnsi="Times New Roman"/>
          <w:sz w:val="22"/>
          <w:szCs w:val="22"/>
          <w:color w:val="auto"/>
        </w:rPr>
      </w:pPr>
    </w:p>
    <w:p>
      <w:pPr>
        <w:ind w:left="1520" w:hanging="446"/>
        <w:spacing w:after="0"/>
        <w:tabs>
          <w:tab w:leader="none" w:pos="152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Comcast Shareholder Rights and Obligations.</w:t>
      </w:r>
    </w:p>
    <w:p>
      <w:pPr>
        <w:spacing w:after="0" w:line="219" w:lineRule="exact"/>
        <w:rPr>
          <w:rFonts w:ascii="Times New Roman" w:cs="Times New Roman" w:eastAsia="Times New Roman" w:hAnsi="Times New Roman"/>
          <w:sz w:val="22"/>
          <w:szCs w:val="22"/>
          <w:color w:val="auto"/>
        </w:rPr>
      </w:pPr>
    </w:p>
    <w:p>
      <w:pPr>
        <w:ind w:left="-100" w:right="40" w:firstLine="1952"/>
        <w:spacing w:after="0" w:line="275" w:lineRule="auto"/>
        <w:tabs>
          <w:tab w:leader="none" w:pos="2264"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Comcast Shareholder Transfers all of its Company Securities to a Comcast Permitted Transferee, then, subject to Section 5.03(d), all Comcast Shareholder Rights and Obligations shall, subject to Section 5.03(c)(iv), automatically apply to such Comcast Permitted Transferee, and the provisions of this Agreement shall be construed accordingly.</w:t>
      </w:r>
    </w:p>
    <w:p>
      <w:pPr>
        <w:spacing w:after="0" w:line="155" w:lineRule="exact"/>
        <w:rPr>
          <w:rFonts w:ascii="Times New Roman" w:cs="Times New Roman" w:eastAsia="Times New Roman" w:hAnsi="Times New Roman"/>
          <w:sz w:val="21"/>
          <w:szCs w:val="21"/>
          <w:color w:val="auto"/>
        </w:rPr>
      </w:pPr>
    </w:p>
    <w:p>
      <w:pPr>
        <w:ind w:left="-100" w:right="100" w:firstLine="1952"/>
        <w:spacing w:after="0" w:line="248" w:lineRule="auto"/>
        <w:tabs>
          <w:tab w:leader="none" w:pos="2324"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Shareholder Transfers some, but less than all, of its Company Securities to a Comcast Permitted Spin Transferee (a “</w:t>
      </w:r>
      <w:r>
        <w:rPr>
          <w:rFonts w:ascii="Times New Roman" w:cs="Times New Roman" w:eastAsia="Times New Roman" w:hAnsi="Times New Roman"/>
          <w:sz w:val="22"/>
          <w:szCs w:val="22"/>
          <w:b w:val="1"/>
          <w:bCs w:val="1"/>
          <w:color w:val="auto"/>
        </w:rPr>
        <w:t>Partial Spin Transfer</w:t>
      </w:r>
      <w:r>
        <w:rPr>
          <w:rFonts w:ascii="Times New Roman" w:cs="Times New Roman" w:eastAsia="Times New Roman" w:hAnsi="Times New Roman"/>
          <w:sz w:val="22"/>
          <w:szCs w:val="22"/>
          <w:color w:val="auto"/>
        </w:rPr>
        <w:t>”), then (A) such Transfer shall only be in the form of an indirect transfer via the transfer to such Comcast Permitted Spin Transferee of equity securities issued by Comcast Shareholder (or the issuance by Comcast Shareholder of equity securities to such Comcast Permitted Spin Transferee), (B) subject to Section 5.03(c)(iv) and Section 5.03(d), all Comcast Shareholder Rights and Obligations shall continue to apply to, and shall only be exercisable by,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40"/>
          </w:cols>
          <w:pgMar w:left="420" w:top="1422" w:right="439" w:bottom="1440" w:gutter="0" w:footer="0" w:header="0"/>
        </w:sectPr>
      </w:pPr>
    </w:p>
    <w:bookmarkStart w:id="288" w:name="page289"/>
    <w:bookmarkEnd w:id="288"/>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Shareholder and (C) Comcast and the Comcast Permitted Spin Transferee shall enter into such arrangements with respect to the indirect allocation of Comcast Shareholder Rights and Obligations between themselves (as holders of equity securities issued by Comcast Shareholder) as they shall determine in their sole discretion.</w:t>
      </w:r>
    </w:p>
    <w:p>
      <w:pPr>
        <w:spacing w:after="0" w:line="173" w:lineRule="exact"/>
        <w:rPr>
          <w:sz w:val="20"/>
          <w:szCs w:val="20"/>
          <w:color w:val="auto"/>
        </w:rPr>
      </w:pPr>
    </w:p>
    <w:p>
      <w:pPr>
        <w:ind w:firstLine="1952"/>
        <w:spacing w:after="0" w:line="246" w:lineRule="auto"/>
        <w:tabs>
          <w:tab w:leader="none" w:pos="2484"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Comcast proposes to effect a Partial Spin Transfer and the procedures set forth in Section 5.03(c)(ii) would, or would reasonably be likely to, result in significant adverse consequences to Comcast or the Comcast Permitted Spin Transferee, then Comcast AG Shareholder, the Company and the Manager shall negotiate in good faith to structure alternative arrangements and modify this Agreement so as to effect the original intent of the parties (as reflected in Section 5.03(c)(ii) and Section 5.03(d)) as close as possible in an acceptable manner so that the transactions contemplated by Section 5.03(c)(ii) can be consummated as originally contemplated to the fullest extent possible without resulting in such adverse consequences. Without limiting the generality of the foregoing, such alternative arrangements may include the Transfer of some of Comcast Shareholder’s Company Securities to the Comcast Permitted Spin Transferee and the allocation of the Comcast Shareholder Rights and Obligations between Comcast and the Comcast Permitted Spin Transferee.</w:t>
      </w:r>
    </w:p>
    <w:p>
      <w:pPr>
        <w:spacing w:after="0" w:line="190" w:lineRule="exact"/>
        <w:rPr>
          <w:rFonts w:ascii="Times New Roman" w:cs="Times New Roman" w:eastAsia="Times New Roman" w:hAnsi="Times New Roman"/>
          <w:sz w:val="22"/>
          <w:szCs w:val="22"/>
          <w:color w:val="auto"/>
        </w:rPr>
      </w:pPr>
    </w:p>
    <w:p>
      <w:pPr>
        <w:ind w:right="20" w:firstLine="1952"/>
        <w:spacing w:after="0" w:line="246" w:lineRule="auto"/>
        <w:tabs>
          <w:tab w:leader="none" w:pos="2472"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Partial Spin Transfer, Comcast AG Shareholder’s consent rights set forth in Section 4.01(c) shall only be allocated to the Comcast Permitted Spin Transferee pursuant to Section 5.03(c)(ii) to the extent they correspond to the legal and regulatory regimes applicable to such Comcast Permitted Spin Transferee. In the event of a Transfer of all Comcast Shareholder’s Company Securities to a Comcast Permitted Spin Transferee, the parties acknowledge and agree that Comcast AG Shareholder’s consent rights set forth in Section 4.01(c) shall be adjusted, if necessary, in order to correspond only to the legal and regulatory regimes applicable to such Comcast Permitted Spin Transferee and, in such a case, the parties shall negotiate in good faith to enter into an amendment to this Agreement, to be effective immediately prior to the completion of any such Transfer, so that such consent rights are so appropriately adjusted;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case shall such consent rights be adjusted to grant any broader consent rights to any Comcast Permitted Spin Transferee than the consent rights held by Comcast AG Shareholder pursuant to Section 4.01(c) as in effect immediately prior to such amendment.</w:t>
      </w:r>
    </w:p>
    <w:p>
      <w:pPr>
        <w:spacing w:after="0" w:line="187" w:lineRule="exact"/>
        <w:rPr>
          <w:rFonts w:ascii="Times New Roman" w:cs="Times New Roman" w:eastAsia="Times New Roman" w:hAnsi="Times New Roman"/>
          <w:sz w:val="22"/>
          <w:szCs w:val="22"/>
          <w:color w:val="auto"/>
        </w:rPr>
      </w:pPr>
    </w:p>
    <w:p>
      <w:pPr>
        <w:ind w:left="1640" w:hanging="466"/>
        <w:spacing w:after="0"/>
        <w:tabs>
          <w:tab w:leader="none" w:pos="164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ROFO Rights.</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Transfer of all of Comcast Shareholder’s Company Securities to a Comcast Permitted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Spin Transferee:</w:t>
      </w:r>
    </w:p>
    <w:p>
      <w:pPr>
        <w:spacing w:after="0" w:line="195" w:lineRule="exact"/>
        <w:rPr>
          <w:rFonts w:ascii="Times New Roman" w:cs="Times New Roman" w:eastAsia="Times New Roman" w:hAnsi="Times New Roman"/>
          <w:sz w:val="21"/>
          <w:szCs w:val="21"/>
          <w:color w:val="auto"/>
        </w:rPr>
      </w:pPr>
    </w:p>
    <w:p>
      <w:pPr>
        <w:ind w:left="3240" w:hanging="510"/>
        <w:spacing w:after="0"/>
        <w:tabs>
          <w:tab w:leader="none" w:pos="3240" w:val="left"/>
        </w:tabs>
        <w:numPr>
          <w:ilvl w:val="2"/>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the Transfer, the Comcast Permitted Spin Transferee is an Eligible ROFO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Holder:</w:t>
      </w:r>
    </w:p>
    <w:p>
      <w:pPr>
        <w:spacing w:after="0" w:line="191" w:lineRule="exact"/>
        <w:rPr>
          <w:rFonts w:ascii="Times New Roman" w:cs="Times New Roman" w:eastAsia="Times New Roman" w:hAnsi="Times New Roman"/>
          <w:sz w:val="21"/>
          <w:szCs w:val="21"/>
          <w:color w:val="auto"/>
        </w:rPr>
      </w:pPr>
    </w:p>
    <w:p>
      <w:pPr>
        <w:ind w:right="240" w:firstLine="3572"/>
        <w:spacing w:after="0" w:line="275" w:lineRule="auto"/>
        <w:tabs>
          <w:tab w:leader="none" w:pos="4032" w:val="left"/>
        </w:tabs>
        <w:numPr>
          <w:ilvl w:val="3"/>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Comcast Rights and Obligations set forth in Article 9 (the “</w:t>
      </w:r>
      <w:r>
        <w:rPr>
          <w:rFonts w:ascii="Times New Roman" w:cs="Times New Roman" w:eastAsia="Times New Roman" w:hAnsi="Times New Roman"/>
          <w:sz w:val="22"/>
          <w:szCs w:val="22"/>
          <w:b w:val="1"/>
          <w:bCs w:val="1"/>
          <w:color w:val="auto"/>
        </w:rPr>
        <w:t>ROFO Rights</w:t>
      </w:r>
      <w:r>
        <w:rPr>
          <w:rFonts w:ascii="Times New Roman" w:cs="Times New Roman" w:eastAsia="Times New Roman" w:hAnsi="Times New Roman"/>
          <w:sz w:val="22"/>
          <w:szCs w:val="22"/>
          <w:color w:val="auto"/>
        </w:rPr>
        <w:t>”) shall automatically apply to the Comcast Permitted Spin Transferee;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00"/>
          </w:cols>
          <w:pgMar w:left="320" w:top="1422" w:right="379" w:bottom="1440" w:gutter="0" w:footer="0" w:header="0"/>
        </w:sectPr>
      </w:pPr>
    </w:p>
    <w:bookmarkStart w:id="289" w:name="page290"/>
    <w:bookmarkEnd w:id="289"/>
    <w:p>
      <w:pPr>
        <w:ind w:right="80" w:firstLine="3572"/>
        <w:spacing w:after="0" w:line="250" w:lineRule="auto"/>
        <w:tabs>
          <w:tab w:leader="none" w:pos="4032" w:val="left"/>
        </w:tabs>
        <w:numPr>
          <w:ilvl w:val="2"/>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after the Transfer, the Comcast Permitted Spin Transferee ceases to be an Eligible ROFO Holder, the ROFO Rights shall automatically cease to apply effective as of the 24 month anniversary of the date on which the Comcast Permitted Spin Transferee ceases to be an Eligible ROFO 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ROFO Rights shall continue to apply in respect of any Offered ROFO Assets for which an Offer Notice has been delivered prior to the time at which the ROFO Rights otherwise cease to apply (this proviso, the “</w:t>
      </w:r>
      <w:r>
        <w:rPr>
          <w:rFonts w:ascii="Times New Roman" w:cs="Times New Roman" w:eastAsia="Times New Roman" w:hAnsi="Times New Roman"/>
          <w:sz w:val="22"/>
          <w:szCs w:val="22"/>
          <w:b w:val="1"/>
          <w:bCs w:val="1"/>
          <w:color w:val="auto"/>
        </w:rPr>
        <w:t>Surviving ROFO Rights Principle</w:t>
      </w:r>
      <w:r>
        <w:rPr>
          <w:rFonts w:ascii="Times New Roman" w:cs="Times New Roman" w:eastAsia="Times New Roman" w:hAnsi="Times New Roman"/>
          <w:sz w:val="22"/>
          <w:szCs w:val="22"/>
          <w:color w:val="auto"/>
        </w:rPr>
        <w:t>”); or</w:t>
      </w:r>
    </w:p>
    <w:p>
      <w:pPr>
        <w:spacing w:after="0" w:line="180" w:lineRule="exact"/>
        <w:rPr>
          <w:rFonts w:ascii="Times New Roman" w:cs="Times New Roman" w:eastAsia="Times New Roman" w:hAnsi="Times New Roman"/>
          <w:sz w:val="22"/>
          <w:szCs w:val="22"/>
          <w:color w:val="auto"/>
        </w:rPr>
      </w:pPr>
    </w:p>
    <w:p>
      <w:pPr>
        <w:ind w:right="520" w:firstLine="2730"/>
        <w:spacing w:after="0" w:line="295" w:lineRule="auto"/>
        <w:tabs>
          <w:tab w:leader="none" w:pos="3225"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the Transfer, the Comcast Permitted Spin Transferee is not an Eligible ROFO Holder, the ROFO Rights shall automatically cease to apply, subject to the Surviving ROFO Rights Principle.</w:t>
      </w:r>
    </w:p>
    <w:p>
      <w:pPr>
        <w:spacing w:after="0" w:line="135" w:lineRule="exact"/>
        <w:rPr>
          <w:rFonts w:ascii="Times New Roman" w:cs="Times New Roman" w:eastAsia="Times New Roman" w:hAnsi="Times New Roman"/>
          <w:sz w:val="21"/>
          <w:szCs w:val="21"/>
          <w:color w:val="auto"/>
        </w:rPr>
      </w:pPr>
    </w:p>
    <w:p>
      <w:pPr>
        <w:ind w:left="2440" w:hanging="488"/>
        <w:spacing w:after="0"/>
        <w:tabs>
          <w:tab w:leader="none" w:pos="244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Partial Spin Transfer:</w:t>
      </w:r>
    </w:p>
    <w:p>
      <w:pPr>
        <w:spacing w:after="0" w:line="219" w:lineRule="exact"/>
        <w:rPr>
          <w:rFonts w:ascii="Times New Roman" w:cs="Times New Roman" w:eastAsia="Times New Roman" w:hAnsi="Times New Roman"/>
          <w:sz w:val="22"/>
          <w:szCs w:val="22"/>
          <w:color w:val="auto"/>
        </w:rPr>
      </w:pPr>
    </w:p>
    <w:p>
      <w:pPr>
        <w:ind w:right="20" w:firstLine="2730"/>
        <w:spacing w:after="0" w:line="257" w:lineRule="auto"/>
        <w:tabs>
          <w:tab w:leader="none" w:pos="3237"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Transfer, neither Comcast nor the Comcast Permitted Spin Transferee is an Eligible ROFO Holder, the ROFO Rights shall automatically cease to apply, subject to the Surviving ROFO Rights Principle; or</w:t>
      </w:r>
    </w:p>
    <w:p>
      <w:pPr>
        <w:spacing w:after="0" w:line="172" w:lineRule="exact"/>
        <w:rPr>
          <w:rFonts w:ascii="Times New Roman" w:cs="Times New Roman" w:eastAsia="Times New Roman" w:hAnsi="Times New Roman"/>
          <w:sz w:val="22"/>
          <w:szCs w:val="22"/>
          <w:color w:val="auto"/>
        </w:rPr>
      </w:pPr>
    </w:p>
    <w:p>
      <w:pPr>
        <w:ind w:firstLine="2730"/>
        <w:spacing w:after="0" w:line="246" w:lineRule="auto"/>
        <w:tabs>
          <w:tab w:leader="none" w:pos="3225"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all other cases, (1) at the time of the Transfer, Comcast shall determine in its sole discretion, and designate in writing to the Manager, whether the ROFO Rights with respect to each Portfolio Company in which the Company then holds an Investment shall be allocated to Comcast or to the Comcast Permitted Spin Transferee and (2) at all times after the Transfer, promptly following the consummation of each Investment made by the Company in a Portfolio Company that is not covered by the preceding clause (1), Comcast shall determine in its sole discretion, and designate in writing to the Manager, whether the ROFO Rights with respect to such Portfolio Company shall be allocated to Comcast or to the Comcast Permitted Spin Transferee;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each of clauses (1) and (2), Comcast may not allocate ROFO Rights to Comcast or to the Comcast Permitted Spin Transferee if, at the time of such allocation, such Person is not an Eligible ROFO Holder (and, if at the time at which Comcast would otherwise allocate ROFO Rights pursuant to this Section 5.03(d)(ii), neither Comcast nor the Comcast Permitted Spin Transferee is an Eligible ROFO Holder, then such ROFO Rights shall automatically cease to apply, subject to the Surviving ROFO Rights Principle).</w:t>
      </w:r>
    </w:p>
    <w:p>
      <w:pPr>
        <w:spacing w:after="0" w:line="185" w:lineRule="exact"/>
        <w:rPr>
          <w:rFonts w:ascii="Times New Roman" w:cs="Times New Roman" w:eastAsia="Times New Roman" w:hAnsi="Times New Roman"/>
          <w:sz w:val="22"/>
          <w:szCs w:val="22"/>
          <w:color w:val="auto"/>
        </w:rPr>
      </w:pPr>
    </w:p>
    <w:p>
      <w:pPr>
        <w:ind w:right="120" w:firstLine="1952"/>
        <w:spacing w:after="0" w:line="252" w:lineRule="auto"/>
        <w:tabs>
          <w:tab w:leader="none" w:pos="248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ROFO Rights are allocated to Comcast or the Comcast Permitted Spin Transferee pursuant to Section 5.03(d)(ii) and, following such allocation, such Person ceases to be an Eligible ROFO Holder, then the ROFO Rights allocated to such Person shall automatically cease to apply effective as of the 24 month anniversary of the date on which such Person ceases to be an Eligible ROFO Holder, subject to the Surviving ROFO Rights Principle.</w:t>
      </w:r>
    </w:p>
    <w:p>
      <w:pPr>
        <w:spacing w:after="0" w:line="179" w:lineRule="exact"/>
        <w:rPr>
          <w:rFonts w:ascii="Times New Roman" w:cs="Times New Roman" w:eastAsia="Times New Roman" w:hAnsi="Times New Roman"/>
          <w:sz w:val="22"/>
          <w:szCs w:val="22"/>
          <w:color w:val="auto"/>
        </w:rPr>
      </w:pPr>
    </w:p>
    <w:p>
      <w:pPr>
        <w:ind w:right="100" w:firstLine="1952"/>
        <w:spacing w:after="0" w:line="275" w:lineRule="auto"/>
        <w:tabs>
          <w:tab w:leader="none" w:pos="2472"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(A) any ROFO Rights allocated to Comcast or the Comcast Permitted Spin Transferee pursuant to Section 5.03(d)(ii) shall continue to apply to, and shall only be exercisable by, Comcast Shareholder, as contemplated by Section 5.03(c)(ii) and (B) any ROFO Rights that cease to apply pursuant to Section 5.03(d)(ii)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2"/>
          <w:szCs w:val="22"/>
          <w:color w:val="auto"/>
        </w:rPr>
        <w:t>5.03(d)(iii) shall no longer apply to, and shall not be exercisable by, Comcast Shareholder or any other Person.</w:t>
      </w:r>
    </w:p>
    <w:p>
      <w:pPr>
        <w:spacing w:after="0" w:line="220" w:lineRule="exact"/>
        <w:rPr>
          <w:sz w:val="20"/>
          <w:szCs w:val="20"/>
          <w:color w:val="auto"/>
        </w:rPr>
      </w:pPr>
    </w:p>
    <w:p>
      <w:pPr>
        <w:ind w:left="1640" w:hanging="466"/>
        <w:spacing w:after="0"/>
        <w:tabs>
          <w:tab w:leader="none" w:pos="164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Provisions.</w:t>
      </w:r>
    </w:p>
    <w:p>
      <w:pPr>
        <w:spacing w:after="0" w:line="219" w:lineRule="exact"/>
        <w:rPr>
          <w:rFonts w:ascii="Times New Roman" w:cs="Times New Roman" w:eastAsia="Times New Roman" w:hAnsi="Times New Roman"/>
          <w:sz w:val="22"/>
          <w:szCs w:val="22"/>
          <w:color w:val="auto"/>
        </w:rPr>
      </w:pPr>
    </w:p>
    <w:p>
      <w:pPr>
        <w:ind w:firstLine="1952"/>
        <w:spacing w:after="0" w:line="245" w:lineRule="auto"/>
        <w:tabs>
          <w:tab w:leader="none" w:pos="2364"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5.03(b), in no event may a Transfer of some or all of the Company Securities held by Comcast Shareholder or ManagementCo Shareholder occur if the Manager determines in good faith that such Transfer is reasonably likely to (A) cause a dissolution of the Company under Applicable Law (for the avoidance of doubt, not including any technical termination under Section 708(b)(1)(B) of the Code); (B) result in the Company’s assets being deemed to be “plan assets” for purposes of ERISA or constitute a prohibited transaction under ERISA or the Code; (C) require the Company to register as an “investment company” within the meaning of the Investment Company Act; (D) require registration of any Company Securities under the Securities Act; (E) cause the Company to be treated (or cause a material risk that the Company will be treated) as a ‘publicly traded partnership’ or otherwise as a corporation for U.S. federal income tax purposes; (F) subject the Company, the Manager or any of their respective Affiliates to a materially burdensome tax, legal or regulatory regime to which it would not otherwise be subject; (G) cause the Company, the Manager or any of their respective Affiliates to be in violation of Applicable Law; or (H) result in the Company, any Shareholder or any of their respective Affiliates being subject, directly or indirectly, to additional tax costs not reimbursed by Comcast (with respect to a Transfer of Company Securities held by Comcast Shareholder) or ManagementCo Shareholder (with respect to a Transfer of Company Securities held by ManagementCo Shareholder).</w:t>
      </w:r>
    </w:p>
    <w:p>
      <w:pPr>
        <w:spacing w:after="0" w:line="191" w:lineRule="exact"/>
        <w:rPr>
          <w:rFonts w:ascii="Times New Roman" w:cs="Times New Roman" w:eastAsia="Times New Roman" w:hAnsi="Times New Roman"/>
          <w:sz w:val="22"/>
          <w:szCs w:val="22"/>
          <w:color w:val="auto"/>
        </w:rPr>
      </w:pPr>
    </w:p>
    <w:p>
      <w:pPr>
        <w:ind w:right="460" w:firstLine="1952"/>
        <w:spacing w:after="0" w:line="271" w:lineRule="auto"/>
        <w:tabs>
          <w:tab w:leader="none" w:pos="2424"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Comcast Permitted Transferee and ManagementCo Shareholder Permitted Transferee shall execute a joinder to this Agreement in a form to be reasonably agreed by the transferor and the Company.</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6</w:t>
      </w:r>
    </w:p>
    <w:p>
      <w:pPr>
        <w:spacing w:after="0" w:line="7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Capital Commitments and Capital Contributions</w:t>
      </w:r>
    </w:p>
    <w:p>
      <w:pPr>
        <w:spacing w:after="0" w:line="24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i w:val="1"/>
          <w:iCs w:val="1"/>
          <w:color w:val="auto"/>
        </w:rPr>
        <w:t>Capital Commitments.</w:t>
      </w:r>
    </w:p>
    <w:p>
      <w:pPr>
        <w:spacing w:after="0" w:line="224" w:lineRule="exact"/>
        <w:rPr>
          <w:sz w:val="20"/>
          <w:szCs w:val="20"/>
          <w:color w:val="auto"/>
        </w:rPr>
      </w:pPr>
    </w:p>
    <w:p>
      <w:pPr>
        <w:ind w:right="80" w:firstLine="1174"/>
        <w:spacing w:after="0" w:line="265" w:lineRule="auto"/>
        <w:tabs>
          <w:tab w:leader="none" w:pos="1622"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Shareholder hereby agrees to, from time to time as hereinafter set forth in this Article 6, make Capital Contributions in respect of (i) Investments;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applicable Drawdown Notice is delivered to such Shareholder prior to the termination of the Commitment Period (except that such Drawdown Notice may be delivered to such Shareholder after the termination of the Commitment Period if such Drawdown Notice relates to an Investment that the Company committed to make pursuant to a binding agreement entered into prior to the termination of the Commitment Period) and (ii) Company Expenses.</w:t>
      </w:r>
    </w:p>
    <w:p>
      <w:pPr>
        <w:spacing w:after="0" w:line="165" w:lineRule="exact"/>
        <w:rPr>
          <w:rFonts w:ascii="Times New Roman" w:cs="Times New Roman" w:eastAsia="Times New Roman" w:hAnsi="Times New Roman"/>
          <w:sz w:val="21"/>
          <w:szCs w:val="21"/>
          <w:color w:val="auto"/>
        </w:rPr>
      </w:pPr>
    </w:p>
    <w:p>
      <w:pPr>
        <w:ind w:right="280" w:firstLine="1174"/>
        <w:spacing w:after="0" w:line="257" w:lineRule="auto"/>
        <w:tabs>
          <w:tab w:leader="none" w:pos="1634"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Agreement, but subject to Section 6.03, no Shareholder shall be required to make any Capital Contribution (other than a Capital Contribution by Comcast AG Shareholder to fund the Management Fee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22" w:right="359" w:bottom="1440" w:gutter="0" w:footer="0" w:header="0"/>
        </w:sectPr>
      </w:pPr>
    </w:p>
    <w:bookmarkStart w:id="291" w:name="page292"/>
    <w:bookmarkEnd w:id="291"/>
    <w:p>
      <w:pPr>
        <w:spacing w:after="0" w:line="19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Section 6.02(d)) to the extent that, at the time such Capital Contribution is to be made, such Capital Contribution exceeds such Shareholder’s Available Capital Commitment at such time.</w:t>
      </w:r>
    </w:p>
    <w:p>
      <w:pPr>
        <w:spacing w:after="0" w:line="158" w:lineRule="exact"/>
        <w:rPr>
          <w:sz w:val="20"/>
          <w:szCs w:val="20"/>
          <w:color w:val="auto"/>
        </w:rPr>
      </w:pPr>
    </w:p>
    <w:p>
      <w:pPr>
        <w:ind w:left="1620" w:hanging="446"/>
        <w:spacing w:after="0"/>
        <w:tabs>
          <w:tab w:leader="none" w:pos="162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Comcast AG Shareholder’s election, the Commitment Period shall terminate early upon the first to occur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following:</w:t>
      </w:r>
    </w:p>
    <w:p>
      <w:pPr>
        <w:spacing w:after="0" w:line="195" w:lineRule="exact"/>
        <w:rPr>
          <w:rFonts w:ascii="Times New Roman" w:cs="Times New Roman" w:eastAsia="Times New Roman" w:hAnsi="Times New Roman"/>
          <w:sz w:val="21"/>
          <w:szCs w:val="21"/>
          <w:color w:val="auto"/>
        </w:rPr>
      </w:pPr>
    </w:p>
    <w:p>
      <w:pPr>
        <w:ind w:left="2380" w:hanging="428"/>
        <w:spacing w:after="0"/>
        <w:tabs>
          <w:tab w:leader="none" w:pos="238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Initial CEO Event; or</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Cause Event.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shall give Comcast prompt notice of the occurrence of any Initial CEO Event or Cause Event.</w:t>
      </w:r>
    </w:p>
    <w:p>
      <w:pPr>
        <w:spacing w:after="0" w:line="220" w:lineRule="exact"/>
        <w:rPr>
          <w:sz w:val="20"/>
          <w:szCs w:val="20"/>
          <w:color w:val="auto"/>
        </w:rPr>
      </w:pPr>
    </w:p>
    <w:p>
      <w:pPr>
        <w:ind w:right="460" w:firstLine="1174"/>
        <w:spacing w:after="0" w:line="271" w:lineRule="auto"/>
        <w:tabs>
          <w:tab w:leader="none" w:pos="163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Contributions shall be treated by the Company as consideration for the subscription for additional Class I Shares in accordance with Section 2.05(b).</w:t>
      </w:r>
    </w:p>
    <w:p>
      <w:pPr>
        <w:spacing w:after="0" w:line="154"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i w:val="1"/>
          <w:iCs w:val="1"/>
          <w:color w:val="auto"/>
        </w:rPr>
        <w:t>Drawdowns.</w:t>
      </w:r>
    </w:p>
    <w:p>
      <w:pPr>
        <w:spacing w:after="0" w:line="224" w:lineRule="exact"/>
        <w:rPr>
          <w:sz w:val="20"/>
          <w:szCs w:val="20"/>
          <w:color w:val="auto"/>
        </w:rPr>
      </w:pPr>
    </w:p>
    <w:p>
      <w:pPr>
        <w:ind w:firstLine="1174"/>
        <w:spacing w:after="0" w:line="248" w:lineRule="auto"/>
        <w:tabs>
          <w:tab w:leader="none" w:pos="1622"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Article 4 and this Article 6, each Shareholder shall make Capital Contributions in such amounts and at such times as the Company shall specify in notices (“</w:t>
      </w:r>
      <w:r>
        <w:rPr>
          <w:rFonts w:ascii="Times New Roman" w:cs="Times New Roman" w:eastAsia="Times New Roman" w:hAnsi="Times New Roman"/>
          <w:sz w:val="22"/>
          <w:szCs w:val="22"/>
          <w:b w:val="1"/>
          <w:bCs w:val="1"/>
          <w:color w:val="auto"/>
        </w:rPr>
        <w:t>Drawdown Notices</w:t>
      </w:r>
      <w:r>
        <w:rPr>
          <w:rFonts w:ascii="Times New Roman" w:cs="Times New Roman" w:eastAsia="Times New Roman" w:hAnsi="Times New Roman"/>
          <w:sz w:val="22"/>
          <w:szCs w:val="22"/>
          <w:color w:val="auto"/>
        </w:rPr>
        <w:t>”) delivered from time to time to such Shareholder. All Capital Contributions shall be paid to the Company in immediately available funds in U.S. dollars by 11:00 A.M. (New York time) on the date specified in the applicable Drawdown Notice. Capital Contributions may include amounts that the Company determines, in its reasonable discretion, are necessary or desirable for Temporary Cash Funds or to establish reserves in respect of Company Expenses.</w:t>
      </w:r>
    </w:p>
    <w:p>
      <w:pPr>
        <w:spacing w:after="0" w:line="186" w:lineRule="exact"/>
        <w:rPr>
          <w:rFonts w:ascii="Times New Roman" w:cs="Times New Roman" w:eastAsia="Times New Roman" w:hAnsi="Times New Roman"/>
          <w:sz w:val="22"/>
          <w:szCs w:val="22"/>
          <w:color w:val="auto"/>
        </w:rPr>
      </w:pPr>
    </w:p>
    <w:p>
      <w:pPr>
        <w:ind w:left="1640" w:hanging="466"/>
        <w:spacing w:after="0"/>
        <w:tabs>
          <w:tab w:leader="none" w:pos="1640"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Drawdown Notice in respect of a Drawdown shall specify:</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manner in which, and the expected date on which, such Drawdown is to be applied;</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required Capital Contribution to be made by each Shareholder (which shall be equal to the sum of</w:t>
      </w:r>
    </w:p>
    <w:p>
      <w:pPr>
        <w:spacing w:after="0" w:line="39" w:lineRule="exact"/>
        <w:rPr>
          <w:rFonts w:ascii="Times New Roman" w:cs="Times New Roman" w:eastAsia="Times New Roman" w:hAnsi="Times New Roman"/>
          <w:sz w:val="21"/>
          <w:szCs w:val="21"/>
          <w:color w:val="auto"/>
        </w:rPr>
      </w:pPr>
    </w:p>
    <w:p>
      <w:pPr>
        <w:ind w:right="540" w:firstLine="8"/>
        <w:spacing w:after="0" w:line="248" w:lineRule="auto"/>
        <w:tabs>
          <w:tab w:leader="none" w:pos="30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Shareholder’s share (determined pursuant to Section 6.02(c)) of each Investment Drawdown Amount, and (y) such Shareholder’s share (determined pursuant to Section 6.02(d)) of each Company Expenses Drawdown Amount;</w:t>
      </w:r>
    </w:p>
    <w:p>
      <w:pPr>
        <w:spacing w:after="0" w:line="178" w:lineRule="exact"/>
        <w:rPr>
          <w:rFonts w:ascii="Times New Roman" w:cs="Times New Roman" w:eastAsia="Times New Roman" w:hAnsi="Times New Roman"/>
          <w:sz w:val="22"/>
          <w:szCs w:val="22"/>
          <w:color w:val="auto"/>
        </w:rPr>
      </w:pPr>
    </w:p>
    <w:p>
      <w:pPr>
        <w:ind w:right="200" w:firstLine="1952"/>
        <w:spacing w:after="0" w:line="275" w:lineRule="auto"/>
        <w:tabs>
          <w:tab w:leader="none" w:pos="2484" w:val="left"/>
        </w:tabs>
        <w:numPr>
          <w:ilvl w:val="2"/>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w:t>
      </w:r>
      <w:r>
        <w:rPr>
          <w:rFonts w:ascii="Times New Roman" w:cs="Times New Roman" w:eastAsia="Times New Roman" w:hAnsi="Times New Roman"/>
          <w:sz w:val="22"/>
          <w:szCs w:val="22"/>
          <w:b w:val="1"/>
          <w:bCs w:val="1"/>
          <w:color w:val="auto"/>
        </w:rPr>
        <w:t>Drawdown Date</w:t>
      </w:r>
      <w:r>
        <w:rPr>
          <w:rFonts w:ascii="Times New Roman" w:cs="Times New Roman" w:eastAsia="Times New Roman" w:hAnsi="Times New Roman"/>
          <w:sz w:val="22"/>
          <w:szCs w:val="22"/>
          <w:color w:val="auto"/>
        </w:rPr>
        <w:t>”) on which such Capital Contribution is due, which will be at least 10 Business Days from and including the date of delivery of the Drawdown Notice; and</w:t>
      </w:r>
    </w:p>
    <w:p>
      <w:pPr>
        <w:spacing w:after="0" w:line="15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2"/>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of the Company to which such Capital Contributions shall be paid.</w:t>
      </w:r>
    </w:p>
    <w:p>
      <w:pPr>
        <w:spacing w:after="0" w:line="219" w:lineRule="exact"/>
        <w:rPr>
          <w:rFonts w:ascii="Times New Roman" w:cs="Times New Roman" w:eastAsia="Times New Roman" w:hAnsi="Times New Roman"/>
          <w:sz w:val="22"/>
          <w:szCs w:val="22"/>
          <w:color w:val="auto"/>
        </w:rPr>
      </w:pPr>
    </w:p>
    <w:p>
      <w:pPr>
        <w:ind w:right="60" w:firstLine="1174"/>
        <w:spacing w:after="0" w:line="257" w:lineRule="auto"/>
        <w:tabs>
          <w:tab w:leader="none" w:pos="1618"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draw of Capital Contributions to the extent to fund an Investment, each Shareholder shall be required to make a Capital Contribution equal to the product of (x) such Shareholder’s Available Commitment Percentage multiplied by (y)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1440" w:right="359" w:bottom="1440" w:gutter="0" w:footer="0" w:header="0"/>
        </w:sectPr>
      </w:pPr>
    </w:p>
    <w:bookmarkStart w:id="292" w:name="page293"/>
    <w:bookmarkEnd w:id="292"/>
    <w:p>
      <w:pPr>
        <w:spacing w:after="0" w:line="1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 xml:space="preserve">Investment Drawdown Amount in respect of such Investment;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Comcast Shareholder’s aggregate share of all such Capital Contributions (i) to fund the Investment in Spectra shall be made by Comcast Spectacor Shareholder (and not Comcast AG Shareholder) and (ii) to fund all other Investments shall be made by Comcast AG Shareholder (and not Comcast Spectacor Shareholder). In lieu of requiring any Shareholder to make any Capital Contributions contemplated by this Section 6.02(c), the Company may elect to incur Company Debt to fund all or any portion of an Investment that would otherwise be funded with the proceeds of such Capital Contributions (and in any such case, for the avoidance of doubt, the calculation of a Shareholder’s share of the amount required to fund an Investment shall be calculated in accordance with this Section 6.02(c)). If the Company intends to make any such election with respect to any Shareholder, the Company shall in any event provide a Drawdown Notice to such Shareholder as if Capital Contributions would be required from such Shareholder and include in such Drawdown Notice a statement of the Company’s intent to make such election. Within five Business Days of delivery of such Drawdown Notice, the Shareholder may inform the Company that the Shareholder refuses the Company’s election and will instead make its Capital Contributions in cash in accordance with Section 6.02(a) and otherwise in a timely manner (and upon receipt of such information, the Company’s election shall be cancelled and of no further force or effect). The Company may make any election under the second sentence of this Section 6.02(c) with respect to one or more Shareholders and not any other Shareholder. For purposes of this Agreement, any Capital Contribution made by a Shareholder for purposes of repaying Company Debt as contemplated by Section 8.05(h) shall be treated as a Capital Contribution to fund an Investment, or in respect of an Investment, to the extent, and only to the extent, the amount being repaid consists of any portion of such Company Debt originally incurred to fund any portion of the acquisition cost of such Investment (and, for the avoidance of doubt, any Capital Contributions used to pay interest, fees or similar amounts in respect of Company Debt shall not be treated as Capital Contributions to fund any portion of the acquisition cost of an Investment).</w:t>
      </w:r>
    </w:p>
    <w:p>
      <w:pPr>
        <w:spacing w:after="0" w:line="185" w:lineRule="exact"/>
        <w:rPr>
          <w:sz w:val="20"/>
          <w:szCs w:val="20"/>
          <w:color w:val="auto"/>
        </w:rPr>
      </w:pPr>
    </w:p>
    <w:p>
      <w:pPr>
        <w:ind w:firstLine="1174"/>
        <w:spacing w:after="0" w:line="257" w:lineRule="auto"/>
        <w:tabs>
          <w:tab w:leader="none" w:pos="1630"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each draw of Capital Contributions to the extent to fund Company Expenses, subject to Section 8.05(h), each Shareholder shall be required to make a Capital Contribution equal to the product of (x) such Shareholder’s Available Commitment Percentage multiplied by (y) the Company Expenses Drawdown Amount in respect of such Company Expenses;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with respect to each draw of Capital Contributions to the extent to fund Company Expenses (other than the Management Fee), Comcast Shareholder’s aggregate share of all such Capital Contributions (i) reasonably determined by the Manager to be allocable to the Investment in Spectra shall be made by Comcast Spectacor Shareholder (and not Comcast AG Shareholder) notwithstanding that such Capital Contribution may exceed Comcast Spectacor Shareholder’s Available Capital Commitment (in which case, Comcast Spectacor Shareholder’s Capital Commitment shall be increased by the amount of such Capital Contributions and Comcast AG Shareholder’s Capital Commitment shall be decreased by a corresponding amount) and</w:t>
      </w:r>
    </w:p>
    <w:p>
      <w:pPr>
        <w:spacing w:after="0" w:line="5" w:lineRule="exact"/>
        <w:rPr>
          <w:rFonts w:ascii="Times New Roman" w:cs="Times New Roman" w:eastAsia="Times New Roman" w:hAnsi="Times New Roman"/>
          <w:sz w:val="21"/>
          <w:szCs w:val="21"/>
          <w:color w:val="auto"/>
        </w:rPr>
      </w:pPr>
    </w:p>
    <w:p>
      <w:pPr>
        <w:jc w:val="both"/>
        <w:ind w:right="160" w:firstLine="8"/>
        <w:spacing w:after="0" w:line="245" w:lineRule="auto"/>
        <w:tabs>
          <w:tab w:leader="none" w:pos="31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otherwise shall be made by Comcast AG Shareholder (and not Comcast Spectacor Shareholder);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with respect to each draw of Capital Contributions to the extent to fund the Management Fee, Comcast AG Shareholder shall be required to make a Capital Contribution equal to the amount of the Management Fee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funded by such draw and no other Shareholder shall be required to make any Capital Contribution.</w:t>
      </w:r>
    </w:p>
    <w:p>
      <w:pPr>
        <w:spacing w:after="0" w:line="220" w:lineRule="exact"/>
        <w:rPr>
          <w:sz w:val="20"/>
          <w:szCs w:val="20"/>
          <w:color w:val="auto"/>
        </w:rPr>
      </w:pPr>
    </w:p>
    <w:p>
      <w:pPr>
        <w:ind w:right="160" w:firstLine="1174"/>
        <w:spacing w:after="0" w:line="252" w:lineRule="auto"/>
        <w:tabs>
          <w:tab w:leader="none" w:pos="1622"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4.01, the Company may utilize previous Capital Contributions in respect of Temporary Cash Funds or amounts retained by the Company pursuant to Section 8.05(c) to fund all or any portion of the acquisition of any Investment or the payment of Company Expenses at any time, and, for the avoidance of doubt, any such use will not reduce the Available Capital Commitment of any Shareholder.</w:t>
      </w:r>
    </w:p>
    <w:p>
      <w:pPr>
        <w:spacing w:after="0" w:line="179" w:lineRule="exact"/>
        <w:rPr>
          <w:rFonts w:ascii="Times New Roman" w:cs="Times New Roman" w:eastAsia="Times New Roman" w:hAnsi="Times New Roman"/>
          <w:sz w:val="22"/>
          <w:szCs w:val="22"/>
          <w:color w:val="auto"/>
        </w:rPr>
      </w:pPr>
    </w:p>
    <w:p>
      <w:pPr>
        <w:ind w:firstLine="1174"/>
        <w:spacing w:after="0" w:line="257" w:lineRule="auto"/>
        <w:tabs>
          <w:tab w:leader="none" w:pos="1598"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Sections 6.02(a) or 6.02(b) or anything to the contrary in this Agreement, the initial Capital Contributions by Comcast Spectacor Shareholder and ManagementCo Shareholder in respect of the Investment in Spectra shall be made in-kind in accordance with the Spectra Agreement, and not in immediately available funds in U.S. dollars, and the parties agree that the Drawdown Notice in respect of such Investment in Spectra will not be delivered at least 10 Business Days prior to the Drawdown Date. Comcast Shareholder’s and ManagementCo Shareholder’s share of all future Capital Contributions in respect of the Investment in Spectra shall be made in accordance with this Section 6.02. Notwithstanding anything to the contrary in this Agreement, promptly following (i) the initial Capital Contribution of each of Comcast Spectacor Shareholder and ManagementCo Shareholder in respect of the Investment in Spectra and (ii) the incurrence of certain borrowings by Spectra, a portion of the proceeds of such borrowings shall be distributed, first, to the Company by Spectra and, second, to the Shareholders by the Company, in each case, in the amounts provided in the Spectra Agreement. The parties agree that (i) the amount distributed to the Shareholders pursuant to the preceding sentence shall be treated as a Recap Dividend pursuant to Section</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8.03(c) (and, for purposes of allocating Capital Contributions in respect of the Investment in Spectra as contemplated by Section</w:t>
      </w:r>
    </w:p>
    <w:p>
      <w:pPr>
        <w:spacing w:after="0" w:line="15" w:lineRule="exact"/>
        <w:rPr>
          <w:rFonts w:ascii="Times New Roman" w:cs="Times New Roman" w:eastAsia="Times New Roman" w:hAnsi="Times New Roman"/>
          <w:sz w:val="21"/>
          <w:szCs w:val="21"/>
          <w:color w:val="auto"/>
        </w:rPr>
      </w:pPr>
    </w:p>
    <w:p>
      <w:pPr>
        <w:ind w:right="4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8.03(c), (a) an amount equal to the amount of the Recap Dividend shall be allocated to the disposed of portion of the Investment and (b) an amount equal to (1) the amount of Capital Contributions in respect of the Investment in Spectra minus (2) the amount of the Recap Dividend shall be allocated to the remaining portion of the Investment) and (ii) solely for purposes of Section 8.02, Section 8.03 (other than Section 8.03(c)) and Article 11, the portion of the initial Capital Contribution of Comcast Spectacor Shareholder in respect of the Investment in Spectra that is allocated to such Recap Dividend pursuant to Section 8.03(c) shall be deemed to have been made by Comcast AG Shareholder (and not Comcast Spectacor Shareholder) to the extent of the amount of proceeds distributed to Comcast AG Shareholder pursuant to the preceding sentence. To the extent the distribution to the Shareholders contemplated by the third sentence of this Section 6.02(f) is not made on of the date of the initial Capital Contributions in respect of the Investment in Spectra, but is made within five Business Days thereafter, such distribution shall nevertheless be deemed to be made on the same date as such Capital Contributions for all purposes of calculating the Priority Return in connection with the Capital Contributions returned as part of such distribution.</w:t>
      </w:r>
    </w:p>
    <w:p>
      <w:pPr>
        <w:spacing w:after="0" w:line="176" w:lineRule="exact"/>
        <w:rPr>
          <w:sz w:val="20"/>
          <w:szCs w:val="20"/>
          <w:color w:val="auto"/>
        </w:rPr>
      </w:pPr>
    </w:p>
    <w:p>
      <w:pPr>
        <w:ind w:right="22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i w:val="1"/>
          <w:iCs w:val="1"/>
          <w:color w:val="auto"/>
        </w:rPr>
        <w:t>Reinvestment.</w:t>
      </w:r>
      <w:r>
        <w:rPr>
          <w:rFonts w:ascii="Times New Roman" w:cs="Times New Roman" w:eastAsia="Times New Roman" w:hAnsi="Times New Roman"/>
          <w:sz w:val="22"/>
          <w:szCs w:val="22"/>
          <w:color w:val="auto"/>
        </w:rPr>
        <w:t xml:space="preserve"> At all times during the Commitment Period, the Company may recall as Capital Contributions pursuant to this Article 6 all or a portion of amounts distributed to the Shareholders pursuant to Section 8.02 that represent the return of Capital Contributions made by the Shareholders and use such recalled amounts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00"/>
          </w:cols>
          <w:pgMar w:left="320" w:top="1440" w:right="379" w:bottom="1440" w:gutter="0" w:footer="0" w:header="0"/>
        </w:sectPr>
      </w:pPr>
    </w:p>
    <w:bookmarkStart w:id="294" w:name="page295"/>
    <w:bookmarkEnd w:id="294"/>
    <w:p>
      <w:pPr>
        <w:ind w:right="180"/>
        <w:spacing w:after="0" w:line="258" w:lineRule="auto"/>
        <w:rPr>
          <w:sz w:val="20"/>
          <w:szCs w:val="20"/>
          <w:color w:val="auto"/>
        </w:rPr>
      </w:pPr>
      <w:r>
        <w:rPr>
          <w:rFonts w:ascii="Times New Roman" w:cs="Times New Roman" w:eastAsia="Times New Roman" w:hAnsi="Times New Roman"/>
          <w:sz w:val="21"/>
          <w:szCs w:val="21"/>
          <w:color w:val="auto"/>
        </w:rPr>
        <w:t xml:space="preserve">making of Investments;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will the cost basis of Investments held by the Company attributable to Capital Contributions made by Comcast Shareholder (including any recalled Capital Contributions) exceed $4,500,000,000 at any time (for the avoidance of doubt, not reduced by any amounts retained by the Company pursuant to Section 8.05(c)). In order to give effect to the foregoing, any amounts distributed prior to the end of the Commitment Period to any Shareholder pursuant to Section 8.02 that represent the return of Capital Contributions shall reduce, on a dollar-for-dollar basis, the amount of “Capital Contributions made” by such Shareholder prior to such time for purposes of clause (b) of the definition of “Available Capital Commitments”. Notwithstanding the foregoing or anything to the contrary in this Agreement, for purposes of this Section 6.03,</w:t>
      </w:r>
    </w:p>
    <w:p>
      <w:pPr>
        <w:spacing w:after="0" w:line="6" w:lineRule="exact"/>
        <w:rPr>
          <w:sz w:val="20"/>
          <w:szCs w:val="20"/>
          <w:color w:val="auto"/>
        </w:rPr>
      </w:pPr>
    </w:p>
    <w:p>
      <w:pPr>
        <w:ind w:right="140" w:firstLine="8"/>
        <w:spacing w:after="0" w:line="258" w:lineRule="auto"/>
        <w:tabs>
          <w:tab w:leader="none" w:pos="294"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distribution to each Shareholder as contemplated by the third sentence of Section 6.02(f) will be recallable under this Section 6.03 until the end of the Commitment Period (and shall reduce, on a dollar-for-dollar basis, the amount of “Capital Contributions made” by such Shareholder prior to such time for purposes of clause (b) of the definition of “Available Capital Commitments”) and (b) amounts distributed to Comcast Spectacor Shareholder pursuant to Section 8.02 that represent the return of Capital Contributions made by Comcast Spectacor Shareholder may be recalled from Comcast AG Shareholder (as if originally made by Comcast AG Shareholder) for the purpose of making Investments other than any Investment in Spectra.</w:t>
      </w:r>
    </w:p>
    <w:p>
      <w:pPr>
        <w:spacing w:after="0" w:line="1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7</w:t>
      </w:r>
    </w:p>
    <w:p>
      <w:pPr>
        <w:spacing w:after="0" w:line="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Expenses</w:t>
      </w:r>
    </w:p>
    <w:p>
      <w:pPr>
        <w:spacing w:after="0" w:line="243" w:lineRule="exact"/>
        <w:rPr>
          <w:sz w:val="20"/>
          <w:szCs w:val="20"/>
          <w:color w:val="auto"/>
        </w:rPr>
      </w:pPr>
    </w:p>
    <w:p>
      <w:pPr>
        <w:ind w:firstLine="972"/>
        <w:spacing w:after="0" w:line="259"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i w:val="1"/>
          <w:iCs w:val="1"/>
          <w:color w:val="auto"/>
        </w:rPr>
        <w:t>Definition and Payment of Manager Expenses</w:t>
      </w:r>
      <w:r>
        <w:rPr>
          <w:rFonts w:ascii="Times New Roman" w:cs="Times New Roman" w:eastAsia="Times New Roman" w:hAnsi="Times New Roman"/>
          <w:sz w:val="21"/>
          <w:szCs w:val="21"/>
          <w:color w:val="auto"/>
        </w:rPr>
        <w:t>. The Management Agreement provides that, as between the Manager and the Company, the Manager shall be solely responsible for and shall pay all Manager Expenses. As used herein, the term “</w:t>
      </w:r>
      <w:r>
        <w:rPr>
          <w:rFonts w:ascii="Times New Roman" w:cs="Times New Roman" w:eastAsia="Times New Roman" w:hAnsi="Times New Roman"/>
          <w:sz w:val="21"/>
          <w:szCs w:val="21"/>
          <w:b w:val="1"/>
          <w:bCs w:val="1"/>
          <w:color w:val="auto"/>
        </w:rPr>
        <w:t>Manager Expenses</w:t>
      </w:r>
      <w:r>
        <w:rPr>
          <w:rFonts w:ascii="Times New Roman" w:cs="Times New Roman" w:eastAsia="Times New Roman" w:hAnsi="Times New Roman"/>
          <w:sz w:val="21"/>
          <w:szCs w:val="21"/>
          <w:color w:val="auto"/>
        </w:rPr>
        <w:t>” means normal operating expenses of the Manager including compensation and employee benefit expenses of employees of the Manager and related overhead (including rent, utilities and other similar items) (it being understood that the Manager or any of its Affiliates may seek to be reimbursed by actual or potential Portfolio Companies for out-of-pocket expenses incurred by the Manager or any of its Affiliates (e.g., due diligence, legal, accounting, investment banking and similar expenses incurred in connection with any actual or prospective transactions; travel expenses associated with attending board meetings and otherwise conducting investment oversight, etc.)), and routine administrative expenses of the Company (e.g., the preparation of financial statements of the Company pursuant to Section 10.02(a) and the preparation and filing of tax returns of the Company pursuant to Section 10.19(a), subject to the other terms regarding expenses set forth in Section 10.19(a)).</w:t>
      </w:r>
    </w:p>
    <w:p>
      <w:pPr>
        <w:spacing w:after="0" w:line="17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i w:val="1"/>
          <w:iCs w:val="1"/>
          <w:color w:val="auto"/>
        </w:rPr>
        <w:t>Definition and Payment of Company Expenses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700" w:firstLine="1174"/>
        <w:spacing w:after="0" w:line="257" w:lineRule="auto"/>
        <w:tabs>
          <w:tab w:leader="none" w:pos="1618"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responsible for and shall pay all Company Expenses. As used herein, the term “</w:t>
      </w:r>
      <w:r>
        <w:rPr>
          <w:rFonts w:ascii="Times New Roman" w:cs="Times New Roman" w:eastAsia="Times New Roman" w:hAnsi="Times New Roman"/>
          <w:sz w:val="22"/>
          <w:szCs w:val="22"/>
          <w:b w:val="1"/>
          <w:bCs w:val="1"/>
          <w:color w:val="auto"/>
        </w:rPr>
        <w:t>Company Expenses</w:t>
      </w:r>
      <w:r>
        <w:rPr>
          <w:rFonts w:ascii="Times New Roman" w:cs="Times New Roman" w:eastAsia="Times New Roman" w:hAnsi="Times New Roman"/>
          <w:sz w:val="22"/>
          <w:szCs w:val="22"/>
          <w:color w:val="auto"/>
        </w:rPr>
        <w:t>” means all expenses or obligations of the Company or any Subsidiary, or otherwise incurred by the Manager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18" w:right="359" w:bottom="1440" w:gutter="0" w:footer="0" w:header="0"/>
        </w:sectPr>
      </w:pPr>
    </w:p>
    <w:bookmarkStart w:id="295" w:name="page296"/>
    <w:bookmarkEnd w:id="29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(other than (x) Manager Expenses and (y) the obligation of the Company to pay the purchase price for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including:</w:t>
      </w:r>
    </w:p>
    <w:p>
      <w:pPr>
        <w:spacing w:after="0" w:line="196" w:lineRule="exact"/>
        <w:rPr>
          <w:sz w:val="20"/>
          <w:szCs w:val="20"/>
          <w:color w:val="auto"/>
        </w:rPr>
      </w:pPr>
    </w:p>
    <w:p>
      <w:pPr>
        <w:ind w:left="2380" w:hanging="428"/>
        <w:spacing w:after="0"/>
        <w:tabs>
          <w:tab w:leader="none" w:pos="238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expenses in connection with the organization of the Company;</w:t>
      </w:r>
    </w:p>
    <w:p>
      <w:pPr>
        <w:spacing w:after="0" w:line="219" w:lineRule="exact"/>
        <w:rPr>
          <w:rFonts w:ascii="Times New Roman" w:cs="Times New Roman" w:eastAsia="Times New Roman" w:hAnsi="Times New Roman"/>
          <w:sz w:val="22"/>
          <w:szCs w:val="22"/>
          <w:color w:val="auto"/>
        </w:rPr>
      </w:pPr>
    </w:p>
    <w:p>
      <w:pPr>
        <w:ind w:firstLine="1952"/>
        <w:spacing w:after="0" w:line="250" w:lineRule="auto"/>
        <w:tabs>
          <w:tab w:leader="none" w:pos="242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reimbursed by actual or potential Portfolio Companies, expenses directly attributable to any Investment or proposed Investment that is ultimately not made by the Company, including all unreimbursed expenses incurred in connection with the evaluation, making, holding, refinancing, pledging, sale or other disposition or proposed refinancing, pledging, sale or other disposition of all or any portion of such Investment (including deal initiation expenses, investment banking, consulting, valuation, custodial, trustee and professional expenses, and travel);</w:t>
      </w:r>
    </w:p>
    <w:p>
      <w:pPr>
        <w:spacing w:after="0" w:line="180" w:lineRule="exact"/>
        <w:rPr>
          <w:rFonts w:ascii="Times New Roman" w:cs="Times New Roman" w:eastAsia="Times New Roman" w:hAnsi="Times New Roman"/>
          <w:sz w:val="22"/>
          <w:szCs w:val="22"/>
          <w:color w:val="auto"/>
        </w:rPr>
      </w:pPr>
    </w:p>
    <w:p>
      <w:pPr>
        <w:ind w:right="500" w:firstLine="1952"/>
        <w:spacing w:after="0" w:line="257" w:lineRule="auto"/>
        <w:tabs>
          <w:tab w:leader="none" w:pos="248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reimbursed by actual or potential Portfolio Companies, other expenses of the Company incurred in connection with the ongoing operation and administration of the Company that are not included in the definition of “Manager Expenses”, including the Management Fee;</w:t>
      </w:r>
    </w:p>
    <w:p>
      <w:pPr>
        <w:spacing w:after="0" w:line="17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Debt Expenses; and</w:t>
      </w:r>
    </w:p>
    <w:p>
      <w:pPr>
        <w:spacing w:after="0" w:line="219" w:lineRule="exact"/>
        <w:rPr>
          <w:rFonts w:ascii="Times New Roman" w:cs="Times New Roman" w:eastAsia="Times New Roman" w:hAnsi="Times New Roman"/>
          <w:sz w:val="22"/>
          <w:szCs w:val="22"/>
          <w:color w:val="auto"/>
        </w:rPr>
      </w:pPr>
    </w:p>
    <w:p>
      <w:pPr>
        <w:ind w:right="240" w:firstLine="1952"/>
        <w:spacing w:after="0" w:line="252" w:lineRule="auto"/>
        <w:tabs>
          <w:tab w:leader="none" w:pos="2412"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non-routine or extraordinary expenses of the Company, including any litigation-related expense, indemnification obligation and any other indemnity, contribution or reimbursement obligations of the Company with respect to any Person, whether payable in connection with a proceeding involving the Company or otherwise, and premiums for related insurance, if any.</w:t>
      </w:r>
    </w:p>
    <w:p>
      <w:pPr>
        <w:spacing w:after="0" w:line="19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8</w:t>
      </w:r>
    </w:p>
    <w:p>
      <w:pPr>
        <w:spacing w:after="0" w:line="7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Distributions; Allocations; Capital Accounts</w:t>
      </w:r>
    </w:p>
    <w:p>
      <w:pPr>
        <w:spacing w:after="0" w:line="243" w:lineRule="exact"/>
        <w:rPr>
          <w:sz w:val="20"/>
          <w:szCs w:val="20"/>
          <w:color w:val="auto"/>
        </w:rPr>
      </w:pPr>
    </w:p>
    <w:p>
      <w:pPr>
        <w:ind w:right="10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i w:val="1"/>
          <w:iCs w:val="1"/>
          <w:color w:val="auto"/>
        </w:rPr>
        <w:t>Distributions Generally.</w:t>
      </w:r>
      <w:r>
        <w:rPr>
          <w:rFonts w:ascii="Times New Roman" w:cs="Times New Roman" w:eastAsia="Times New Roman" w:hAnsi="Times New Roman"/>
          <w:sz w:val="22"/>
          <w:szCs w:val="22"/>
          <w:color w:val="auto"/>
        </w:rPr>
        <w:t xml:space="preserve"> Subject to the provisions of Section 11.01, distributions shall be made in accordance with this Article 8. Except as expressly set forth below, all calculations with respect to distributions shall be made on an Investment-by-Investment basis.</w:t>
      </w:r>
    </w:p>
    <w:p>
      <w:pPr>
        <w:spacing w:after="0" w:line="166" w:lineRule="exact"/>
        <w:rPr>
          <w:sz w:val="20"/>
          <w:szCs w:val="20"/>
          <w:color w:val="auto"/>
        </w:rPr>
      </w:pPr>
    </w:p>
    <w:p>
      <w:pPr>
        <w:ind w:right="60" w:firstLine="972"/>
        <w:spacing w:after="0" w:line="253"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i w:val="1"/>
          <w:iCs w:val="1"/>
          <w:color w:val="auto"/>
        </w:rPr>
        <w:t>Distributions of Proceeds of Investments</w:t>
      </w:r>
      <w:r>
        <w:rPr>
          <w:rFonts w:ascii="Times New Roman" w:cs="Times New Roman" w:eastAsia="Times New Roman" w:hAnsi="Times New Roman"/>
          <w:sz w:val="22"/>
          <w:szCs w:val="22"/>
          <w:color w:val="auto"/>
        </w:rPr>
        <w:t>. Subject to Section 8.05, and to amounts being lawfully available for the purpose, distributions of Proceeds in respect of a particular Investment will be made in respect of the Class I Shares and the Class II Shares until the holders of the Class I Shares and the Class II Shares have received, on a cumulative basis and without duplication, the amounts set forth below in the following order of priority:</w:t>
      </w:r>
    </w:p>
    <w:p>
      <w:pPr>
        <w:spacing w:after="0" w:line="175" w:lineRule="exact"/>
        <w:rPr>
          <w:sz w:val="20"/>
          <w:szCs w:val="20"/>
          <w:color w:val="auto"/>
        </w:rPr>
      </w:pPr>
    </w:p>
    <w:p>
      <w:pPr>
        <w:jc w:val="both"/>
        <w:ind w:right="140" w:firstLine="1174"/>
        <w:spacing w:after="0" w:line="277" w:lineRule="auto"/>
        <w:tabs>
          <w:tab w:leader="none" w:pos="1622"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100% to the holders of Class I Shares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accordance with the amount of Capital Contributions made by such holders in respect of such Investment) until the aggregate amount distributed in respect of the relevant Investment equals the aggregate amount of Capital Contributions made in respect of such Investment plus the Priority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94" w:lineRule="exact"/>
        <w:rPr>
          <w:sz w:val="20"/>
          <w:szCs w:val="20"/>
          <w:color w:val="auto"/>
        </w:rPr>
      </w:pPr>
    </w:p>
    <w:p>
      <w:pPr>
        <w:ind w:left="-8" w:right="560" w:firstLine="1174"/>
        <w:spacing w:after="0" w:line="253" w:lineRule="auto"/>
        <w:tabs>
          <w:tab w:leader="none" w:pos="1626"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100% to the holders of Class I Shares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 of Capital Contributions made by such holders in respect of previously realized Investments) until the aggregate amount distributed in respect of previously realized Investments equals the aggregate amount of Capital Contributions made in respect of such previously realized Investments plus the Priority Return;</w:t>
      </w:r>
    </w:p>
    <w:p>
      <w:pPr>
        <w:spacing w:after="0" w:line="179" w:lineRule="exact"/>
        <w:rPr>
          <w:rFonts w:ascii="Times New Roman" w:cs="Times New Roman" w:eastAsia="Times New Roman" w:hAnsi="Times New Roman"/>
          <w:sz w:val="22"/>
          <w:szCs w:val="22"/>
          <w:color w:val="auto"/>
        </w:rPr>
      </w:pPr>
    </w:p>
    <w:p>
      <w:pPr>
        <w:ind w:left="-8" w:firstLine="1174"/>
        <w:spacing w:after="0" w:line="250" w:lineRule="auto"/>
        <w:tabs>
          <w:tab w:leader="none" w:pos="1614"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100% to Comcast AG Shareholder until the aggregate amount distributed equals the amount of Capital Contributions made in respect of Management Fees theretofore paid that the Manager determines in good faith should be returned pursuant to this clause third in order to reflect the cost basis of the portion of the Company’s aggregate portfolio represented by the relevant Investment and the previously realized Investments (measured relative to the cost basis of all realized and unrealized Investments) plus the Priority Return on such amount of Management Fees;</w:t>
      </w:r>
    </w:p>
    <w:p>
      <w:pPr>
        <w:spacing w:after="0" w:line="176" w:lineRule="exact"/>
        <w:rPr>
          <w:rFonts w:ascii="Times New Roman" w:cs="Times New Roman" w:eastAsia="Times New Roman" w:hAnsi="Times New Roman"/>
          <w:sz w:val="22"/>
          <w:szCs w:val="22"/>
          <w:color w:val="auto"/>
        </w:rPr>
      </w:pPr>
    </w:p>
    <w:p>
      <w:pPr>
        <w:ind w:left="-8" w:right="20" w:firstLine="1174"/>
        <w:spacing w:after="0" w:line="247" w:lineRule="auto"/>
        <w:tabs>
          <w:tab w:leader="none" w:pos="1626"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100% to the holders of Class I Shares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 of Capital Contributions made by such holders in respect of Qualifying Company Expenses) until the aggregate amount distributed equals the amount of Capital Contributions made in respect of Company Expenses (whether or not attributable to any Investment, and, for the avoidance of doubt, excluding the Management Fee) theretofore paid that the Manager determines in good faith should be returned pursuant to this clause fourth in order to reflect the cost basis of the portion of the Company’s aggregate portfolio represented by the relevant Investment and the previously realized Investments (measured relative to the cost basis of all realized and unrealized Investments) (such amount of Company Expenses, the “</w:t>
      </w:r>
      <w:r>
        <w:rPr>
          <w:rFonts w:ascii="Times New Roman" w:cs="Times New Roman" w:eastAsia="Times New Roman" w:hAnsi="Times New Roman"/>
          <w:sz w:val="22"/>
          <w:szCs w:val="22"/>
          <w:b w:val="1"/>
          <w:bCs w:val="1"/>
          <w:color w:val="auto"/>
        </w:rPr>
        <w:t>Qualifying Company Expenses</w:t>
      </w:r>
      <w:r>
        <w:rPr>
          <w:rFonts w:ascii="Times New Roman" w:cs="Times New Roman" w:eastAsia="Times New Roman" w:hAnsi="Times New Roman"/>
          <w:sz w:val="22"/>
          <w:szCs w:val="22"/>
          <w:color w:val="auto"/>
        </w:rPr>
        <w:t>”) plus the Priority Return;</w:t>
      </w:r>
    </w:p>
    <w:p>
      <w:pPr>
        <w:spacing w:after="0" w:line="189" w:lineRule="exact"/>
        <w:rPr>
          <w:rFonts w:ascii="Times New Roman" w:cs="Times New Roman" w:eastAsia="Times New Roman" w:hAnsi="Times New Roman"/>
          <w:sz w:val="22"/>
          <w:szCs w:val="22"/>
          <w:color w:val="auto"/>
        </w:rPr>
      </w:pPr>
    </w:p>
    <w:p>
      <w:pPr>
        <w:ind w:left="1632" w:hanging="466"/>
        <w:spacing w:after="0"/>
        <w:tabs>
          <w:tab w:leader="none" w:pos="1632"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either:</w:t>
      </w:r>
    </w:p>
    <w:p>
      <w:pPr>
        <w:spacing w:after="0" w:line="219" w:lineRule="exact"/>
        <w:rPr>
          <w:rFonts w:ascii="Times New Roman" w:cs="Times New Roman" w:eastAsia="Times New Roman" w:hAnsi="Times New Roman"/>
          <w:sz w:val="22"/>
          <w:szCs w:val="22"/>
          <w:color w:val="auto"/>
        </w:rPr>
      </w:pPr>
    </w:p>
    <w:p>
      <w:pPr>
        <w:ind w:left="-8" w:right="200" w:firstLine="1952"/>
        <w:spacing w:after="0" w:line="252" w:lineRule="auto"/>
        <w:tabs>
          <w:tab w:leader="none" w:pos="2356" w:val="left"/>
        </w:tabs>
        <w:numPr>
          <w:ilvl w:val="2"/>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Quarterly Value of the Company’s unrealized Investments is less than the aggregate amount of Capital Contributions made in respect of such unrealized Investments, 100% to the holders of Class I Shares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 of Capital Contributions made by such holders in respect of unrealized Investments) until the aggregate amount distributed equals the amount of the unrealized loss; or</w:t>
      </w:r>
    </w:p>
    <w:p>
      <w:pPr>
        <w:spacing w:after="0" w:line="179" w:lineRule="exact"/>
        <w:rPr>
          <w:rFonts w:ascii="Times New Roman" w:cs="Times New Roman" w:eastAsia="Times New Roman" w:hAnsi="Times New Roman"/>
          <w:sz w:val="22"/>
          <w:szCs w:val="22"/>
          <w:color w:val="auto"/>
        </w:rPr>
      </w:pPr>
    </w:p>
    <w:p>
      <w:pPr>
        <w:ind w:left="2432" w:hanging="488"/>
        <w:spacing w:after="0"/>
        <w:tabs>
          <w:tab w:leader="none" w:pos="2432" w:val="left"/>
        </w:tabs>
        <w:numPr>
          <w:ilvl w:val="2"/>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Quarterly Value of the Company’s unrealized Investments is greater than the amount equal to</w:t>
      </w:r>
    </w:p>
    <w:p>
      <w:pPr>
        <w:spacing w:after="0" w:line="27" w:lineRule="exact"/>
        <w:rPr>
          <w:rFonts w:ascii="Times New Roman" w:cs="Times New Roman" w:eastAsia="Times New Roman" w:hAnsi="Times New Roman"/>
          <w:sz w:val="22"/>
          <w:szCs w:val="22"/>
          <w:color w:val="auto"/>
        </w:rPr>
      </w:pPr>
    </w:p>
    <w:p>
      <w:pPr>
        <w:ind w:left="-8" w:right="40" w:firstLine="8"/>
        <w:spacing w:after="0" w:line="244" w:lineRule="auto"/>
        <w:tabs>
          <w:tab w:leader="none" w:pos="298"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Capital Contributions made in respect of such unrealized Investments minus (y) the aggregate amount previously distributed to the holders of Class I Shares pursuant to subclause (i) of this clause (e) on account of then existing net unrealized losses in respect of such unrealized Investments (such excess amount, the “unrealized gain” at such time), 100% to the holder of Class II Shares until the aggregate amount distributed equals (A) 14.286% multiplied by (B) the amount of such unrealized gain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such unrealized gain taken into account for purposes of this calculation shall not exceed the aggregate amount previously distributed to the holders of Class I Shares pursuant to subclause (i) of this clause (e) and such previously distributed amounts shall relate to Investments that are unrealized Investments at the time of the distribution pursuant to this subclause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32"/>
          </w:cols>
          <w:pgMar w:left="328" w:top="1440" w:right="339" w:bottom="1440" w:gutter="0" w:footer="0" w:header="0"/>
        </w:sectPr>
      </w:pPr>
    </w:p>
    <w:bookmarkStart w:id="297" w:name="page298"/>
    <w:bookmarkEnd w:id="297"/>
    <w:p>
      <w:pPr>
        <w:spacing w:after="0" w:line="194" w:lineRule="exact"/>
        <w:rPr>
          <w:sz w:val="20"/>
          <w:szCs w:val="20"/>
          <w:color w:val="auto"/>
        </w:rPr>
      </w:pPr>
    </w:p>
    <w:p>
      <w:pPr>
        <w:ind w:left="-8" w:right="20" w:firstLine="1174"/>
        <w:spacing w:after="0" w:line="249" w:lineRule="auto"/>
        <w:tabs>
          <w:tab w:leader="none" w:pos="159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87.5% to the holder of the Class II Shares and 12.5% to the holders of the Class I Shares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respective aggregate Capital Contributions made by the holders of the Class I Shares, other than Capital Contributions made by Comcast AG Shareholder to fund the Management Fee) until the holder of the Class II Shares has received, as a “catch up” distribution with respect to its Class II Shares, 12.5% of all distributions made, less aggregate Capital Contributions (including Capital Contributions made to pay Company Expenses, including Management Fees) returned, pursuant to clauses (a) through (d) above and this clause (f); and</w:t>
      </w:r>
    </w:p>
    <w:p>
      <w:pPr>
        <w:spacing w:after="0" w:line="180" w:lineRule="exact"/>
        <w:rPr>
          <w:rFonts w:ascii="Times New Roman" w:cs="Times New Roman" w:eastAsia="Times New Roman" w:hAnsi="Times New Roman"/>
          <w:sz w:val="22"/>
          <w:szCs w:val="22"/>
          <w:color w:val="auto"/>
        </w:rPr>
      </w:pPr>
    </w:p>
    <w:p>
      <w:pPr>
        <w:ind w:left="-8" w:right="360" w:firstLine="1174"/>
        <w:spacing w:after="0" w:line="259" w:lineRule="auto"/>
        <w:tabs>
          <w:tab w:leader="none" w:pos="162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87.5% to the holders of the Class I Shares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respective aggregate Capital Contributions made by the holders of the Class I Shares, other than Capital Contributions made by Comcast AG Shareholder to fund the Management Fee) and 12.5% to the holder of the Class II Shares.</w:t>
      </w:r>
    </w:p>
    <w:p>
      <w:pPr>
        <w:spacing w:after="0" w:line="166" w:lineRule="exact"/>
        <w:rPr>
          <w:sz w:val="20"/>
          <w:szCs w:val="20"/>
          <w:color w:val="auto"/>
        </w:rPr>
      </w:pPr>
    </w:p>
    <w:p>
      <w:pPr>
        <w:ind w:left="972"/>
        <w:spacing w:after="0"/>
        <w:tabs>
          <w:tab w:leader="none" w:pos="2292"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i w:val="1"/>
          <w:iCs w:val="1"/>
          <w:color w:val="auto"/>
        </w:rPr>
        <w:t>Other Provisions Applicable to Distributions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632" w:hanging="466"/>
        <w:spacing w:after="0"/>
        <w:tabs>
          <w:tab w:leader="none" w:pos="1632"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w:t>
      </w:r>
    </w:p>
    <w:p>
      <w:pPr>
        <w:spacing w:after="0" w:line="219" w:lineRule="exact"/>
        <w:rPr>
          <w:rFonts w:ascii="Times New Roman" w:cs="Times New Roman" w:eastAsia="Times New Roman" w:hAnsi="Times New Roman"/>
          <w:sz w:val="22"/>
          <w:szCs w:val="22"/>
          <w:color w:val="auto"/>
        </w:rPr>
      </w:pPr>
    </w:p>
    <w:p>
      <w:pPr>
        <w:ind w:left="-8" w:firstLine="1952"/>
        <w:spacing w:after="0" w:line="262" w:lineRule="auto"/>
        <w:tabs>
          <w:tab w:leader="none" w:pos="2356" w:val="left"/>
        </w:tabs>
        <w:numPr>
          <w:ilvl w:val="2"/>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shall not be necessary to recover capital in respect of any realized Investment under clause (a) or (b) of Section 8.02 if such capital has been previously recovered by virtue of a distribution under subclause (i) of clause (e) of Section 8.02 (which distribution, for the avoidance of doubt, has not been offset by a corresponding distribution under subclause</w:t>
      </w:r>
    </w:p>
    <w:p>
      <w:pPr>
        <w:spacing w:after="0" w:line="2" w:lineRule="exact"/>
        <w:rPr>
          <w:rFonts w:ascii="Times New Roman" w:cs="Times New Roman" w:eastAsia="Times New Roman" w:hAnsi="Times New Roman"/>
          <w:sz w:val="21"/>
          <w:szCs w:val="21"/>
          <w:color w:val="auto"/>
        </w:rPr>
      </w:pPr>
    </w:p>
    <w:p>
      <w:pPr>
        <w:ind w:left="-8" w:firstLine="8"/>
        <w:spacing w:after="0" w:line="244" w:lineRule="auto"/>
        <w:tabs>
          <w:tab w:leader="none" w:pos="31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clause (e) of Section 8.02);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the avoidance of doubt, in the case any capital in respect of any realized Investment has been recovered by virtue of such a distribution under subclause (i) of clause (e) of Section 8.02, it shall remain necessary to make distributions of the Priority Return under clause (b) of Section 8.02 in respect of such recovered capital to the extent prior distributions under clause (a) of Section 8.02 have been insufficient to satisfy the full amount of such Priority Return; and</w:t>
      </w:r>
    </w:p>
    <w:p>
      <w:pPr>
        <w:spacing w:after="0" w:line="188" w:lineRule="exact"/>
        <w:rPr>
          <w:rFonts w:ascii="Times New Roman" w:cs="Times New Roman" w:eastAsia="Times New Roman" w:hAnsi="Times New Roman"/>
          <w:sz w:val="22"/>
          <w:szCs w:val="22"/>
          <w:color w:val="auto"/>
        </w:rPr>
      </w:pPr>
    </w:p>
    <w:p>
      <w:pPr>
        <w:ind w:left="-8" w:right="20" w:firstLine="1952"/>
        <w:spacing w:after="0" w:line="268" w:lineRule="auto"/>
        <w:tabs>
          <w:tab w:leader="none" w:pos="2416" w:val="left"/>
        </w:tabs>
        <w:numPr>
          <w:ilvl w:val="2"/>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shall not be necessary to make any distribution in respect of any unrealized loss under subclause (i) of clause (e) of Section 8.02 if there has been a previous distribution in respect of the amount of such loss under subclause (i) of clause (e) of Section 8.02;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for the avoidance of doubt, it shall remain necessary to make distributions under subclause (i) of clause (e) of Section 8.02 in respect of subsequent unrealized losses with respect to the same Investment.</w:t>
      </w:r>
    </w:p>
    <w:p>
      <w:pPr>
        <w:spacing w:after="0" w:line="163" w:lineRule="exact"/>
        <w:rPr>
          <w:rFonts w:ascii="Times New Roman" w:cs="Times New Roman" w:eastAsia="Times New Roman" w:hAnsi="Times New Roman"/>
          <w:sz w:val="21"/>
          <w:szCs w:val="21"/>
          <w:color w:val="auto"/>
        </w:rPr>
      </w:pPr>
    </w:p>
    <w:p>
      <w:pPr>
        <w:ind w:left="-8" w:right="80" w:firstLine="1174"/>
        <w:spacing w:after="0" w:line="248" w:lineRule="auto"/>
        <w:tabs>
          <w:tab w:leader="none" w:pos="1626"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for purposes of Section 8.02, (i) a “realized Investment” will mean any Investment that has been sold, otherwise disposed of or permanently and fully written off, and an “unrealized Investment” will mean any Investment that has not been sold, otherwise disposed of or permanently and fully written off, in each case as determined by the Manager in its reasonable discretion and (ii) any Investment that is partially sold or otherwise disposed of shall be treated as two (or more, as appropriate) separate Investments and the Capital Contributions in respect of such Investment shall be allocated among such two (or more, as appropriate) separate Investments, in each case as determined by the Manager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192"/>
          </w:cols>
          <w:pgMar w:left="328" w:top="1440" w:right="379" w:bottom="1440" w:gutter="0" w:footer="0" w:header="0"/>
        </w:sectPr>
      </w:pPr>
    </w:p>
    <w:bookmarkStart w:id="298" w:name="page299"/>
    <w:bookmarkEnd w:id="298"/>
    <w:p>
      <w:pPr>
        <w:spacing w:after="0" w:line="198" w:lineRule="exact"/>
        <w:rPr>
          <w:sz w:val="20"/>
          <w:szCs w:val="20"/>
          <w:color w:val="auto"/>
        </w:rPr>
      </w:pPr>
    </w:p>
    <w:p>
      <w:pPr>
        <w:ind w:left="-20" w:right="60" w:firstLine="1174"/>
        <w:spacing w:after="0" w:line="246" w:lineRule="auto"/>
        <w:tabs>
          <w:tab w:leader="none" w:pos="1602"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recapitalization or similar transaction in respect of any Investment results in the receipt by the Company of any extraordinary dividends or similar proceeds (“</w:t>
      </w:r>
      <w:r>
        <w:rPr>
          <w:rFonts w:ascii="Times New Roman" w:cs="Times New Roman" w:eastAsia="Times New Roman" w:hAnsi="Times New Roman"/>
          <w:sz w:val="22"/>
          <w:szCs w:val="22"/>
          <w:b w:val="1"/>
          <w:bCs w:val="1"/>
          <w:color w:val="auto"/>
        </w:rPr>
        <w:t>Recap Dividends</w:t>
      </w:r>
      <w:r>
        <w:rPr>
          <w:rFonts w:ascii="Times New Roman" w:cs="Times New Roman" w:eastAsia="Times New Roman" w:hAnsi="Times New Roman"/>
          <w:sz w:val="22"/>
          <w:szCs w:val="22"/>
          <w:color w:val="auto"/>
        </w:rPr>
        <w:t xml:space="preserve">”), such transaction shall be treated as a partial disposition of the applicable Investment equal to the amount of such Recap Dividends received (and for purposes of Section 8.02 Capital Contributions in respect of the relevant Investment shall be allocated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between such Recap Dividends and the remaining Investment based upon the relative amount of such Recap Dividends and the Fair Market Value of the remaining Investment immediately after giving effect to the payment of such Recap Dividends, as determined by the Manager in its reasonable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where such Investment consists of Publicly Traded Securities, such determination shall be based on the relative trading prices of such Publicly Traded Securities on the principal securities exchange on which such securities are traded prior to and after the record date for the Recap Dividend.</w:t>
      </w:r>
    </w:p>
    <w:p>
      <w:pPr>
        <w:spacing w:after="0" w:line="190" w:lineRule="exact"/>
        <w:rPr>
          <w:rFonts w:ascii="Times New Roman" w:cs="Times New Roman" w:eastAsia="Times New Roman" w:hAnsi="Times New Roman"/>
          <w:sz w:val="22"/>
          <w:szCs w:val="22"/>
          <w:color w:val="auto"/>
        </w:rPr>
      </w:pPr>
    </w:p>
    <w:p>
      <w:pPr>
        <w:ind w:left="-20" w:right="60" w:firstLine="1174"/>
        <w:spacing w:after="0" w:line="252" w:lineRule="auto"/>
        <w:tabs>
          <w:tab w:leader="none" w:pos="161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ordinary dividends, interest or similar amounts received in respect of any unrealized Investment, such ordinary dividends, interest or similar amounts shall not be treated as a disposition of the applicable Investment and such unrealized Investment shall not be taken into account in determining the amount of Management Fees or Company Expenses that are to be returned pursuant to clauses (c) and (d) of Section 8.02.</w:t>
      </w:r>
    </w:p>
    <w:p>
      <w:pPr>
        <w:spacing w:after="0" w:line="179" w:lineRule="exact"/>
        <w:rPr>
          <w:rFonts w:ascii="Times New Roman" w:cs="Times New Roman" w:eastAsia="Times New Roman" w:hAnsi="Times New Roman"/>
          <w:sz w:val="22"/>
          <w:szCs w:val="22"/>
          <w:color w:val="auto"/>
        </w:rPr>
      </w:pPr>
    </w:p>
    <w:p>
      <w:pPr>
        <w:ind w:left="-20" w:right="120" w:firstLine="1174"/>
        <w:spacing w:after="0" w:line="261" w:lineRule="auto"/>
        <w:tabs>
          <w:tab w:leader="none" w:pos="159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amounts of Capital Contributions that are not used to make Investments or to satisfy Company Expenses (including as Temporary Cash Funds) or to pay the Management Fee, together with any net income thereon, shall be returned by the Company to the Shareholders, in the same relative proportions as the Shareholders made such Capital Contributions, promptly following the determination by the Manager that such amounts will not be used for the purpose for which the relevant Capital Contributions were made, subject to amounts being lawfully available to effect such return and subject to the right of the Company to retain reasonable reserves for contingencies, expenses and liabilities. Any such returned Capital Contributions shall remain available for recall by the Company in accordance with the terms of this Agreement.</w:t>
      </w:r>
    </w:p>
    <w:p>
      <w:pPr>
        <w:spacing w:after="0" w:line="173" w:lineRule="exact"/>
        <w:rPr>
          <w:rFonts w:ascii="Times New Roman" w:cs="Times New Roman" w:eastAsia="Times New Roman" w:hAnsi="Times New Roman"/>
          <w:sz w:val="21"/>
          <w:szCs w:val="21"/>
          <w:color w:val="auto"/>
        </w:rPr>
      </w:pPr>
    </w:p>
    <w:p>
      <w:pPr>
        <w:ind w:left="-20" w:firstLine="1174"/>
        <w:spacing w:after="0" w:line="258" w:lineRule="auto"/>
        <w:tabs>
          <w:tab w:leader="none" w:pos="1578"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the ManagementCo Shareholder may at any time without the consent of any Shareholder elect not to receive at the time otherwise provided therefor all or any portion of any distribution that otherwise would be made as a Class II Distribution. Any amount that is not distributed to the ManagementCo Shareholder due to the preceding sentence, in the ManagementCo Shareholder’s sole discretion, either shall be retained by the Company on behalf of the ManagementCo Shareholder or shall be distributed to the applicable Class I Shareholders. In making distributions to a Class I Shareholder of any amount pursuant to the preceding sentence, the ManagementCo Shareholder may apply such amount against distributions to such Class I Shareholder to which such Class I Shareholder is or becomes entitled under any subsection of Section 8.02 (including as a return of Capital Contributions made in respect of Investments, Management Fees and other Company Expenses, and/or a payment of the Priority Return), but treated as having been made on the actual date any such amount is distributed. If the ManagementCo Shareholder in its sole discretion so elects, and unless and except to the extent the ManagementCo Shareholder has waived its election right under this Section 8.03(f),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00"/>
          </w:cols>
          <w:pgMar w:left="340" w:top="1440" w:right="359" w:bottom="1440" w:gutter="0" w:footer="0" w:header="0"/>
        </w:sectPr>
      </w:pPr>
    </w:p>
    <w:bookmarkStart w:id="299" w:name="page300"/>
    <w:bookmarkEnd w:id="299"/>
    <w:p>
      <w:pPr>
        <w:spacing w:after="0" w:line="19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1"/>
          <w:szCs w:val="21"/>
          <w:color w:val="auto"/>
        </w:rPr>
        <w:t>any portion of subsequent distributions otherwise distributable to such Class I Shareholder may be distributed to the ManagementCo Shareholder until the ManagementCo Shareholder has received the amount of distributions it would have received had it not waived receipt of any distributions pursuant to the first sentence of this Section 8.03(f). To the extent the ManagementCo Shareholder has elected not to receive all or any portion of any distribution that otherwise would be made as a Class II Distribution with respect to any Class I Shareholder in accordance with this Section 8.03(f), the ManagementCo Shareholder shall be under no obligation to waive or reduce distributions with respect to any other Shareholders. The ManagementCo Shareholder shall be authorized to make such determinations that the ManagementCo Shareholder in good faith believes to be reasonably necessary to give effect to any provision set forth in this Section 8.03(f) and to implement other provisions of this Agreement (including but not limited to Section 11.02) in a manner consistent with this Section 8.03(f).</w:t>
      </w:r>
    </w:p>
    <w:p>
      <w:pPr>
        <w:spacing w:after="0" w:line="166" w:lineRule="exact"/>
        <w:rPr>
          <w:sz w:val="20"/>
          <w:szCs w:val="20"/>
          <w:color w:val="auto"/>
        </w:rPr>
      </w:pPr>
    </w:p>
    <w:p>
      <w:pPr>
        <w:ind w:right="180" w:firstLine="972"/>
        <w:spacing w:after="0" w:line="248"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i w:val="1"/>
          <w:iCs w:val="1"/>
          <w:color w:val="auto"/>
        </w:rPr>
        <w:t>Tax Distributions.</w:t>
      </w:r>
      <w:r>
        <w:rPr>
          <w:rFonts w:ascii="Times New Roman" w:cs="Times New Roman" w:eastAsia="Times New Roman" w:hAnsi="Times New Roman"/>
          <w:sz w:val="22"/>
          <w:szCs w:val="22"/>
          <w:color w:val="auto"/>
        </w:rPr>
        <w:t xml:space="preserve"> To the extent of available cash as determined in the reasonable discretion of the Manager, and to amounts being lawfully available for the purpose, at the option of each Shareholder from time to time, the Company shall make distributions in cash to such Shareholder in an amount necessary to pay combined federal, state and local income tax, determined based on the Tax Rate, in respect of the net taxable income and gain allocated to such Shareholder in respect of any taxable year of the Company. For purposes of applying the other provisions of this Article 8, any distribution that is made pursuant to this Section 8.04 shall be treated as an advance against distributions otherwise to be made pursuant to the other provisions of this Article 8.</w:t>
      </w:r>
    </w:p>
    <w:p>
      <w:pPr>
        <w:spacing w:after="0" w:line="182"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i w:val="1"/>
          <w:iCs w:val="1"/>
          <w:color w:val="auto"/>
        </w:rPr>
        <w:t>Other General Principles of Distribution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20" w:firstLine="1174"/>
        <w:spacing w:after="0" w:line="266" w:lineRule="auto"/>
        <w:tabs>
          <w:tab w:leader="none" w:pos="1622"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Distributions of Cash</w:t>
      </w:r>
      <w:r>
        <w:rPr>
          <w:rFonts w:ascii="Times New Roman" w:cs="Times New Roman" w:eastAsia="Times New Roman" w:hAnsi="Times New Roman"/>
          <w:sz w:val="21"/>
          <w:szCs w:val="21"/>
          <w:color w:val="auto"/>
        </w:rPr>
        <w:t>. Subject to Section 8.05(c) and Section 11.01(b), and to amounts being lawfully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available for the purpose, distributions of Proceeds shall be made as promptly as practicable after their receipt by the Company. All distributions pursuant to this Section 8.05(a) shall be made in immediately available funds in (x) U.S. dollars, except to the extent that distributions in U.S. dollars would be illegal or impracticable under Applicable Law, in which case, to such extent, distributions shall be made in the currency in which cash is received by the Company or (y) Marketable Securities.</w:t>
      </w:r>
    </w:p>
    <w:p>
      <w:pPr>
        <w:spacing w:after="0" w:line="160" w:lineRule="exact"/>
        <w:rPr>
          <w:rFonts w:ascii="Times New Roman" w:cs="Times New Roman" w:eastAsia="Times New Roman" w:hAnsi="Times New Roman"/>
          <w:sz w:val="21"/>
          <w:szCs w:val="21"/>
          <w:color w:val="auto"/>
        </w:rPr>
      </w:pPr>
    </w:p>
    <w:p>
      <w:pPr>
        <w:ind w:firstLine="1174"/>
        <w:spacing w:after="0" w:line="261" w:lineRule="auto"/>
        <w:tabs>
          <w:tab w:leader="none" w:pos="1634"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Distributions in Kind</w:t>
      </w:r>
      <w:r>
        <w:rPr>
          <w:rFonts w:ascii="Times New Roman" w:cs="Times New Roman" w:eastAsia="Times New Roman" w:hAnsi="Times New Roman"/>
          <w:sz w:val="21"/>
          <w:szCs w:val="21"/>
          <w:color w:val="auto"/>
        </w:rPr>
        <w:t>. Prior to the commencement of the winding up of the Company, the Company shall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make any distributions in kind of securities unless such securities are Marketable Securities. Following the commencement of the winding up of the Company, subject to Section 11.01(b), the Company may distribute in kind any securities (whether or not Marketable Securities) or other property constituting all or any portion of an Investment in such amounts as the Company shall in its reasonable discretion determine. In any distribution of property in kind, the Company shall not discriminate among the Shareholders but shall in any such distribution distribute to the Shareholders property of the same type and if cash and property in kind are to be distributed simultaneously in respect of any Investment, distribute cash and property in kind in the same proportion to each Shareholder. For purposes of distributions pursuant to Section 8.02 and allocations pursuant to Section 8.07,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9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Securities shall be valued at the average of their closing sale prices on the principal securities exchange on which such securities were traded on each trading day during the five trading day period ending immediately prior to such distribution, or if such securities are not primarily traded on a securities exchange, the five day average of their closing bid prices as shown by the National Association of Securities Dealers Automated Quotation System or comparable established over-the-counter trading system consisting of the five trading day period immediately prior to such distribution and all other property to be distributed in kind shall be valued at the Fair Market Value thereof determined by the Manager in its reasonable discretion on a date as near as reasonably practicable to the date of notice of such distribution.</w:t>
      </w:r>
    </w:p>
    <w:p>
      <w:pPr>
        <w:spacing w:after="0" w:line="178" w:lineRule="exact"/>
        <w:rPr>
          <w:sz w:val="20"/>
          <w:szCs w:val="20"/>
          <w:color w:val="auto"/>
        </w:rPr>
      </w:pPr>
    </w:p>
    <w:p>
      <w:pPr>
        <w:ind w:firstLine="1166"/>
        <w:spacing w:after="0" w:line="258"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i w:val="1"/>
          <w:iCs w:val="1"/>
          <w:color w:val="auto"/>
        </w:rPr>
        <w:t>Amounts Held in Reserve</w:t>
      </w:r>
      <w:r>
        <w:rPr>
          <w:rFonts w:ascii="Times New Roman" w:cs="Times New Roman" w:eastAsia="Times New Roman" w:hAnsi="Times New Roman"/>
          <w:sz w:val="21"/>
          <w:szCs w:val="21"/>
          <w:color w:val="auto"/>
        </w:rPr>
        <w:t>. Subject to Section 8.04, the Company shall have the right to retain up to $2,000,000,000 of amounts otherwise distributable by the Company to the Shareholders (“</w:t>
      </w:r>
      <w:r>
        <w:rPr>
          <w:rFonts w:ascii="Times New Roman" w:cs="Times New Roman" w:eastAsia="Times New Roman" w:hAnsi="Times New Roman"/>
          <w:sz w:val="21"/>
          <w:szCs w:val="21"/>
          <w:b w:val="1"/>
          <w:bCs w:val="1"/>
          <w:color w:val="auto"/>
        </w:rPr>
        <w:t>Distributable Amounts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the termination of the Commitment Period in accordance with the terms hereof, (i) the Company shall retain Distributable Amounts only in an amount not greater than the amount necessary to make such provision as the Manager deems necessary or advisable, in its reasonable discretion, for liabilities and obligations, contingent or otherwise, of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 </w:t>
      </w:r>
      <w:r>
        <w:rPr>
          <w:rFonts w:ascii="Times New Roman" w:cs="Times New Roman" w:eastAsia="Times New Roman" w:hAnsi="Times New Roman"/>
          <w:sz w:val="21"/>
          <w:szCs w:val="21"/>
          <w:color w:val="auto"/>
        </w:rPr>
        <w:t>that such liabilities and obligations shall not include the obligation to pay for the purchase price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Investments except pursuant to commitments of the Company in effect at such time; and (ii) any amount held by the Company as of the termination of the Commitment Period in excess of the amounts permitted to be retained pursuant to the preceding clause</w:t>
      </w:r>
    </w:p>
    <w:p>
      <w:pPr>
        <w:spacing w:after="0" w:line="3" w:lineRule="exact"/>
        <w:rPr>
          <w:sz w:val="20"/>
          <w:szCs w:val="20"/>
          <w:color w:val="auto"/>
        </w:rPr>
      </w:pPr>
    </w:p>
    <w:p>
      <w:pPr>
        <w:ind w:right="200" w:firstLine="8"/>
        <w:spacing w:after="0" w:line="244" w:lineRule="auto"/>
        <w:tabs>
          <w:tab w:leader="none" w:pos="25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promptly distributed to the Shareholders. To the extent that any Investment is funded with Distributable Amounts retained by the Company pursuant to this Section 8.05(c), such Investment shall, for purposes of Section 8.02, be treated as the same Investment as the initial Investment whose realization resulted in such Distributable Amounts (or in the Distributable Amounts that were used to fund any intermediate Investment whose realization resulted in the Distributable Amounts used to fund such Investment).</w:t>
      </w:r>
    </w:p>
    <w:p>
      <w:pPr>
        <w:spacing w:after="0" w:line="184" w:lineRule="exact"/>
        <w:rPr>
          <w:rFonts w:ascii="Times New Roman" w:cs="Times New Roman" w:eastAsia="Times New Roman" w:hAnsi="Times New Roman"/>
          <w:sz w:val="22"/>
          <w:szCs w:val="22"/>
          <w:color w:val="auto"/>
        </w:rPr>
      </w:pPr>
    </w:p>
    <w:p>
      <w:pPr>
        <w:ind w:right="40" w:firstLine="1174"/>
        <w:spacing w:after="0" w:line="245" w:lineRule="auto"/>
        <w:tabs>
          <w:tab w:leader="none" w:pos="1634"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 Withholding. </w:t>
      </w:r>
      <w:r>
        <w:rPr>
          <w:rFonts w:ascii="Times New Roman" w:cs="Times New Roman" w:eastAsia="Times New Roman" w:hAnsi="Times New Roman"/>
          <w:sz w:val="22"/>
          <w:szCs w:val="22"/>
          <w:color w:val="auto"/>
        </w:rPr>
        <w:t>The Company is authorized to pay or withhold and pay over to the U.S. Internal Revenue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or to any other relevant taxing authority, (i) such amounts as the Company is required to pay or withhold and pay over pursuant to the Code or any other Applicable Law in respect of any Shareholder (including (x) to satisfy any outstanding tax liability of a Shareholder or (y) any such amounts withheld against the Company with respect to a Shareholder), (ii) such portion of any amounts in connection with an audit for which the Company is liable and that the Manager determines, in its reasonable discretion, is attributable to such Shareholder or that result from such Shareholder’s status, actions or inactions, and (iii) any amounts that the Manager reasonably determines should be paid or withheld and paid by the Company pursuant to Section 1446(f) of the Code. The Manager shall allocate any such amounts paid or withheld and paid to the Shareholders in respect of whom such amount was paid or withheld and paid and shall treat such amounts as actually distributed to such Shareholders. To the extent any such payment or withholding exceeds any Shareholder’s share of distributions or proceeds, or to the extent the Manager fails for any reason to withhold any amounts required to be withheld as set forth in this Section 8.05(d), each Shareholder further agrees to indemnify the Company in full for any amounts required to be paid or withheld and paid in respect of or that is attributable to such Shareholder (including, without limitation, any interest, penalties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180"/>
          </w:cols>
          <w:pgMar w:left="320" w:top="1440" w:right="399" w:bottom="1440" w:gutter="0" w:footer="0" w:header="0"/>
        </w:sectPr>
      </w:pPr>
    </w:p>
    <w:bookmarkStart w:id="301" w:name="page302"/>
    <w:bookmarkEnd w:id="301"/>
    <w:p>
      <w:pPr>
        <w:spacing w:after="0" w:line="19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expenses associated with such payments), and each Shareholder shall promptly upon notification of an obligation to indemnify the Company pursuant to this Section 8.05 make a cash payment to the Company equal to the full amount to be indemnified. This Section 8.05(d) shall survive and continue in full force in accordance with its terms notwithstanding any termination of this Agreement or the dissolution of the Company and no current or former Shareholder shall be released from any obligations pursuant to this Section 8.05(d) as a result of any Transfer of its Company Securities (in whole or in part) or withdrawal from the Company. Notwithstanding the foregoing, a Shareholder shall not be required to indemnify the Company, and the Manager shall instead indemnify the Company, with respect to such interest, penalties, additions to tax or additional amounts that are imposed as a result of a failure by the Company to withhold tax with respect to such Shareholder due to the Manager’s fraud, willful misconduct or recklessness.</w:t>
      </w:r>
    </w:p>
    <w:p>
      <w:pPr>
        <w:spacing w:after="0" w:line="187" w:lineRule="exact"/>
        <w:rPr>
          <w:sz w:val="20"/>
          <w:szCs w:val="20"/>
          <w:color w:val="auto"/>
        </w:rPr>
      </w:pPr>
    </w:p>
    <w:p>
      <w:pPr>
        <w:ind w:right="440" w:firstLine="1174"/>
        <w:spacing w:after="0" w:line="251" w:lineRule="auto"/>
        <w:tabs>
          <w:tab w:leader="none" w:pos="1622"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Excess Transaction Fees. </w:t>
      </w:r>
      <w:r>
        <w:rPr>
          <w:rFonts w:ascii="Times New Roman" w:cs="Times New Roman" w:eastAsia="Times New Roman" w:hAnsi="Times New Roman"/>
          <w:sz w:val="22"/>
          <w:szCs w:val="22"/>
          <w:color w:val="auto"/>
        </w:rPr>
        <w:t>Notwithstanding anything to the contrary in this Agreement, (i) any Excess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Fees received by the Company (including any Excess Transaction Fees received by the Manager or any of its Affiliates and remitted to the Company) shall be distributed to Comcast AG Shareholder and (ii) any distributions of Excess Transaction Fees to Comcast AG Shareholder shall not be treated as having been made pursuant to Section 8.02 or 11.02 and shall not reduce the amounts that the holders of Class I Shares are entitled to receive pursuant to those Sections.</w:t>
      </w:r>
    </w:p>
    <w:p>
      <w:pPr>
        <w:spacing w:after="0" w:line="175" w:lineRule="exact"/>
        <w:rPr>
          <w:rFonts w:ascii="Times New Roman" w:cs="Times New Roman" w:eastAsia="Times New Roman" w:hAnsi="Times New Roman"/>
          <w:sz w:val="22"/>
          <w:szCs w:val="22"/>
          <w:color w:val="auto"/>
        </w:rPr>
      </w:pPr>
    </w:p>
    <w:p>
      <w:pPr>
        <w:ind w:firstLine="1174"/>
        <w:spacing w:after="0" w:line="245" w:lineRule="auto"/>
        <w:tabs>
          <w:tab w:leader="none" w:pos="1598"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Comcast Spectacor Shareholder</w:t>
      </w:r>
      <w:r>
        <w:rPr>
          <w:rFonts w:ascii="Times New Roman" w:cs="Times New Roman" w:eastAsia="Times New Roman" w:hAnsi="Times New Roman"/>
          <w:sz w:val="22"/>
          <w:szCs w:val="22"/>
          <w:color w:val="auto"/>
        </w:rPr>
        <w:t>. Notwithstanding anything to the contrary in this Agreement, (i) Comcast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Shareholder’s share of distributions (whether in cash or in kind) attributable to the Investment in Spectra shall be made solely to Comcast Spectacor Shareholder up to Comcast Spectacor Shareholder’s then-current Capital Account balance, and any amount of any such distribution that would be in excess of Comcast Spectacor Shareholder’s then-current Capital Account balance shall be made to Comcast AG Shareholder and (ii) Comcast Shareholder’s share of any distribution of cash other than a distribution of cash attributable to the Investment in Spectra shall be made solely to Comcast AG Shareholder up to Comcast AG Shareholder’s then-current Capital Account balance, and any amount of any such distribution that would be in excess of Comcast AG Shareholder’s then-current Capital Account balance shall be made to Comcast Spectacor Shareholder. For the avoidance of doubt, (i) the calculations required under Section 8.02 related to the Company’s aggregate portfolio of Investments shall include Spectra and (ii) nothing in this clause (f) shall alter the aggregate distributions to which Comcast Shareholder is entitled pursuant to this Agreement, it being understood that the provisions of this clause (f) shall be applied after determining Comcast Shareholder’s aggregate share of any distributions. In the event the application of the first sentence of this Section 8.05(f) would result in both Comcast Spectacor Shareholder and Comcast AG Shareholder receiving distributions in excess of their respective then-current Capital Accounts (or in neither of Comcast Spectacor Shareholder and Comcast AG Shareholder being entitled to receive a distribution), the first sentence of this Section 8.05(f) shall not apply and (i) Comcast Shareholder’s share of distributions (whether in cash or in kind) attributable to the Investment in Spectra shall be made solely to Comcast Spectacor Shareholder and (ii) Comcast Shareholder’s share of any distribution of cash other than a distribution of cash attributable to the Investment in Spectra shall be made solely to Comcast AG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94" w:lineRule="exact"/>
        <w:rPr>
          <w:sz w:val="20"/>
          <w:szCs w:val="20"/>
          <w:color w:val="auto"/>
        </w:rPr>
      </w:pPr>
    </w:p>
    <w:p>
      <w:pPr>
        <w:ind w:left="1620" w:hanging="466"/>
        <w:spacing w:after="0"/>
        <w:tabs>
          <w:tab w:leader="none" w:pos="162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Share Repurchase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20" w:right="180" w:firstLine="1952"/>
        <w:spacing w:after="0" w:line="248" w:lineRule="auto"/>
        <w:tabs>
          <w:tab w:leader="none" w:pos="2344"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Board in its discretion may elect to cause the Company to return amounts under this Article 8 to a Shareholder either (A) by distribution to such Shareholder or (B) by a repurchase of such Shareholder’s Class I and/or Class II Shares, as applicable, and in the case of any such repurchase, in a manner intended to result in economic consistency with the distribution provisions of Section 8.02 (where, for the avoidance of doubt, each Comcast Shareholder, as applicable, and ManagementCo Shareholder shall receive proceeds in respect of any such repurchase equal to the amount such Shareholder would have been distributed pursuant to Section 8.02 with respect to the distribution event giving rise to such repurchase).</w:t>
      </w:r>
    </w:p>
    <w:p>
      <w:pPr>
        <w:spacing w:after="0" w:line="181" w:lineRule="exact"/>
        <w:rPr>
          <w:rFonts w:ascii="Times New Roman" w:cs="Times New Roman" w:eastAsia="Times New Roman" w:hAnsi="Times New Roman"/>
          <w:sz w:val="22"/>
          <w:szCs w:val="22"/>
          <w:color w:val="auto"/>
        </w:rPr>
      </w:pPr>
    </w:p>
    <w:p>
      <w:pPr>
        <w:ind w:left="-20" w:firstLine="1952"/>
        <w:spacing w:after="0" w:line="250" w:lineRule="auto"/>
        <w:tabs>
          <w:tab w:leader="none" w:pos="2404"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Board elects with respect to any distribution event to cause amounts to be returned by a repurchase of Shares, the Board shall first cause to be calculated, in accordance with Section 8.02, the amounts to be returned to each Shareholder pursuant to each Distribution Tier (such calculated amount with respect to each Shareholder and each Distribution Tier, a “</w:t>
      </w:r>
      <w:r>
        <w:rPr>
          <w:rFonts w:ascii="Times New Roman" w:cs="Times New Roman" w:eastAsia="Times New Roman" w:hAnsi="Times New Roman"/>
          <w:sz w:val="22"/>
          <w:szCs w:val="22"/>
          <w:b w:val="1"/>
          <w:bCs w:val="1"/>
          <w:color w:val="auto"/>
        </w:rPr>
        <w:t>Distribution Tier Return Amount</w:t>
      </w:r>
      <w:r>
        <w:rPr>
          <w:rFonts w:ascii="Times New Roman" w:cs="Times New Roman" w:eastAsia="Times New Roman" w:hAnsi="Times New Roman"/>
          <w:sz w:val="22"/>
          <w:szCs w:val="22"/>
          <w:color w:val="auto"/>
        </w:rPr>
        <w:t>”), and based upon the Distribution Tier Return Amounts with respect to such distribution event, the Board shall cause to be calculated the applicable Asset Ratios.</w:t>
      </w:r>
    </w:p>
    <w:p>
      <w:pPr>
        <w:spacing w:after="0" w:line="180" w:lineRule="exact"/>
        <w:rPr>
          <w:rFonts w:ascii="Times New Roman" w:cs="Times New Roman" w:eastAsia="Times New Roman" w:hAnsi="Times New Roman"/>
          <w:sz w:val="22"/>
          <w:szCs w:val="22"/>
          <w:color w:val="auto"/>
        </w:rPr>
      </w:pPr>
    </w:p>
    <w:p>
      <w:pPr>
        <w:ind w:left="-20" w:firstLine="1952"/>
        <w:spacing w:after="0" w:line="246" w:lineRule="auto"/>
        <w:tabs>
          <w:tab w:leader="none" w:pos="246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then cause the Company to repurchase from each Shareholder otherwise entitled to receive a Distribution at such time, on a Repurchase Class-by-Repurchase Class basis, such number of Shares equal to (x) the Asset Ratio for the applicable Repurchase Class held by such Shareholder applied to (y) the total outstanding Shares of such Repurchase Class. Notwithstanding anything to the contrary in this Agreement, including this Section 8.05(g)(iii), if the application of this Section 8.05(g) to any Shareholder with respect to any distribution event would otherwise result in such Shareholder holding less than one whole Share of any class prior to the time at which such Shareholder would cease to have any future rights to distributions in respect of such class of Shares (determined as though this Section 8.05(g) were never included in this Agreement), then the number of Shares of such class repurchased from such Shareholder in connection with such distribution event shall be reduced as necessary to cause such Shareholder to retain one whole Share of such class.</w:t>
      </w:r>
    </w:p>
    <w:p>
      <w:pPr>
        <w:spacing w:after="0" w:line="190" w:lineRule="exact"/>
        <w:rPr>
          <w:rFonts w:ascii="Times New Roman" w:cs="Times New Roman" w:eastAsia="Times New Roman" w:hAnsi="Times New Roman"/>
          <w:sz w:val="22"/>
          <w:szCs w:val="22"/>
          <w:color w:val="auto"/>
        </w:rPr>
      </w:pPr>
    </w:p>
    <w:p>
      <w:pPr>
        <w:ind w:left="-20" w:firstLine="1952"/>
        <w:spacing w:after="0" w:line="250" w:lineRule="auto"/>
        <w:tabs>
          <w:tab w:leader="none" w:pos="244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repurchase of a Shareholder’s Class I Shares or Class II Shares shall otherwise be treated as a “distribution” hereunder, and the Board shall have the power and authority, without the consent of any Shareholder, to interpret in good faith any provision of this Agreement to give effect to the intent of this Section 8.05(g). For the avoidance of doubt, in connection with any repurchase of Shares in accordance with this Section 8.05(g), amounts otherwise distributable to a Shareholder at any Distribution Tier shall be treated as a “distribution” in respect of such Distribution Tier.</w:t>
      </w:r>
    </w:p>
    <w:p>
      <w:pPr>
        <w:spacing w:after="0" w:line="176" w:lineRule="exact"/>
        <w:rPr>
          <w:rFonts w:ascii="Times New Roman" w:cs="Times New Roman" w:eastAsia="Times New Roman" w:hAnsi="Times New Roman"/>
          <w:sz w:val="22"/>
          <w:szCs w:val="22"/>
          <w:color w:val="auto"/>
        </w:rPr>
      </w:pPr>
    </w:p>
    <w:p>
      <w:pPr>
        <w:ind w:left="1620" w:hanging="466"/>
        <w:spacing w:after="0"/>
        <w:tabs>
          <w:tab w:leader="none" w:pos="162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 of Amounts in Respect of Company Debt Expenses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20" w:right="140" w:firstLine="1952"/>
        <w:spacing w:after="0" w:line="257" w:lineRule="auto"/>
        <w:tabs>
          <w:tab w:leader="none" w:pos="234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utilizes Company Debt in lieu of Capital Contributions from any Shareholder to fund all or any portion of an Investment as contemplated by Section 6.02(c), then the Company shall allocate the Company Debt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00"/>
          </w:cols>
          <w:pgMar w:left="340" w:top="1440" w:right="359" w:bottom="1440" w:gutter="0" w:footer="0" w:header="0"/>
        </w:sectPr>
      </w:pPr>
    </w:p>
    <w:bookmarkStart w:id="303" w:name="page304"/>
    <w:bookmarkEnd w:id="303"/>
    <w:p>
      <w:pPr>
        <w:ind w:right="80"/>
        <w:spacing w:after="0" w:line="247" w:lineRule="auto"/>
        <w:rPr>
          <w:sz w:val="20"/>
          <w:szCs w:val="20"/>
          <w:color w:val="auto"/>
        </w:rPr>
      </w:pPr>
      <w:r>
        <w:rPr>
          <w:rFonts w:ascii="Times New Roman" w:cs="Times New Roman" w:eastAsia="Times New Roman" w:hAnsi="Times New Roman"/>
          <w:sz w:val="22"/>
          <w:szCs w:val="22"/>
          <w:color w:val="auto"/>
        </w:rPr>
        <w:t xml:space="preserve">in respect of such Company Debt exclusively to such Shareholder who, as a result, was not required to make any such Capital Contributions. The amount of such Company Debt Expenses to be satisfied by a Shareholder shall be either retained by the Company from amounts otherwise distributable to such Shareholder (but shall be deemed distributed for all purposes of Articles 8 and 11), or called as Capital Contributions from such Shareholder pursuant to Section 6.02 (in which case, the amount of such Capital Contributions shall reduce the “Available Capital Commitment” of such Shareholder);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to the contrary in Section 8.02 or otherwise, all other Shareholders shall be entitled to an amount of distributions not less than the amount of distributions such Shareholders would have been entitled to if such Company Debt Expenses had not been incurred.</w:t>
      </w:r>
    </w:p>
    <w:p>
      <w:pPr>
        <w:spacing w:after="0" w:line="185" w:lineRule="exact"/>
        <w:rPr>
          <w:sz w:val="20"/>
          <w:szCs w:val="20"/>
          <w:color w:val="auto"/>
        </w:rPr>
      </w:pPr>
    </w:p>
    <w:p>
      <w:pPr>
        <w:jc w:val="both"/>
        <w:ind w:firstLine="1952"/>
        <w:spacing w:after="0" w:line="252" w:lineRule="auto"/>
        <w:tabs>
          <w:tab w:leader="none" w:pos="242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utilizes Company Debt in lieu of Capital Contributions to fund all or any portion of an Investment as contemplated by Section 6.02(c), a Shareholder shall be deemed to have made a Capital Contribution to repay such Company Debt on the earlier of (x) the date a Capital Contribution to repay such Company Debt is actually made and (y) the date such Company Debt is repaid (if repaid other than through Capital Contributions).</w:t>
      </w:r>
    </w:p>
    <w:p>
      <w:pPr>
        <w:spacing w:after="0" w:line="175" w:lineRule="exact"/>
        <w:rPr>
          <w:sz w:val="20"/>
          <w:szCs w:val="20"/>
          <w:color w:val="auto"/>
        </w:rPr>
      </w:pPr>
    </w:p>
    <w:p>
      <w:pPr>
        <w:ind w:right="160" w:firstLine="972"/>
        <w:spacing w:after="0" w:line="251"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i w:val="1"/>
          <w:iCs w:val="1"/>
          <w:color w:val="auto"/>
        </w:rPr>
        <w:t>Capital Account</w:t>
      </w:r>
      <w:r>
        <w:rPr>
          <w:rFonts w:ascii="Times New Roman" w:cs="Times New Roman" w:eastAsia="Times New Roman" w:hAnsi="Times New Roman"/>
          <w:sz w:val="22"/>
          <w:szCs w:val="22"/>
          <w:color w:val="auto"/>
        </w:rPr>
        <w:t>. There shall be established for each Shareholder on the books and records of the Company a capital account (a “</w:t>
      </w:r>
      <w:r>
        <w:rPr>
          <w:rFonts w:ascii="Times New Roman" w:cs="Times New Roman" w:eastAsia="Times New Roman" w:hAnsi="Times New Roman"/>
          <w:sz w:val="22"/>
          <w:szCs w:val="22"/>
          <w:b w:val="1"/>
          <w:bCs w:val="1"/>
          <w:color w:val="auto"/>
        </w:rPr>
        <w:t>Capital Account</w:t>
      </w:r>
      <w:r>
        <w:rPr>
          <w:rFonts w:ascii="Times New Roman" w:cs="Times New Roman" w:eastAsia="Times New Roman" w:hAnsi="Times New Roman"/>
          <w:sz w:val="22"/>
          <w:szCs w:val="22"/>
          <w:color w:val="auto"/>
        </w:rPr>
        <w:t>”), the balance of which shall initially be zero. It is intended that each Shareholder’s Capital Account shall be maintained at all times in a manner consistent with the principles of Section 704 of the Code and applicable U.S. Treasury Regulations thereunder, and that the provisions hereof relating to the Capital Accounts shall be interpreted in a manner consistent therewith. The Capital Account of each Shareholder shall be:</w:t>
      </w:r>
    </w:p>
    <w:p>
      <w:pPr>
        <w:spacing w:after="0" w:line="180" w:lineRule="exact"/>
        <w:rPr>
          <w:sz w:val="20"/>
          <w:szCs w:val="20"/>
          <w:color w:val="auto"/>
        </w:rPr>
      </w:pPr>
    </w:p>
    <w:p>
      <w:pPr>
        <w:ind w:right="180" w:firstLine="1174"/>
        <w:spacing w:after="0" w:line="252" w:lineRule="auto"/>
        <w:tabs>
          <w:tab w:leader="none" w:pos="1622"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credited with the amount of cash contributed by such Shareholder, and if such Shareholder makes an in-kind contribution to the Company, with the Fair Market Value of the contributed property (net of any liabilities secured by such property that the Company assumes or to which such property is subject) as determined by the Manager in its reasonable discretion pursuant to Section 8.05(b));</w:t>
      </w:r>
    </w:p>
    <w:p>
      <w:pPr>
        <w:spacing w:after="0" w:line="179" w:lineRule="exact"/>
        <w:rPr>
          <w:rFonts w:ascii="Times New Roman" w:cs="Times New Roman" w:eastAsia="Times New Roman" w:hAnsi="Times New Roman"/>
          <w:sz w:val="22"/>
          <w:szCs w:val="22"/>
          <w:color w:val="auto"/>
        </w:rPr>
      </w:pPr>
    </w:p>
    <w:p>
      <w:pPr>
        <w:ind w:left="1640" w:hanging="466"/>
        <w:spacing w:after="0"/>
        <w:tabs>
          <w:tab w:leader="none" w:pos="1640"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credited with any allocations of income and gain that are made to such Shareholder pursuant to this Article 8;</w:t>
      </w:r>
    </w:p>
    <w:p>
      <w:pPr>
        <w:spacing w:after="0" w:line="231" w:lineRule="exact"/>
        <w:rPr>
          <w:rFonts w:ascii="Times New Roman" w:cs="Times New Roman" w:eastAsia="Times New Roman" w:hAnsi="Times New Roman"/>
          <w:sz w:val="21"/>
          <w:szCs w:val="21"/>
          <w:color w:val="auto"/>
        </w:rPr>
      </w:pPr>
    </w:p>
    <w:p>
      <w:pPr>
        <w:ind w:left="1640" w:hanging="466"/>
        <w:spacing w:after="0"/>
        <w:tabs>
          <w:tab w:leader="none" w:pos="164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debited by any allocations of loss or deduction that are made to such Shareholder pursuant to this Article 8;</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95" w:lineRule="exact"/>
        <w:rPr>
          <w:rFonts w:ascii="Times New Roman" w:cs="Times New Roman" w:eastAsia="Times New Roman" w:hAnsi="Times New Roman"/>
          <w:sz w:val="22"/>
          <w:szCs w:val="22"/>
          <w:color w:val="auto"/>
        </w:rPr>
      </w:pPr>
    </w:p>
    <w:p>
      <w:pPr>
        <w:ind w:right="40" w:firstLine="1174"/>
        <w:spacing w:after="0" w:line="257" w:lineRule="auto"/>
        <w:tabs>
          <w:tab w:leader="none" w:pos="1634"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debited by the amount of cash, the fair value of other property as determined by the Manager in its reasonable discretion, distributed by the Company to such Shareholder (net of any liabilities of the Company assumed by such Shareholder and any liabilities to which such distributed property is subject).</w:t>
      </w:r>
    </w:p>
    <w:p>
      <w:pPr>
        <w:spacing w:after="0" w:line="169"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i w:val="1"/>
          <w:iCs w:val="1"/>
          <w:color w:val="auto"/>
        </w:rPr>
        <w:t>Allocations</w:t>
      </w:r>
      <w:r>
        <w:rPr>
          <w:rFonts w:ascii="Times New Roman" w:cs="Times New Roman" w:eastAsia="Times New Roman" w:hAnsi="Times New Roman"/>
          <w:sz w:val="21"/>
          <w:szCs w:val="21"/>
          <w:color w:val="auto"/>
        </w:rPr>
        <w:t>. Except as otherwise provided in this Article 8, as of the last day of each fiscal period,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items of income, gain, loss and deduction for such period shall be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180"/>
          </w:cols>
          <w:pgMar w:left="320" w:top="1422" w:right="399" w:bottom="1440" w:gutter="0" w:footer="0" w:header="0"/>
        </w:sectPr>
      </w:pPr>
    </w:p>
    <w:bookmarkStart w:id="304" w:name="page305"/>
    <w:bookmarkEnd w:id="304"/>
    <w:p>
      <w:pPr>
        <w:spacing w:after="0" w:line="198" w:lineRule="exact"/>
        <w:rPr>
          <w:sz w:val="20"/>
          <w:szCs w:val="20"/>
          <w:color w:val="auto"/>
        </w:rPr>
      </w:pPr>
    </w:p>
    <w:p>
      <w:pPr>
        <w:ind w:left="1640" w:hanging="466"/>
        <w:spacing w:after="0"/>
        <w:tabs>
          <w:tab w:leader="none" w:pos="164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Manager Expenses.</w:t>
      </w:r>
    </w:p>
    <w:p>
      <w:pPr>
        <w:spacing w:after="0" w:line="219"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items of loss or deduction that are attributable to the Management Fee shall be allocated to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 AG Shareholder.</w:t>
      </w:r>
    </w:p>
    <w:p>
      <w:pPr>
        <w:spacing w:after="0" w:line="195" w:lineRule="exact"/>
        <w:rPr>
          <w:rFonts w:ascii="Times New Roman" w:cs="Times New Roman" w:eastAsia="Times New Roman" w:hAnsi="Times New Roman"/>
          <w:sz w:val="22"/>
          <w:szCs w:val="22"/>
          <w:color w:val="auto"/>
        </w:rPr>
      </w:pPr>
    </w:p>
    <w:p>
      <w:pPr>
        <w:ind w:right="280" w:firstLine="1952"/>
        <w:spacing w:after="0" w:line="257" w:lineRule="auto"/>
        <w:tabs>
          <w:tab w:leader="none" w:pos="2412"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items of loss or deduction that are attributable to Company Expenses funded by or for the account of any Shareholder in accordance with Section 6.02 (for the avoidance of doubt, not to include any Management Fee) shall be allocated to such Shareholder.</w:t>
      </w:r>
    </w:p>
    <w:p>
      <w:pPr>
        <w:spacing w:after="0" w:line="168" w:lineRule="exact"/>
        <w:rPr>
          <w:rFonts w:ascii="Times New Roman" w:cs="Times New Roman" w:eastAsia="Times New Roman" w:hAnsi="Times New Roman"/>
          <w:sz w:val="22"/>
          <w:szCs w:val="22"/>
          <w:color w:val="auto"/>
        </w:rPr>
      </w:pPr>
    </w:p>
    <w:p>
      <w:pPr>
        <w:ind w:right="20" w:firstLine="1174"/>
        <w:spacing w:after="0" w:line="245" w:lineRule="auto"/>
        <w:tabs>
          <w:tab w:leader="none" w:pos="1634"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Profits and Losses. </w:t>
      </w:r>
      <w:r>
        <w:rPr>
          <w:rFonts w:ascii="Times New Roman" w:cs="Times New Roman" w:eastAsia="Times New Roman" w:hAnsi="Times New Roman"/>
          <w:sz w:val="22"/>
          <w:szCs w:val="22"/>
          <w:color w:val="auto"/>
        </w:rPr>
        <w:t>After giving effect to Section 8.07(a), Profits or Losses for such fiscal period (and,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necessary, items of income, gain, loss or deduction included in the determination thereof) shall be allocated among the Shareholders in a manner consistent with the corresponding distributions made or to be made pursuant to this Article 8. Without limiting the generality of the foregoing, any allocation pursuant to this Section 8.07(b) shall be made in a manner such that each Shareholder’s Capital Account balance, immediately after such allocation, is as nearly as possible (and proportionately as nearly as possible with respect to all Shareholders’ Capital Accounts) equal to (i) the distributions that would be made to such Shareholder pursuant to the provisions of this Article 8 if, immediately after such allocation, the Company were wound up, all of its assets sold for cash equal to their Carrying Values and its liabilities settled (limited, in the case of any nonrecourse liability to the Carrying Values of the assets securing such liability) and the remaining proceeds derived from the hypothetical sale of assets were distributed pursuant to the provisions of this Article 8,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amount that such Shareholder would be obligated to contribute to the Company in connection with such hypothetical liquidation, including any amount that ManagementCo Shareholder would be required to contribute to the Company pursuant to Section 11.02, and any amount that such Shareholder would be deemed, immediately prior to the Company’s hypothetical sale of assets, to be obligated to restore to the Company pursuant to the penultimate sentence of U.S. Treasury Regulations Sections 1.704-2(g)(1) and 1.704-2(i)(5),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in the case of a Class I-A Shareholder, the amount that would be distributable to such Class I-A Shareholder pursuant to Section 11.02 in connection with such hypothetical liquidation.</w:t>
      </w:r>
    </w:p>
    <w:p>
      <w:pPr>
        <w:spacing w:after="0" w:line="192" w:lineRule="exact"/>
        <w:rPr>
          <w:rFonts w:ascii="Times New Roman" w:cs="Times New Roman" w:eastAsia="Times New Roman" w:hAnsi="Times New Roman"/>
          <w:sz w:val="22"/>
          <w:szCs w:val="22"/>
          <w:color w:val="auto"/>
        </w:rPr>
      </w:pPr>
    </w:p>
    <w:p>
      <w:pPr>
        <w:ind w:firstLine="1174"/>
        <w:spacing w:after="0" w:line="246" w:lineRule="auto"/>
        <w:tabs>
          <w:tab w:leader="none" w:pos="1622"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or anything to the contrary in this Agreement, but subject to Section 8.08, the share of Profits or Losses for any fiscal period (and, if necessary, items of income, gain, loss or deduction included in the determination thereof) attributable to the Investment in Spectra and otherwise allocable to Comcast Shareholder will be allocated solely to Comcast Spectacor Shareholder (and not to Comcast AG Shareholder). All other Profits or Losses for any fiscal period (and, if necessary, items of income, gain, loss or deduction included in the determination thereof) attributable to each of the Investments other than Spectra and otherwise allocable to Comcast Shareholder will be allocated solely to Comcast AG Shareholder (and not to Comcast Spectacor Shareholder) unless such allocation would cause Comcast AG Shareholder to have a deficit Capital Account balance that is in excess of the amount the Comcast AG Shareholder is treated as being obligated to restore pursuant to the penultimate sentence of U.S. Treasury Regulations Section 1.704-2(g)(1) and 1.704-2(i)5), in which case such Profits or Losses will be allocated to Comcast Spectacor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160"/>
          </w:cols>
          <w:pgMar w:left="320" w:top="1440" w:right="419" w:bottom="1440" w:gutter="0" w:footer="0" w:header="0"/>
        </w:sectPr>
      </w:pPr>
    </w:p>
    <w:bookmarkStart w:id="305" w:name="page306"/>
    <w:bookmarkEnd w:id="305"/>
    <w:p>
      <w:pPr>
        <w:ind w:right="140" w:firstLine="972"/>
        <w:spacing w:after="0" w:line="275"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i w:val="1"/>
          <w:iCs w:val="1"/>
          <w:color w:val="auto"/>
        </w:rPr>
        <w:t>Special Allocations</w:t>
      </w:r>
      <w:r>
        <w:rPr>
          <w:rFonts w:ascii="Times New Roman" w:cs="Times New Roman" w:eastAsia="Times New Roman" w:hAnsi="Times New Roman"/>
          <w:sz w:val="22"/>
          <w:szCs w:val="22"/>
          <w:color w:val="auto"/>
        </w:rPr>
        <w:t>. Notwithstanding the provisions of Section 8.07, the following special allocations shall be made:</w:t>
      </w:r>
    </w:p>
    <w:p>
      <w:pPr>
        <w:spacing w:after="0" w:line="149" w:lineRule="exact"/>
        <w:rPr>
          <w:sz w:val="20"/>
          <w:szCs w:val="20"/>
          <w:color w:val="auto"/>
        </w:rPr>
      </w:pPr>
    </w:p>
    <w:p>
      <w:pPr>
        <w:ind w:firstLine="1174"/>
        <w:spacing w:after="0" w:line="259" w:lineRule="auto"/>
        <w:tabs>
          <w:tab w:leader="none" w:pos="162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Minimum Gain Chargebacks. </w:t>
      </w:r>
      <w:r>
        <w:rPr>
          <w:rFonts w:ascii="Times New Roman" w:cs="Times New Roman" w:eastAsia="Times New Roman" w:hAnsi="Times New Roman"/>
          <w:sz w:val="22"/>
          <w:szCs w:val="22"/>
          <w:color w:val="auto"/>
        </w:rPr>
        <w:t>Items of Company income and gain shall be allocated among the Shareholders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times and in such manner as may be necessary to satisfy the minimum gain chargeback requirements of U.S. Treasury Regulations Sections 1.704-2(f) and 1.704-2(i)(4).</w:t>
      </w:r>
    </w:p>
    <w:p>
      <w:pPr>
        <w:spacing w:after="0" w:line="166" w:lineRule="exact"/>
        <w:rPr>
          <w:rFonts w:ascii="Times New Roman" w:cs="Times New Roman" w:eastAsia="Times New Roman" w:hAnsi="Times New Roman"/>
          <w:sz w:val="22"/>
          <w:szCs w:val="22"/>
          <w:color w:val="auto"/>
        </w:rPr>
      </w:pPr>
    </w:p>
    <w:p>
      <w:pPr>
        <w:ind w:right="20" w:firstLine="1174"/>
        <w:spacing w:after="0" w:line="268" w:lineRule="auto"/>
        <w:tabs>
          <w:tab w:leader="none" w:pos="1634"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Qualified Income Offset. </w:t>
      </w:r>
      <w:r>
        <w:rPr>
          <w:rFonts w:ascii="Times New Roman" w:cs="Times New Roman" w:eastAsia="Times New Roman" w:hAnsi="Times New Roman"/>
          <w:sz w:val="21"/>
          <w:szCs w:val="21"/>
          <w:color w:val="auto"/>
        </w:rPr>
        <w:t>Items of Company income and gain shall be allocated at such times and in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manner as may be necessary to satisfy the “qualified income offset” requirement of U.S. Treasury Regulations Section 1.704-1(b)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(2)(ii)</w:t>
      </w:r>
      <w:r>
        <w:rPr>
          <w:rFonts w:ascii="Times New Roman" w:cs="Times New Roman" w:eastAsia="Times New Roman" w:hAnsi="Times New Roman"/>
          <w:sz w:val="22"/>
          <w:szCs w:val="22"/>
          <w:i w:val="1"/>
          <w:iCs w:val="1"/>
          <w:color w:val="auto"/>
        </w:rPr>
        <w:t>(d)</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1"/>
          <w:szCs w:val="21"/>
          <w:color w:val="auto"/>
        </w:rPr>
      </w:pPr>
    </w:p>
    <w:p>
      <w:pPr>
        <w:ind w:right="260" w:firstLine="1174"/>
        <w:spacing w:after="0" w:line="253" w:lineRule="auto"/>
        <w:tabs>
          <w:tab w:leader="none" w:pos="162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Nonrecourse Deductions. </w:t>
      </w:r>
      <w:r>
        <w:rPr>
          <w:rFonts w:ascii="Times New Roman" w:cs="Times New Roman" w:eastAsia="Times New Roman" w:hAnsi="Times New Roman"/>
          <w:sz w:val="22"/>
          <w:szCs w:val="22"/>
          <w:color w:val="auto"/>
        </w:rPr>
        <w:t>To the extent that the allocation of any “nonrecourse deductions” (within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meaning of U.S. Treasury Regulations Section 1.704-2(b)(1)) would not otherwise satisfy the requirements of U.S. Treasury Regulations Section 1.704-2(e), such nonrecourse deductions shall be allocated in a manner that satisfies such requirements, as determined by the Manager in its reasonable discretion.</w:t>
      </w:r>
    </w:p>
    <w:p>
      <w:pPr>
        <w:spacing w:after="0" w:line="175" w:lineRule="exact"/>
        <w:rPr>
          <w:rFonts w:ascii="Times New Roman" w:cs="Times New Roman" w:eastAsia="Times New Roman" w:hAnsi="Times New Roman"/>
          <w:sz w:val="22"/>
          <w:szCs w:val="22"/>
          <w:color w:val="auto"/>
        </w:rPr>
      </w:pPr>
    </w:p>
    <w:p>
      <w:pPr>
        <w:ind w:right="20" w:firstLine="1174"/>
        <w:spacing w:after="0" w:line="248" w:lineRule="auto"/>
        <w:tabs>
          <w:tab w:leader="none" w:pos="1634"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Gross Income Allocation. </w:t>
      </w:r>
      <w:r>
        <w:rPr>
          <w:rFonts w:ascii="Times New Roman" w:cs="Times New Roman" w:eastAsia="Times New Roman" w:hAnsi="Times New Roman"/>
          <w:sz w:val="22"/>
          <w:szCs w:val="22"/>
          <w:color w:val="auto"/>
        </w:rPr>
        <w:t>In the event that any Shareholder has, or would otherwise have, a deficit Capital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Account balance that is in excess of the amount such Shareholder is treated as being obligated to restore pursuant to the penultimate sentences of U.S. Treasury Regulations Sections 1.704-2(g)(1) and 1.704-2(i)(5), items of Company income and gain in the amount of such excess shall be allocated to such Shareholder;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 allocation pursuant to this Section 8.08(d) shall be made only if and to the extent that such Shareholder would have such a deficit Capital Account balance after all other allocations provided for in this Article 8 have been made as if Section 8.08(b) and this Section 8.08(d) were not in this Agreement.</w:t>
      </w:r>
    </w:p>
    <w:p>
      <w:pPr>
        <w:spacing w:after="0" w:line="181" w:lineRule="exact"/>
        <w:rPr>
          <w:rFonts w:ascii="Times New Roman" w:cs="Times New Roman" w:eastAsia="Times New Roman" w:hAnsi="Times New Roman"/>
          <w:sz w:val="22"/>
          <w:szCs w:val="22"/>
          <w:color w:val="auto"/>
        </w:rPr>
      </w:pPr>
    </w:p>
    <w:p>
      <w:pPr>
        <w:ind w:left="1620" w:hanging="446"/>
        <w:spacing w:after="0"/>
        <w:tabs>
          <w:tab w:leader="none" w:pos="162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Curative Allocations. </w:t>
      </w:r>
      <w:r>
        <w:rPr>
          <w:rFonts w:ascii="Times New Roman" w:cs="Times New Roman" w:eastAsia="Times New Roman" w:hAnsi="Times New Roman"/>
          <w:sz w:val="22"/>
          <w:szCs w:val="22"/>
          <w:color w:val="auto"/>
        </w:rPr>
        <w:t>The allocations required pursuant to the preceding provisions of this Section 8.08 (the</w:t>
      </w:r>
    </w:p>
    <w:p>
      <w:pPr>
        <w:spacing w:after="0" w:line="3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Allocations</w:t>
      </w:r>
      <w:r>
        <w:rPr>
          <w:rFonts w:ascii="Times New Roman" w:cs="Times New Roman" w:eastAsia="Times New Roman" w:hAnsi="Times New Roman"/>
          <w:sz w:val="22"/>
          <w:szCs w:val="22"/>
          <w:color w:val="auto"/>
        </w:rPr>
        <w:t>”) shall be taken into account for purposes of allocating other items of income, gain, loss and deduction among the Shareholders so that each Shareholder’s Capital Account balance is, to the extent possible, equal to the Capital Account balance such Shareholder would have had if the Regulatory Allocations were not part of this Agreement and all allocations were made pursuant to Section 8.07.</w:t>
      </w:r>
    </w:p>
    <w:p>
      <w:pPr>
        <w:spacing w:after="0" w:line="185" w:lineRule="exact"/>
        <w:rPr>
          <w:sz w:val="20"/>
          <w:szCs w:val="20"/>
          <w:color w:val="auto"/>
        </w:rPr>
      </w:pPr>
    </w:p>
    <w:p>
      <w:pPr>
        <w:ind w:right="80" w:firstLine="1174"/>
        <w:spacing w:after="0" w:line="252" w:lineRule="auto"/>
        <w:tabs>
          <w:tab w:leader="none" w:pos="1594"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is authorized to modify any and all of the allocation provisions under Sections 8.07 and 8.08 to the extent that, in the reasonable judgment of the Manager and based upon advice of tax advisors to the Manager, such modifications are necessary to reflect the economic entitlements of the Shareholders and to comply with Section 704 of the Code and applicable U.S. Treasury Regulations.</w:t>
      </w:r>
    </w:p>
    <w:p>
      <w:pPr>
        <w:spacing w:after="0" w:line="175" w:lineRule="exact"/>
        <w:rPr>
          <w:sz w:val="20"/>
          <w:szCs w:val="20"/>
          <w:color w:val="auto"/>
        </w:rPr>
      </w:pPr>
    </w:p>
    <w:p>
      <w:pPr>
        <w:jc w:val="both"/>
        <w:ind w:right="4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i w:val="1"/>
          <w:iCs w:val="1"/>
          <w:color w:val="auto"/>
        </w:rPr>
        <w:t>Revaluations</w:t>
      </w:r>
      <w:r>
        <w:rPr>
          <w:rFonts w:ascii="Times New Roman" w:cs="Times New Roman" w:eastAsia="Times New Roman" w:hAnsi="Times New Roman"/>
          <w:sz w:val="22"/>
          <w:szCs w:val="22"/>
          <w:color w:val="auto"/>
        </w:rPr>
        <w:t>. Upon the occurrence of any event specified in U.S. Treasury Regulations Section 1.704-1(b)(2)(iv)(f), the Manager may cause the Capital Accounts of the Shareholders to be adjusted to reflect the Fair Market Value of the Company’s assets at such time, as determined by the Manager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18"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Manager has received the prior written consent of Comcast AG Shareholder to such revaluation.</w:t>
      </w:r>
    </w:p>
    <w:p>
      <w:pPr>
        <w:spacing w:after="0" w:line="220"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8.10.</w:t>
      </w:r>
      <w:r>
        <w:rPr>
          <w:sz w:val="20"/>
          <w:szCs w:val="20"/>
          <w:color w:val="auto"/>
        </w:rPr>
        <w:tab/>
      </w:r>
      <w:r>
        <w:rPr>
          <w:rFonts w:ascii="Times New Roman" w:cs="Times New Roman" w:eastAsia="Times New Roman" w:hAnsi="Times New Roman"/>
          <w:sz w:val="21"/>
          <w:szCs w:val="21"/>
          <w:i w:val="1"/>
          <w:iCs w:val="1"/>
          <w:color w:val="auto"/>
        </w:rPr>
        <w:t>Tax Allocations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right="120" w:firstLine="1174"/>
        <w:spacing w:after="0" w:line="257" w:lineRule="auto"/>
        <w:tabs>
          <w:tab w:leader="none" w:pos="1622"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federal, state and local income tax purposes, each item of income, gain, loss, deduction and credit of the Company shall be allocated among the Shareholders as nearly as possible in the same manner as the corresponding items are allocated pursuant to the other provisions of this Article 8.</w:t>
      </w:r>
    </w:p>
    <w:p>
      <w:pPr>
        <w:spacing w:after="0" w:line="172" w:lineRule="exact"/>
        <w:rPr>
          <w:rFonts w:ascii="Times New Roman" w:cs="Times New Roman" w:eastAsia="Times New Roman" w:hAnsi="Times New Roman"/>
          <w:sz w:val="22"/>
          <w:szCs w:val="22"/>
          <w:color w:val="auto"/>
        </w:rPr>
      </w:pPr>
    </w:p>
    <w:p>
      <w:pPr>
        <w:ind w:firstLine="1174"/>
        <w:spacing w:after="0" w:line="252" w:lineRule="auto"/>
        <w:tabs>
          <w:tab w:leader="none" w:pos="1622"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items of income, gain, loss and deduction with respect to any Company asset that has a Carrying Value that differs from its adjusted tax basis for U.S. federal income tax purposes shall be allocated so as to take into account the variation between the Carrying Value and the adjusted tax basis in accordance with the principles of Section 704(c) of the Code and the U.S. Treasury Regulations thereunder.</w:t>
      </w:r>
    </w:p>
    <w:p>
      <w:pPr>
        <w:spacing w:after="0" w:line="175" w:lineRule="exact"/>
        <w:rPr>
          <w:sz w:val="20"/>
          <w:szCs w:val="20"/>
          <w:color w:val="auto"/>
        </w:rPr>
      </w:pPr>
    </w:p>
    <w:p>
      <w:pPr>
        <w:ind w:right="220" w:firstLine="972"/>
        <w:spacing w:after="0" w:line="249"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i w:val="1"/>
          <w:iCs w:val="1"/>
          <w:color w:val="auto"/>
        </w:rPr>
        <w:t>Change in Interests During a Tax Year</w:t>
      </w:r>
      <w:r>
        <w:rPr>
          <w:rFonts w:ascii="Times New Roman" w:cs="Times New Roman" w:eastAsia="Times New Roman" w:hAnsi="Times New Roman"/>
          <w:sz w:val="22"/>
          <w:szCs w:val="22"/>
          <w:color w:val="auto"/>
        </w:rPr>
        <w:t xml:space="preserve">. If any Shareholder’s interest in the Company changes during any Tax Year allocations pursuant to this Article 8 shall be made in a manner that takes into account the varying interest of the Shareholders in the Company during such Tax Year, as required by Section 706(d) of the Code, under such method as the Manager may determine in its reasonable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Manager shall cause the Company to adopt the “closing-of-the-books” method for the allocation of any items of income, gain, loss or deduction attributable to a Transfer pursuant to Section 5.03.</w:t>
      </w:r>
    </w:p>
    <w:p>
      <w:pPr>
        <w:spacing w:after="0" w:line="1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9</w:t>
      </w:r>
    </w:p>
    <w:p>
      <w:pPr>
        <w:spacing w:after="0" w:line="7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Right of First Offer</w:t>
      </w:r>
    </w:p>
    <w:p>
      <w:pPr>
        <w:spacing w:after="0" w:line="24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i w:val="1"/>
          <w:iCs w:val="1"/>
          <w:color w:val="auto"/>
        </w:rPr>
        <w:t>Right of First Offer.</w:t>
      </w:r>
    </w:p>
    <w:p>
      <w:pPr>
        <w:spacing w:after="0" w:line="224" w:lineRule="exact"/>
        <w:rPr>
          <w:sz w:val="20"/>
          <w:szCs w:val="20"/>
          <w:color w:val="auto"/>
        </w:rPr>
      </w:pPr>
    </w:p>
    <w:p>
      <w:pPr>
        <w:ind w:firstLine="1174"/>
        <w:spacing w:after="0" w:line="245" w:lineRule="auto"/>
        <w:tabs>
          <w:tab w:leader="none" w:pos="1622"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desires to Transfer any Portfolio Company Securities or any other assets or any controlled Portfolio Company desires to transfer all or substantially all of its assets (collectively, including Portfolio Company Securities, “</w:t>
      </w:r>
      <w:r>
        <w:rPr>
          <w:rFonts w:ascii="Times New Roman" w:cs="Times New Roman" w:eastAsia="Times New Roman" w:hAnsi="Times New Roman"/>
          <w:sz w:val="22"/>
          <w:szCs w:val="22"/>
          <w:b w:val="1"/>
          <w:bCs w:val="1"/>
          <w:color w:val="auto"/>
        </w:rPr>
        <w:t>ROFO Assets</w:t>
      </w:r>
      <w:r>
        <w:rPr>
          <w:rFonts w:ascii="Times New Roman" w:cs="Times New Roman" w:eastAsia="Times New Roman" w:hAnsi="Times New Roman"/>
          <w:sz w:val="22"/>
          <w:szCs w:val="22"/>
          <w:color w:val="auto"/>
        </w:rPr>
        <w:t>”) to any Person (other than (i) the Transfer by the Company of Portfolio Company Securities and (ii) the Transfer by a Portfolio Company of assets that, in each case, have been pledged, encumbered or hypothecated to secure any Debt of the applicable Portfolio Company upon the exercise of remedies in respect thereof), the Company shall give notice (an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to Comcast Shareholder that the Company or such Portfolio Company desires to make such a Transfer and that 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the number and kind of ROFO Assets proposed to be Transferred by the Company or such Portfolio Company (the “</w:t>
      </w:r>
      <w:r>
        <w:rPr>
          <w:rFonts w:ascii="Times New Roman" w:cs="Times New Roman" w:eastAsia="Times New Roman" w:hAnsi="Times New Roman"/>
          <w:sz w:val="22"/>
          <w:szCs w:val="22"/>
          <w:b w:val="1"/>
          <w:bCs w:val="1"/>
          <w:color w:val="auto"/>
        </w:rPr>
        <w:t>Offered ROFO Assets</w:t>
      </w:r>
      <w:r>
        <w:rPr>
          <w:rFonts w:ascii="Times New Roman" w:cs="Times New Roman" w:eastAsia="Times New Roman" w:hAnsi="Times New Roman"/>
          <w:sz w:val="22"/>
          <w:szCs w:val="22"/>
          <w:color w:val="auto"/>
        </w:rPr>
        <w:t>”), the price at which the Company or such Portfolio Company proposes to Transfer such Offered ROFO Assets (the “</w:t>
      </w:r>
      <w:r>
        <w:rPr>
          <w:rFonts w:ascii="Times New Roman" w:cs="Times New Roman" w:eastAsia="Times New Roman" w:hAnsi="Times New Roman"/>
          <w:sz w:val="22"/>
          <w:szCs w:val="22"/>
          <w:b w:val="1"/>
          <w:bCs w:val="1"/>
          <w:color w:val="auto"/>
        </w:rPr>
        <w:t>Offer Price</w:t>
      </w:r>
      <w:r>
        <w:rPr>
          <w:rFonts w:ascii="Times New Roman" w:cs="Times New Roman" w:eastAsia="Times New Roman" w:hAnsi="Times New Roman"/>
          <w:sz w:val="22"/>
          <w:szCs w:val="22"/>
          <w:color w:val="auto"/>
        </w:rPr>
        <w:t xml:space="preserve">”) and any other material terms and conditions of the proposed Transfer;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give an Offer Notice to Comcast Shareholder with respect to (and Comcast Shareholder shall have no right under this Section 9.01 with respect to) the proposed Transfer of any Portfolio Company Securities if the Portfolio Company issuing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20"/>
          </w:cols>
          <w:pgMar w:left="320" w:top="1418" w:right="359" w:bottom="1440" w:gutter="0" w:footer="0" w:header="0"/>
        </w:sectPr>
      </w:pPr>
    </w:p>
    <w:bookmarkStart w:id="307" w:name="page308"/>
    <w:bookmarkEnd w:id="307"/>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 xml:space="preserve">Portfolio Securities is not a Subsidiary of the Company (assuming solely for this purpose that the last sentence in the definition of the term “Subsidiary” in Section 1.01 were deleted) and the rights of Comcast under this Section 9.01 would be inconsistent with the terms of such Portfolio Securities or any contractual or other legally binding provision applicable to the Company or any of its Subsidiaries or to such Portfolio Securities;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in connection with an Investment in a Portfolio Company that is not a Subsidiary of the Company (assuming solely for this purpose that the last sentence in the definition of the term “Subsidiary” in Section 1.01 were deleted), if the Manager determines in its good faith discretion that it would be reasonably likely through the exercise of commercially reasonable efforts to be able to make such Investment without accepting any such inconsistent terms or provisions so as to preserve Comcast Shareholder’s rights under this Section 9.01, then the Company shall use commercially reasonable efforts to make such Investment without accepting any such inconsistent terms or provisions;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notwithstanding the foregoing or anything to the contrary in this Agreement, the Manager shall interpret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provisions of this Article 9 to apply to Comcast Spectacor Shareholder solely with respect to the Investment in Spectra, and shall apply the provisions of the Agreement (including Section 10.08) in accordance with such interpretation.</w:t>
      </w:r>
    </w:p>
    <w:p>
      <w:pPr>
        <w:spacing w:after="0" w:line="175" w:lineRule="exact"/>
        <w:rPr>
          <w:sz w:val="20"/>
          <w:szCs w:val="20"/>
          <w:color w:val="auto"/>
        </w:rPr>
      </w:pPr>
    </w:p>
    <w:p>
      <w:pPr>
        <w:ind w:right="60" w:firstLine="1174"/>
        <w:spacing w:after="0" w:line="247" w:lineRule="auto"/>
        <w:tabs>
          <w:tab w:leader="none" w:pos="163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giving of an Offer Notice to Comcast Shareholder shall constitute an offer (the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by the Company or such Portfolio Company to Transfer all (but not less than all) of the Offered ROFO Assets to Comcast Shareholder or an Affiliate of Comcast Shareholder designated by Comcast Shareholder (“</w:t>
      </w:r>
      <w:r>
        <w:rPr>
          <w:rFonts w:ascii="Times New Roman" w:cs="Times New Roman" w:eastAsia="Times New Roman" w:hAnsi="Times New Roman"/>
          <w:sz w:val="22"/>
          <w:szCs w:val="22"/>
          <w:b w:val="1"/>
          <w:bCs w:val="1"/>
          <w:color w:val="auto"/>
        </w:rPr>
        <w:t>Comcast ROFO Purchaser</w:t>
      </w:r>
      <w:r>
        <w:rPr>
          <w:rFonts w:ascii="Times New Roman" w:cs="Times New Roman" w:eastAsia="Times New Roman" w:hAnsi="Times New Roman"/>
          <w:sz w:val="22"/>
          <w:szCs w:val="22"/>
          <w:color w:val="auto"/>
        </w:rPr>
        <w:t>”) for cash at the Offer Price applicable to such Offered ROFO Assets and otherwise on the terms and conditions set forth in the Offer Notice. Comcast ROFO Purchaser shall have a 30-day period (the “</w:t>
      </w:r>
      <w:r>
        <w:rPr>
          <w:rFonts w:ascii="Times New Roman" w:cs="Times New Roman" w:eastAsia="Times New Roman" w:hAnsi="Times New Roman"/>
          <w:sz w:val="22"/>
          <w:szCs w:val="22"/>
          <w:b w:val="1"/>
          <w:bCs w:val="1"/>
          <w:color w:val="auto"/>
        </w:rPr>
        <w:t>Offer Period</w:t>
      </w:r>
      <w:r>
        <w:rPr>
          <w:rFonts w:ascii="Times New Roman" w:cs="Times New Roman" w:eastAsia="Times New Roman" w:hAnsi="Times New Roman"/>
          <w:sz w:val="22"/>
          <w:szCs w:val="22"/>
          <w:color w:val="auto"/>
        </w:rPr>
        <w:t>”) in which to accept such Offer by giving a notice of acceptance to the Company prior to the expiration of such Offer Period. If Comcast ROFO Purchaser fails to notify the Company, prior to the expiration of the Offer Period, of acceptance of the terms of the Offer, Comcast ROFO Purchaser shall be deemed to have declined the Offer with respect to such portion of the Offered ROFO Assets.</w:t>
      </w:r>
    </w:p>
    <w:p>
      <w:pPr>
        <w:spacing w:after="0" w:line="189" w:lineRule="exact"/>
        <w:rPr>
          <w:rFonts w:ascii="Times New Roman" w:cs="Times New Roman" w:eastAsia="Times New Roman" w:hAnsi="Times New Roman"/>
          <w:sz w:val="22"/>
          <w:szCs w:val="22"/>
          <w:color w:val="auto"/>
        </w:rPr>
      </w:pPr>
    </w:p>
    <w:p>
      <w:pPr>
        <w:ind w:right="80" w:firstLine="1174"/>
        <w:spacing w:after="0" w:line="257" w:lineRule="auto"/>
        <w:tabs>
          <w:tab w:leader="none" w:pos="1618"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and shall cause any controlled Portfolio Company and use reasonable best efforts to cause any other Portfolio Company to provide, to Comcast ROFO Purchaser all information it may reasonably request in the course of determining whether to accept any Offer.</w:t>
      </w:r>
    </w:p>
    <w:p>
      <w:pPr>
        <w:spacing w:after="0" w:line="172" w:lineRule="exact"/>
        <w:rPr>
          <w:rFonts w:ascii="Times New Roman" w:cs="Times New Roman" w:eastAsia="Times New Roman" w:hAnsi="Times New Roman"/>
          <w:sz w:val="22"/>
          <w:szCs w:val="22"/>
          <w:color w:val="auto"/>
        </w:rPr>
      </w:pPr>
    </w:p>
    <w:p>
      <w:pPr>
        <w:ind w:firstLine="1174"/>
        <w:spacing w:after="0" w:line="260" w:lineRule="auto"/>
        <w:tabs>
          <w:tab w:leader="none" w:pos="1634"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Comcast ROFO Purchaser elects to purchase any Offered ROFO Assets, Comcast ROFO Purchaser shall purchase and pay, by wire transfer of immediately available funds to an account designated by the Company, for such Offered ROFO Assets within 20 Business Days after the date on which Comcast ROFO Purchaser accepted the Offer pertaining to such Offered ROFO Assets;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Transfer of such Offered ROFO Assets is subject to any prior regulatory approval, the time period during which such Transfer may be consummated shall be extended until the expiration of five Business Days after all such approvals shall have been received;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in lieu of a payment of cash by Comcast ROFO Purchaser with respect to such Offered ROFO Assets, at the written request of the Comcast ROFO Purchaser, Comcast ROFO Purchaser and the Company agree to use commercially reasonable efforts to devise and implement an alternative structure to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9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 xml:space="preserve">such Offered ROFO Assets to Comcast ROFO Purchaser in a tax-efficient manner,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alternative structure places ManagementCo Shareholder in the same economic position (taking into account the tax consequences of the alternative structure as compared to the tax consequences of a payment of cash by Comcast ROFO Purchaser) as if Comcast ROFO Purchaser had purchased such Offered ROFO Assets in cash. Comcast ROFO Purchaser, the Company and all Shareholders of the Company shall cooperate, and the Company shall use commercially reasonable efforts to cause the Portfolio Company to cooperate, in good faith in implementing any alternative structure agreed to pursuant to this Section 9.01(d).</w:t>
      </w:r>
    </w:p>
    <w:p>
      <w:pPr>
        <w:spacing w:after="0" w:line="184" w:lineRule="exact"/>
        <w:rPr>
          <w:sz w:val="20"/>
          <w:szCs w:val="20"/>
          <w:color w:val="auto"/>
        </w:rPr>
      </w:pPr>
    </w:p>
    <w:p>
      <w:pPr>
        <w:ind w:firstLine="1174"/>
        <w:spacing w:after="0" w:line="260" w:lineRule="auto"/>
        <w:tabs>
          <w:tab w:leader="none" w:pos="1618"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Offered ROFO Assets, upon the earlier to occur of (i) rejection of the Offer pertaining to such Offered ROFO Assets by Comcast ROFO Purchaser and (ii) the ultimate failure to obtain any required consent or regulatory approval for the purchase of such Offered ROFO Assets by Comcast ROFO Purchaser, the Company or the applicable Portfolio Company shall have a 270-day period during which to effect a Transfer of such Offered ROFO Assets at a price not less than</w:t>
      </w:r>
    </w:p>
    <w:p>
      <w:pPr>
        <w:spacing w:after="0" w:line="3" w:lineRule="exact"/>
        <w:rPr>
          <w:rFonts w:ascii="Times New Roman" w:cs="Times New Roman" w:eastAsia="Times New Roman" w:hAnsi="Times New Roman"/>
          <w:sz w:val="21"/>
          <w:szCs w:val="21"/>
          <w:color w:val="auto"/>
        </w:rPr>
      </w:pPr>
    </w:p>
    <w:p>
      <w:pPr>
        <w:ind w:right="80"/>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95% of the Offer Price and otherwise on terms no less favorable to the Company or the applicable Portfolio Company than those set forth in the Offer Notice (other than in an immaterial respect);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Company or the applicable Portfolio Company enters into a definitive agreement providing for the Transfer within such 270-day period and the Transfer is subject to regulatory approval, such 270-day period shall be extended until the expiration of five Business Days after all such approvals shall have been received, but in no event shall such regulatory extension exceed 120 days. If the Company or any Portfolio Company does not consummate the Transfer of any of the Offered ROFO Assets in accordance with the foregoing time limitations, then the right of the Company or such Portfolio Company to effect the Transfer of such Offered ROFO Assets pursuant to this Section 9.01(e) shall terminate and the Company and such Portfolio Company shall again comply with the procedures set forth in this Section 9.01(e) with respect to any proposed Transfer of Offered ROFO Assets to any Person.</w:t>
      </w:r>
    </w:p>
    <w:p>
      <w:pPr>
        <w:spacing w:after="0" w:line="1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10</w:t>
      </w:r>
    </w:p>
    <w:p>
      <w:pPr>
        <w:spacing w:after="0" w:line="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Certain Covenants and Agreements</w:t>
      </w:r>
    </w:p>
    <w:p>
      <w:pPr>
        <w:spacing w:after="0" w:line="243"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40" w:firstLine="1174"/>
        <w:spacing w:after="0" w:line="260" w:lineRule="auto"/>
        <w:tabs>
          <w:tab w:leader="none" w:pos="1622"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Comcast Shareholder shall, and shall cause each of its Affiliates and Representatives to, maintain the confidentiality of and not use for any purpose (other than in connection with the matters contemplated by this Agreement) any information furnished to it under this Agreement or by or on behalf of the Company, including any information regarding the Company’s Investments, Portfolio Companies or prospective Investments or Portfolio Companies (collectively,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Company Confidential Information shall not include information that (1) is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becomes generally available to the public other than as a result of a disclosure by Comcast Shareholder or any of the directors, officers, employees, stockholders, members, partners, agents, counsel, investment and financial advisers, accountants, auditors or other representatives (all such persons being collectively referred to as “</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of Comcast Shareholder in violation of this Agreement, (2) was available to Comcast Shareholder on a non-confidential basis prior to its disclosure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19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 xml:space="preserve">Comcast Shareholder or its Representatives by the Company, (3) was obtained by Comcast Shareholder from a third party who, insofar as known to Comcast Shareholder, is not prohibited from transmitting the information to Comcast Shareholder by a contractual, legal or fiduciary obligation to the Company or any of its Affiliates or (4) is necessary in connection with a tax audit;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Comcast Shareholder may disclose Company Confidential Information:</w:t>
      </w:r>
    </w:p>
    <w:p>
      <w:pPr>
        <w:spacing w:after="0" w:line="179" w:lineRule="exact"/>
        <w:rPr>
          <w:sz w:val="20"/>
          <w:szCs w:val="20"/>
          <w:color w:val="auto"/>
        </w:rPr>
      </w:pPr>
    </w:p>
    <w:p>
      <w:pPr>
        <w:ind w:right="80" w:firstLine="1952"/>
        <w:spacing w:after="0" w:line="252" w:lineRule="auto"/>
        <w:tabs>
          <w:tab w:leader="none" w:pos="236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Representatives in the normal course of the performance of their duties or to any financial institution providing or that may provide credit to Comcast Shareholder or any of its Affiliates (provided that such information is maintained in confidence by the party to whom it is disclosed in accordance with the provisions of this Section 10.01(a) and Comcast shall be responsible for the failure of any such party to maintain such information in confidence);</w:t>
      </w:r>
    </w:p>
    <w:p>
      <w:pPr>
        <w:spacing w:after="0" w:line="179" w:lineRule="exact"/>
        <w:rPr>
          <w:rFonts w:ascii="Times New Roman" w:cs="Times New Roman" w:eastAsia="Times New Roman" w:hAnsi="Times New Roman"/>
          <w:sz w:val="22"/>
          <w:szCs w:val="22"/>
          <w:color w:val="auto"/>
        </w:rPr>
      </w:pPr>
    </w:p>
    <w:p>
      <w:pPr>
        <w:ind w:firstLine="1952"/>
        <w:spacing w:after="0" w:line="265" w:lineRule="auto"/>
        <w:tabs>
          <w:tab w:leader="none" w:pos="2424"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by Applicable Law, including any listing agreement with any national securities exchange (including complying with any oral or written questions, interrogatories, requests for information or documents, subpoena, civil investigative demand or similar process to which Comcast Shareholder or any of its Affiliates is subject;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with respect to any matters covered by clause (iii) below) Comcast Shareholder agrees to give the Company prompt notice of such request, to the extent practicable, so that the Company may seek an appropriate protective order or similar relief);</w:t>
      </w:r>
    </w:p>
    <w:p>
      <w:pPr>
        <w:spacing w:after="0" w:line="165" w:lineRule="exact"/>
        <w:rPr>
          <w:rFonts w:ascii="Times New Roman" w:cs="Times New Roman" w:eastAsia="Times New Roman" w:hAnsi="Times New Roman"/>
          <w:sz w:val="21"/>
          <w:szCs w:val="21"/>
          <w:color w:val="auto"/>
        </w:rPr>
      </w:pPr>
    </w:p>
    <w:p>
      <w:pPr>
        <w:ind w:right="120" w:firstLine="1952"/>
        <w:spacing w:after="0" w:line="257" w:lineRule="auto"/>
        <w:tabs>
          <w:tab w:leader="none" w:pos="248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regulatory authority or rating agency to which Comcast Shareholder or any of its Affiliates is subject or with which it has regular dealings;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authority or agency is advised of the confidential nature of the Company Confidential Information;</w:t>
      </w:r>
    </w:p>
    <w:p>
      <w:pPr>
        <w:spacing w:after="0" w:line="172" w:lineRule="exact"/>
        <w:rPr>
          <w:rFonts w:ascii="Times New Roman" w:cs="Times New Roman" w:eastAsia="Times New Roman" w:hAnsi="Times New Roman"/>
          <w:sz w:val="22"/>
          <w:szCs w:val="22"/>
          <w:color w:val="auto"/>
        </w:rPr>
      </w:pPr>
    </w:p>
    <w:p>
      <w:pPr>
        <w:ind w:right="180" w:firstLine="1952"/>
        <w:spacing w:after="0" w:line="252" w:lineRule="auto"/>
        <w:tabs>
          <w:tab w:leader="none" w:pos="2472"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related to the tax treatment and tax structure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does not constitute an authorization to disclose information identifying any party to this Agreement or any Affiliate of a party (except to the extent relating to such tax structure or tax treatment) or any Company Confidential Information unrelated to such tax structure or tax treatment; or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prior written consent of the Company shall have been obtained.</w:t>
      </w:r>
    </w:p>
    <w:p>
      <w:pPr>
        <w:spacing w:after="0" w:line="220"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21"/>
          <w:szCs w:val="21"/>
          <w:color w:val="auto"/>
        </w:rPr>
        <w:t>Nothing contained herein shall prevent the use (subject, to the extent possible, to a protective order) of Company Confidential Information in connection with the assertion or defense of any claim by or against the Company or any Shareholder.</w:t>
      </w:r>
    </w:p>
    <w:p>
      <w:pPr>
        <w:spacing w:after="0" w:line="135" w:lineRule="exact"/>
        <w:rPr>
          <w:sz w:val="20"/>
          <w:szCs w:val="20"/>
          <w:color w:val="auto"/>
        </w:rPr>
      </w:pPr>
    </w:p>
    <w:p>
      <w:pPr>
        <w:ind w:right="180" w:firstLine="1174"/>
        <w:spacing w:after="0" w:line="250" w:lineRule="auto"/>
        <w:tabs>
          <w:tab w:leader="none" w:pos="163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and shall cause each of its Affiliates and Representatives to, maintain the confidentiality of and not use for any purpose (other than in connection with the matters contemplated by this Agreement) any information furnished to it regarding Comcast Shareholder or its Affiliates under this Agreement (collectively, “</w:t>
      </w:r>
      <w:r>
        <w:rPr>
          <w:rFonts w:ascii="Times New Roman" w:cs="Times New Roman" w:eastAsia="Times New Roman" w:hAnsi="Times New Roman"/>
          <w:sz w:val="22"/>
          <w:szCs w:val="22"/>
          <w:b w:val="1"/>
          <w:bCs w:val="1"/>
          <w:color w:val="auto"/>
        </w:rPr>
        <w:t>Comcast 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Comcast Confidential Information shall not include information that (1) is or becomes generally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to the public other than as a result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 xml:space="preserve">disclosure by the Company or its Affiliates or any of their Representatives in violation of this Agreement, (2) was available to the Company or its Affiliates on a non-confidential basis prior to its disclosure to the Company or its Representatives by Comcast Shareholder, (3) was obtained by the Company from a third party who, insofar as known to the Company, is not prohibited from transmitting the information to the Company by a contractual, legal or fiduciary obligation to Comcast Shareholder or any of its Affiliates or (4) is necessary in connection with a tax audit;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Manager may disclose such information:</w:t>
      </w:r>
    </w:p>
    <w:p>
      <w:pPr>
        <w:spacing w:after="0" w:line="165" w:lineRule="exact"/>
        <w:rPr>
          <w:sz w:val="20"/>
          <w:szCs w:val="20"/>
          <w:color w:val="auto"/>
        </w:rPr>
      </w:pPr>
    </w:p>
    <w:p>
      <w:pPr>
        <w:ind w:right="160" w:firstLine="1952"/>
        <w:spacing w:after="0" w:line="252" w:lineRule="auto"/>
        <w:tabs>
          <w:tab w:leader="none" w:pos="2364"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Representatives in the normal course of the performance of their duties or to any financial institution providing or that may provide credit to the Company or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maintained in confidence by the party to whom it is disclosed in accordance with the provisions of this Section 10.01(b) and the Company shall be responsible for the failure of any such party to maintain such information in confidence);</w:t>
      </w:r>
    </w:p>
    <w:p>
      <w:pPr>
        <w:spacing w:after="0" w:line="179" w:lineRule="exact"/>
        <w:rPr>
          <w:rFonts w:ascii="Times New Roman" w:cs="Times New Roman" w:eastAsia="Times New Roman" w:hAnsi="Times New Roman"/>
          <w:sz w:val="22"/>
          <w:szCs w:val="22"/>
          <w:color w:val="auto"/>
        </w:rPr>
      </w:pPr>
    </w:p>
    <w:p>
      <w:pPr>
        <w:ind w:right="280" w:firstLine="1952"/>
        <w:spacing w:after="0" w:line="250" w:lineRule="auto"/>
        <w:tabs>
          <w:tab w:leader="none" w:pos="2424"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required by Applicable Law (including complying with any oral or written questions, interrogatories, requests for information or documents, subpoena, civil investigative demand or similar process to which the Company or any of its Affiliates is subject;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with respect to any matters covered by clause (iii) below) the Company agrees to give Comcast Shareholder prompt notice of such request, to the extent practicable, so that Comcast Shareholder may seek an appropriate protective order or similar relief);</w:t>
      </w:r>
    </w:p>
    <w:p>
      <w:pPr>
        <w:spacing w:after="0" w:line="180" w:lineRule="exact"/>
        <w:rPr>
          <w:rFonts w:ascii="Times New Roman" w:cs="Times New Roman" w:eastAsia="Times New Roman" w:hAnsi="Times New Roman"/>
          <w:sz w:val="22"/>
          <w:szCs w:val="22"/>
          <w:color w:val="auto"/>
        </w:rPr>
      </w:pPr>
    </w:p>
    <w:p>
      <w:pPr>
        <w:jc w:val="both"/>
        <w:ind w:right="480" w:firstLine="1952"/>
        <w:spacing w:after="0" w:line="257" w:lineRule="auto"/>
        <w:tabs>
          <w:tab w:leader="none" w:pos="2484"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regulatory authority or rating agency to which the Company, the Manager or any of their respective Affiliates is subject or with which it has regular dealings;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authority or agency is advised of the confidential nature of the Comcast Confidential Information;</w:t>
      </w:r>
    </w:p>
    <w:p>
      <w:pPr>
        <w:spacing w:after="0" w:line="172" w:lineRule="exact"/>
        <w:rPr>
          <w:rFonts w:ascii="Times New Roman" w:cs="Times New Roman" w:eastAsia="Times New Roman" w:hAnsi="Times New Roman"/>
          <w:sz w:val="22"/>
          <w:szCs w:val="22"/>
          <w:color w:val="auto"/>
        </w:rPr>
      </w:pPr>
    </w:p>
    <w:p>
      <w:pPr>
        <w:ind w:right="160" w:firstLine="1952"/>
        <w:spacing w:after="0" w:line="252" w:lineRule="auto"/>
        <w:tabs>
          <w:tab w:leader="none" w:pos="2472"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related to the tax treatment and tax structure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does not constitute an authorization to disclose information identifying any party to this Agreement or any Affiliate of a party (except to the extent relating to such tax structure or tax treatment) or any Comcast Confidential Information unrelated to such tax structure or tax treatment; or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prior written consent of Comcast AG Shareholder shall have been obtained.</w:t>
      </w:r>
    </w:p>
    <w:p>
      <w:pPr>
        <w:spacing w:after="0" w:line="220"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21"/>
          <w:szCs w:val="21"/>
          <w:color w:val="auto"/>
        </w:rPr>
        <w:t>Nothing contained herein shall prevent the use (subject, to the extent possible, to a protective order) of Comcast Confidential Information in connection with the assertion or defense of any claim by or against the Company or any Shareholder.</w:t>
      </w:r>
    </w:p>
    <w:p>
      <w:pPr>
        <w:spacing w:after="0" w:line="135" w:lineRule="exact"/>
        <w:rPr>
          <w:sz w:val="20"/>
          <w:szCs w:val="20"/>
          <w:color w:val="auto"/>
        </w:rPr>
      </w:pPr>
    </w:p>
    <w:p>
      <w:pPr>
        <w:ind w:right="60" w:firstLine="1174"/>
        <w:spacing w:after="0" w:line="250" w:lineRule="auto"/>
        <w:tabs>
          <w:tab w:leader="none" w:pos="162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Shareholder and the Company shall consult with the others before issuing any press release or making any public statement with respect to this agreement or the transactions contemplated hereby, except as may be required by Applicable Law, including any listing agreement with any national securities exchange;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press release or public statement issued by the Company or its Affiliates shall require Comcast AG Shareholder’s prior written approval if it (i) refers to Comcast, either Comcast Shareholder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20"/>
          </w:cols>
          <w:pgMar w:left="320" w:top="1440" w:right="359" w:bottom="1440" w:gutter="0" w:footer="0" w:header="0"/>
        </w:sectPr>
      </w:pPr>
    </w:p>
    <w:bookmarkStart w:id="311" w:name="page312"/>
    <w:bookmarkEnd w:id="311"/>
    <w:p>
      <w:pPr>
        <w:spacing w:after="0" w:line="19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2"/>
          <w:szCs w:val="22"/>
          <w:color w:val="auto"/>
        </w:rPr>
        <w:t>Affiliates or (ii) discloses any information regarding the aggregate financial performance of the Company (for the avoidance of doubt, not including the financial performance of, or the financial terms of the acquisition or disposition of, any individual Investment) for any period and is made prior to the time at which Comcast has publicly disclosed its financial results for such period. For the avoidance of doubt, the parties agree that press releases issued by, or other public statements made by, the Company regarding matters in the ordinary course of the Company’s business (including any press releases or statements regarding acquisitions or dispositions of Investments, hiring of personnel and other similar matters) shall not be deemed to be a press release or other public statement with respect to the “transactions contemplated hereby” within the meaning of the immediately preceding sentence.</w:t>
      </w:r>
    </w:p>
    <w:p>
      <w:pPr>
        <w:spacing w:after="0" w:line="185" w:lineRule="exact"/>
        <w:rPr>
          <w:sz w:val="20"/>
          <w:szCs w:val="20"/>
          <w:color w:val="auto"/>
        </w:rPr>
      </w:pPr>
    </w:p>
    <w:p>
      <w:pPr>
        <w:ind w:right="80" w:firstLine="1174"/>
        <w:spacing w:after="0" w:line="265" w:lineRule="auto"/>
        <w:tabs>
          <w:tab w:leader="none" w:pos="1634"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Comcast Shareholder’s and its Representatives’ obligations in this Section 10.01 shall, in each case, not be deemed to be breached by any disclosure by NBCUniversal Media, LLC or any other of Comcast Shareholder’s Affiliates in the ordinary course of their business of disseminating news and information;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individuals involved in such dissemination received such Company Confidential Information from a source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than the personnel of Comcast Shareholder or its Representatives involved in the matters contemplated by this Agreement.</w:t>
      </w:r>
    </w:p>
    <w:p>
      <w:pPr>
        <w:spacing w:after="0" w:line="161"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i w:val="1"/>
          <w:iCs w:val="1"/>
          <w:color w:val="auto"/>
        </w:rPr>
        <w:t>Reports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620" w:hanging="446"/>
        <w:spacing w:after="0"/>
        <w:tabs>
          <w:tab w:leader="none" w:pos="1620"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furnish to each Shareholder:</w:t>
      </w:r>
    </w:p>
    <w:p>
      <w:pPr>
        <w:spacing w:after="0" w:line="219" w:lineRule="exact"/>
        <w:rPr>
          <w:rFonts w:ascii="Times New Roman" w:cs="Times New Roman" w:eastAsia="Times New Roman" w:hAnsi="Times New Roman"/>
          <w:sz w:val="22"/>
          <w:szCs w:val="22"/>
          <w:color w:val="auto"/>
        </w:rPr>
      </w:pPr>
    </w:p>
    <w:p>
      <w:pPr>
        <w:ind w:right="120" w:firstLine="1952"/>
        <w:spacing w:after="0" w:line="252" w:lineRule="auto"/>
        <w:tabs>
          <w:tab w:leader="none" w:pos="2364"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information is available, as soon as practicable and, in any event, within 45 days after the end of each fiscal month, the summary financial information, prepared for internal reporting purposes, of the Company and its consolidated Subsidiaries (assuming, for all purposes of this Section 10.02 and Section 10.03 that the last sentence in the definition of the term “Subsidiary” in Section 1.01 were deleted) as at the end of and for such month;</w:t>
      </w:r>
    </w:p>
    <w:p>
      <w:pPr>
        <w:spacing w:after="0" w:line="179" w:lineRule="exact"/>
        <w:rPr>
          <w:rFonts w:ascii="Times New Roman" w:cs="Times New Roman" w:eastAsia="Times New Roman" w:hAnsi="Times New Roman"/>
          <w:sz w:val="22"/>
          <w:szCs w:val="22"/>
          <w:color w:val="auto"/>
        </w:rPr>
      </w:pPr>
    </w:p>
    <w:p>
      <w:pPr>
        <w:ind w:firstLine="1952"/>
        <w:spacing w:after="0" w:line="252" w:lineRule="auto"/>
        <w:tabs>
          <w:tab w:leader="none" w:pos="2424"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and, in any event, within 45 days after the end of each fiscal quarter of each fiscal year, the unaudited consolidated balance sheet of the Company and its consolidated Subsidiaries as at the end of such quarter and the related unaudited statement of operations and cash flow for such quarter and for the portion of the fiscal year then ended, in each case prepared in accordance with GAAP; and</w:t>
      </w:r>
    </w:p>
    <w:p>
      <w:pPr>
        <w:spacing w:after="0" w:line="179" w:lineRule="exact"/>
        <w:rPr>
          <w:rFonts w:ascii="Times New Roman" w:cs="Times New Roman" w:eastAsia="Times New Roman" w:hAnsi="Times New Roman"/>
          <w:sz w:val="22"/>
          <w:szCs w:val="22"/>
          <w:color w:val="auto"/>
        </w:rPr>
      </w:pPr>
    </w:p>
    <w:p>
      <w:pPr>
        <w:jc w:val="both"/>
        <w:ind w:right="380" w:firstLine="1952"/>
        <w:spacing w:after="0" w:line="250" w:lineRule="auto"/>
        <w:tabs>
          <w:tab w:leader="none" w:pos="2484"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and, in any event, within 90 days after the end of each fiscal year, (A) the audited consolidated balance sheet of the Company and its consolidated Subsidiaries as at the end of such fiscal year and the related audited statement of operations and cash flow for such fiscal year, and for the portion of the fiscal year then ended, in each case prepared in accordance with GAAP and certified by Deloitte &amp; Touche LLP or another firm of independent public accountants of nationally recognized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180"/>
          </w:cols>
          <w:pgMar w:left="320" w:top="1440" w:right="399" w:bottom="1440" w:gutter="0" w:footer="0" w:header="0"/>
        </w:sectPr>
      </w:pPr>
    </w:p>
    <w:bookmarkStart w:id="312" w:name="page313"/>
    <w:bookmarkEnd w:id="312"/>
    <w:p>
      <w:pPr>
        <w:spacing w:after="0" w:line="198" w:lineRule="exact"/>
        <w:rPr>
          <w:sz w:val="20"/>
          <w:szCs w:val="20"/>
          <w:color w:val="auto"/>
        </w:rPr>
      </w:pPr>
    </w:p>
    <w:p>
      <w:pPr>
        <w:ind w:left="1640" w:hanging="466"/>
        <w:spacing w:after="0"/>
        <w:tabs>
          <w:tab w:leader="none" w:pos="1640"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w:t>
      </w:r>
    </w:p>
    <w:p>
      <w:pPr>
        <w:spacing w:after="0" w:line="219" w:lineRule="exact"/>
        <w:rPr>
          <w:rFonts w:ascii="Times New Roman" w:cs="Times New Roman" w:eastAsia="Times New Roman" w:hAnsi="Times New Roman"/>
          <w:sz w:val="22"/>
          <w:szCs w:val="22"/>
          <w:color w:val="auto"/>
        </w:rPr>
      </w:pPr>
    </w:p>
    <w:p>
      <w:pPr>
        <w:ind w:right="220" w:firstLine="1952"/>
        <w:spacing w:after="0" w:line="295" w:lineRule="auto"/>
        <w:tabs>
          <w:tab w:leader="none" w:pos="2364" w:val="left"/>
        </w:tabs>
        <w:numPr>
          <w:ilvl w:val="1"/>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Comcast Shareholder, its independent public accountants and its other Representatives, upon reasonable prior notice and during normal business hours, to examine the books, records and accounts of the Company; and</w:t>
      </w:r>
    </w:p>
    <w:p>
      <w:pPr>
        <w:spacing w:after="0" w:line="135" w:lineRule="exact"/>
        <w:rPr>
          <w:rFonts w:ascii="Times New Roman" w:cs="Times New Roman" w:eastAsia="Times New Roman" w:hAnsi="Times New Roman"/>
          <w:sz w:val="21"/>
          <w:szCs w:val="21"/>
          <w:color w:val="auto"/>
        </w:rPr>
      </w:pPr>
    </w:p>
    <w:p>
      <w:pPr>
        <w:ind w:right="40" w:firstLine="1952"/>
        <w:spacing w:after="0" w:line="250" w:lineRule="auto"/>
        <w:tabs>
          <w:tab w:leader="none" w:pos="2424"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Comcast Shareholder and its Representatives, upon reasonable prior notice and during normal business hours, to visit and inspect any of the properties of the Company and discuss the affairs, finances and accounts of the Company with the independent certified public accountants of the Company for purposes which may include procedures performed in connection with Comcast’s evaluation of internal controls pursuant to Section 404 of the Sarbanes Oxley Act of 2002;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investigation does not unreasonably interfere with the operations of the Company.</w:t>
      </w:r>
    </w:p>
    <w:p>
      <w:pPr>
        <w:spacing w:after="0" w:line="177" w:lineRule="exact"/>
        <w:rPr>
          <w:sz w:val="20"/>
          <w:szCs w:val="20"/>
          <w:color w:val="auto"/>
        </w:rPr>
      </w:pPr>
    </w:p>
    <w:p>
      <w:pPr>
        <w:ind w:right="20" w:firstLine="972"/>
        <w:spacing w:after="0" w:line="246"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i w:val="1"/>
          <w:iCs w:val="1"/>
          <w:color w:val="auto"/>
        </w:rPr>
        <w:t>Other Information and Assistance</w:t>
      </w:r>
      <w:r>
        <w:rPr>
          <w:rFonts w:ascii="Times New Roman" w:cs="Times New Roman" w:eastAsia="Times New Roman" w:hAnsi="Times New Roman"/>
          <w:sz w:val="22"/>
          <w:szCs w:val="22"/>
          <w:color w:val="auto"/>
        </w:rPr>
        <w:t>. If at any time the Company and its consolidated Subsidiaries are or will be consolidated in Comcast’s statement of financial position (it being understood that the determination of whether the Company and its consolidated Subsidiaries are so consolidated shall be made by Comcast in its sole judgment), the Company shall, shall cause its consolidated Subsidiaries to and shall use reasonable best efforts to cause Deloitte &amp; Touche LLP or another firm of independent public accountants of nationally recognized standing to provide all other financial information and assistance as reasonably requested by Comcast for purposes of preparing such consolidated financial statements and management’s report on internal control over financial reporting and complying with Comcast’s related obligations under Applicable Law, including the Exchange Act and the Sarbanes Oxley Act of 2002. Comcast shall reimburse the Company and its consolidated Subsidiaries for all out-of-pocket expenses incurred in providing any financial information and assistance under this Section 10.03 that is not otherwise required to be provided under Section 10.02.</w:t>
      </w:r>
    </w:p>
    <w:p>
      <w:pPr>
        <w:spacing w:after="0" w:line="188" w:lineRule="exact"/>
        <w:rPr>
          <w:sz w:val="20"/>
          <w:szCs w:val="20"/>
          <w:color w:val="auto"/>
        </w:rPr>
      </w:pPr>
    </w:p>
    <w:p>
      <w:pPr>
        <w:ind w:firstLine="972"/>
        <w:spacing w:after="0" w:line="249" w:lineRule="auto"/>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i w:val="1"/>
          <w:iCs w:val="1"/>
          <w:color w:val="auto"/>
        </w:rPr>
        <w:t>Conflicting Agreements</w:t>
      </w:r>
      <w:r>
        <w:rPr>
          <w:rFonts w:ascii="Times New Roman" w:cs="Times New Roman" w:eastAsia="Times New Roman" w:hAnsi="Times New Roman"/>
          <w:sz w:val="22"/>
          <w:szCs w:val="22"/>
          <w:color w:val="auto"/>
        </w:rPr>
        <w:t>. The Company and each Shareholder represents and agrees that it shall not grant any proxy or enter into or agree to be bound by any voting trust or agreement with respect to the Company Securities, except as expressly contemplated by this Agreement, or enter into any agreement or arrangement of any kind with any Person with respect to any Company Securities inconsistent with the provisions of this Agreement or for the purpose or with the effect of denying or reducing the rights of any other Shareholder under this Agreement, including agreements or arrangements with respect to the Transfer or voting of its Company Securities.</w:t>
      </w:r>
    </w:p>
    <w:p>
      <w:pPr>
        <w:spacing w:after="0" w:line="180"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i w:val="1"/>
          <w:iCs w:val="1"/>
          <w:color w:val="auto"/>
        </w:rPr>
        <w:t xml:space="preserve">Business Opportunity. </w:t>
      </w:r>
      <w:r>
        <w:rPr>
          <w:rFonts w:ascii="Times New Roman" w:cs="Times New Roman" w:eastAsia="Times New Roman" w:hAnsi="Times New Roman"/>
          <w:sz w:val="21"/>
          <w:szCs w:val="21"/>
          <w:color w:val="auto"/>
        </w:rPr>
        <w:t>The Company and each of the Shareholders recognize and acknowledge that</w:t>
      </w:r>
    </w:p>
    <w:p>
      <w:pPr>
        <w:spacing w:after="0" w:line="32" w:lineRule="exact"/>
        <w:rPr>
          <w:sz w:val="20"/>
          <w:szCs w:val="20"/>
          <w:color w:val="auto"/>
        </w:rPr>
      </w:pPr>
    </w:p>
    <w:p>
      <w:pPr>
        <w:ind w:right="60" w:firstLine="8"/>
        <w:spacing w:after="0" w:line="244" w:lineRule="auto"/>
        <w:tabs>
          <w:tab w:leader="none" w:pos="30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Comcast Shareholder and their Affiliates engage, or intend to engage, in a wide variety of activities, (y) some of these activities presently or may in the future involve the participation in businesses and activities that may be similar to those of the Company and its Subsidiaries and Portfolio Companies, on the one hand, or Comcast Shareholder and its Affiliates, on the other hand, and (z) subject to the terms of this Agreement, it is critical that the Company, Comcast Shareholder and their Affiliates be permitted to continue to develop their current and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20"/>
          </w:cols>
          <w:pgMar w:left="320" w:top="1440" w:right="3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1"/>
          <w:szCs w:val="21"/>
          <w:color w:val="auto"/>
        </w:rPr>
        <w:t>business and investment activities without any restriction. In light of the foregoing considerations, the Company and each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Shareholders acknowledge and agree as follows:</w:t>
      </w:r>
    </w:p>
    <w:p>
      <w:pPr>
        <w:spacing w:after="0" w:line="196" w:lineRule="exact"/>
        <w:rPr>
          <w:sz w:val="20"/>
          <w:szCs w:val="20"/>
          <w:color w:val="auto"/>
        </w:rPr>
      </w:pPr>
    </w:p>
    <w:p>
      <w:pPr>
        <w:ind w:right="60" w:firstLine="1174"/>
        <w:spacing w:after="0" w:line="258" w:lineRule="auto"/>
        <w:tabs>
          <w:tab w:leader="none" w:pos="1618"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fullest extent permitted by Applicable Law, except as otherwise provided in Article 4 or Section 10.18, the doctrine of corporate opportunity, or any other analogous doctrine, shall not apply with respect to the Company or any Shareholder. Except as otherwise provided in Article 4 or Section 10.18, (x) no Shareholder nor any of its Affiliates shall have any obligation to refrain from engaging in the same or similar activities or lines of business as the Company or any Portfolio Company or developing or marketing any products or services that compete, directly or indirectly, with those of the Company or any Portfolio Company, investing or owning any interest publicly or privately in, or developing a business relationship with, any Person engaged in the same or similar activities or lines of business as, or otherwise in competition with, the Company or any Portfolio Company or employing or otherwise engaging a former officer or employee of the Company or any Portfolio Company and (y) neither the Company nor any of its Affiliates shall have any obligation to refrain from (i) engaging in the same or similar activities or lines of business as any Shareholder or any of its Affiliates or developing or marketing any products or services that compete, directly or indirectly, with those of any Shareholder or any of its Affiliates or (ii) investing or owning any interest publicly or privately in, or developing a business relationship with, any Person engaged in the same or similar activities or lines of business as, or otherwise in competition with, any Shareholder or any of its Affiliates.</w:t>
      </w:r>
    </w:p>
    <w:p>
      <w:pPr>
        <w:spacing w:after="0" w:line="175" w:lineRule="exact"/>
        <w:rPr>
          <w:rFonts w:ascii="Times New Roman" w:cs="Times New Roman" w:eastAsia="Times New Roman" w:hAnsi="Times New Roman"/>
          <w:sz w:val="21"/>
          <w:szCs w:val="21"/>
          <w:color w:val="auto"/>
        </w:rPr>
      </w:pPr>
    </w:p>
    <w:p>
      <w:pPr>
        <w:ind w:firstLine="1174"/>
        <w:spacing w:after="0" w:line="258" w:lineRule="auto"/>
        <w:tabs>
          <w:tab w:leader="none" w:pos="1634"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duty otherwise existing under Applicable Law or in equity, to the fullest extent permitted by Applicable Law, except as otherwise provided in Article 4 or Section 10.18, if the Company or any of its Affiliates, Subsidiaries or Portfolio Companies, or Comcast Shareholder or any of its Affiliates, as the case may be, acquires knowledge of a potential transaction or matter which may be a business opportunity for both the Company or its Affiliates, Subsidiaries or Portfolio Companies, on the one hand, and Comcast Shareholder or its Affiliates, on the other hand, neither the Company or any such Affiliate, Subsidiary or Portfolio Company of the Company, nor Comcast Shareholder or any such Affiliate of Comcast Shareholder, as the case may be, shall have a duty to communicate or offer such business opportunity to the other, and neither the Company or any such Affiliate, Subsidiary or Portfolio Company of the Company, nor Comcast Shareholder or any such Affiliate of Comcast Shareholder, as the case may be, shall be liable to the other in respect of any such matter (including for any breach of fiduciary or other duties) by reason of the fact that the Company or any of its Affiliates, Subsidiaries or Portfolio Companies, or Comcast Shareholder or any of its Affiliates, as the case may be, pursues or acquires such business opportunity for itself.</w:t>
      </w:r>
    </w:p>
    <w:p>
      <w:pPr>
        <w:spacing w:after="0" w:line="178"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i w:val="1"/>
          <w:iCs w:val="1"/>
          <w:color w:val="auto"/>
        </w:rPr>
        <w:t>Indemnification; Exculpation; Advancement of Expenses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100" w:firstLine="1174"/>
        <w:spacing w:after="0" w:line="275" w:lineRule="auto"/>
        <w:tabs>
          <w:tab w:leader="none" w:pos="1618"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indemnify, and hold harmless each Indemnified Party from and against any and all damage, loss, liability and expense (including reasonable expenses of investigation and reasonable attorneys’ fees and expenses) incurred by such Indemnified Party before, on or after the date of this Agreement (collectively, the “</w:t>
      </w:r>
      <w:r>
        <w:rPr>
          <w:rFonts w:ascii="Times New Roman" w:cs="Times New Roman" w:eastAsia="Times New Roman" w:hAnsi="Times New Roman"/>
          <w:sz w:val="21"/>
          <w:szCs w:val="21"/>
          <w:b w:val="1"/>
          <w:bCs w:val="1"/>
          <w:color w:val="auto"/>
        </w:rPr>
        <w:t>Indemnified Liabilities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20"/>
          </w:cols>
          <w:pgMar w:left="320" w:top="1422" w:right="359" w:bottom="1440" w:gutter="0" w:footer="0" w:header="0"/>
        </w:sectPr>
      </w:pPr>
    </w:p>
    <w:bookmarkStart w:id="314" w:name="page315"/>
    <w:bookmarkEnd w:id="314"/>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1"/>
          <w:szCs w:val="21"/>
          <w:color w:val="auto"/>
        </w:rPr>
        <w:t xml:space="preserve">arising out of any actual or threatened action, cause of action, suit, proceeding or claim arising directly or indirectly out of such Indemnified Party’s or any related Indemnified Party’s ownership of Company Securities, status as a 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Indemnified Liabilities in respect of any act or omission constituting fraud, willful misconduct or recklessness), including with respect to any criminal action or proceeding, any act or omission taken by such Indemnified Party without reasonable cause to believe such conduct was unlawful and including any Indemnified Liabilities arising under Title IV of the Employee Retirement Income Security Act of 1974;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and to the extent that the foregoing undertaking may be unavailable or unenforceable for any reason, the Company hereby agrees to make the maximum contribution to the payment and satisfaction of each of the Indemnified Liabilities which is permissible under Applicable Law.</w:t>
      </w:r>
    </w:p>
    <w:p>
      <w:pPr>
        <w:spacing w:after="0" w:line="182" w:lineRule="exact"/>
        <w:rPr>
          <w:sz w:val="20"/>
          <w:szCs w:val="20"/>
          <w:color w:val="auto"/>
        </w:rPr>
      </w:pPr>
    </w:p>
    <w:p>
      <w:pPr>
        <w:ind w:left="740"/>
        <w:spacing w:after="0" w:line="246" w:lineRule="auto"/>
        <w:rPr>
          <w:sz w:val="20"/>
          <w:szCs w:val="20"/>
          <w:color w:val="auto"/>
        </w:rPr>
      </w:pPr>
      <w:r>
        <w:rPr>
          <w:rFonts w:ascii="Times New Roman" w:cs="Times New Roman" w:eastAsia="Times New Roman" w:hAnsi="Times New Roman"/>
          <w:sz w:val="22"/>
          <w:szCs w:val="22"/>
          <w:color w:val="auto"/>
        </w:rPr>
        <w:t>Notwithstanding the foregoing provisions of this Section 10.06(a), no Indemnified Party shall be entitled to any indemnification or contribution under this Section 10.06(a) in respect of any Indemnified Liabilities consisting of an investment or other loss in respect of any Company Assets or otherwise attributable to any such loss (including any diminution in the value of the investment of a Shareholder in the Company). Nothing in the immediately preceding sentence shall be deemed to limit (i) a Shareholder’s right to make any claim in respect of any investment or other loss in respect of any Company Assets that such Shareholder would be entitled to make if the immediately preceding sentence was not included in this Agreement and such Shareholder was not an Indemnified Party or (ii) each Manager Indemnified Party’s right to indemnification or contribution pursuant to Section 10.06(a) in respect of any Indemnified Liabilities consisting of any other Person’s (including any other Manager Indemnified Party’s) investment or other loss in respect of any Company Assets or otherwise attributable to any such loss.</w:t>
      </w:r>
    </w:p>
    <w:p>
      <w:pPr>
        <w:spacing w:after="0" w:line="188" w:lineRule="exact"/>
        <w:rPr>
          <w:sz w:val="20"/>
          <w:szCs w:val="20"/>
          <w:color w:val="auto"/>
        </w:rPr>
      </w:pPr>
    </w:p>
    <w:p>
      <w:pPr>
        <w:ind w:right="160" w:firstLine="1174"/>
        <w:spacing w:after="0" w:line="248" w:lineRule="auto"/>
        <w:tabs>
          <w:tab w:leader="none" w:pos="163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to indemnification conferred in Section 10.06(a) shall also include the right to be paid by the Company the expenses (including reasonable expenses of investigation and reasonable attorneys’ fees and expenses) incurred in connection with such action, cause of action, suit, proceeding or claim in advance of its final disposition to the fullest extent permitted by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payment of such expenses in advance of the final disposition of an action, cause of action, suit, proceeding or claim shall be made only upon delivery to the Company of an undertaking by or on behalf of the Indemnified Party to repay all amounts so paid in advance if it shall be determined by a court or other tribunal of proper jurisdiction that such Indemnified Party is not entitled to indemnification under Section 10.06(a).</w:t>
      </w:r>
    </w:p>
    <w:p>
      <w:pPr>
        <w:spacing w:after="0" w:line="181" w:lineRule="exact"/>
        <w:rPr>
          <w:rFonts w:ascii="Times New Roman" w:cs="Times New Roman" w:eastAsia="Times New Roman" w:hAnsi="Times New Roman"/>
          <w:sz w:val="22"/>
          <w:szCs w:val="22"/>
          <w:color w:val="auto"/>
        </w:rPr>
      </w:pPr>
    </w:p>
    <w:p>
      <w:pPr>
        <w:ind w:right="520" w:firstLine="1174"/>
        <w:spacing w:after="0" w:line="257" w:lineRule="auto"/>
        <w:tabs>
          <w:tab w:leader="none" w:pos="162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Indemnified Party may consult with recognized, outside legal counsel, accountants and other professional advisors selected by the Company; and any action or omission taken or suffered in good faith in reliance and in accordance with the opinion or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1"/>
          <w:szCs w:val="21"/>
          <w:color w:val="auto"/>
        </w:rPr>
        <w:t>of such counsel, accountants or other professional advisors (which the Indemnified Party reasonably believes to be an opinion or advice within such advisor’s professional competence) shall be conclusive evidence that such action or omission did not constitute fraud, willful misconduct or recklessness, and with respect to any criminal action or proceeding, was taken or suffered without reasonable cause to believe such Indemnified Party’s conduct was unlawful. Unless there is a specific finding of fraud, willful misconduct, recklessness or reasonable cause by a party to believe that such party’s conduct was unlawful (or where such a finding is an essential element of a judgment or order), the termination of any action, suit or proceeding by judgment, order or settlement, or upon a plea of nolo contendere or its equivalent, shall not, of itself, create a presumption for purposes of Section</w:t>
      </w:r>
    </w:p>
    <w:p>
      <w:pPr>
        <w:spacing w:after="0" w:line="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10.06(a) that the party in question acted fraudulently, engaged in willful misconduct, was reckless, or with respect to any criminal action or proceeding, had reasonable cause to believe that such party’s conduct was unlawful.</w:t>
      </w:r>
    </w:p>
    <w:p>
      <w:pPr>
        <w:spacing w:after="0" w:line="182" w:lineRule="exact"/>
        <w:rPr>
          <w:sz w:val="20"/>
          <w:szCs w:val="20"/>
          <w:color w:val="auto"/>
        </w:rPr>
      </w:pPr>
    </w:p>
    <w:p>
      <w:pPr>
        <w:ind w:firstLine="1174"/>
        <w:spacing w:after="0" w:line="256" w:lineRule="auto"/>
        <w:tabs>
          <w:tab w:leader="none" w:pos="1634"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10.06, if an Indemnified Party may be entitled to be indemnified by a Portfolio Company, is insured by an insurer providing insurance coverage under an insurance policy issued to such Portfolio Company and/or may be entitled to be indemnified by any Upper Tier Indemnitor for any damages, losses, liabilities or expenses as to which such Indemnified Party also would be entitled to be indemnified by the Company pursuant to the foregoing provisions of this Section 10.06 (i) it is intended that as among such Upper Tier Indemnitor, the Company, and such Portfolio Company and its insurer, such Portfolio Company and its insurer will be the full indemnitor (or insurer) of first resort, the Company will be the full indemnitor of second resort, and such Upper Tier Indemnitor will be the full indemnitor of third resort for any such damages, losses, liabilities or expenses; (ii) any amount that the Company is otherwise obligated to pay with respect to indemnification or advancement for such liabilities, expenses or losses will be reduced by the amount such Indemnified Party receives in respect of such indemnification, advancement or insurance from such Portfolio Company and/or its insurer; (iii) the Indemnified Party will not be required first to exhaust rights or remedies with respect to indemnification, advancement or insurance provided by such Portfolio Company and/or its insurer before the Company makes any payment to such Indemnified Party; (iv) if such Portfolio Company or its insurer does not promptly pay such indemnification, advancement or insurance to or on behalf of the Indemnified Party for any reason, the Indemnified Party will be entitled to pursue any rights to advancement or indemnification hereunder (subject to all of the terms and conditions of this Section 10.06); and (v) if the Company indemnifies, or advances payment for expenses to, such Indemnified Party with respect to any damages, losses, liabilities or expenses, and such Indemnified Party may be entitled to indemnification, advancement of expenses or insurance from such Portfolio Company or its insurer, the Company may request that such Indemnified Party agree with the Company that (x) the Company will be fully subrogated to all rights of such Indemnified Party to indemnification, advancement of expenses or insurance from such Portfolio Company and its insurer with respect to such payment; (y) such Indemnified Party will assign to the Company all of the Indemnified Party’s rights to indemnification, advancement of expenses or insurance from such Portfolio Company and its insurer; and (z) such Indemnified Party will execute all documents and take all other actions appropriate to effectuate the foregoing clauses (x) and (y). For purposes of this Section 10.06, the term “</w:t>
      </w:r>
      <w:r>
        <w:rPr>
          <w:rFonts w:ascii="Times New Roman" w:cs="Times New Roman" w:eastAsia="Times New Roman" w:hAnsi="Times New Roman"/>
          <w:sz w:val="21"/>
          <w:szCs w:val="21"/>
          <w:b w:val="1"/>
          <w:bCs w:val="1"/>
          <w:color w:val="auto"/>
        </w:rPr>
        <w:t>Upper Tier Indemnitor</w:t>
      </w:r>
      <w:r>
        <w:rPr>
          <w:rFonts w:ascii="Times New Roman" w:cs="Times New Roman" w:eastAsia="Times New Roman" w:hAnsi="Times New Roman"/>
          <w:sz w:val="21"/>
          <w:szCs w:val="21"/>
          <w:color w:val="auto"/>
        </w:rPr>
        <w:t>” means the Manager, ManagementCo Shareholder or any of their respective Affiliates, other than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2"/>
          <w:szCs w:val="22"/>
          <w:color w:val="auto"/>
        </w:rPr>
        <w:t>Portfolio Company. In addition, solely for the purposes of this Section 10.06, the term “</w:t>
      </w:r>
      <w:r>
        <w:rPr>
          <w:rFonts w:ascii="Times New Roman" w:cs="Times New Roman" w:eastAsia="Times New Roman" w:hAnsi="Times New Roman"/>
          <w:sz w:val="22"/>
          <w:szCs w:val="22"/>
          <w:b w:val="1"/>
          <w:bCs w:val="1"/>
          <w:color w:val="auto"/>
        </w:rPr>
        <w:t>Portfolio Company</w:t>
      </w:r>
      <w:r>
        <w:rPr>
          <w:rFonts w:ascii="Times New Roman" w:cs="Times New Roman" w:eastAsia="Times New Roman" w:hAnsi="Times New Roman"/>
          <w:sz w:val="22"/>
          <w:szCs w:val="22"/>
          <w:color w:val="auto"/>
        </w:rPr>
        <w:t>” shall include the Person which is the Portfolio Company in accordance with the definition of such term set forth in Section 1.01 of this Agreement and each Subsidiary of such Person and any Affiliate of such Person which is controlled by such Person.</w:t>
      </w:r>
    </w:p>
    <w:p>
      <w:pPr>
        <w:spacing w:after="0" w:line="170" w:lineRule="exact"/>
        <w:rPr>
          <w:sz w:val="20"/>
          <w:szCs w:val="20"/>
          <w:color w:val="auto"/>
        </w:rPr>
      </w:pPr>
    </w:p>
    <w:p>
      <w:pPr>
        <w:ind w:right="100" w:firstLine="1174"/>
        <w:spacing w:after="0" w:line="245" w:lineRule="auto"/>
        <w:tabs>
          <w:tab w:leader="none" w:pos="161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Law, no Indemnified Party shall be liable to the Company or its Subsidiaries or any other Shareholder for any actual or alleged act or omission arising directly or indirectly out of such Indemnified Party’s or any other Indemnified Party’s ownership of Company Securities, status as a 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liabilities in respect of any act or omission constituting fraud, willful misconduct or recklessness), including with respect to any criminal action or proceeding, any act or omission taken by such Indemnified Party without reasonable cause to believe such conduct was unlawful. For the avoidance of doubt, the provisions of this Section 10.06(e) shall not relieve any Indemnified Party for such Indemnified Party’s contractual obligations to the Company as set forth in this Agreement or such Indemnified Party’s contractual obligations to the Company, any Subsidiary of the Company or any Shareholder set forth in any other agreement to which any Indemnified Party may now be or in the future become party to with the Company, any Subsidiary of the Company or any Shareholder.</w:t>
      </w:r>
    </w:p>
    <w:p>
      <w:pPr>
        <w:spacing w:after="0" w:line="193" w:lineRule="exact"/>
        <w:rPr>
          <w:rFonts w:ascii="Times New Roman" w:cs="Times New Roman" w:eastAsia="Times New Roman" w:hAnsi="Times New Roman"/>
          <w:sz w:val="22"/>
          <w:szCs w:val="22"/>
          <w:color w:val="auto"/>
        </w:rPr>
      </w:pPr>
    </w:p>
    <w:p>
      <w:pPr>
        <w:ind w:firstLine="1174"/>
        <w:spacing w:after="0" w:line="248" w:lineRule="auto"/>
        <w:tabs>
          <w:tab w:leader="none" w:pos="1594"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at law or in equity, any Indemnified Party has duties (including fiduciary duties) and liabilities relating thereto to the Company or any of its Subsidiaries or the Shareholders, none of the Manager, the ManagementCo Shareholder or any other Manager Indemnified Party acting in connection with the business or affairs of the Company or its Subsidiaries shall be liable to the Company or any of its Subsidiaries or any Shareholder for its good faith reliance on the provisions of this Agreement. The provisions of this Agreement, to the extent that they restrict the duties and liabilities of any Manager Indemnified Party otherwise existing at law or in equity, are agreed by the Shareholders to replace such other duties and liabilities of such Manager Indemnified Party.</w:t>
      </w:r>
    </w:p>
    <w:p>
      <w:pPr>
        <w:spacing w:after="0" w:line="181" w:lineRule="exact"/>
        <w:rPr>
          <w:rFonts w:ascii="Times New Roman" w:cs="Times New Roman" w:eastAsia="Times New Roman" w:hAnsi="Times New Roman"/>
          <w:sz w:val="22"/>
          <w:szCs w:val="22"/>
          <w:color w:val="auto"/>
        </w:rPr>
      </w:pPr>
    </w:p>
    <w:p>
      <w:pPr>
        <w:ind w:right="40" w:firstLine="1174"/>
        <w:spacing w:after="0" w:line="260" w:lineRule="auto"/>
        <w:tabs>
          <w:tab w:leader="none" w:pos="163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of any Indemnified Party to indemnification, exculpation and advancement of expenses hereunder will be in addition to any other rights any such Person may have under any other agreement or instrument to which such Indemnified Party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 The provisions of this Section 10.06 shall continue to afford protection to each Indemnified Party in respect of any act or omissions occurring while such Indemnified Party occupied the position or had the capacity pursuant to which such Indemnified Party became entitled to indemnification, exculpation and advancement of expenses under this Section 10.06 regardless of whether such Indemnified Party remains in such position or capacity and regardless of any subsequent amendment to this Agreement. No amendment to this Agreement shall reduce or restrict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20"/>
          </w:cols>
          <w:pgMar w:left="320" w:top="1440" w:right="359" w:bottom="1440" w:gutter="0" w:footer="0" w:header="0"/>
        </w:sectPr>
      </w:pPr>
    </w:p>
    <w:bookmarkStart w:id="317" w:name="page318"/>
    <w:bookmarkEnd w:id="317"/>
    <w:p>
      <w:pPr>
        <w:spacing w:after="0" w:line="19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2"/>
          <w:szCs w:val="22"/>
          <w:color w:val="auto"/>
        </w:rPr>
        <w:t>extent to which these indemnification, exculpation and advancement provisions apply to actions or omissions occurring prior to the date of such amendment. The provisions of this Section 10.06 shall inure to the benefit of the successors, assigns, heirs and personal representatives of the Indemnified Parties, and the provisions of and rights under this Section 10.06 shall survive the winding up and termination of the Company.</w:t>
      </w:r>
    </w:p>
    <w:p>
      <w:pPr>
        <w:spacing w:after="0" w:line="179" w:lineRule="exact"/>
        <w:rPr>
          <w:sz w:val="20"/>
          <w:szCs w:val="20"/>
          <w:color w:val="auto"/>
        </w:rPr>
      </w:pPr>
    </w:p>
    <w:p>
      <w:pPr>
        <w:ind w:right="180" w:firstLine="1174"/>
        <w:spacing w:after="0" w:line="271" w:lineRule="auto"/>
        <w:tabs>
          <w:tab w:leader="none" w:pos="1634"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Indemnified Parties shall be a third party beneficiary of the rights conferred to such Indemnified Party in this Section 10.06.</w:t>
      </w:r>
    </w:p>
    <w:p>
      <w:pPr>
        <w:spacing w:after="0" w:line="157" w:lineRule="exact"/>
        <w:rPr>
          <w:rFonts w:ascii="Times New Roman" w:cs="Times New Roman" w:eastAsia="Times New Roman" w:hAnsi="Times New Roman"/>
          <w:sz w:val="22"/>
          <w:szCs w:val="22"/>
          <w:color w:val="auto"/>
        </w:rPr>
      </w:pPr>
    </w:p>
    <w:p>
      <w:pPr>
        <w:ind w:right="40" w:firstLine="1174"/>
        <w:spacing w:after="0" w:line="246" w:lineRule="auto"/>
        <w:tabs>
          <w:tab w:leader="none" w:pos="1586"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foregoing provisions of this Section 10.06, a present or former partner, stockholder, member, director, officer, fiduciary, manager, controlling Person, employee and agent of the Manager, ManagementCo Shareholder or any Affiliate of the Manager or ManagementCo Shareholder shall not be entitled to indemnification, exculpation or advancement of expenses in respect of any controversy relating to any employment or similar service relationship or the termination of any such relationship or in respect of any claim or cause of action brought against the Manager, ManagementCo Shareholder or the Company or any other Affiliate of the Manager or ManagementCo Shareholder, other than a claim or cause of action for indemnification, exculpation or advancement of expenses to which any such Person is otherwise entitled under the provisions of this Section 10.06 or under any other agreement or instrument to which such Person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w:t>
      </w:r>
    </w:p>
    <w:p>
      <w:pPr>
        <w:spacing w:after="0" w:line="181"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10.07.</w:t>
      </w:r>
      <w:r>
        <w:rPr>
          <w:sz w:val="20"/>
          <w:szCs w:val="20"/>
          <w:color w:val="auto"/>
        </w:rPr>
        <w:tab/>
      </w:r>
      <w:r>
        <w:rPr>
          <w:rFonts w:ascii="Times New Roman" w:cs="Times New Roman" w:eastAsia="Times New Roman" w:hAnsi="Times New Roman"/>
          <w:sz w:val="21"/>
          <w:szCs w:val="21"/>
          <w:i w:val="1"/>
          <w:iCs w:val="1"/>
          <w:color w:val="auto"/>
        </w:rPr>
        <w:t>Co-Investors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firstLine="1174"/>
        <w:spacing w:after="0" w:line="245" w:lineRule="auto"/>
        <w:tabs>
          <w:tab w:leader="none" w:pos="1622"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Manager determines that it would be advisable to include any co-investors in connection with any Investment (including, for the avoidance of doubt, any equity investment in a Portfolio Company after the Company’s initial Investment in such Portfolio Company) (any such co-investment opportunity, a “</w:t>
      </w:r>
      <w:r>
        <w:rPr>
          <w:rFonts w:ascii="Times New Roman" w:cs="Times New Roman" w:eastAsia="Times New Roman" w:hAnsi="Times New Roman"/>
          <w:sz w:val="22"/>
          <w:szCs w:val="22"/>
          <w:b w:val="1"/>
          <w:bCs w:val="1"/>
          <w:color w:val="auto"/>
        </w:rPr>
        <w:t>Co-Investment Opportunity</w:t>
      </w:r>
      <w:r>
        <w:rPr>
          <w:rFonts w:ascii="Times New Roman" w:cs="Times New Roman" w:eastAsia="Times New Roman" w:hAnsi="Times New Roman"/>
          <w:sz w:val="22"/>
          <w:szCs w:val="22"/>
          <w:color w:val="auto"/>
        </w:rPr>
        <w:t xml:space="preserve">”), it shall offer such Co-Investment Opportunity to Comcast AG Shareholder or an Affiliate of Comcast AG Shareholder designated by Comcast AG Shareholder prior to offering such Co-Investment Opportunity to any 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event the Manager determines that it would be advisable to include in respect of any Co-Investment Opportunity one or more strategic co-investors, it may offer up to 50% of any such Co-Investment Opportunity to such strategic co-investor(s), with the balance of such Co-Investment Opportunity offered to Comcast AG Shareholder or its designated Affiliate;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 in no event shall the Manager offer all or any portion of any Co-Investment Opportunity in the United States to any person set forth on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(each Person set forth on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Prohibited Co-Investor</w:t>
      </w:r>
      <w:r>
        <w:rPr>
          <w:rFonts w:ascii="Times New Roman" w:cs="Times New Roman" w:eastAsia="Times New Roman" w:hAnsi="Times New Roman"/>
          <w:sz w:val="22"/>
          <w:szCs w:val="22"/>
          <w:color w:val="auto"/>
        </w:rPr>
        <w:t>”), regardless of whether such Co-Investment Opportunity is first offered to Comcast AG Shareholder or its designated Affiliate and (ii) the Manager shall only offer all or any portion of any Co-Investment Opportunity not in the United States to a Prohibited Co-Investor if such Co-Investment Opportunity is first offered to Comcast AG Shareholder or its designated Affiliate and such Persons decline to accept any portion of such Co-Investment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180"/>
          </w:cols>
          <w:pgMar w:left="320" w:top="1440" w:right="399" w:bottom="1440" w:gutter="0" w:footer="0" w:header="0"/>
        </w:sectPr>
      </w:pPr>
    </w:p>
    <w:bookmarkStart w:id="318" w:name="page319"/>
    <w:bookmarkEnd w:id="318"/>
    <w:p>
      <w:pPr>
        <w:spacing w:after="0" w:line="198" w:lineRule="exact"/>
        <w:rPr>
          <w:sz w:val="20"/>
          <w:szCs w:val="20"/>
          <w:color w:val="auto"/>
        </w:rPr>
      </w:pPr>
    </w:p>
    <w:p>
      <w:pPr>
        <w:ind w:right="180" w:firstLine="1174"/>
        <w:spacing w:after="0" w:line="266" w:lineRule="auto"/>
        <w:tabs>
          <w:tab w:leader="none" w:pos="1634" w:val="left"/>
        </w:tabs>
        <w:numPr>
          <w:ilvl w:val="1"/>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10.07(a), prior to offering all or any portion of a Co-Investment Opportunity to Comcast AG Shareholder (or any permissible strategic co-investor), the Manager may offer such Co-Investment Opportunity to</w:t>
      </w:r>
    </w:p>
    <w:p>
      <w:pPr>
        <w:spacing w:after="0" w:line="1" w:lineRule="exact"/>
        <w:rPr>
          <w:rFonts w:ascii="Times New Roman" w:cs="Times New Roman" w:eastAsia="Times New Roman" w:hAnsi="Times New Roman"/>
          <w:sz w:val="21"/>
          <w:szCs w:val="21"/>
          <w:color w:val="auto"/>
        </w:rPr>
      </w:pPr>
    </w:p>
    <w:p>
      <w:pPr>
        <w:jc w:val="both"/>
        <w:ind w:right="40" w:firstLine="8"/>
        <w:spacing w:after="0" w:line="245" w:lineRule="auto"/>
        <w:tabs>
          <w:tab w:leader="none" w:pos="258"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rollover investors, (ii) management investors and (iii) bona fide sources of financing;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this clause (iii), (A) such financing source customarily provides financing of the type comprising such Co-Investment Opportunity, (B) the type of financing being provided by such financing source and comprising such Co-Investment Opportunity customarily includes an equity component and (C) such financing source is not a Prohibited Co-Investor.</w:t>
      </w:r>
    </w:p>
    <w:p>
      <w:pPr>
        <w:spacing w:after="0" w:line="181" w:lineRule="exact"/>
        <w:rPr>
          <w:rFonts w:ascii="Times New Roman" w:cs="Times New Roman" w:eastAsia="Times New Roman" w:hAnsi="Times New Roman"/>
          <w:sz w:val="22"/>
          <w:szCs w:val="22"/>
          <w:color w:val="auto"/>
        </w:rPr>
      </w:pPr>
    </w:p>
    <w:p>
      <w:pPr>
        <w:ind w:right="140" w:firstLine="1174"/>
        <w:spacing w:after="0" w:line="251" w:lineRule="auto"/>
        <w:tabs>
          <w:tab w:leader="none" w:pos="1618"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procedures set forth in Section 9.01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any offer of a Co-Investment Opportunity to Comcast AG Shareholder;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it is not commercially practicable under the circumstances for Comcast AG Shareholder to have 30 days to accept such offer, then Comcast AG Shareholder shall have such amount of time to accept such offer as determined by the Manager and set forth in the offer notice, but not less than 10 Business Days.</w:t>
      </w:r>
    </w:p>
    <w:p>
      <w:pPr>
        <w:spacing w:after="0" w:line="176" w:lineRule="exact"/>
        <w:rPr>
          <w:sz w:val="20"/>
          <w:szCs w:val="20"/>
          <w:color w:val="auto"/>
        </w:rPr>
      </w:pPr>
    </w:p>
    <w:p>
      <w:pPr>
        <w:ind w:right="100" w:firstLine="972"/>
        <w:spacing w:after="0" w:line="253"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i w:val="1"/>
          <w:iCs w:val="1"/>
          <w:color w:val="auto"/>
        </w:rPr>
        <w:t>Additional Comcast Rights.</w:t>
      </w:r>
      <w:r>
        <w:rPr>
          <w:rFonts w:ascii="Times New Roman" w:cs="Times New Roman" w:eastAsia="Times New Roman" w:hAnsi="Times New Roman"/>
          <w:sz w:val="22"/>
          <w:szCs w:val="22"/>
          <w:color w:val="auto"/>
        </w:rPr>
        <w:t xml:space="preserve"> In the event that Comcast determines, in its good faith judgment, that (i) the Company and its consolidated Subsidiaries will be consolidated in Comcast’s statement of financial position and (ii) such consolidation is resulting or would be reasonably likely to result in significant adverse consequences to Comcast (including, by way of example, adverse impacts on Comcast’s credit rating or borrowing terms):</w:t>
      </w:r>
    </w:p>
    <w:p>
      <w:pPr>
        <w:spacing w:after="0" w:line="179" w:lineRule="exact"/>
        <w:rPr>
          <w:sz w:val="20"/>
          <w:szCs w:val="20"/>
          <w:color w:val="auto"/>
        </w:rPr>
      </w:pPr>
    </w:p>
    <w:p>
      <w:pPr>
        <w:ind w:firstLine="1174"/>
        <w:spacing w:after="0" w:line="245" w:lineRule="auto"/>
        <w:tabs>
          <w:tab w:leader="none" w:pos="1622"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not then and is not reasonably likely to become an “investment company” under the Investment Company Act of 1940 (as determined in good faith by the Manager), (x) Comcast will be permitted to effect a spinoff of its interest in the Company to Comcast shareholders provided that the spinoff entity has the financial wherewithal to meet its obligations under this Agreement, it being understood that (A) ManagementCo Shareholder will not be obligated to agree to changes to its governance or economic rights set forth in this Agreement and the Manager will not be obligated to agree to changes to its governance or economic rights set forth in the Management Agreement, (B) the rights of Comcast Shareholder pursuant to Article 9 shall be retained by Comcast Shareholder post-spinoff but shall apply only to assets held by the Company at the time of the spinoff and not to subsequently acquired assets and (C) Comcast will not be permitted to effect a spinoff if the consummation of the spinoff would, or would be reasonably likely to, result in any significant adverse consequences to the Company, ManagementCo Shareholder or the Manager (with the sole fact of the creation of the new public company itself not constituting such a significant adverse effect), and (y) the Company, ManagementCo Shareholder and the Manager will cooperate with Comcast to facilitate such a spinoff;</w:t>
      </w:r>
    </w:p>
    <w:p>
      <w:pPr>
        <w:spacing w:after="0" w:line="195" w:lineRule="exact"/>
        <w:rPr>
          <w:rFonts w:ascii="Times New Roman" w:cs="Times New Roman" w:eastAsia="Times New Roman" w:hAnsi="Times New Roman"/>
          <w:sz w:val="22"/>
          <w:szCs w:val="22"/>
          <w:color w:val="auto"/>
        </w:rPr>
      </w:pPr>
    </w:p>
    <w:p>
      <w:pPr>
        <w:ind w:right="140" w:firstLine="1174"/>
        <w:spacing w:after="0" w:line="252" w:lineRule="auto"/>
        <w:tabs>
          <w:tab w:leader="none" w:pos="1634"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then such an “investment company” or is reasonably likely to become such an “investment company” (as determined in good faith by the Manager), ManagementCo Shareholder, the Manager and the Company will use their good faith efforts (in collaboration with Comcast) to determine whether there are reasonable available actions that can be taken to address the adverse consequences affecting Comcast (but,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20"/>
          </w:cols>
          <w:pgMar w:left="320" w:top="1440" w:right="359" w:bottom="1440" w:gutter="0" w:footer="0" w:header="0"/>
        </w:sectPr>
      </w:pPr>
    </w:p>
    <w:bookmarkStart w:id="319" w:name="page320"/>
    <w:bookmarkEnd w:id="319"/>
    <w:p>
      <w:pPr>
        <w:spacing w:after="0" w:line="19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color w:val="auto"/>
        </w:rPr>
        <w:t xml:space="preserve">in such circumstances, it shall not be considered reasonable to effect a spinoff of the type referenced in clause (a) or any alternative public offering unless other reasonable actions are available so that, in the good faith judgment of the Manager, the Company will not, at the time of any such spinoff or alternative public offering, be or be reasonably likely to become an “investment company”) and, if such available actions are determined to exist and Comcast wishes to pursue such course of action, ManagementCo Shareholder, the Manager and the Company will take such 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connection with the taking of any such action, ManagementCo Shareholder will not be obligated to agree to any changes to its governance or economic rights set forth in this Agreement, the Manager will not be obligated to agree to any changes to its governance or economic rights set forth in the Management Agreement and neither ManagementCo Shareholder nor the Manager will be obligated to pursue any action that would, or would be reasonably likely to, result in any other significant adverse consequences to the Company, ManagementCo Shareholder or the Manager; and</w:t>
      </w:r>
    </w:p>
    <w:p>
      <w:pPr>
        <w:spacing w:after="0" w:line="188" w:lineRule="exact"/>
        <w:rPr>
          <w:sz w:val="20"/>
          <w:szCs w:val="20"/>
          <w:color w:val="auto"/>
        </w:rPr>
      </w:pPr>
    </w:p>
    <w:p>
      <w:pPr>
        <w:ind w:right="40" w:firstLine="1174"/>
        <w:spacing w:after="0" w:line="245" w:lineRule="auto"/>
        <w:tabs>
          <w:tab w:leader="none" w:pos="162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Comcast elects to pursue the action described below in this clause (c) in preference to any available action under clause (a) or clause (b) or if there is no such other available action, Comcast will be permitted to Transfer up to 40% of the Comcast Rights and Obligations to a third party, with the transferee subject to the Board’s consent (not to be unreasonably withheld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as specified below, the Board shall not be entitled to withhold or delay its consent if the proposed transferee is a bona fide financial institution or investment firm or fund of national standing with the financial wherewithal to meet its related financial obligations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Capital Commitment, Capital Contributions and Management Fee);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in all cases, the Board shall be entitled to withhold its consent if the transfer would result in, or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likely to result in, significant adverse consequences to the Company, ManagementCo Shareholder or the Manager with respect to regulatory, legal, tax or similar matters. Any Person to whom Comcast Transfers Comcast Rights and Obligations as permitted by this Section 10.08(c) shall be deemed to be a “Shareholder” for all purposes hereof and “Comcast AG Shareholder”, a “holder of Class I Shares” and a “holder of Class I-A Shares” to the extent of the transfer of Comcast Rights and Obligations pursuant to this Section 10.08(c), and shall execute a joinder to this Agreement in a form to be reasonably agreed by Comcast and the Company.</w:t>
      </w:r>
    </w:p>
    <w:p>
      <w:pPr>
        <w:spacing w:after="0" w:line="189" w:lineRule="exact"/>
        <w:rPr>
          <w:sz w:val="20"/>
          <w:szCs w:val="20"/>
          <w:color w:val="auto"/>
        </w:rPr>
      </w:pPr>
    </w:p>
    <w:p>
      <w:pPr>
        <w:ind w:firstLine="972"/>
        <w:spacing w:after="0" w:line="262"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i w:val="1"/>
          <w:iCs w:val="1"/>
          <w:color w:val="auto"/>
        </w:rPr>
        <w:t>Advisory Board.</w:t>
      </w:r>
      <w:r>
        <w:rPr>
          <w:rFonts w:ascii="Times New Roman" w:cs="Times New Roman" w:eastAsia="Times New Roman" w:hAnsi="Times New Roman"/>
          <w:sz w:val="21"/>
          <w:szCs w:val="21"/>
          <w:color w:val="auto"/>
        </w:rPr>
        <w:t xml:space="preserve"> In the event the Company forms an advisory board in the future (the “</w:t>
      </w:r>
      <w:r>
        <w:rPr>
          <w:rFonts w:ascii="Times New Roman" w:cs="Times New Roman" w:eastAsia="Times New Roman" w:hAnsi="Times New Roman"/>
          <w:sz w:val="21"/>
          <w:szCs w:val="21"/>
          <w:b w:val="1"/>
          <w:bCs w:val="1"/>
          <w:color w:val="auto"/>
        </w:rPr>
        <w:t>Advisory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such Advisory Board will advise the Company and consult with the Manager on such matters relating to the business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Company and the Portfolio Companies or this Agreement as the Manager may determine from time to time or any member of the Advisory Board may reasonably propose to the Manager;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actions taken by the Advisory Board shall be advisory only, and neither the Company nor the Manager shall be required or otherwise bound to act in accordance with any such actions. The Comcast Chief Executive Officer (or a designee acceptable to the Manager) will be entitled to serve on any such Advisory Board. The Advisory Board shall otherwise consist of individuals selected by the Manager, in its reasonable discretion.</w:t>
      </w:r>
    </w:p>
    <w:p>
      <w:pPr>
        <w:spacing w:after="0" w:line="166" w:lineRule="exact"/>
        <w:rPr>
          <w:sz w:val="20"/>
          <w:szCs w:val="20"/>
          <w:color w:val="auto"/>
        </w:rPr>
      </w:pPr>
    </w:p>
    <w:p>
      <w:pPr>
        <w:ind w:firstLine="972"/>
        <w:spacing w:after="0" w:line="275"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i w:val="1"/>
          <w:iCs w:val="1"/>
          <w:color w:val="auto"/>
        </w:rPr>
        <w:t>Comcast Executive Committee.</w:t>
      </w:r>
      <w:r>
        <w:rPr>
          <w:rFonts w:ascii="Times New Roman" w:cs="Times New Roman" w:eastAsia="Times New Roman" w:hAnsi="Times New Roman"/>
          <w:sz w:val="22"/>
          <w:szCs w:val="22"/>
          <w:color w:val="auto"/>
        </w:rPr>
        <w:t xml:space="preserve"> The Initial CEO, in his capacity as a representative of the Manager, is and will continue to be allocated time at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00"/>
          </w:cols>
          <w:pgMar w:left="320" w:top="1440" w:right="379" w:bottom="1440" w:gutter="0" w:footer="0" w:header="0"/>
        </w:sectPr>
      </w:pPr>
    </w:p>
    <w:bookmarkStart w:id="320" w:name="page321"/>
    <w:bookmarkEnd w:id="320"/>
    <w:p>
      <w:pPr>
        <w:ind w:right="660"/>
        <w:spacing w:after="0" w:line="271" w:lineRule="auto"/>
        <w:rPr>
          <w:sz w:val="20"/>
          <w:szCs w:val="20"/>
          <w:color w:val="auto"/>
        </w:rPr>
      </w:pPr>
      <w:r>
        <w:rPr>
          <w:rFonts w:ascii="Times New Roman" w:cs="Times New Roman" w:eastAsia="Times New Roman" w:hAnsi="Times New Roman"/>
          <w:sz w:val="22"/>
          <w:szCs w:val="22"/>
          <w:color w:val="auto"/>
        </w:rPr>
        <w:t>Comcast Executive Management Committee meetings to discuss potential Investments, opportunities and initiatives under consideration by the Company.</w:t>
      </w:r>
    </w:p>
    <w:p>
      <w:pPr>
        <w:spacing w:after="0" w:line="154" w:lineRule="exact"/>
        <w:rPr>
          <w:sz w:val="20"/>
          <w:szCs w:val="20"/>
          <w:color w:val="auto"/>
        </w:rPr>
      </w:pPr>
    </w:p>
    <w:p>
      <w:pPr>
        <w:ind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i w:val="1"/>
          <w:iCs w:val="1"/>
          <w:color w:val="auto"/>
        </w:rPr>
        <w:t>Administrative Services.</w:t>
      </w:r>
      <w:r>
        <w:rPr>
          <w:rFonts w:ascii="Times New Roman" w:cs="Times New Roman" w:eastAsia="Times New Roman" w:hAnsi="Times New Roman"/>
          <w:sz w:val="22"/>
          <w:szCs w:val="22"/>
          <w:color w:val="auto"/>
        </w:rPr>
        <w:t xml:space="preserve"> Comcast will provide or cause to be provided certain (to be mutually agreed) administrative services to the Company, ManagementCo Shareholder and the Manager on arm’s-length terms pursuant to an administrative services agreement entered into among Comcast, the Management Shareholder and the Manager.</w:t>
      </w:r>
    </w:p>
    <w:p>
      <w:pPr>
        <w:spacing w:after="0" w:line="166"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i w:val="1"/>
          <w:iCs w:val="1"/>
          <w:color w:val="auto"/>
        </w:rPr>
        <w:t>Non-solicitation; Non-hire.</w:t>
      </w:r>
      <w:r>
        <w:rPr>
          <w:rFonts w:ascii="Times New Roman" w:cs="Times New Roman" w:eastAsia="Times New Roman" w:hAnsi="Times New Roman"/>
          <w:sz w:val="21"/>
          <w:szCs w:val="21"/>
          <w:color w:val="auto"/>
        </w:rPr>
        <w:t xml:space="preserve"> Each of the Company, ManagementCo Shareholder and the Manager agrees that, without Comcast Shareholder’s prior written consent, it will not, and will cause its Affiliates (and, in the case of the Company, its controlled Portfolio Companies and their respective Subsidiaries solely to the extent any such Portfolio Company or Subsidiary of a Portfolio Company is acting in concert with the Company, ManagementCo Shareholder or the Manager) not to, solicit for employment or employ any current or former senior employee of Comcast or any of its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Section 10.12 shall not prohibit any such Person from (i) conducting a general solicitation or advertisement that is not directed at employees of Comcast or any of its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(i) shall not permit the employment of any individuals who respond to such solicitation or advertisement; (ii) soliciting for employment or employing any individuals who have not been employed by Comcast or any of its Affiliates for a period of six months prior to the date such individuals were first solicited for employment; (iii) soliciting for employment or employing any individuals whose employment with Comcast or any of its Affiliates is terminated by Comcast or any of its Affiliates without cause; or (iv) responding to unsolicited inquiries regarding employment;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(iv) shall not permit the employment of any individuals making such unsolicited inquiries.</w:t>
      </w:r>
    </w:p>
    <w:p>
      <w:pPr>
        <w:spacing w:after="0" w:line="179" w:lineRule="exact"/>
        <w:rPr>
          <w:sz w:val="20"/>
          <w:szCs w:val="20"/>
          <w:color w:val="auto"/>
        </w:rPr>
      </w:pPr>
    </w:p>
    <w:p>
      <w:pPr>
        <w:ind w:right="140" w:firstLine="972"/>
        <w:spacing w:after="0" w:line="251"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i w:val="1"/>
          <w:iCs w:val="1"/>
          <w:color w:val="auto"/>
        </w:rPr>
        <w:t>Accountants.</w:t>
      </w:r>
      <w:r>
        <w:rPr>
          <w:rFonts w:ascii="Times New Roman" w:cs="Times New Roman" w:eastAsia="Times New Roman" w:hAnsi="Times New Roman"/>
          <w:sz w:val="22"/>
          <w:szCs w:val="22"/>
          <w:color w:val="auto"/>
        </w:rPr>
        <w:t xml:space="preserve"> The Company agrees that Deloitte &amp; Touche LLP will be appointed as initial independent certified public accountant for the Company and its consolidated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Manager may thereafter appoint as independent certified public accountant for the Company and its consolidated Subsidiaries another of the “big four” nationally recognized independent public accounting firms if the Manager determines in its reasonable discretion that the pricing or services provided by Deloitte &amp; Touche LLP are not satisfactory.</w:t>
      </w:r>
    </w:p>
    <w:p>
      <w:pPr>
        <w:spacing w:after="0" w:line="176" w:lineRule="exact"/>
        <w:rPr>
          <w:sz w:val="20"/>
          <w:szCs w:val="20"/>
          <w:color w:val="auto"/>
        </w:rPr>
      </w:pPr>
    </w:p>
    <w:p>
      <w:pPr>
        <w:ind w:firstLine="972"/>
        <w:spacing w:after="0" w:line="248"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i w:val="1"/>
          <w:iCs w:val="1"/>
          <w:color w:val="auto"/>
        </w:rPr>
        <w:t>FCC Order</w:t>
      </w:r>
      <w:r>
        <w:rPr>
          <w:rFonts w:ascii="Times New Roman" w:cs="Times New Roman" w:eastAsia="Times New Roman" w:hAnsi="Times New Roman"/>
          <w:sz w:val="22"/>
          <w:szCs w:val="22"/>
          <w:color w:val="auto"/>
        </w:rPr>
        <w:t>. The Company acknowledges that it has received and reviewed that certain Memorandum Opinion and Order of the Federal Communications Commission (In the Matter of Applications of Comcast Corporation, General Electric Company and NBC Universal, Inc.) as adopted on January 18, 2011 (the “</w:t>
      </w:r>
      <w:r>
        <w:rPr>
          <w:rFonts w:ascii="Times New Roman" w:cs="Times New Roman" w:eastAsia="Times New Roman" w:hAnsi="Times New Roman"/>
          <w:sz w:val="22"/>
          <w:szCs w:val="22"/>
          <w:b w:val="1"/>
          <w:bCs w:val="1"/>
          <w:color w:val="auto"/>
        </w:rPr>
        <w:t>FCC Order</w:t>
      </w:r>
      <w:r>
        <w:rPr>
          <w:rFonts w:ascii="Times New Roman" w:cs="Times New Roman" w:eastAsia="Times New Roman" w:hAnsi="Times New Roman"/>
          <w:sz w:val="22"/>
          <w:szCs w:val="22"/>
          <w:color w:val="auto"/>
        </w:rPr>
        <w:t>”), has had the opportunity to discuss the FCC Order with counsel, and understands that the FCC Order may subject the Company, its Subsidiaries and Portfolio Companies, and their respective businesses to certain conditions or requirements. The Company (i) shall comply with any and all applicable conditions or requirements set forth in the FCC Order, and (ii) shall cause each of its Covered Subsidiaries to contractually agree to comply with,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321" w:name="page322"/>
    <w:bookmarkEnd w:id="321"/>
    <w:p>
      <w:pPr>
        <w:ind w:right="120"/>
        <w:spacing w:after="0" w:line="259" w:lineRule="auto"/>
        <w:rPr>
          <w:sz w:val="20"/>
          <w:szCs w:val="20"/>
          <w:color w:val="auto"/>
        </w:rPr>
      </w:pPr>
      <w:r>
        <w:rPr>
          <w:rFonts w:ascii="Times New Roman" w:cs="Times New Roman" w:eastAsia="Times New Roman" w:hAnsi="Times New Roman"/>
          <w:sz w:val="22"/>
          <w:szCs w:val="22"/>
          <w:color w:val="auto"/>
        </w:rPr>
        <w:t>comply with, any and all applicable conditions or requirements set forth in the FCC Order. “</w:t>
      </w:r>
      <w:r>
        <w:rPr>
          <w:rFonts w:ascii="Times New Roman" w:cs="Times New Roman" w:eastAsia="Times New Roman" w:hAnsi="Times New Roman"/>
          <w:sz w:val="22"/>
          <w:szCs w:val="22"/>
          <w:b w:val="1"/>
          <w:bCs w:val="1"/>
          <w:color w:val="auto"/>
        </w:rPr>
        <w:t>Covered Subsidiaries</w:t>
      </w:r>
      <w:r>
        <w:rPr>
          <w:rFonts w:ascii="Times New Roman" w:cs="Times New Roman" w:eastAsia="Times New Roman" w:hAnsi="Times New Roman"/>
          <w:sz w:val="22"/>
          <w:szCs w:val="22"/>
          <w:color w:val="auto"/>
        </w:rPr>
        <w:t>” means each of the Company’s Subsidiaries and Portfolio Companies that is an Affiliate (as defined in the FCC Order) of Comcast or NBCUniversal Media LLC.</w:t>
      </w:r>
    </w:p>
    <w:p>
      <w:pPr>
        <w:spacing w:after="0" w:line="166" w:lineRule="exact"/>
        <w:rPr>
          <w:sz w:val="20"/>
          <w:szCs w:val="20"/>
          <w:color w:val="auto"/>
        </w:rPr>
      </w:pPr>
    </w:p>
    <w:p>
      <w:pPr>
        <w:ind w:firstLine="1464"/>
        <w:spacing w:after="0" w:line="247"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i w:val="1"/>
          <w:iCs w:val="1"/>
          <w:color w:val="auto"/>
        </w:rPr>
        <w:t>Non-Affiliation of Comcast and the Company</w:t>
      </w:r>
      <w:r>
        <w:rPr>
          <w:rFonts w:ascii="Times New Roman" w:cs="Times New Roman" w:eastAsia="Times New Roman" w:hAnsi="Times New Roman"/>
          <w:sz w:val="22"/>
          <w:szCs w:val="22"/>
          <w:color w:val="auto"/>
        </w:rPr>
        <w:t xml:space="preserve">. Each of the parties acknowledges that Comcast Shareholder does not possess, directly or indirectly, the power to direct or cause the direction of the management and policies of the Company or any of its Affiliates and that, accordingly, where the term “affiliate” is based on the existence of a control relationship, (i) neither the Company nor any of its Affiliates is an “affiliate” of Comcast Shareholder or any of its Affiliates or has the authority to bind Comcast Shareholder or any of its Affiliates and (ii) neither Comcast Shareholder nor any of its Affiliates is an “affiliate” of the Company or any of its Affiliates or has the authority to bind the Company or any of its Affiliates. Comcast Shareholder, on the one hand, and the Company, on the other hand, will at all times act (and cause their Affiliates to act) in a manner consistent with the foregoing principle, and the Company shall use commercially reasonable efforts to cause any controlled Portfolio </w:t>
      </w:r>
      <w:r>
        <w:rPr>
          <w:rFonts w:ascii="Times New Roman" w:cs="Times New Roman" w:eastAsia="Times New Roman" w:hAnsi="Times New Roman"/>
          <w:sz w:val="22"/>
          <w:szCs w:val="22"/>
          <w:i w:val="1"/>
          <w:iCs w:val="1"/>
          <w:color w:val="auto"/>
        </w:rPr>
        <w:t>Companies</w:t>
      </w:r>
      <w:r>
        <w:rPr>
          <w:rFonts w:ascii="Times New Roman" w:cs="Times New Roman" w:eastAsia="Times New Roman" w:hAnsi="Times New Roman"/>
          <w:sz w:val="22"/>
          <w:szCs w:val="22"/>
          <w:color w:val="auto"/>
        </w:rPr>
        <w:t xml:space="preserve"> to act in a manner consistent with the foregoing principle.</w:t>
      </w:r>
    </w:p>
    <w:p>
      <w:pPr>
        <w:spacing w:after="0" w:line="181"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10.17.</w:t>
      </w:r>
      <w:r>
        <w:rPr>
          <w:sz w:val="20"/>
          <w:szCs w:val="20"/>
          <w:color w:val="auto"/>
        </w:rPr>
        <w:tab/>
      </w:r>
      <w:r>
        <w:rPr>
          <w:rFonts w:ascii="Times New Roman" w:cs="Times New Roman" w:eastAsia="Times New Roman" w:hAnsi="Times New Roman"/>
          <w:sz w:val="21"/>
          <w:szCs w:val="21"/>
          <w:i w:val="1"/>
          <w:iCs w:val="1"/>
          <w:color w:val="auto"/>
        </w:rPr>
        <w:t>Manager and ManagementCo Shareholder Actions Requiring Consent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320" w:firstLine="1174"/>
        <w:spacing w:after="0" w:line="271" w:lineRule="auto"/>
        <w:tabs>
          <w:tab w:leader="none" w:pos="1622"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Manager and ManagementCo Shareholder, as applicable, agrees that it shall not take any of the following actions without the approval of Comcast AG Shareholder:</w:t>
      </w:r>
    </w:p>
    <w:p>
      <w:pPr>
        <w:spacing w:after="0" w:line="157" w:lineRule="exact"/>
        <w:rPr>
          <w:rFonts w:ascii="Times New Roman" w:cs="Times New Roman" w:eastAsia="Times New Roman" w:hAnsi="Times New Roman"/>
          <w:sz w:val="22"/>
          <w:szCs w:val="22"/>
          <w:color w:val="auto"/>
        </w:rPr>
      </w:pPr>
    </w:p>
    <w:p>
      <w:pPr>
        <w:ind w:right="260" w:firstLine="1952"/>
        <w:spacing w:after="0" w:line="257" w:lineRule="auto"/>
        <w:tabs>
          <w:tab w:leader="none" w:pos="2364"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admission of investors other than employees of the Manager in the Manager or ManagementCo Shareholder (other than trusts, estate planning vehicles or similar entities established as contemplated by the partnership agreement of the Manager or the ManagementCo Shareholder Partnership Agreement);</w:t>
      </w:r>
    </w:p>
    <w:p>
      <w:pPr>
        <w:spacing w:after="0" w:line="172"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by ManagementCo Shareholder of its interest in the Class II Shares; and</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offering of securities issued by the Manager or ManagementCo Shareholder.</w:t>
      </w:r>
    </w:p>
    <w:p>
      <w:pPr>
        <w:spacing w:after="0" w:line="219" w:lineRule="exact"/>
        <w:rPr>
          <w:rFonts w:ascii="Times New Roman" w:cs="Times New Roman" w:eastAsia="Times New Roman" w:hAnsi="Times New Roman"/>
          <w:sz w:val="22"/>
          <w:szCs w:val="22"/>
          <w:color w:val="auto"/>
        </w:rPr>
      </w:pPr>
    </w:p>
    <w:p>
      <w:pPr>
        <w:ind w:right="40" w:firstLine="1174"/>
        <w:spacing w:after="0" w:line="252" w:lineRule="auto"/>
        <w:tabs>
          <w:tab w:leader="none" w:pos="1634"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Comcast AG Shareholder determines not to grant its consent to a proposed action pursuant to Section 10.17(a), the Manager and Comcast AG Shareholder shall discuss the reasons for such withholding of consent and will consider in good faith whether there are alternative approaches that might address Comcast AG Shareholder’s concerns while permitting (a possibly modified version of) the proposed action to go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00"/>
          </w:cols>
          <w:pgMar w:left="320" w:top="1418" w:right="379" w:bottom="1440" w:gutter="0" w:footer="0" w:header="0"/>
        </w:sectPr>
      </w:pPr>
    </w:p>
    <w:bookmarkStart w:id="322" w:name="page323"/>
    <w:bookmarkEnd w:id="322"/>
    <w:p>
      <w:pPr>
        <w:ind w:right="140" w:firstLine="972"/>
        <w:spacing w:after="0" w:line="275"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i w:val="1"/>
          <w:iCs w:val="1"/>
          <w:color w:val="auto"/>
        </w:rPr>
        <w:t>Exclusivity</w:t>
      </w:r>
      <w:r>
        <w:rPr>
          <w:rFonts w:ascii="Times New Roman" w:cs="Times New Roman" w:eastAsia="Times New Roman" w:hAnsi="Times New Roman"/>
          <w:sz w:val="22"/>
          <w:szCs w:val="22"/>
          <w:color w:val="auto"/>
        </w:rPr>
        <w:t>. The Manager agrees that, for the term of the Management Agreement, the Manager will not have investment advisory or similar arrangements with any Persons other than the Company.</w:t>
      </w:r>
    </w:p>
    <w:p>
      <w:pPr>
        <w:spacing w:after="0" w:line="149"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10.19.</w:t>
      </w:r>
      <w:r>
        <w:rPr>
          <w:sz w:val="20"/>
          <w:szCs w:val="20"/>
          <w:color w:val="auto"/>
        </w:rPr>
        <w:tab/>
      </w:r>
      <w:r>
        <w:rPr>
          <w:rFonts w:ascii="Times New Roman" w:cs="Times New Roman" w:eastAsia="Times New Roman" w:hAnsi="Times New Roman"/>
          <w:sz w:val="21"/>
          <w:szCs w:val="21"/>
          <w:i w:val="1"/>
          <w:iCs w:val="1"/>
          <w:color w:val="auto"/>
        </w:rPr>
        <w:t>Certain Tax Matters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ind w:firstLine="1952"/>
        <w:spacing w:after="0" w:line="244" w:lineRule="auto"/>
        <w:tabs>
          <w:tab w:leader="none" w:pos="236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Manager shall cause to be prepared and timely filed all tax returns required to be filed for each Company Entity;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prior to the filing of any federal income tax return of any Company Entity (including such Company Entity’s Internal Revenue Service Form 1065, if applicable), any material foreign, state or local income tax return of a Company Entity, or any material franchise tax return of a Company Entity, Comcast AG Shareholder shall be entitled to review and consult with the applicable Company Entity, as appropriate, with respect to such tax returns, which shall be provided to Comcast AG Shareholder no less than 60 days prior to the applicable due date. Comcast AG Shareholder shall have the right to dispute any such tax return provided to Comcast AG Shareholder with respect to any significant issue or item. If Comcast AG Shareholder disputes any such tax return by delivering a written notice thereof to the Manager, within 30 days following receipt of such tax return, the Comcast AG Shareholder, the Company and the Manager shall, and the Manager shall cause the relevant Company Entity to, use commercially reasonable efforts to resolve the dispute. If the dispute is not resolved within 10 days following receipt of a written notice of a dispute from Comcast AG Shareholder, the dispute shall be referred to a firm of independent public accountants of nationally recognized standing and with relevant expertise, mutually acceptable to the applicable Company Entity and Comcast AG Shareholder. Such accounting firm shall use commercially reasonable effort to resolve the dispute prior to the due date of the disputed tax return, and such accounting firm’s conclusions shall be binding on the relevant Company Entity and the Comcast AG Shareholder. If such accounting firm cannot resolve the dispute prior to the due date of the disputed tax return, such tax return will be filed as originally proposed by the relevant Company Entity, and the applicable Company Entity shall file an amended tax return, within 10 days of such accounting firm’s resolution, reflecting the conclusion of such accounting firm. Any incremental out-of-pocket expenses incurred by any Company Entity or the Manager relating to Comcast AG Shareholder’s dispute of any tax return, including the fees and expenses of the accounting firm’s review of any dispute with respect to a tax return, shall be reimbursed by the Comcast AG Shareholder. The Company, the Manager and Comcast AG Shareholder shall work together in good faith to procure that any such expenses (and any other incremental out-of-pocket expenses that are to be reimbursed by Comcast AG Shareholder pursuant to any provision of this Section 10.19) are reasonable in amount.</w:t>
      </w:r>
    </w:p>
    <w:p>
      <w:pPr>
        <w:spacing w:after="0" w:line="200" w:lineRule="exact"/>
        <w:rPr>
          <w:rFonts w:ascii="Times New Roman" w:cs="Times New Roman" w:eastAsia="Times New Roman" w:hAnsi="Times New Roman"/>
          <w:sz w:val="22"/>
          <w:szCs w:val="22"/>
          <w:color w:val="auto"/>
        </w:rPr>
      </w:pPr>
    </w:p>
    <w:p>
      <w:pPr>
        <w:ind w:right="20" w:firstLine="1952"/>
        <w:spacing w:after="0" w:line="250" w:lineRule="auto"/>
        <w:tabs>
          <w:tab w:leader="none" w:pos="241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Comcast AG Shareholder, the Manager shall use commercially reasonable efforts to provide information reasonably requested by Comcast AG Shareholder for purposes of determining whether a Controlled Portfolio Company is required by Applicable Law to be included with Comcast or any of its Affiliates in a combined, consolidated or unitary tax return (for the avoidance of doubt, other than by reason of an allocation of items of income, gain, loss, deduction or credit on a “pass through” basis for income tax purposes)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18" w:right="339" w:bottom="1440" w:gutter="0" w:footer="0" w:header="0"/>
        </w:sectPr>
      </w:pPr>
    </w:p>
    <w:bookmarkStart w:id="323" w:name="page324"/>
    <w:bookmarkEnd w:id="323"/>
    <w:p>
      <w:pPr>
        <w:jc w:val="both"/>
        <w:ind w:right="220"/>
        <w:spacing w:after="0" w:line="259" w:lineRule="auto"/>
        <w:rPr>
          <w:sz w:val="20"/>
          <w:szCs w:val="20"/>
          <w:color w:val="auto"/>
        </w:rPr>
      </w:pPr>
      <w:r>
        <w:rPr>
          <w:rFonts w:ascii="Times New Roman" w:cs="Times New Roman" w:eastAsia="Times New Roman" w:hAnsi="Times New Roman"/>
          <w:sz w:val="22"/>
          <w:szCs w:val="22"/>
          <w:color w:val="auto"/>
        </w:rPr>
        <w:t>such tax return, a “</w:t>
      </w:r>
      <w:r>
        <w:rPr>
          <w:rFonts w:ascii="Times New Roman" w:cs="Times New Roman" w:eastAsia="Times New Roman" w:hAnsi="Times New Roman"/>
          <w:sz w:val="22"/>
          <w:szCs w:val="22"/>
          <w:b w:val="1"/>
          <w:bCs w:val="1"/>
          <w:color w:val="auto"/>
        </w:rPr>
        <w:t>Comcast Group Tax Return</w:t>
      </w:r>
      <w:r>
        <w:rPr>
          <w:rFonts w:ascii="Times New Roman" w:cs="Times New Roman" w:eastAsia="Times New Roman" w:hAnsi="Times New Roman"/>
          <w:sz w:val="22"/>
          <w:szCs w:val="22"/>
          <w:color w:val="auto"/>
        </w:rPr>
        <w:t>”) for any taxable period. Any incremental out-of-pocket expenses incurred by the Company, the Manager, or the Controlled Portfolio Company as a result of Comcast AG Shareholder’s request pursuant to this Section 10.19(a)(ii) shall be reimbursed by the Comcast AG Shareholder.</w:t>
      </w:r>
    </w:p>
    <w:p>
      <w:pPr>
        <w:spacing w:after="0" w:line="170" w:lineRule="exact"/>
        <w:rPr>
          <w:sz w:val="20"/>
          <w:szCs w:val="20"/>
          <w:color w:val="auto"/>
        </w:rPr>
      </w:pPr>
    </w:p>
    <w:p>
      <w:pPr>
        <w:ind w:right="20" w:firstLine="1952"/>
        <w:spacing w:after="0" w:line="257" w:lineRule="auto"/>
        <w:tabs>
          <w:tab w:leader="none" w:pos="2484" w:val="left"/>
        </w:tabs>
        <w:numPr>
          <w:ilvl w:val="1"/>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Comcast or any of its Affiliates is required by Applicable Law to include any Company Entity in a combined, consolidated or unitary tax return (for the avoidance of doubt, other than by reason of an allocation of items of income, gain, loss, deduction or credit on a “pass through” basis for income tax purposes) (any such tax return, a “</w:t>
      </w:r>
      <w:r>
        <w:rPr>
          <w:rFonts w:ascii="Times New Roman" w:cs="Times New Roman" w:eastAsia="Times New Roman" w:hAnsi="Times New Roman"/>
          <w:sz w:val="21"/>
          <w:szCs w:val="21"/>
          <w:b w:val="1"/>
          <w:bCs w:val="1"/>
          <w:color w:val="auto"/>
        </w:rPr>
        <w:t>Comcast Group Tax Return</w:t>
      </w:r>
      <w:r>
        <w:rPr>
          <w:rFonts w:ascii="Times New Roman" w:cs="Times New Roman" w:eastAsia="Times New Roman" w:hAnsi="Times New Roman"/>
          <w:sz w:val="21"/>
          <w:szCs w:val="21"/>
          <w:color w:val="auto"/>
        </w:rPr>
        <w:t>”) for any taxable period, the tax liability of such Company Entity and its Subsidiaries for each such taxable period will be determined on a hypothetical separate tax return basis as if such Company Entity and its Subsidiaries had never been included in any such Comcast Group Tax Return (such tax liability of such Company Entity and its Subsidiaries, the “</w:t>
      </w:r>
      <w:r>
        <w:rPr>
          <w:rFonts w:ascii="Times New Roman" w:cs="Times New Roman" w:eastAsia="Times New Roman" w:hAnsi="Times New Roman"/>
          <w:sz w:val="21"/>
          <w:szCs w:val="21"/>
          <w:b w:val="1"/>
          <w:bCs w:val="1"/>
          <w:color w:val="auto"/>
        </w:rPr>
        <w:t>Company Entity Hypothetical Tax Liability</w:t>
      </w:r>
      <w:r>
        <w:rPr>
          <w:rFonts w:ascii="Times New Roman" w:cs="Times New Roman" w:eastAsia="Times New Roman" w:hAnsi="Times New Roman"/>
          <w:sz w:val="21"/>
          <w:szCs w:val="21"/>
          <w:color w:val="auto"/>
        </w:rPr>
        <w:t xml:space="preserve">”). If the Company Entity Hypothetical Tax Liability with respect to a taxable period is positive, Comcast shall pay such amount on behalf of such Company Entity, and the Manager shall cause such Company Entity to reimburse Comcast for such amount within 10 days of Comcast’s payment. If the Company Entity Hypothetical Tax Liability with respect to a taxable period is negative, such amount shall carry forward to successive taxable periods and shall reduce the Company Entity Hypothetical Tax Liability for such taxable periods;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aggregate amount of Company Entity Hypothetical Tax Liabilities of such Company Entity for prior taxable periods is positive, Comcast shall pay to such Company Entity an amount equal to the reduction in the tax liability of Comcast or its Affiliates attributable to any Tax Attribute of such Company Entity (“</w:t>
      </w:r>
      <w:r>
        <w:rPr>
          <w:rFonts w:ascii="Times New Roman" w:cs="Times New Roman" w:eastAsia="Times New Roman" w:hAnsi="Times New Roman"/>
          <w:sz w:val="21"/>
          <w:szCs w:val="21"/>
          <w:b w:val="1"/>
          <w:bCs w:val="1"/>
          <w:color w:val="auto"/>
        </w:rPr>
        <w:t>Tax Loss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 the amount of Tax Loss Payment Comcast is required to make to such Company Entity shall not exceed the aggregate amount of Company Entity Hypothetical Tax Liabilities paid by such Company Entity to Comcast for prior taxable periods, (II) Comcast is required to make a Tax Loss Payment only if, and to the extent that, the actual tax liability of such Company Entity on a hypothetical separate tax return basis would have been reduced due to such Tax Attribute and (III) the Company Entity Hypothetical Tax Liabilities for prior taxable periods shall be reduced to reflect any Tax Loss Payment made by Comcast. In no event shall Comcast be required to make available its tax returns (or any other information relating to its taxes) to such Company Entity.</w:t>
      </w:r>
    </w:p>
    <w:p>
      <w:pPr>
        <w:spacing w:after="0" w:line="174" w:lineRule="exact"/>
        <w:rPr>
          <w:rFonts w:ascii="Times New Roman" w:cs="Times New Roman" w:eastAsia="Times New Roman" w:hAnsi="Times New Roman"/>
          <w:sz w:val="21"/>
          <w:szCs w:val="21"/>
          <w:color w:val="auto"/>
        </w:rPr>
      </w:pPr>
    </w:p>
    <w:p>
      <w:pPr>
        <w:ind w:firstLine="1174"/>
        <w:spacing w:after="0" w:line="260" w:lineRule="auto"/>
        <w:tabs>
          <w:tab w:leader="none" w:pos="163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Manager may cause any Company Entity to make, or refrain from making, any tax elections as it determines in its reasonable discretion, including, without limitation, the election under Section 754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prior to making any material election with respect to any Company Entity, the Manager shall consult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Comcast AG Shareholder in good faith and the Manager shall cause any Company Entity not to make any material election that could reasonably be expected to have an adverse effect on Comcast AG Shareholder relative to any other Shareholder without the consent of Comcast AG Shareholder, which consent shall not be unreasonably withheld or delayed; (ii) at the request of Comcast AG Shareholder and to the extent available under Applicable Law, the Manager shall cause a Company Entity to make an election so that such Company Entity would not be included in a combined, consolidated or unitary tax return with Comcast or any of its Affiliates or under a group relief regime with Comcast or any of its Affiliates; (iii) the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20"/>
          </w:cols>
          <w:pgMar w:left="320" w:top="1418" w:right="359" w:bottom="1440" w:gutter="0" w:footer="0" w:header="0"/>
        </w:sectPr>
      </w:pPr>
    </w:p>
    <w:bookmarkStart w:id="324" w:name="page325"/>
    <w:bookmarkEnd w:id="324"/>
    <w:p>
      <w:pPr>
        <w:spacing w:after="0" w:line="1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shall not make an election under Section 1101(g)(4) of the “Bipartisan Budget Act of 2015” to apply the Partnership Audit Reform Rules prior to its effective date provided under Section 1101(g)(1) of the “Bipartisan Budget Act of 2015”; (iv) on or after the effective date of the Partnership Audit Reform Rules and to the extent permissible under Applicable Law, at the request of Comcast AG Shareholder, Manager shall cause any applicable Company Entity to file an election pursuant to Section 6221(b), as promulgated under the “Bipartisan Budget Act of 2015;” and (v) the Manager shall cause the Company to elect to be treated as a partnership for U.S. federal income tax purposes by timely filing Internal Revenue Service Form 8832 and any comparable tax form under applicable provisions of state or local law, and shall refrain from taking any actions inconsistent with its treatment as a partnership for federal, state and local income tax purposes.</w:t>
      </w:r>
    </w:p>
    <w:p>
      <w:pPr>
        <w:spacing w:after="0" w:line="1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(c)</w:t>
      </w:r>
    </w:p>
    <w:p>
      <w:pPr>
        <w:spacing w:after="0" w:line="220" w:lineRule="exact"/>
        <w:rPr>
          <w:sz w:val="20"/>
          <w:szCs w:val="20"/>
          <w:color w:val="auto"/>
        </w:rPr>
      </w:pPr>
    </w:p>
    <w:p>
      <w:pPr>
        <w:ind w:firstLine="1952"/>
        <w:spacing w:after="0" w:line="244" w:lineRule="auto"/>
        <w:tabs>
          <w:tab w:leader="none" w:pos="236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and the Manager shall cause each Comcast Investment Vehicle to, deliver, no later than five Business Days after the filing of the appropriate income tax returns by the Company or applicable Comcast Investment Vehicle, to each Shareholder a Schedule K-1 showing such Shareholder’s share of income, loss, deductions, gain and credits;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and the Manager shall cause each Comcast Investment Vehicle to, use commercially reasonable efforts to provide estimates of the information to be set forth on such Schedule K-1 no later than 60 days after the end of each Tax Year but in no event later than 90 days after the end of each Tax Year. Each Shareholder agrees that such Shareholder shall not treat any item of income, gain, loss or any other Company or Alternative Investment Vehicle item on such Shareholder’s tax return in a manner which is inconsistent with the treatment of such item on the Company’s or applicable Alternative Investment Vehicle’s tax return (for the avoidance of doubt, as amended to reflect the resolution of an accounting firm pursuant to Section 10.19(a)(i)). The Company shall, and the Manager shall cause each Comcast Investment Vehicle to, deliver to the Comcast Shareholder estimates of the information necessary for Comcast to determine its estimated taxes payable with respect to a Tax Quarter attributable to Comcast Shareholder’s interest in the Company or a Comcast Investment Vehicle, no later than 30 days after the end of such Tax Quarter;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and the Manager shall only be required to provide such information with respect to a tax year for which the aggregate amount of income, or aggregate amount of loss, allocated to Comcast Shareholder is expected to be significant;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any incremental out-of-pocket expenses incurred by any Company Entity or the Manager in connection with the preparation of information for the Comcast Shareholder pursuant to this sentence shall be reimbursed by the Comcast Shareholder. For the avoidance of doubt, any expenses with respect to the preparation and filing of the tax returns for the Company or Comcast Investment Vehicle, including Schedule K-1 provided to the Shareholders, are Manager Expenses pursuant to Section 7.01.</w:t>
      </w:r>
    </w:p>
    <w:p>
      <w:pPr>
        <w:spacing w:after="0" w:line="202" w:lineRule="exact"/>
        <w:rPr>
          <w:rFonts w:ascii="Times New Roman" w:cs="Times New Roman" w:eastAsia="Times New Roman" w:hAnsi="Times New Roman"/>
          <w:sz w:val="22"/>
          <w:szCs w:val="22"/>
          <w:color w:val="auto"/>
        </w:rPr>
      </w:pPr>
    </w:p>
    <w:p>
      <w:pPr>
        <w:ind w:right="20" w:firstLine="1952"/>
        <w:spacing w:after="0" w:line="257" w:lineRule="auto"/>
        <w:tabs>
          <w:tab w:leader="none" w:pos="242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and the Company shall use commercially reasonable efforts to deliver, at the reasonable request of a Shareholder, such other information as is required for the preparation of its tax returns, including, if requested, state apportionment information. At the request of any Shareholder, the Manager and the Company shall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250" w:lineRule="auto"/>
        <w:rPr>
          <w:sz w:val="20"/>
          <w:szCs w:val="20"/>
          <w:color w:val="auto"/>
        </w:rPr>
      </w:pPr>
      <w:r>
        <w:rPr>
          <w:rFonts w:ascii="Times New Roman" w:cs="Times New Roman" w:eastAsia="Times New Roman" w:hAnsi="Times New Roman"/>
          <w:sz w:val="22"/>
          <w:szCs w:val="22"/>
          <w:color w:val="auto"/>
        </w:rPr>
        <w:t>commercially reasonable efforts to deliver to such Shareholder such information as may be necessary for such Shareholder to file its Schedule UTP and similar other statements or returns that are required to be filed by such Shareholder as a result of its holding of Company Securities. Any incremental out-of-pocket expenses incurred by the Manager, the Company, a Comcast Investment Vehicle, or their Subsidiaries or any Portfolio Company as a result of a request from a Shareholder pursuant to this Section 10.19(c)(ii) shall be reimbursed by such Shareholder.</w:t>
      </w:r>
    </w:p>
    <w:p>
      <w:pPr>
        <w:spacing w:after="0" w:line="181" w:lineRule="exact"/>
        <w:rPr>
          <w:sz w:val="20"/>
          <w:szCs w:val="20"/>
          <w:color w:val="auto"/>
        </w:rPr>
      </w:pPr>
    </w:p>
    <w:p>
      <w:pPr>
        <w:ind w:right="40" w:firstLine="1952"/>
        <w:spacing w:after="0" w:line="245" w:lineRule="auto"/>
        <w:tabs>
          <w:tab w:leader="none" w:pos="248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agrees to use its commercially reasonable efforts to promptly notify a Shareholder in writing upon becoming aware of any tax filing, reporting or withholding obligations (including, for the avoidance of doubt, any amounts withheld or paid with respect to the Shareholder) and the availability of any refunds or exemptions from withholding, in each case with respect to the Shareholder’s interest in the Company. In the event of any imposition by any governmental authority within the jurisdictions in which the Company makes its investments of any income tax liability on a Shareholder’s share of the Company’s income or of any tax liability arising out of a Shareholder’s interest in the Company, in each case, on a net income basis, the Company shall use commercially reasonable efforts to provide the Shareholder with sufficient information so as to permit the Shareholder to claim any deduction or credit with respect to such taxes and to complete all requisite tax forms, reports or filings. In addition, if requested in writing by a Shareholder, the Company shall use its commercially reasonable efforts to obtain on behalf of the Shareholder, or to assist the Shareholder in obtaining, any available tax refunds or exemptions from withholding tax arising out of the Shareholder’s interest in the Company. Any incremental out-of-pocket expenses incurred by any Company Entity, Portfolio Company or the Manager as a result of a request from a Shareholder pursuant to this Section 10.19(c)(iii) shall be reimbursed by such Shareholder.</w:t>
      </w:r>
    </w:p>
    <w:p>
      <w:pPr>
        <w:spacing w:after="0" w:line="193" w:lineRule="exact"/>
        <w:rPr>
          <w:rFonts w:ascii="Times New Roman" w:cs="Times New Roman" w:eastAsia="Times New Roman" w:hAnsi="Times New Roman"/>
          <w:sz w:val="22"/>
          <w:szCs w:val="22"/>
          <w:color w:val="auto"/>
        </w:rPr>
      </w:pPr>
    </w:p>
    <w:p>
      <w:pPr>
        <w:ind w:right="40" w:firstLine="1174"/>
        <w:spacing w:after="0" w:line="257" w:lineRule="auto"/>
        <w:tabs>
          <w:tab w:leader="none" w:pos="1634"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ManagementCo Shareholder is hereby designated as the Company’s “tax matters partner” under Section 6231(a)(7) of the Code (as in effect prior to amendment by the “Bipartisan Budget Act of 2015”) or any comparable law (the “</w:t>
      </w:r>
      <w:r>
        <w:rPr>
          <w:rFonts w:ascii="Times New Roman" w:cs="Times New Roman" w:eastAsia="Times New Roman" w:hAnsi="Times New Roman"/>
          <w:sz w:val="21"/>
          <w:szCs w:val="21"/>
          <w:b w:val="1"/>
          <w:bCs w:val="1"/>
          <w:color w:val="auto"/>
        </w:rPr>
        <w:t>Tax Matters Partner</w:t>
      </w:r>
      <w:r>
        <w:rPr>
          <w:rFonts w:ascii="Times New Roman" w:cs="Times New Roman" w:eastAsia="Times New Roman" w:hAnsi="Times New Roman"/>
          <w:sz w:val="21"/>
          <w:szCs w:val="21"/>
          <w:color w:val="auto"/>
        </w:rPr>
        <w:t>”), with all powers and responsibilities of a “tax matters partner” as defined in Section 6231(a)(7)(A) of the Code (as in effect prior to amendment by the “Bipartisan Budget Act of 2015”) or any comparable law and (ii) ManagementCo Shareholder (or such other Person designated by ManagementCo Shareholder) is hereby designated as the Company’s “partnership representative” within the meaning of Section 6223 of the Code or any comparable law (the “</w:t>
      </w:r>
      <w:r>
        <w:rPr>
          <w:rFonts w:ascii="Times New Roman" w:cs="Times New Roman" w:eastAsia="Times New Roman" w:hAnsi="Times New Roman"/>
          <w:sz w:val="21"/>
          <w:szCs w:val="21"/>
          <w:b w:val="1"/>
          <w:bCs w:val="1"/>
          <w:color w:val="auto"/>
        </w:rPr>
        <w:t>Partnership Representative</w:t>
      </w:r>
      <w:r>
        <w:rPr>
          <w:rFonts w:ascii="Times New Roman" w:cs="Times New Roman" w:eastAsia="Times New Roman" w:hAnsi="Times New Roman"/>
          <w:sz w:val="21"/>
          <w:szCs w:val="21"/>
          <w:color w:val="auto"/>
        </w:rPr>
        <w:t>”), and, in each case, is granted the corresponding designation under any similar provisions of state, local or non-U.S. law. ManagementCo Shareholder shall also be authorized to appoint, and shall appoint, a natural person to serve as the “designated individual”, within the meaning of Sections 6221 through 6242 of the Code together with any Regulations and guidance issued thereunder (the “</w:t>
      </w:r>
      <w:r>
        <w:rPr>
          <w:rFonts w:ascii="Times New Roman" w:cs="Times New Roman" w:eastAsia="Times New Roman" w:hAnsi="Times New Roman"/>
          <w:sz w:val="21"/>
          <w:szCs w:val="21"/>
          <w:b w:val="1"/>
          <w:bCs w:val="1"/>
          <w:color w:val="auto"/>
        </w:rPr>
        <w:t>Designated Individual</w:t>
      </w:r>
      <w:r>
        <w:rPr>
          <w:rFonts w:ascii="Times New Roman" w:cs="Times New Roman" w:eastAsia="Times New Roman" w:hAnsi="Times New Roman"/>
          <w:sz w:val="21"/>
          <w:szCs w:val="21"/>
          <w:color w:val="auto"/>
        </w:rPr>
        <w:t>”), to act on behalf of the Partnership Representative. The Tax Matters Partner or the Partnership Representative, as applicable, shall act in good faith in fulfilling its responsibilities. In the event that the Tax Matters Partner, the Partnership Representative or the relevant Company Entity is notified (in writing) by a taxing authority that the relevant Company Entity is the subject of an audit or examination by a taxing authority of any federal income, material foreign, state or local income, or material franchise tax return (a “</w:t>
      </w:r>
      <w:r>
        <w:rPr>
          <w:rFonts w:ascii="Times New Roman" w:cs="Times New Roman" w:eastAsia="Times New Roman" w:hAnsi="Times New Roman"/>
          <w:sz w:val="21"/>
          <w:szCs w:val="21"/>
          <w:b w:val="1"/>
          <w:bCs w:val="1"/>
          <w:color w:val="auto"/>
        </w:rPr>
        <w:t>Tax Contest</w:t>
      </w:r>
      <w:r>
        <w:rPr>
          <w:rFonts w:ascii="Times New Roman" w:cs="Times New Roman" w:eastAsia="Times New Roman" w:hAnsi="Times New Roman"/>
          <w:sz w:val="21"/>
          <w:szCs w:val="21"/>
          <w:color w:val="auto"/>
        </w:rPr>
        <w:t>”), the Tax Matters Partner or the Partnership Representative, as applicable, shall promptly provide to the Shareholders a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326" w:name="page327"/>
    <w:bookmarkEnd w:id="326"/>
    <w:p>
      <w:pPr>
        <w:spacing w:after="0" w:line="19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informing the Shareholders that the applicable Company Entity is the subject of a Tax Contest, shall keep the Shareholders reasonably informed of material developments relating to such audit or examination and shall permit the Comcast AG Shareholder to participate in the conduct and settlement of any proceeding with respect to any Tax Contest (it being understood that ManagementCo Shareholder shall retain control of the conduct and settlement of any such Tax Contest except to the extent of the consent right of Comcast AG Shareholder specified in the immediately succeeding sentence). The Tax Matters Partner or the Partnership Representative, as applicable, shall not agree to any settlement, resolution or closing or other agreement with respect to a Tax Contest involving any significant issue or item without the consent of Comcast AG Shareholder, which consent shall not be unreasonably withheld or delayed. Expenses of any administrative proceedings undertaken by the Tax Matters Partner or the Partnership Representative, as applicable, shall be Company Expenses other than incremental out-of-pocket expenses of Manager or any Company Entity relating to Comcast AG Shareholder’s exercise of its consent right hereunder, which expenses shall be reimbursed by Comcast AG Shareholder, and the expenses of Comcast AG Shareholder in exercising its participation rights hereunder, which shall be borne by Comcast AG Shareholder.</w:t>
      </w:r>
    </w:p>
    <w:p>
      <w:pPr>
        <w:spacing w:after="0" w:line="195" w:lineRule="exact"/>
        <w:rPr>
          <w:sz w:val="20"/>
          <w:szCs w:val="20"/>
          <w:color w:val="auto"/>
        </w:rPr>
      </w:pPr>
    </w:p>
    <w:p>
      <w:pPr>
        <w:ind w:firstLine="1174"/>
        <w:spacing w:after="0" w:line="246" w:lineRule="auto"/>
        <w:tabs>
          <w:tab w:leader="none" w:pos="1618"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shall not cause the Company, any Comcast Investment Vehicle and their Subsidiaries to engage, and the Manager shall not knowingly cause any other Company Entity to engage, directly or indirectly, in a transaction that, as of the date the Company Entity enters into a binding contract to engage in such transaction, is a “listed transaction” as defined in U.S. Treasury Regulation Section 1.6011-4(b)(2). The Manager will undertake reasonable due diligence to determine whether any transaction to be engaged in by any Company Entity is a “listed transaction” or a “prohibited reportable transaction” as defined in Section 4965(e)(1)(C) of the Code. If the Manager has knowledge that any Company Entity has engaged directly or indirectly in a transaction that is a “listed transaction” or a “prohibited reportable transaction”, it shall (i) promptly notify the Shareholders of such determination and (ii) provide each Shareholder with any requested information needed by such Shareholder to fulfill its reporting or disclosure obligations in respect of such transaction.</w:t>
      </w:r>
    </w:p>
    <w:p>
      <w:pPr>
        <w:spacing w:after="0" w:line="190" w:lineRule="exact"/>
        <w:rPr>
          <w:rFonts w:ascii="Times New Roman" w:cs="Times New Roman" w:eastAsia="Times New Roman" w:hAnsi="Times New Roman"/>
          <w:sz w:val="22"/>
          <w:szCs w:val="22"/>
          <w:color w:val="auto"/>
        </w:rPr>
      </w:pPr>
    </w:p>
    <w:p>
      <w:pPr>
        <w:ind w:right="100" w:firstLine="1174"/>
        <w:spacing w:after="0" w:line="271" w:lineRule="auto"/>
        <w:tabs>
          <w:tab w:leader="none" w:pos="1594"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may, in its reasonable discretion, take any steps that it deems necessary or advisable to cause the Company to comply with the tax laws of non-U.S. jurisdictions.</w:t>
      </w:r>
    </w:p>
    <w:p>
      <w:pPr>
        <w:spacing w:after="0" w:line="154" w:lineRule="exact"/>
        <w:rPr>
          <w:sz w:val="20"/>
          <w:szCs w:val="20"/>
          <w:color w:val="auto"/>
        </w:rPr>
      </w:pPr>
    </w:p>
    <w:p>
      <w:pPr>
        <w:ind w:right="800" w:firstLine="972"/>
        <w:spacing w:after="0" w:line="275"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i w:val="1"/>
          <w:iCs w:val="1"/>
          <w:color w:val="auto"/>
        </w:rPr>
        <w:t>Tax Year</w:t>
      </w:r>
      <w:r>
        <w:rPr>
          <w:rFonts w:ascii="Times New Roman" w:cs="Times New Roman" w:eastAsia="Times New Roman" w:hAnsi="Times New Roman"/>
          <w:sz w:val="22"/>
          <w:szCs w:val="22"/>
          <w:color w:val="auto"/>
        </w:rPr>
        <w:t>. The Company shall elect the calendar year as its taxable year (“</w:t>
      </w:r>
      <w:r>
        <w:rPr>
          <w:rFonts w:ascii="Times New Roman" w:cs="Times New Roman" w:eastAsia="Times New Roman" w:hAnsi="Times New Roman"/>
          <w:sz w:val="22"/>
          <w:szCs w:val="22"/>
          <w:b w:val="1"/>
          <w:bCs w:val="1"/>
          <w:color w:val="auto"/>
        </w:rPr>
        <w:t>Tax Year</w:t>
      </w:r>
      <w:r>
        <w:rPr>
          <w:rFonts w:ascii="Times New Roman" w:cs="Times New Roman" w:eastAsia="Times New Roman" w:hAnsi="Times New Roman"/>
          <w:sz w:val="22"/>
          <w:szCs w:val="22"/>
          <w:color w:val="auto"/>
        </w:rPr>
        <w:t>”), unless otherwise required by Applicable Law.</w:t>
      </w:r>
    </w:p>
    <w:p>
      <w:pPr>
        <w:spacing w:after="0" w:line="149" w:lineRule="exact"/>
        <w:rPr>
          <w:sz w:val="20"/>
          <w:szCs w:val="20"/>
          <w:color w:val="auto"/>
        </w:rPr>
      </w:pPr>
    </w:p>
    <w:p>
      <w:pPr>
        <w:ind w:right="80" w:firstLine="972"/>
        <w:spacing w:after="0" w:line="253"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i w:val="1"/>
          <w:iCs w:val="1"/>
          <w:color w:val="auto"/>
        </w:rPr>
        <w:t>Portfolio Company Debt.</w:t>
      </w:r>
      <w:r>
        <w:rPr>
          <w:rFonts w:ascii="Times New Roman" w:cs="Times New Roman" w:eastAsia="Times New Roman" w:hAnsi="Times New Roman"/>
          <w:sz w:val="22"/>
          <w:szCs w:val="22"/>
          <w:color w:val="auto"/>
        </w:rPr>
        <w:t xml:space="preserve"> The Company will not permit any controlled Portfolio Companies to incur, create, issue, assume or guarantee any Debt unless such Debt is Non-Recourse to Comcast, and the Company shall use commercially reasonable efforts in structuring any such Debt to minimize the amount of any income inclusion by a Shareholder relating to such Debt pursuant to Section 956 of the Code.</w:t>
      </w:r>
    </w:p>
    <w:p>
      <w:pPr>
        <w:spacing w:after="0" w:line="175" w:lineRule="exact"/>
        <w:rPr>
          <w:sz w:val="20"/>
          <w:szCs w:val="20"/>
          <w:color w:val="auto"/>
        </w:rPr>
      </w:pPr>
    </w:p>
    <w:p>
      <w:pPr>
        <w:jc w:val="both"/>
        <w:ind w:right="40" w:firstLine="972"/>
        <w:spacing w:after="0" w:line="299" w:lineRule="auto"/>
        <w:rPr>
          <w:sz w:val="20"/>
          <w:szCs w:val="20"/>
          <w:color w:val="auto"/>
        </w:rPr>
      </w:pPr>
      <w:r>
        <w:rPr>
          <w:rFonts w:ascii="Times New Roman" w:cs="Times New Roman" w:eastAsia="Times New Roman" w:hAnsi="Times New Roman"/>
          <w:sz w:val="21"/>
          <w:szCs w:val="21"/>
          <w:color w:val="auto"/>
        </w:rPr>
        <w:t xml:space="preserve">Section 10.22. </w:t>
      </w:r>
      <w:r>
        <w:rPr>
          <w:rFonts w:ascii="Times New Roman" w:cs="Times New Roman" w:eastAsia="Times New Roman" w:hAnsi="Times New Roman"/>
          <w:sz w:val="21"/>
          <w:szCs w:val="21"/>
          <w:i w:val="1"/>
          <w:iCs w:val="1"/>
          <w:color w:val="auto"/>
        </w:rPr>
        <w:t>Comcast Securities</w:t>
      </w:r>
      <w:r>
        <w:rPr>
          <w:rFonts w:ascii="Times New Roman" w:cs="Times New Roman" w:eastAsia="Times New Roman" w:hAnsi="Times New Roman"/>
          <w:sz w:val="21"/>
          <w:szCs w:val="21"/>
          <w:color w:val="auto"/>
        </w:rPr>
        <w:t>. The Company agrees that it will not acquire, directly or through any Alternative Investment Vehicle or controlled Portfolio Company, any equity securities or equity-related securities (including preferred equity,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327" w:name="page328"/>
    <w:bookmarkEnd w:id="327"/>
    <w:p>
      <w:pPr>
        <w:ind w:right="440"/>
        <w:spacing w:after="0" w:line="271" w:lineRule="auto"/>
        <w:rPr>
          <w:sz w:val="20"/>
          <w:szCs w:val="20"/>
          <w:color w:val="auto"/>
        </w:rPr>
      </w:pPr>
      <w:r>
        <w:rPr>
          <w:rFonts w:ascii="Times New Roman" w:cs="Times New Roman" w:eastAsia="Times New Roman" w:hAnsi="Times New Roman"/>
          <w:sz w:val="22"/>
          <w:szCs w:val="22"/>
          <w:color w:val="auto"/>
        </w:rPr>
        <w:t>convertible debt or similar securities) or debt securities issued by Comcast or any of its Affiliates or Comcast Permitted Spin Transferee or any of its Affiliates.</w:t>
      </w:r>
    </w:p>
    <w:p>
      <w:pPr>
        <w:spacing w:after="0" w:line="1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11</w:t>
      </w:r>
    </w:p>
    <w:p>
      <w:pPr>
        <w:spacing w:after="0" w:line="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Winding-Up and Dissolution of the Company</w:t>
      </w:r>
    </w:p>
    <w:p>
      <w:pPr>
        <w:spacing w:after="0" w:line="243"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i w:val="1"/>
          <w:iCs w:val="1"/>
          <w:color w:val="auto"/>
        </w:rPr>
        <w:t>Winding-Up of the Company.</w:t>
      </w:r>
    </w:p>
    <w:p>
      <w:pPr>
        <w:spacing w:after="0" w:line="224" w:lineRule="exact"/>
        <w:rPr>
          <w:sz w:val="20"/>
          <w:szCs w:val="20"/>
          <w:color w:val="auto"/>
        </w:rPr>
      </w:pPr>
    </w:p>
    <w:p>
      <w:pPr>
        <w:ind w:left="1640" w:hanging="466"/>
        <w:spacing w:after="0"/>
        <w:tabs>
          <w:tab w:leader="none" w:pos="164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the Company’s affairs shall be wound up upon the earliest of:</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unanimous agreement of the Shareholders;</w:t>
      </w:r>
    </w:p>
    <w:p>
      <w:pPr>
        <w:spacing w:after="0" w:line="219" w:lineRule="exact"/>
        <w:rPr>
          <w:rFonts w:ascii="Times New Roman" w:cs="Times New Roman" w:eastAsia="Times New Roman" w:hAnsi="Times New Roman"/>
          <w:sz w:val="22"/>
          <w:szCs w:val="22"/>
          <w:color w:val="auto"/>
        </w:rPr>
      </w:pPr>
    </w:p>
    <w:p>
      <w:pPr>
        <w:ind w:right="240" w:firstLine="1952"/>
        <w:spacing w:after="0" w:line="257" w:lineRule="auto"/>
        <w:tabs>
          <w:tab w:leader="none" w:pos="2424"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by Comcast AG Shareholder or ManagementCo Shareholder, with effect only after the termination of the Commitment Period (taking into account any extension or early termination thereof in accordance with the terms of this Agreement);</w:t>
      </w:r>
    </w:p>
    <w:p>
      <w:pPr>
        <w:spacing w:after="0" w:line="172" w:lineRule="exact"/>
        <w:rPr>
          <w:rFonts w:ascii="Times New Roman" w:cs="Times New Roman" w:eastAsia="Times New Roman" w:hAnsi="Times New Roman"/>
          <w:sz w:val="22"/>
          <w:szCs w:val="22"/>
          <w:color w:val="auto"/>
        </w:rPr>
      </w:pPr>
    </w:p>
    <w:p>
      <w:pPr>
        <w:ind w:firstLine="1952"/>
        <w:spacing w:after="0" w:line="250" w:lineRule="auto"/>
        <w:tabs>
          <w:tab w:leader="none" w:pos="2484"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Comcast AG Shareholder’s election, the third anniversary of the occurrence of an Initial CEO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at any time during such three year period, neither Alexander D. Evans nor David L. Caplan is serving in a senior management role with respect to the Company with responsibilities at least comparable to their responsibilities on the Commencement Date, the Comcast AG Shareholder may elect to require that the Company be wound up commencing at such time as neither of such individuals is serving in such capacity); and</w:t>
      </w:r>
    </w:p>
    <w:p>
      <w:pPr>
        <w:spacing w:after="0" w:line="180"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Comcast AG Shareholder’s election, the occurrence of a Cause Event (each of clauses (i) through</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(iv), a “</w:t>
      </w:r>
      <w:r>
        <w:rPr>
          <w:rFonts w:ascii="Times New Roman" w:cs="Times New Roman" w:eastAsia="Times New Roman" w:hAnsi="Times New Roman"/>
          <w:sz w:val="22"/>
          <w:szCs w:val="22"/>
          <w:b w:val="1"/>
          <w:bCs w:val="1"/>
          <w:color w:val="auto"/>
        </w:rPr>
        <w:t>Wind-Up Event</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1"/>
          <w:szCs w:val="21"/>
          <w:color w:val="auto"/>
        </w:rPr>
      </w:pPr>
    </w:p>
    <w:p>
      <w:pPr>
        <w:ind w:right="100" w:firstLine="1174"/>
        <w:spacing w:after="0" w:line="246" w:lineRule="auto"/>
        <w:tabs>
          <w:tab w:leader="none" w:pos="1634"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Article 9, upon the occurrence of a Wind-Up Event, the Manager shall be the liquidator to wind-up the affairs of the Company and shall conduct an orderly disposition of the assets of the Company, including Portfolio Company Securities (collectively, “</w:t>
      </w:r>
      <w:r>
        <w:rPr>
          <w:rFonts w:ascii="Times New Roman" w:cs="Times New Roman" w:eastAsia="Times New Roman" w:hAnsi="Times New Roman"/>
          <w:sz w:val="22"/>
          <w:szCs w:val="22"/>
          <w:b w:val="1"/>
          <w:bCs w:val="1"/>
          <w:color w:val="auto"/>
        </w:rPr>
        <w:t>Company Assets</w:t>
      </w:r>
      <w:r>
        <w:rPr>
          <w:rFonts w:ascii="Times New Roman" w:cs="Times New Roman" w:eastAsia="Times New Roman" w:hAnsi="Times New Roman"/>
          <w:sz w:val="22"/>
          <w:szCs w:val="22"/>
          <w:color w:val="auto"/>
        </w:rPr>
        <w:t>”), in a manner consistent with the best interests of the Company, taking into account market conditions and legal and contractual considerations. The Manager shall determine in its reasonable discretion which Company Assets shall be sold and which Company Assets shall be retained for distribution in kind to the Shareholders. The Manager shall consider in good faith tax efficient structuring among other relevant factors in connection with the disposition or distribution of Company Assets pursuant to this Section 11.01(b). Subject to Applicable Law, after all liabilities of the Company have been satisfied or duly provided for, the remaining Company Assets shall be distributed to the Shareholders in accordance with Article 8 and this Article 11.</w:t>
      </w:r>
    </w:p>
    <w:p>
      <w:pPr>
        <w:spacing w:after="0" w:line="190" w:lineRule="exact"/>
        <w:rPr>
          <w:rFonts w:ascii="Times New Roman" w:cs="Times New Roman" w:eastAsia="Times New Roman" w:hAnsi="Times New Roman"/>
          <w:sz w:val="22"/>
          <w:szCs w:val="22"/>
          <w:color w:val="auto"/>
        </w:rPr>
      </w:pPr>
    </w:p>
    <w:p>
      <w:pPr>
        <w:ind w:right="480" w:firstLine="1174"/>
        <w:spacing w:after="0" w:line="271" w:lineRule="auto"/>
        <w:tabs>
          <w:tab w:leader="none" w:pos="1622"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liquidator, and subject to Applicable Law, a portion of the distributions that would otherwise be made to the Shareholders pursuant to this Section 11.01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20"/>
          </w:cols>
          <w:pgMar w:left="320" w:top="1422" w:right="359" w:bottom="1440" w:gutter="0" w:footer="0" w:header="0"/>
        </w:sectPr>
      </w:pPr>
    </w:p>
    <w:bookmarkStart w:id="328" w:name="page329"/>
    <w:bookmarkEnd w:id="328"/>
    <w:p>
      <w:pPr>
        <w:ind w:right="20" w:firstLine="1952"/>
        <w:spacing w:after="0" w:line="257" w:lineRule="auto"/>
        <w:tabs>
          <w:tab w:leader="none" w:pos="2364"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distributed to a trust established for the benefit of the Shareholders for purposes of liquidating Shareholder assets, collecting amounts owed to the Shareholders, and paying any liabilities or obligations of the Company arising out of, or in connection with, this Agreement or the Company’s affairs; or</w:t>
      </w:r>
    </w:p>
    <w:p>
      <w:pPr>
        <w:spacing w:after="0" w:line="172" w:lineRule="exact"/>
        <w:rPr>
          <w:rFonts w:ascii="Times New Roman" w:cs="Times New Roman" w:eastAsia="Times New Roman" w:hAnsi="Times New Roman"/>
          <w:sz w:val="22"/>
          <w:szCs w:val="22"/>
          <w:color w:val="auto"/>
        </w:rPr>
      </w:pPr>
    </w:p>
    <w:p>
      <w:pPr>
        <w:ind w:right="40" w:firstLine="1952"/>
        <w:spacing w:after="0" w:line="275" w:lineRule="auto"/>
        <w:tabs>
          <w:tab w:leader="none" w:pos="2424"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withheld, with respect to any Shareholder, to provide a reserve for the payment of such Shareholder’s share of future Company Expenses;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withheld amounts shall be distributed to the Shareholders as soon as the liquidator determines, in its reasonable discretion, that it is no longer necessary to retain such amounts.</w:t>
      </w:r>
    </w:p>
    <w:p>
      <w:pPr>
        <w:spacing w:after="0" w:line="15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The assets of any trust established in connection with clause (i) above shall be distributed to the Shareholders from time to time, in the discretion of the liquidator, in the same proportions as the amount distributed to such trust by the Company would otherwise have been distributed to the Shareholder pursuant to this Agreement.</w:t>
      </w:r>
    </w:p>
    <w:p>
      <w:pPr>
        <w:spacing w:after="0" w:line="173" w:lineRule="exact"/>
        <w:rPr>
          <w:sz w:val="20"/>
          <w:szCs w:val="20"/>
          <w:color w:val="auto"/>
        </w:rPr>
      </w:pPr>
    </w:p>
    <w:p>
      <w:pPr>
        <w:ind w:right="40" w:firstLine="1174"/>
        <w:spacing w:after="0" w:line="257" w:lineRule="auto"/>
        <w:tabs>
          <w:tab w:leader="none" w:pos="1634"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Shareholder shall look solely to the assets of the Company for the return of such Shareholder’s aggregate Capital Contributions, and no Shareholder shall have priority over any other Shareholder as to the return of such Capital Contributions.</w:t>
      </w:r>
    </w:p>
    <w:p>
      <w:pPr>
        <w:spacing w:after="0" w:line="172" w:lineRule="exact"/>
        <w:rPr>
          <w:rFonts w:ascii="Times New Roman" w:cs="Times New Roman" w:eastAsia="Times New Roman" w:hAnsi="Times New Roman"/>
          <w:sz w:val="22"/>
          <w:szCs w:val="22"/>
          <w:color w:val="auto"/>
        </w:rPr>
      </w:pPr>
    </w:p>
    <w:p>
      <w:pPr>
        <w:ind w:right="120" w:firstLine="1174"/>
        <w:spacing w:after="0" w:line="257" w:lineRule="auto"/>
        <w:tabs>
          <w:tab w:leader="none" w:pos="161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liquidator has distributed the assets of the Company in accordance with this Section 11.01, the liquidator shall do all such acts required to wind up the Company in accordance with the Companies Law (2013 Revision) of the Cayman Islands.</w:t>
      </w:r>
    </w:p>
    <w:p>
      <w:pPr>
        <w:spacing w:after="0" w:line="16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11.02.</w:t>
      </w:r>
      <w:r>
        <w:rPr>
          <w:sz w:val="20"/>
          <w:szCs w:val="20"/>
          <w:color w:val="auto"/>
        </w:rPr>
        <w:tab/>
      </w:r>
      <w:r>
        <w:rPr>
          <w:rFonts w:ascii="Times New Roman" w:cs="Times New Roman" w:eastAsia="Times New Roman" w:hAnsi="Times New Roman"/>
          <w:sz w:val="21"/>
          <w:szCs w:val="21"/>
          <w:i w:val="1"/>
          <w:iCs w:val="1"/>
          <w:color w:val="auto"/>
        </w:rPr>
        <w:t>Clawback.</w:t>
      </w:r>
    </w:p>
    <w:p>
      <w:pPr>
        <w:spacing w:after="0" w:line="224" w:lineRule="exact"/>
        <w:rPr>
          <w:sz w:val="20"/>
          <w:szCs w:val="20"/>
          <w:color w:val="auto"/>
        </w:rPr>
      </w:pPr>
    </w:p>
    <w:p>
      <w:pPr>
        <w:ind w:right="80" w:firstLine="1174"/>
        <w:spacing w:after="0" w:line="248" w:lineRule="auto"/>
        <w:tabs>
          <w:tab w:leader="none" w:pos="1622"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ManagementCo Shareholder acknowledges and agrees that the aggregate amount of Class II Distributions that it is entitled to receive in its capacity as the Class II Shareholder (the “</w:t>
      </w:r>
      <w:r>
        <w:rPr>
          <w:rFonts w:ascii="Times New Roman" w:cs="Times New Roman" w:eastAsia="Times New Roman" w:hAnsi="Times New Roman"/>
          <w:sz w:val="22"/>
          <w:szCs w:val="22"/>
          <w:b w:val="1"/>
          <w:bCs w:val="1"/>
          <w:color w:val="auto"/>
        </w:rPr>
        <w:t>Class II Maximum Amount</w:t>
      </w:r>
      <w:r>
        <w:rPr>
          <w:rFonts w:ascii="Times New Roman" w:cs="Times New Roman" w:eastAsia="Times New Roman" w:hAnsi="Times New Roman"/>
          <w:sz w:val="22"/>
          <w:szCs w:val="22"/>
          <w:color w:val="auto"/>
        </w:rPr>
        <w:t>”) shall not exceed the lesser of 12.5% of the excess, if any, of the aggregate amount of distributions pursuant to Sections 8.02 and 11.01 over (B) the aggregate amount of Capital Contributions made by all Shareholders; and (ii) the excess, if any, of (A) the aggregate amount of distributions pursuant to Sections 8.02 and 11.01 over (B) the amount necessary to be distributed to the Class I Shareholders pursuant to Sections 8.02 and 11.01 such that each Class I Shareholder shall have received a Priority Return in respect of each Capital Contribution made by such Shareholder.</w:t>
      </w:r>
    </w:p>
    <w:p>
      <w:pPr>
        <w:spacing w:after="0" w:line="177" w:lineRule="exact"/>
        <w:rPr>
          <w:rFonts w:ascii="Times New Roman" w:cs="Times New Roman" w:eastAsia="Times New Roman" w:hAnsi="Times New Roman"/>
          <w:sz w:val="22"/>
          <w:szCs w:val="22"/>
          <w:color w:val="auto"/>
        </w:rPr>
      </w:pPr>
    </w:p>
    <w:p>
      <w:pPr>
        <w:ind w:firstLine="1174"/>
        <w:spacing w:after="0" w:line="247" w:lineRule="auto"/>
        <w:tabs>
          <w:tab w:leader="none" w:pos="1634"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Wind-Up Event (the date of the occurrence of a Wind-Up Event,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Clawback Date</w:t>
      </w:r>
      <w:r>
        <w:rPr>
          <w:rFonts w:ascii="Times New Roman" w:cs="Times New Roman" w:eastAsia="Times New Roman" w:hAnsi="Times New Roman"/>
          <w:sz w:val="22"/>
          <w:szCs w:val="22"/>
          <w:color w:val="auto"/>
        </w:rPr>
        <w:t>”), the Manager shall calculate the Class II Maximum Amount and determine the amount, if any, the Class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would be required to return pursuant to Section 11.02(c), in each case based upon a hypothetical liquidation of the Company as if all of the Company Assets were sold at the Quarterly Value thereof and the net assets of the Company were distributed as of such Interim Clawback Date in accordance with Section 11.01 after giving effect to such hypothetical liquidation (the “</w:t>
      </w:r>
      <w:r>
        <w:rPr>
          <w:rFonts w:ascii="Times New Roman" w:cs="Times New Roman" w:eastAsia="Times New Roman" w:hAnsi="Times New Roman"/>
          <w:sz w:val="22"/>
          <w:szCs w:val="22"/>
          <w:b w:val="1"/>
          <w:bCs w:val="1"/>
          <w:color w:val="auto"/>
        </w:rPr>
        <w:t>Interim Clawback Amount</w:t>
      </w:r>
      <w:r>
        <w:rPr>
          <w:rFonts w:ascii="Times New Roman" w:cs="Times New Roman" w:eastAsia="Times New Roman" w:hAnsi="Times New Roman"/>
          <w:sz w:val="22"/>
          <w:szCs w:val="22"/>
          <w:color w:val="auto"/>
        </w:rPr>
        <w:t>”). If there is an Interim Clawback Amount, the Class II Shareholder shall repay to the Company, for distribution (subject to Applicable Law) to the Class I Shareholders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Section 8.02 or Section 11.01), an amount of cash equal to the Interim Clawback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Class II Shareholder be obligated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329" w:name="page330"/>
    <w:bookmarkEnd w:id="329"/>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To the extent that there have been any distributions in kind of Marketable Securities or other non-cash Company Assets to the Class II Shareholder, the amount of the deemed income tax liability associated with such distributions shall be the value of such distributed Marketable Securities and Company Assets (as determined for purposes of making the applicable distribution under Section 8.02 or Section 11.01) multiplied by the applicable Tax Rate. Any amount that the Class II Shareholder pays to the Company pursuant to this Section 11.02(b) shall not be treated as a Capital Contribution. The amount of any distribution to a Class I Shareholder pursuant to this Section 11.02(b) shall, for purposes of applying Section 8.02 and Section</w:t>
      </w:r>
    </w:p>
    <w:p>
      <w:pPr>
        <w:spacing w:after="0" w:line="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1"/>
          <w:szCs w:val="21"/>
          <w:color w:val="auto"/>
        </w:rPr>
        <w:t>11.01, be treated as having been made pursuant to Section 8.02 or Section 11.01 and shall be taken into account in determining the amounts that are distributable thereafter to such Class I Shareholder pursuant to Section 8.02 and Section 11.01.</w:t>
      </w:r>
    </w:p>
    <w:p>
      <w:pPr>
        <w:spacing w:after="0" w:line="160" w:lineRule="exact"/>
        <w:rPr>
          <w:sz w:val="20"/>
          <w:szCs w:val="20"/>
          <w:color w:val="auto"/>
        </w:rPr>
      </w:pPr>
    </w:p>
    <w:p>
      <w:pPr>
        <w:ind w:right="20" w:firstLine="1174"/>
        <w:spacing w:after="0" w:line="245" w:lineRule="auto"/>
        <w:tabs>
          <w:tab w:leader="none" w:pos="1622"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(i) any payments pursuant to Section 11.02(b) and (ii) the final allocations and distributions pursuant to Section 11.01, the Class II Shareholder shall have received aggregate Class II Distributions in excess of the Class II Maximum Amount, the Class II Shareholder shall repay to the Company, for distribution (subject to Applicable Law) to the Class I Shareholders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Section 8.02 or Section 11.01) an amount of cash equal to the excess of the aggregate Class II Distributions over the Class II Maximum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Any amount that the Class II Shareholder pays to the Company pursuant to this Section 11.02(c) shall not be treated as a Capital Contribution. The amount of any distribution to a Class I Shareholder pursuant to this Section 11.02(c) shall, for purposes of applying Section 8.02 and Section 11.01, be treated as having been made pursuant to Section 8.02 or Section 11.01 and shall be taken into account in determining the amounts that are distributable thereafter to such Class I Shareholder pursuant to Section 8.02 and Section 11.01.</w:t>
      </w:r>
    </w:p>
    <w:p>
      <w:pPr>
        <w:spacing w:after="0" w:line="189" w:lineRule="exact"/>
        <w:rPr>
          <w:rFonts w:ascii="Times New Roman" w:cs="Times New Roman" w:eastAsia="Times New Roman" w:hAnsi="Times New Roman"/>
          <w:sz w:val="22"/>
          <w:szCs w:val="22"/>
          <w:color w:val="auto"/>
        </w:rPr>
      </w:pPr>
    </w:p>
    <w:p>
      <w:pPr>
        <w:ind w:right="240" w:firstLine="1174"/>
        <w:spacing w:after="0" w:line="252" w:lineRule="auto"/>
        <w:tabs>
          <w:tab w:leader="none" w:pos="1634"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Class II Shareholder is obligated under Section 11.02(b) or Section 11.02(c) to return to the Company a portion of the Class II Distributions received from the Company, to the extent the Class II Shareholder has insufficient funds to meet such obligations, each limited partner or former limited partner of the Class II Shareholder shall be severally obligated to return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such amounts (based on the amounts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20"/>
          </w:cols>
          <w:pgMar w:left="320" w:top="1440" w:right="359" w:bottom="1440" w:gutter="0" w:footer="0" w:header="0"/>
        </w:sectPr>
      </w:pPr>
    </w:p>
    <w:bookmarkStart w:id="330" w:name="page331"/>
    <w:bookmarkEnd w:id="330"/>
    <w:p>
      <w:pPr>
        <w:spacing w:after="0" w:line="19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 xml:space="preserve">or for the account of such limited partner relating to Class II Distributions). Each limited partner of the Class II Shareholder shall execute and deliver a guarantee, for the benefit of the Company and the Shareholders, of the performance of his or her obligation to return up to his or her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any amount required to be returned by the Class II Shareholder to the Company pursuant to Section 11.02(b) or (c).</w:t>
      </w:r>
    </w:p>
    <w:p>
      <w:pPr>
        <w:spacing w:after="0" w:line="1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12</w:t>
      </w:r>
    </w:p>
    <w:p>
      <w:pPr>
        <w:spacing w:after="0" w:line="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Miscellaneous</w:t>
      </w:r>
    </w:p>
    <w:p>
      <w:pPr>
        <w:spacing w:after="0" w:line="243"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12.01.</w:t>
      </w:r>
      <w:r>
        <w:rPr>
          <w:sz w:val="20"/>
          <w:szCs w:val="20"/>
          <w:color w:val="auto"/>
        </w:rPr>
        <w:tab/>
      </w:r>
      <w:r>
        <w:rPr>
          <w:rFonts w:ascii="Times New Roman" w:cs="Times New Roman" w:eastAsia="Times New Roman" w:hAnsi="Times New Roman"/>
          <w:sz w:val="21"/>
          <w:szCs w:val="21"/>
          <w:i w:val="1"/>
          <w:iCs w:val="1"/>
          <w:color w:val="auto"/>
        </w:rPr>
        <w:t>Binding Effect; Assignability; Benefit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160" w:firstLine="1174"/>
        <w:spacing w:after="0" w:line="271" w:lineRule="auto"/>
        <w:tabs>
          <w:tab w:leader="none" w:pos="1618"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parties hereto and their respective heirs, successors, legal representatives and permitted assigns.</w:t>
      </w:r>
    </w:p>
    <w:p>
      <w:pPr>
        <w:spacing w:after="0" w:line="157" w:lineRule="exact"/>
        <w:rPr>
          <w:rFonts w:ascii="Times New Roman" w:cs="Times New Roman" w:eastAsia="Times New Roman" w:hAnsi="Times New Roman"/>
          <w:sz w:val="22"/>
          <w:szCs w:val="22"/>
          <w:color w:val="auto"/>
        </w:rPr>
      </w:pPr>
    </w:p>
    <w:p>
      <w:pPr>
        <w:ind w:right="80" w:firstLine="1174"/>
        <w:spacing w:after="0" w:line="266" w:lineRule="auto"/>
        <w:tabs>
          <w:tab w:leader="none" w:pos="1634" w:val="left"/>
        </w:tabs>
        <w:numPr>
          <w:ilvl w:val="1"/>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this Agreement nor any right or obligation arising hereunder or by reason hereof shall be assignable, delegable or otherwise transferable by any party hereto pursuant to any Transfer of Company Securities or otherwise, except that</w:t>
      </w:r>
    </w:p>
    <w:p>
      <w:pPr>
        <w:spacing w:after="0" w:line="1" w:lineRule="exact"/>
        <w:rPr>
          <w:rFonts w:ascii="Times New Roman" w:cs="Times New Roman" w:eastAsia="Times New Roman" w:hAnsi="Times New Roman"/>
          <w:sz w:val="21"/>
          <w:szCs w:val="21"/>
          <w:color w:val="auto"/>
        </w:rPr>
      </w:pPr>
    </w:p>
    <w:p>
      <w:pPr>
        <w:ind w:right="200" w:firstLine="8"/>
        <w:spacing w:after="0" w:line="263" w:lineRule="auto"/>
        <w:tabs>
          <w:tab w:leader="none" w:pos="258"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Comcast Shareholder may assign its rights or obligations arising hereunder to the extent contemplated by Section 5.03 and Section 10.08 and (ii) ManagementCo Shareholder may assign its rights or obligations hereunder to the extent contemplated by Section 5.03;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assignment shall relieve ManagementCo Shareholder of any of its obligations hereunder.</w:t>
      </w:r>
    </w:p>
    <w:p>
      <w:pPr>
        <w:spacing w:after="0" w:line="167" w:lineRule="exact"/>
        <w:rPr>
          <w:rFonts w:ascii="Times New Roman" w:cs="Times New Roman" w:eastAsia="Times New Roman" w:hAnsi="Times New Roman"/>
          <w:sz w:val="21"/>
          <w:szCs w:val="21"/>
          <w:color w:val="auto"/>
        </w:rPr>
      </w:pPr>
    </w:p>
    <w:p>
      <w:pPr>
        <w:jc w:val="both"/>
        <w:ind w:firstLine="1174"/>
        <w:spacing w:after="0" w:line="257" w:lineRule="auto"/>
        <w:tabs>
          <w:tab w:leader="none" w:pos="1622"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10.06(e), nothing in this Agreement, expressed or implied, is intended to confer on any Person other than the parties hereto, and their respective heirs, successors, legal representatives and permitted assigns, any rights or obligations under or by reason of this Agreement.</w:t>
      </w:r>
    </w:p>
    <w:p>
      <w:pPr>
        <w:spacing w:after="0" w:line="169" w:lineRule="exact"/>
        <w:rPr>
          <w:sz w:val="20"/>
          <w:szCs w:val="20"/>
          <w:color w:val="auto"/>
        </w:rPr>
      </w:pPr>
    </w:p>
    <w:p>
      <w:pPr>
        <w:ind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All notices, requests and other communications to any party shall be in writing and shall be delivered in person, by reputable overnight courier service, mailed by certified or registered mail, return receipt requested, or sent by electronic mail:</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Atairos Group,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40 Morris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Bryn Mawr, PA 19010</w:t>
      </w:r>
    </w:p>
    <w:p>
      <w:pPr>
        <w:spacing w:after="0" w:line="4"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Michael J. Angelakis</w:t>
      </w:r>
    </w:p>
    <w:p>
      <w:pPr>
        <w:spacing w:after="0" w:line="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m.angelakis@atairos.com</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Atairos Group,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620 Fifth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4"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David L. Caplan</w:t>
      </w:r>
    </w:p>
    <w:p>
      <w:pPr>
        <w:spacing w:after="0" w:line="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d.caplan@atairos.com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20"/>
          </w:cols>
          <w:pgMar w:left="320" w:top="1440" w:right="359" w:bottom="1440" w:gutter="0" w:footer="0" w:header="0"/>
        </w:sectPr>
      </w:pPr>
    </w:p>
    <w:bookmarkStart w:id="331" w:name="page332"/>
    <w:bookmarkEnd w:id="331"/>
    <w:p>
      <w:pPr>
        <w:ind w:right="3379"/>
        <w:spacing w:after="0" w:line="448" w:lineRule="auto"/>
        <w:rPr>
          <w:sz w:val="20"/>
          <w:szCs w:val="20"/>
          <w:color w:val="auto"/>
        </w:rPr>
      </w:pPr>
      <w:r>
        <w:rPr>
          <w:rFonts w:ascii="Times New Roman" w:cs="Times New Roman" w:eastAsia="Times New Roman" w:hAnsi="Times New Roman"/>
          <w:sz w:val="22"/>
          <w:szCs w:val="22"/>
          <w:color w:val="auto"/>
        </w:rPr>
        <w:t>with copies to Comcast and the Manager at the addresses listed below; if to Comcast Shareholder, to:</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Comcast AG Holdings, LLC</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 Comcast Corporation</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Thomas J. Reid</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tom_reid@comcast.com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Comcast Spectacor Ventures, LLC</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 Comcast Corporation</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Thomas J. Reid</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tom_reid@comcast.com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450 Lexington Avenue</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New York, New York 10017</w:t>
      </w:r>
    </w:p>
    <w:p>
      <w:pPr>
        <w:spacing w:after="0" w:line="4"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Lee Hochbaum</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lee.hochbaum@davispolk.com</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William H. Aaronson</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william.aaronson@davispolk.com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ManagementCo Shareholder,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Atairos Partners, 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40 Morris Avenue</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Bryn Mawr, PA 19010</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Michael J. Angelakis</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m.angelakis@atairos.com</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Atairos Partners, 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620 Fifth Avenue</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David L. Caplan</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d.caplan@atairos.com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9479"/>
          </w:cols>
          <w:pgMar w:left="980" w:top="1422"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Ropes &amp; Gray LLP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Prudential Tower</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800 Boylston Street</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Boston, Massachusetts 02199-3600</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John B. Ayer</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john.ayer@ropesgray.com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Manager,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Atairos Management, 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40 Morris Avenue</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Bryn Mawr, PA 19010</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Michael J. Angelakis</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m.angelakis@atairos.com</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Atairos Management, 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620 Fifth Avenue</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David L. Caplan</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d.caplan@atairos.com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Ropes &amp; Gray LLP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Prudential Tower</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800 Boylston Street</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Boston, Massachusetts 02199-3600</w:t>
      </w:r>
    </w:p>
    <w:p>
      <w:pPr>
        <w:spacing w:after="0" w:line="4"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John B. Ayer</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john.ayer@ropesgray.com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Comcast,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Thomas J. Reid</w:t>
      </w:r>
    </w:p>
    <w:p>
      <w:pPr>
        <w:spacing w:after="0" w:line="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tom_reid@comcast.com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450 Lexington Avenue</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New York, New York 10017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9479"/>
          </w:cols>
          <w:pgMar w:left="980" w:top="1422" w:right="1440" w:bottom="1440" w:gutter="0" w:footer="0" w:header="0"/>
        </w:sectPr>
      </w:pPr>
    </w:p>
    <w:bookmarkStart w:id="333" w:name="page334"/>
    <w:bookmarkEnd w:id="333"/>
    <w:p>
      <w:pPr>
        <w:ind w:left="1300"/>
        <w:spacing w:after="0"/>
        <w:rPr>
          <w:sz w:val="20"/>
          <w:szCs w:val="20"/>
          <w:color w:val="auto"/>
        </w:rPr>
      </w:pPr>
      <w:r>
        <w:rPr>
          <w:rFonts w:ascii="Times New Roman" w:cs="Times New Roman" w:eastAsia="Times New Roman" w:hAnsi="Times New Roman"/>
          <w:sz w:val="21"/>
          <w:szCs w:val="21"/>
          <w:color w:val="auto"/>
        </w:rPr>
        <w:t>Attention:</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Attention:</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22"/>
          <w:szCs w:val="22"/>
          <w:color w:val="auto"/>
        </w:rPr>
        <w:t>Lee Hochbaum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lee.hochbaum@davispolk.com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H. Aaronson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william.aaronson@davispolk.com</w:t>
      </w:r>
    </w:p>
    <w:p>
      <w:pPr>
        <w:spacing w:after="0" w:line="207" w:lineRule="exact"/>
        <w:rPr>
          <w:sz w:val="20"/>
          <w:szCs w:val="20"/>
          <w:color w:val="auto"/>
        </w:rPr>
      </w:pPr>
    </w:p>
    <w:p>
      <w:pPr>
        <w:sectPr>
          <w:pgSz w:w="11900" w:h="16838" w:orient="portrait"/>
          <w:cols w:equalWidth="0" w:num="2">
            <w:col w:w="2180" w:space="420"/>
            <w:col w:w="8640"/>
          </w:cols>
          <w:pgMar w:left="320" w:top="1422" w:right="339" w:bottom="1440" w:gutter="0" w:footer="0" w:header="0"/>
        </w:sect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or such other address or electronic mail address as such party may hereafter specify for the purpose by notice to the other parties hereto.</w:t>
      </w:r>
    </w:p>
    <w:p>
      <w:pPr>
        <w:spacing w:after="0" w:line="15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All notices, requests and other communications shall be deemed received on the date of receipt by the recipient thereof if received (evidenced, in the case of electronic mail, by electronic confirmation of receipt) prior to 5:00 p.m. in the place of receipt and such day is a Business Day in the place of receipt. Otherwise, any such notice, request or communication shall be deemed not to have been received until the next succeeding Business Day in the place of receipt. Any notice, request or other written communication sent by electronic mail transmission shall be confirmed by certified or registered mail, return receipt requested, posted within one Business Day, or by personal delivery, whether courier or otherwise, made within two Business Days after the date of such electronic mail transmissions.</w:t>
      </w:r>
    </w:p>
    <w:p>
      <w:pPr>
        <w:spacing w:after="0" w:line="178"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12.03.</w:t>
      </w:r>
      <w:r>
        <w:rPr>
          <w:sz w:val="20"/>
          <w:szCs w:val="20"/>
          <w:color w:val="auto"/>
        </w:rPr>
        <w:tab/>
      </w:r>
      <w:r>
        <w:rPr>
          <w:rFonts w:ascii="Times New Roman" w:cs="Times New Roman" w:eastAsia="Times New Roman" w:hAnsi="Times New Roman"/>
          <w:sz w:val="21"/>
          <w:szCs w:val="21"/>
          <w:i w:val="1"/>
          <w:iCs w:val="1"/>
          <w:color w:val="auto"/>
        </w:rPr>
        <w:t>Amendment; Waiver; Consent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0" w:firstLine="1174"/>
        <w:spacing w:after="0" w:line="248" w:lineRule="auto"/>
        <w:tabs>
          <w:tab w:leader="none" w:pos="161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notwithstanding the foregoing or anything to the contrary in this Agreement, unless otherwise specifically contemplated with respect to a particular provision, the written, signed consent of Comcast AG Shareholder to amend, waive or consent to any provision of this Agreement (including those set forth in Article 4, Section 6.01(c) and Section 10.17) shall be sufficient to constitute the consent on behalf of Comcast Shareholder (including on behalf of Comcast Spectacor Shareholder).</w:t>
      </w:r>
    </w:p>
    <w:p>
      <w:pPr>
        <w:spacing w:after="0" w:line="181" w:lineRule="exact"/>
        <w:rPr>
          <w:rFonts w:ascii="Times New Roman" w:cs="Times New Roman" w:eastAsia="Times New Roman" w:hAnsi="Times New Roman"/>
          <w:sz w:val="22"/>
          <w:szCs w:val="22"/>
          <w:color w:val="auto"/>
        </w:rPr>
      </w:pPr>
    </w:p>
    <w:p>
      <w:pPr>
        <w:ind w:right="40" w:firstLine="1174"/>
        <w:spacing w:after="0" w:line="257" w:lineRule="auto"/>
        <w:tabs>
          <w:tab w:leader="none" w:pos="1634"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2" w:lineRule="exact"/>
        <w:rPr>
          <w:rFonts w:ascii="Times New Roman" w:cs="Times New Roman" w:eastAsia="Times New Roman" w:hAnsi="Times New Roman"/>
          <w:sz w:val="22"/>
          <w:szCs w:val="22"/>
          <w:color w:val="auto"/>
        </w:rPr>
      </w:pPr>
    </w:p>
    <w:p>
      <w:pPr>
        <w:ind w:right="600" w:firstLine="1174"/>
        <w:spacing w:after="0" w:line="271" w:lineRule="auto"/>
        <w:tabs>
          <w:tab w:leader="none" w:pos="1618"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remedies herein provided shall be cumulative and not exclusive of any rights or remedies provided by Applicable Law.</w:t>
      </w:r>
    </w:p>
    <w:p>
      <w:pPr>
        <w:spacing w:after="0" w:line="154" w:lineRule="exact"/>
        <w:rPr>
          <w:sz w:val="20"/>
          <w:szCs w:val="20"/>
          <w:color w:val="auto"/>
        </w:rPr>
      </w:pPr>
    </w:p>
    <w:p>
      <w:pPr>
        <w:ind w:right="2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i w:val="1"/>
          <w:iCs w:val="1"/>
          <w:color w:val="auto"/>
        </w:rPr>
        <w:t>Fees and Expenses</w:t>
      </w:r>
      <w:r>
        <w:rPr>
          <w:rFonts w:ascii="Times New Roman" w:cs="Times New Roman" w:eastAsia="Times New Roman" w:hAnsi="Times New Roman"/>
          <w:sz w:val="22"/>
          <w:szCs w:val="22"/>
          <w:color w:val="auto"/>
        </w:rPr>
        <w:t>. Subject to Article 7, all costs and expenses incurred in connection with the preparation of this Agreement, or any amendment or waiver hereof, and the transactions contemplated hereby shall be paid by the party incurring such costs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type w:val="continuous"/>
        </w:sectPr>
      </w:pPr>
    </w:p>
    <w:bookmarkStart w:id="334" w:name="page335"/>
    <w:bookmarkEnd w:id="334"/>
    <w:p>
      <w:pPr>
        <w:ind w:right="40" w:firstLine="972"/>
        <w:spacing w:after="0" w:line="275"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regard to the conflict of laws rules of such state.</w:t>
      </w:r>
    </w:p>
    <w:p>
      <w:pPr>
        <w:spacing w:after="0" w:line="149" w:lineRule="exact"/>
        <w:rPr>
          <w:sz w:val="20"/>
          <w:szCs w:val="20"/>
          <w:color w:val="auto"/>
        </w:rPr>
      </w:pPr>
    </w:p>
    <w:p>
      <w:pPr>
        <w:ind w:firstLine="972"/>
        <w:spacing w:after="0" w:line="246"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i w:val="1"/>
          <w:iCs w:val="1"/>
          <w:color w:val="auto"/>
        </w:rPr>
        <w:t>Jurisdiction</w:t>
      </w:r>
      <w:r>
        <w:rPr>
          <w:rFonts w:ascii="Times New Roman" w:cs="Times New Roman" w:eastAsia="Times New Roman" w:hAnsi="Times New Roman"/>
          <w:sz w:val="22"/>
          <w:szCs w:val="22"/>
          <w:color w:val="auto"/>
        </w:rPr>
        <w:t>. The parties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the Borough of Manhattan in New York, New York,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12.02 shall be deemed effective service of process on such party.</w:t>
      </w:r>
    </w:p>
    <w:p>
      <w:pPr>
        <w:spacing w:after="0" w:line="182" w:lineRule="exact"/>
        <w:rPr>
          <w:sz w:val="20"/>
          <w:szCs w:val="20"/>
          <w:color w:val="auto"/>
        </w:rPr>
      </w:pPr>
    </w:p>
    <w:p>
      <w:pPr>
        <w:ind w:right="8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i w:val="1"/>
          <w:iCs w:val="1"/>
          <w:color w:val="auto"/>
        </w:rPr>
        <w:t>WAIVER OF JURY TRIAL</w:t>
      </w:r>
      <w:r>
        <w:rPr>
          <w:rFonts w:ascii="Times New Roman" w:cs="Times New Roman" w:eastAsia="Times New Roman" w:hAnsi="Times New Roman"/>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166"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i w:val="1"/>
          <w:iCs w:val="1"/>
          <w:color w:val="auto"/>
        </w:rPr>
        <w:t>Specific Performance.</w:t>
      </w:r>
      <w:r>
        <w:rPr>
          <w:rFonts w:ascii="Times New Roman" w:cs="Times New Roman" w:eastAsia="Times New Roman" w:hAnsi="Times New Roman"/>
          <w:sz w:val="22"/>
          <w:szCs w:val="22"/>
          <w:color w:val="auto"/>
        </w:rPr>
        <w:t xml:space="preserve"> The parties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75" w:lineRule="exact"/>
        <w:rPr>
          <w:sz w:val="20"/>
          <w:szCs w:val="20"/>
          <w:color w:val="auto"/>
        </w:rPr>
      </w:pPr>
    </w:p>
    <w:p>
      <w:pPr>
        <w:ind w:right="140" w:firstLine="972"/>
        <w:spacing w:after="0" w:line="249" w:lineRule="auto"/>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i w:val="1"/>
          <w:iCs w:val="1"/>
          <w:color w:val="auto"/>
        </w:rPr>
        <w:t>Counterparts; Effectiveness</w:t>
      </w:r>
      <w:r>
        <w:rPr>
          <w:rFonts w:ascii="Times New Roman" w:cs="Times New Roman" w:eastAsia="Times New Roman" w:hAnsi="Times New Roman"/>
          <w:sz w:val="22"/>
          <w:szCs w:val="22"/>
          <w:color w:val="auto"/>
        </w:rPr>
        <w:t>. This Agreement may be executed in any number of counterparts, each of which shall be deemed to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0" w:lineRule="exact"/>
        <w:rPr>
          <w:sz w:val="20"/>
          <w:szCs w:val="20"/>
          <w:color w:val="auto"/>
        </w:rPr>
      </w:pPr>
    </w:p>
    <w:p>
      <w:pPr>
        <w:ind w:right="780" w:firstLine="972"/>
        <w:spacing w:after="0" w:line="259" w:lineRule="auto"/>
        <w:rPr>
          <w:sz w:val="20"/>
          <w:szCs w:val="20"/>
          <w:color w:val="auto"/>
        </w:rPr>
      </w:pPr>
      <w:r>
        <w:rPr>
          <w:rFonts w:ascii="Times New Roman" w:cs="Times New Roman" w:eastAsia="Times New Roman" w:hAnsi="Times New Roman"/>
          <w:sz w:val="22"/>
          <w:szCs w:val="22"/>
          <w:color w:val="auto"/>
        </w:rPr>
        <w:t xml:space="preserve">Section 12.10. </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the Memorandum and Articles of Association, the ManagementCo Shareholder Partnership Agreement, the Management Agreement, the Letter Agreement and the Spectra Agreement constitute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20"/>
          </w:cols>
          <w:pgMar w:left="320" w:top="1418" w:right="359" w:bottom="1440" w:gutter="0" w:footer="0" w:header="0"/>
        </w:sectPr>
      </w:pPr>
    </w:p>
    <w:bookmarkStart w:id="335" w:name="page336"/>
    <w:bookmarkEnd w:id="335"/>
    <w:p>
      <w:pPr>
        <w:spacing w:after="0" w:line="250" w:lineRule="auto"/>
        <w:rPr>
          <w:sz w:val="20"/>
          <w:szCs w:val="20"/>
          <w:color w:val="auto"/>
        </w:rPr>
      </w:pPr>
      <w:r>
        <w:rPr>
          <w:rFonts w:ascii="Times New Roman" w:cs="Times New Roman" w:eastAsia="Times New Roman" w:hAnsi="Times New Roman"/>
          <w:sz w:val="22"/>
          <w:szCs w:val="22"/>
          <w:color w:val="auto"/>
        </w:rPr>
        <w:t>entire agreement among the parties hereto with respect to the subject matter hereof and thereof and supersede all prior and contemporaneous agreements and understandings, both oral and written, among the parties hereto with respect to the subject matter hereof and thereof. Without limiting the foregoing, upon the effectiveness of the Original Agreement, the New Company – Binding Agreement dated as of March 31, 2015 by and between Comcast and the Initial CEO was terminated as of the date of the Original Agreement and is of no further force and effect.</w:t>
      </w:r>
    </w:p>
    <w:p>
      <w:pPr>
        <w:spacing w:after="0" w:line="177" w:lineRule="exact"/>
        <w:rPr>
          <w:sz w:val="20"/>
          <w:szCs w:val="20"/>
          <w:color w:val="auto"/>
        </w:rPr>
      </w:pPr>
    </w:p>
    <w:p>
      <w:pPr>
        <w:ind w:right="60" w:firstLine="972"/>
        <w:spacing w:after="0" w:line="248" w:lineRule="auto"/>
        <w:rPr>
          <w:sz w:val="20"/>
          <w:szCs w:val="20"/>
          <w:color w:val="auto"/>
        </w:rPr>
      </w:pPr>
      <w:r>
        <w:rPr>
          <w:rFonts w:ascii="Times New Roman" w:cs="Times New Roman" w:eastAsia="Times New Roman" w:hAnsi="Times New Roman"/>
          <w:sz w:val="22"/>
          <w:szCs w:val="22"/>
          <w:color w:val="auto"/>
        </w:rPr>
        <w:t xml:space="preserve">Section 12.11.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82"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12.12.</w:t>
      </w:r>
      <w:r>
        <w:rPr>
          <w:sz w:val="20"/>
          <w:szCs w:val="20"/>
          <w:color w:val="auto"/>
        </w:rPr>
        <w:tab/>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174"/>
        <w:spacing w:after="0" w:line="245" w:lineRule="auto"/>
        <w:tabs>
          <w:tab w:leader="none" w:pos="162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12.12(b), Comcast hereby irrevocably and unconditionally guarantees (the “</w:t>
      </w:r>
      <w:r>
        <w:rPr>
          <w:rFonts w:ascii="Times New Roman" w:cs="Times New Roman" w:eastAsia="Times New Roman" w:hAnsi="Times New Roman"/>
          <w:sz w:val="22"/>
          <w:szCs w:val="22"/>
          <w:b w:val="1"/>
          <w:bCs w:val="1"/>
          <w:color w:val="auto"/>
        </w:rPr>
        <w:t>Comcast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Guarantee</w:t>
      </w:r>
      <w:r>
        <w:rPr>
          <w:rFonts w:ascii="Times New Roman" w:cs="Times New Roman" w:eastAsia="Times New Roman" w:hAnsi="Times New Roman"/>
          <w:sz w:val="22"/>
          <w:szCs w:val="22"/>
          <w:color w:val="auto"/>
        </w:rPr>
        <w:t>”) to the Company, ManagementCo Shareholder and the Manager the prompt and full discharge by Comcast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of all of Comcast Shareholder’s covenants, agreements, obligations and liabilities under this Agreement including the due and punctual payment of all amounts which are or may become due and payable by Comcast Shareholder hereunder when and as the same shall become due and payable (collectively, the “</w:t>
      </w:r>
      <w:r>
        <w:rPr>
          <w:rFonts w:ascii="Times New Roman" w:cs="Times New Roman" w:eastAsia="Times New Roman" w:hAnsi="Times New Roman"/>
          <w:sz w:val="22"/>
          <w:szCs w:val="22"/>
          <w:b w:val="1"/>
          <w:bCs w:val="1"/>
          <w:color w:val="auto"/>
        </w:rPr>
        <w:t>Comcast Shareholder Obligations</w:t>
      </w:r>
      <w:r>
        <w:rPr>
          <w:rFonts w:ascii="Times New Roman" w:cs="Times New Roman" w:eastAsia="Times New Roman" w:hAnsi="Times New Roman"/>
          <w:sz w:val="22"/>
          <w:szCs w:val="22"/>
          <w:color w:val="auto"/>
        </w:rPr>
        <w:t>”), in accordance with the terms hereof. Comcast acknowledges and agrees that, with respect to all Comcast Shareholder Obligations to pay money, such guaranty shall be a guaranty of payment and performance and not of collection and shall not be conditioned or contingent upon the pursuit of any remedies against Comcast Shareholder. If Comcast Shareholder shall default in the due and punctual performance of any Comcast Shareholder Obligation, including the full and timely payment of any amount due and payable pursuant to any Comcast Shareholder Obligation, Comcast will forthwith perform or cause to be performed such Comcast Shareholder Obligation and will forthwith make full payment of any amount due with respect thereto. Upon performance by Comcast of any Comcast Shareholder Obligation, Comcast shall be subrogated to the rights of Comcast Shareholder against the Company, ManagementCo Shareholder or the Manager, as the case may be, with respect to such Comcast Shareholder Obligation.</w:t>
      </w:r>
    </w:p>
    <w:p>
      <w:pPr>
        <w:spacing w:after="0" w:line="195" w:lineRule="exact"/>
        <w:rPr>
          <w:rFonts w:ascii="Times New Roman" w:cs="Times New Roman" w:eastAsia="Times New Roman" w:hAnsi="Times New Roman"/>
          <w:sz w:val="22"/>
          <w:szCs w:val="22"/>
          <w:color w:val="auto"/>
        </w:rPr>
      </w:pPr>
    </w:p>
    <w:p>
      <w:pPr>
        <w:ind w:right="60" w:firstLine="1174"/>
        <w:spacing w:after="0" w:line="252" w:lineRule="auto"/>
        <w:tabs>
          <w:tab w:leader="none" w:pos="1634"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12.12(a), upon the Transfer of any Comcast Shareholder Obligations in accordance with this Agreement to any Person that is not an Affiliate of Comcast (including any obligations of Comcast Shareholder that are indirectly allocated to a Comcast Permitted Spin Transferee pursuant to Section 5.03(c)(ii)), the Comcast Guarantee shall automatically be revoked and cease to be in effect with respect to such Comcast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20"/>
          </w:cols>
          <w:pgMar w:left="320" w:top="1422" w:right="359" w:bottom="1440" w:gutter="0" w:footer="0" w:header="0"/>
        </w:sectPr>
      </w:pPr>
    </w:p>
    <w:bookmarkStart w:id="336" w:name="page337"/>
    <w:bookmarkEnd w:id="336"/>
    <w:p>
      <w:pPr>
        <w:spacing w:after="0" w:line="19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Obligations first arising after the effective date of the relevant Transfer (and otherwise the Comcast Guarantee shall remain in effect).</w:t>
      </w:r>
    </w:p>
    <w:p>
      <w:pPr>
        <w:spacing w:after="0" w:line="154" w:lineRule="exact"/>
        <w:rPr>
          <w:sz w:val="20"/>
          <w:szCs w:val="20"/>
          <w:color w:val="auto"/>
        </w:rPr>
      </w:pPr>
    </w:p>
    <w:p>
      <w:pPr>
        <w:ind w:left="98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12.13.</w:t>
      </w:r>
      <w:r>
        <w:rPr>
          <w:sz w:val="20"/>
          <w:szCs w:val="20"/>
          <w:color w:val="auto"/>
        </w:rPr>
        <w:tab/>
      </w:r>
      <w:r>
        <w:rPr>
          <w:rFonts w:ascii="Times New Roman" w:cs="Times New Roman" w:eastAsia="Times New Roman" w:hAnsi="Times New Roman"/>
          <w:sz w:val="21"/>
          <w:szCs w:val="21"/>
          <w:i w:val="1"/>
          <w:iCs w:val="1"/>
          <w:color w:val="auto"/>
        </w:rPr>
        <w:t>Representations.</w:t>
      </w:r>
    </w:p>
    <w:p>
      <w:pPr>
        <w:spacing w:after="0" w:line="224" w:lineRule="exact"/>
        <w:rPr>
          <w:sz w:val="20"/>
          <w:szCs w:val="20"/>
          <w:color w:val="auto"/>
        </w:rPr>
      </w:pPr>
    </w:p>
    <w:p>
      <w:pPr>
        <w:ind w:right="80" w:firstLine="1174"/>
        <w:spacing w:after="0" w:line="257" w:lineRule="auto"/>
        <w:tabs>
          <w:tab w:leader="none" w:pos="1622"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Comcast Shareholder, ManagementCo Shareholder, the Manager and Comcast, severally but not jointly, for itself and not for any other party to this Agreement, represents and warrants to the Company and to each of the others as of the date hereof that:</w:t>
      </w:r>
    </w:p>
    <w:p>
      <w:pPr>
        <w:spacing w:after="0" w:line="168" w:lineRule="exact"/>
        <w:rPr>
          <w:rFonts w:ascii="Times New Roman" w:cs="Times New Roman" w:eastAsia="Times New Roman" w:hAnsi="Times New Roman"/>
          <w:sz w:val="22"/>
          <w:szCs w:val="22"/>
          <w:color w:val="auto"/>
        </w:rPr>
      </w:pPr>
    </w:p>
    <w:p>
      <w:pPr>
        <w:ind w:right="40" w:firstLine="1952"/>
        <w:spacing w:after="0" w:line="251" w:lineRule="auto"/>
        <w:tabs>
          <w:tab w:leader="none" w:pos="2364"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Existence and Power</w:t>
      </w:r>
      <w:r>
        <w:rPr>
          <w:rFonts w:ascii="Times New Roman" w:cs="Times New Roman" w:eastAsia="Times New Roman" w:hAnsi="Times New Roman"/>
          <w:sz w:val="22"/>
          <w:szCs w:val="22"/>
          <w:color w:val="auto"/>
        </w:rPr>
        <w:t>. Such Person is an entity duly formed, validly existing and in good 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laws of its jurisdiction of formation and has all powers and all governmental licenses, authorizations, permits, consents and approvals required to carry on its business as now conducted, except for those licenses, authorizations, permits, consents and approvals the absence of which would not, individually or in the aggregate, reasonably be expected to have an effect that is adverse and material to such Person’s ability to consummate the transactions contemplated hereby.</w:t>
      </w:r>
    </w:p>
    <w:p>
      <w:pPr>
        <w:spacing w:after="0" w:line="175" w:lineRule="exact"/>
        <w:rPr>
          <w:rFonts w:ascii="Times New Roman" w:cs="Times New Roman" w:eastAsia="Times New Roman" w:hAnsi="Times New Roman"/>
          <w:sz w:val="22"/>
          <w:szCs w:val="22"/>
          <w:color w:val="auto"/>
        </w:rPr>
      </w:pPr>
    </w:p>
    <w:p>
      <w:pPr>
        <w:ind w:firstLine="1952"/>
        <w:spacing w:after="0" w:line="249" w:lineRule="auto"/>
        <w:tabs>
          <w:tab w:leader="none" w:pos="2424"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The execution, delivery and performance by such Person of this Agreement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consummation by such Person of the transactions contemplated hereby are within such Person’s powers and, if applicable, have been duly authorized by all necessary corporate action on the part of such Person. This Agreement constitutes a valid and binding agreement of such Person, enforceable in accordance with its respective terms, except to the extent enforceability thereof may be limited by bankruptcy, insolvency, reorganization and other similar Applicable Laws affecting the enforcement of creditor’s rights generally and by general principles of equity.</w:t>
      </w:r>
    </w:p>
    <w:p>
      <w:pPr>
        <w:spacing w:after="0" w:line="180" w:lineRule="exact"/>
        <w:rPr>
          <w:rFonts w:ascii="Times New Roman" w:cs="Times New Roman" w:eastAsia="Times New Roman" w:hAnsi="Times New Roman"/>
          <w:sz w:val="22"/>
          <w:szCs w:val="22"/>
          <w:color w:val="auto"/>
        </w:rPr>
      </w:pPr>
    </w:p>
    <w:p>
      <w:pPr>
        <w:ind w:right="80" w:firstLine="1952"/>
        <w:spacing w:after="0" w:line="247" w:lineRule="auto"/>
        <w:tabs>
          <w:tab w:leader="none" w:pos="2484"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The execution, delivery and performance by such Person of this Agreement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consummation by such Person of the transactions contemplated hereby do not and will not (A) violate the organizational documents of such Person, (B) violate any Applicable Law or (C) require any consent or other action by any Person under, constitute a default under, or give rise to any right of termination, cancellation or acceleration of any right or obligation of such Person or to a loss of any benefit to which such Person is entitled under, any provision of any agreement or other instrument binding upon such Person with such exceptions, in the case of clause (B) and (C), as would not, individually or in the aggregate, reasonably be expected to have an effect that is adverse and material to such Person’s ability to consummate the transactions contemplated hereby.</w:t>
      </w:r>
    </w:p>
    <w:p>
      <w:pPr>
        <w:spacing w:after="0" w:line="189" w:lineRule="exact"/>
        <w:rPr>
          <w:rFonts w:ascii="Times New Roman" w:cs="Times New Roman" w:eastAsia="Times New Roman" w:hAnsi="Times New Roman"/>
          <w:sz w:val="22"/>
          <w:szCs w:val="22"/>
          <w:color w:val="auto"/>
        </w:rPr>
      </w:pPr>
    </w:p>
    <w:p>
      <w:pPr>
        <w:ind w:right="100" w:firstLine="1174"/>
        <w:spacing w:after="0" w:line="257" w:lineRule="auto"/>
        <w:tabs>
          <w:tab w:leader="none" w:pos="1634"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Comcast Shareholder and ManagementCo Shareholder, severally but not jointly, for itself and not for the other, represents and warrants to the Company and to the other as of the date hereof and as of each date on which Company Securities are issued to such Person pursuant to Section 2.05(b), that:</w:t>
      </w:r>
    </w:p>
    <w:p>
      <w:pPr>
        <w:spacing w:after="0" w:line="168" w:lineRule="exact"/>
        <w:rPr>
          <w:rFonts w:ascii="Times New Roman" w:cs="Times New Roman" w:eastAsia="Times New Roman" w:hAnsi="Times New Roman"/>
          <w:sz w:val="22"/>
          <w:szCs w:val="22"/>
          <w:color w:val="auto"/>
        </w:rPr>
      </w:pPr>
    </w:p>
    <w:p>
      <w:pPr>
        <w:ind w:right="60" w:firstLine="1952"/>
        <w:spacing w:after="0" w:line="259" w:lineRule="auto"/>
        <w:tabs>
          <w:tab w:leader="none" w:pos="2364"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Purchase for Investment</w:t>
      </w:r>
      <w:r>
        <w:rPr>
          <w:rFonts w:ascii="Times New Roman" w:cs="Times New Roman" w:eastAsia="Times New Roman" w:hAnsi="Times New Roman"/>
          <w:sz w:val="22"/>
          <w:szCs w:val="22"/>
          <w:color w:val="auto"/>
        </w:rPr>
        <w:t>. Such Person is acquiring the Company Securities for investment for its own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and not with a view to, or for sale in connection with, any distribution thereof and such Person (either alone or together with its advisors) has sufficient knowledge and experience in financial and business matters so as to be capable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00"/>
          </w:cols>
          <w:pgMar w:left="320" w:top="1440" w:right="379" w:bottom="1440" w:gutter="0" w:footer="0" w:header="0"/>
        </w:sectPr>
      </w:pPr>
    </w:p>
    <w:bookmarkStart w:id="337" w:name="page338"/>
    <w:bookmarkEnd w:id="337"/>
    <w:p>
      <w:pPr>
        <w:ind w:right="60"/>
        <w:spacing w:after="0" w:line="248" w:lineRule="auto"/>
        <w:rPr>
          <w:sz w:val="20"/>
          <w:szCs w:val="20"/>
          <w:color w:val="auto"/>
        </w:rPr>
      </w:pPr>
      <w:r>
        <w:rPr>
          <w:rFonts w:ascii="Times New Roman" w:cs="Times New Roman" w:eastAsia="Times New Roman" w:hAnsi="Times New Roman"/>
          <w:sz w:val="22"/>
          <w:szCs w:val="22"/>
          <w:color w:val="auto"/>
        </w:rPr>
        <w:t>evaluating the merits and risks of its investment in the Company Securities, and such Person is capable of bearing the economic risks of such investment for an indefinite period of time and is aware that Transfer of the Company Securities may not be possible because (A) such Transfer will be subject to contractual restrictions on Transfer set forth in this Agreement and (B) the issuance of the Company Securities has not been registered under the Securities Act or any applicable state securities laws and, therefore, the Company Securities cannot be sold unless such sale is registered under the Securities Act and such applicable state securities laws or an exemption from such registration is available.</w:t>
      </w:r>
    </w:p>
    <w:p>
      <w:pPr>
        <w:spacing w:after="0" w:line="183" w:lineRule="exact"/>
        <w:rPr>
          <w:sz w:val="20"/>
          <w:szCs w:val="20"/>
          <w:color w:val="auto"/>
        </w:rPr>
      </w:pPr>
    </w:p>
    <w:p>
      <w:pPr>
        <w:ind w:right="80" w:firstLine="1952"/>
        <w:spacing w:after="0" w:line="251" w:lineRule="auto"/>
        <w:tabs>
          <w:tab w:leader="none" w:pos="2424"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a Registered Offering</w:t>
      </w:r>
      <w:r>
        <w:rPr>
          <w:rFonts w:ascii="Times New Roman" w:cs="Times New Roman" w:eastAsia="Times New Roman" w:hAnsi="Times New Roman"/>
          <w:sz w:val="22"/>
          <w:szCs w:val="22"/>
          <w:color w:val="auto"/>
        </w:rPr>
        <w:t>. Such Person understands that the Company Securities have not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registered either with the SEC or with the securities commission of any state and are being offered and sold pursuant to private offering exemptions therefrom, and that no Governmental Authority has recommended or endorsed the Company Securities or made any finding or determination relating to the adequacy or accuracy of information provided to such Person or to the fairness for public investment of interests in the Company.</w:t>
      </w:r>
    </w:p>
    <w:p>
      <w:pPr>
        <w:spacing w:after="0" w:line="175" w:lineRule="exact"/>
        <w:rPr>
          <w:rFonts w:ascii="Times New Roman" w:cs="Times New Roman" w:eastAsia="Times New Roman" w:hAnsi="Times New Roman"/>
          <w:sz w:val="22"/>
          <w:szCs w:val="22"/>
          <w:color w:val="auto"/>
        </w:rPr>
      </w:pPr>
    </w:p>
    <w:p>
      <w:pPr>
        <w:ind w:right="120" w:firstLine="1952"/>
        <w:spacing w:after="0" w:line="259" w:lineRule="auto"/>
        <w:tabs>
          <w:tab w:leader="none" w:pos="2484"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Source of Funds</w:t>
      </w:r>
      <w:r>
        <w:rPr>
          <w:rFonts w:ascii="Times New Roman" w:cs="Times New Roman" w:eastAsia="Times New Roman" w:hAnsi="Times New Roman"/>
          <w:sz w:val="22"/>
          <w:szCs w:val="22"/>
          <w:color w:val="auto"/>
        </w:rPr>
        <w:t>. Such Person has sufficient cash, available lines of credit or other sources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immediately available funds (or, with respect to Comcast Spectacor Shareholder, property) to enable it to make payment of such Purchaser’s Available Capital Commitment.</w:t>
      </w:r>
    </w:p>
    <w:p>
      <w:pPr>
        <w:spacing w:after="0" w:line="166" w:lineRule="exact"/>
        <w:rPr>
          <w:sz w:val="20"/>
          <w:szCs w:val="20"/>
          <w:color w:val="auto"/>
        </w:rPr>
      </w:pPr>
    </w:p>
    <w:p>
      <w:pPr>
        <w:ind w:firstLine="972"/>
        <w:spacing w:after="0" w:line="257" w:lineRule="auto"/>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i w:val="1"/>
          <w:iCs w:val="1"/>
          <w:color w:val="auto"/>
        </w:rPr>
        <w:t>Safe Harbor Rules</w:t>
      </w:r>
      <w:r>
        <w:rPr>
          <w:rFonts w:ascii="Times New Roman" w:cs="Times New Roman" w:eastAsia="Times New Roman" w:hAnsi="Times New Roman"/>
          <w:sz w:val="21"/>
          <w:szCs w:val="21"/>
          <w:color w:val="auto"/>
        </w:rPr>
        <w:t>. The ManagementCo Shareholder is authorized and directed to elect to have the “Safe Harbor” described in the proposed Revenue Procedure set forth in Internal Revenue Service Notice 2005-43 (the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apply to any interest in the Company transferred to a service provider by the Company on or after the effective date of such Revenue Procedure in connection with services provided to the Company. Under the Safe Harbor, the value of an interest that is transferred in connection with the performance of services (a “</w:t>
      </w:r>
      <w:r>
        <w:rPr>
          <w:rFonts w:ascii="Times New Roman" w:cs="Times New Roman" w:eastAsia="Times New Roman" w:hAnsi="Times New Roman"/>
          <w:sz w:val="21"/>
          <w:szCs w:val="21"/>
          <w:b w:val="1"/>
          <w:bCs w:val="1"/>
          <w:color w:val="auto"/>
        </w:rPr>
        <w:t>Safe Harbor Interest</w:t>
      </w:r>
      <w:r>
        <w:rPr>
          <w:rFonts w:ascii="Times New Roman" w:cs="Times New Roman" w:eastAsia="Times New Roman" w:hAnsi="Times New Roman"/>
          <w:sz w:val="21"/>
          <w:szCs w:val="21"/>
          <w:color w:val="auto"/>
        </w:rPr>
        <w:t>”) is treated as being equal to the liquidation value of that interest. For purposes of making such Safe Harbor election, the ManagementCo Shareholder is designated as the “partner who has responsibility for federal income tax reporting” by the ManagementCo Shareholder and, accordingly, execution of such Safe Harbor election by the ManagementCo Shareholder constitutes execution of a “Safe Harbor Election” in accordance with Section 3.03(1) of the Notice. The Company and each Shareholder agree to comply with all requirements of the Safe Harbor described in the Notice, including, without limitation, the requirement that each Shareholder prepare and file all federal income tax returns (to the extent it is required to file such returns) reporting the income tax effects of each Safe Harbor Interest issued by the Company in a manner consistent with the requirements of the Notice. Each Shareholder’s obligations to comply with the requirements of this Section 12.14 shall survive the Shareholder’s ceasing to be a Shareholder of the Company and/or the winding up and/or termination of the Company, and for purposes of this Section 12.14, the Company shall be treated as continuing in existence. The ManagementCo Shareholder is authorized to amend the provisions in this Agreement to the extent necessary to achieve substantially the same tax treatment with respect to any interest in the Company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00"/>
          </w:cols>
          <w:pgMar w:left="320" w:top="1422" w:right="379" w:bottom="1440" w:gutter="0" w:footer="0" w:header="0"/>
        </w:sectPr>
      </w:pPr>
    </w:p>
    <w:bookmarkStart w:id="338" w:name="page339"/>
    <w:bookmarkEnd w:id="338"/>
    <w:p>
      <w:pPr>
        <w:ind w:right="40"/>
        <w:spacing w:after="0" w:line="250" w:lineRule="auto"/>
        <w:rPr>
          <w:sz w:val="20"/>
          <w:szCs w:val="20"/>
          <w:color w:val="auto"/>
        </w:rPr>
      </w:pPr>
      <w:r>
        <w:rPr>
          <w:rFonts w:ascii="Times New Roman" w:cs="Times New Roman" w:eastAsia="Times New Roman" w:hAnsi="Times New Roman"/>
          <w:sz w:val="22"/>
          <w:szCs w:val="22"/>
          <w:color w:val="auto"/>
        </w:rPr>
        <w:t>to a service provider by the Company in connection with services provided to the Company as set forth in Section 4 of the Notice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to reflect changes from the rules set forth in the Notice in subsequent Internal Revenue Service guidance), provided that such amendment is not adverse to any Shareholder (as compared with the after-tax consequences that would result if the provisions of the Notice applied to all interests in the Company transferred to a service provider by the Company in connection with services provided to the Company).</w:t>
      </w:r>
    </w:p>
    <w:p>
      <w:pPr>
        <w:spacing w:after="0" w:line="177" w:lineRule="exact"/>
        <w:rPr>
          <w:sz w:val="20"/>
          <w:szCs w:val="20"/>
          <w:color w:val="auto"/>
        </w:rPr>
      </w:pPr>
    </w:p>
    <w:p>
      <w:pPr>
        <w:ind w:firstLine="972"/>
        <w:spacing w:after="0" w:line="245" w:lineRule="auto"/>
        <w:rPr>
          <w:sz w:val="20"/>
          <w:szCs w:val="20"/>
          <w:color w:val="auto"/>
        </w:rPr>
      </w:pPr>
      <w:r>
        <w:rPr>
          <w:rFonts w:ascii="Times New Roman" w:cs="Times New Roman" w:eastAsia="Times New Roman" w:hAnsi="Times New Roman"/>
          <w:sz w:val="22"/>
          <w:szCs w:val="22"/>
          <w:color w:val="auto"/>
        </w:rPr>
        <w:t xml:space="preserve">Section 12.15. </w:t>
      </w:r>
      <w:r>
        <w:rPr>
          <w:rFonts w:ascii="Times New Roman" w:cs="Times New Roman" w:eastAsia="Times New Roman" w:hAnsi="Times New Roman"/>
          <w:sz w:val="22"/>
          <w:szCs w:val="22"/>
          <w:i w:val="1"/>
          <w:iCs w:val="1"/>
          <w:color w:val="auto"/>
        </w:rPr>
        <w:t>Advisers Act</w:t>
      </w:r>
      <w:r>
        <w:rPr>
          <w:rFonts w:ascii="Times New Roman" w:cs="Times New Roman" w:eastAsia="Times New Roman" w:hAnsi="Times New Roman"/>
          <w:sz w:val="22"/>
          <w:szCs w:val="22"/>
          <w:color w:val="auto"/>
        </w:rPr>
        <w:t>. Each Shareholder agrees that it is not an advisory client of the Manager, ManagementCo Shareholder or any of their respective Affiliates for purposes of the Advisers Act in connection with the decision to invest in, or otherwise in connection with its investment in, the Company. The Board may, in its sole discretion, grant on behalf of the Company any approvals or consents required to be given by clients of the Manager or its Affiliates under the Advisers Act with respect to the Company in respect of (a) any and all disclosures and approvals required under Section 206(3) thereof, and (b) any consent to a transaction that would result in the “assignment” (within the meaning of the Advisers Act) of the Management Agreement. Such approval or consent of the Board shall constitute all necessary disclosures to and approvals or consents of a client for purposes of the Advisers Act. This Section 12.15 shall not prevent or restrict any vote, consent or approval of any Shareholder otherwise expressly required under the terms of this Agreement, including Sections 4.01(j) and 5.03, or the Letter Agreement in order for the Company, the Manager, ManagementCo Shareholder or any of their respective Affiliates to take or refrain from taking any specified action. Nothing contained in this Agreement shall constitute a waiver by any Shareholder of any of its legal rights under applicable federal securities laws or any other Applicable Law whose applicability is not permitted to be contractually waived.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339" w:name="page340"/>
    <w:bookmarkEnd w:id="339"/>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ATAIROS GROUP, INC.</w:t>
      </w:r>
    </w:p>
    <w:p>
      <w:pPr>
        <w:spacing w:after="0" w:line="29" w:lineRule="exact"/>
        <w:rPr>
          <w:sz w:val="20"/>
          <w:szCs w:val="20"/>
          <w:color w:val="auto"/>
        </w:rPr>
      </w:pPr>
    </w:p>
    <w:tbl>
      <w:tblPr>
        <w:tblLayout w:type="fixed"/>
        <w:tblInd w:w="588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Clare McGrory</w:t>
            </w:r>
          </w:p>
        </w:tc>
      </w:tr>
      <w:tr>
        <w:trPr>
          <w:trHeight w:val="250"/>
        </w:trPr>
        <w:tc>
          <w:tcPr>
            <w:tcW w:w="760" w:type="dxa"/>
            <w:vAlign w:val="bottom"/>
          </w:tcPr>
          <w:p>
            <w:pPr>
              <w:spacing w:after="0"/>
              <w:rPr>
                <w:sz w:val="21"/>
                <w:szCs w:val="21"/>
                <w:color w:val="auto"/>
              </w:rPr>
            </w:pPr>
          </w:p>
        </w:tc>
        <w:tc>
          <w:tcPr>
            <w:tcW w:w="76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60"/>
              <w:spacing w:after="0" w:line="249" w:lineRule="exact"/>
              <w:rPr>
                <w:sz w:val="20"/>
                <w:szCs w:val="20"/>
                <w:color w:val="auto"/>
              </w:rPr>
            </w:pPr>
            <w:r>
              <w:rPr>
                <w:rFonts w:ascii="Times New Roman" w:cs="Times New Roman" w:eastAsia="Times New Roman" w:hAnsi="Times New Roman"/>
                <w:sz w:val="22"/>
                <w:szCs w:val="22"/>
                <w:color w:val="auto"/>
              </w:rPr>
              <w:t>Clare McGrory</w:t>
            </w:r>
          </w:p>
        </w:tc>
      </w:tr>
      <w:tr>
        <w:trPr>
          <w:trHeight w:val="282"/>
        </w:trPr>
        <w:tc>
          <w:tcPr>
            <w:tcW w:w="7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SHAREHOLDERS:</w:t>
      </w:r>
    </w:p>
    <w:p>
      <w:pPr>
        <w:spacing w:after="0" w:line="200" w:lineRule="exact"/>
        <w:rPr>
          <w:sz w:val="20"/>
          <w:szCs w:val="20"/>
          <w:color w:val="auto"/>
        </w:rPr>
      </w:pPr>
    </w:p>
    <w:p>
      <w:pPr>
        <w:spacing w:after="0" w:line="2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Comcast AG Holdings, LLC</w:t>
      </w:r>
    </w:p>
    <w:p>
      <w:pPr>
        <w:spacing w:after="0" w:line="29" w:lineRule="exact"/>
        <w:rPr>
          <w:sz w:val="20"/>
          <w:szCs w:val="20"/>
          <w:color w:val="auto"/>
        </w:rPr>
      </w:pPr>
    </w:p>
    <w:tbl>
      <w:tblPr>
        <w:tblLayout w:type="fixed"/>
        <w:tblInd w:w="588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Marc A. Rockford</w:t>
            </w:r>
          </w:p>
        </w:tc>
      </w:tr>
      <w:tr>
        <w:trPr>
          <w:trHeight w:val="250"/>
        </w:trPr>
        <w:tc>
          <w:tcPr>
            <w:tcW w:w="760" w:type="dxa"/>
            <w:vAlign w:val="bottom"/>
          </w:tcPr>
          <w:p>
            <w:pPr>
              <w:spacing w:after="0"/>
              <w:rPr>
                <w:sz w:val="21"/>
                <w:szCs w:val="21"/>
                <w:color w:val="auto"/>
              </w:rPr>
            </w:pPr>
          </w:p>
        </w:tc>
        <w:tc>
          <w:tcPr>
            <w:tcW w:w="76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60"/>
              <w:spacing w:after="0" w:line="249" w:lineRule="exact"/>
              <w:rPr>
                <w:sz w:val="20"/>
                <w:szCs w:val="20"/>
                <w:color w:val="auto"/>
              </w:rPr>
            </w:pPr>
            <w:r>
              <w:rPr>
                <w:rFonts w:ascii="Times New Roman" w:cs="Times New Roman" w:eastAsia="Times New Roman" w:hAnsi="Times New Roman"/>
                <w:sz w:val="22"/>
                <w:szCs w:val="22"/>
                <w:color w:val="auto"/>
              </w:rPr>
              <w:t>Marc A. Rockford</w:t>
            </w:r>
          </w:p>
        </w:tc>
      </w:tr>
      <w:tr>
        <w:trPr>
          <w:trHeight w:val="282"/>
        </w:trPr>
        <w:tc>
          <w:tcPr>
            <w:tcW w:w="7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Senior Vice President</w:t>
            </w:r>
          </w:p>
        </w:tc>
      </w:tr>
      <w:tr>
        <w:trPr>
          <w:trHeight w:val="879"/>
        </w:trPr>
        <w:tc>
          <w:tcPr>
            <w:tcW w:w="5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Comcast SPECTACOR VENTURES, LLC</w:t>
            </w: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Philip Weinberg</w:t>
            </w:r>
          </w:p>
        </w:tc>
      </w:tr>
      <w:tr>
        <w:trPr>
          <w:trHeight w:val="250"/>
        </w:trPr>
        <w:tc>
          <w:tcPr>
            <w:tcW w:w="760" w:type="dxa"/>
            <w:vAlign w:val="bottom"/>
          </w:tcPr>
          <w:p>
            <w:pPr>
              <w:spacing w:after="0"/>
              <w:rPr>
                <w:sz w:val="21"/>
                <w:szCs w:val="21"/>
                <w:color w:val="auto"/>
              </w:rPr>
            </w:pPr>
          </w:p>
        </w:tc>
        <w:tc>
          <w:tcPr>
            <w:tcW w:w="7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Philip Weinberg</w:t>
            </w:r>
          </w:p>
        </w:tc>
      </w:tr>
      <w:tr>
        <w:trPr>
          <w:trHeight w:val="282"/>
        </w:trPr>
        <w:tc>
          <w:tcPr>
            <w:tcW w:w="7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EVP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ATAIROS PARTNERS, L.P.</w:t>
      </w:r>
    </w:p>
    <w:p>
      <w:pPr>
        <w:spacing w:after="0" w:line="200" w:lineRule="exact"/>
        <w:rPr>
          <w:sz w:val="20"/>
          <w:szCs w:val="20"/>
          <w:color w:val="auto"/>
        </w:rPr>
      </w:pPr>
    </w:p>
    <w:p>
      <w:pPr>
        <w:spacing w:after="0" w:line="2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By: Atairos Partners GP, Inc., its general partner</w:t>
      </w:r>
    </w:p>
    <w:p>
      <w:pPr>
        <w:spacing w:after="0" w:line="200" w:lineRule="exact"/>
        <w:rPr>
          <w:sz w:val="20"/>
          <w:szCs w:val="20"/>
          <w:color w:val="auto"/>
        </w:rPr>
      </w:pPr>
    </w:p>
    <w:p>
      <w:pPr>
        <w:spacing w:after="0" w:line="263" w:lineRule="exact"/>
        <w:rPr>
          <w:sz w:val="20"/>
          <w:szCs w:val="20"/>
          <w:color w:val="auto"/>
        </w:rPr>
      </w:pPr>
    </w:p>
    <w:tbl>
      <w:tblPr>
        <w:tblLayout w:type="fixed"/>
        <w:tblInd w:w="5880" w:type="dxa"/>
        <w:tblCellMar>
          <w:top w:w="0" w:type="dxa"/>
          <w:left w:w="0" w:type="dxa"/>
          <w:bottom w:w="0" w:type="dxa"/>
          <w:right w:w="0" w:type="dxa"/>
        </w:tblCellMar>
      </w:tblPr>
      <w:tr>
        <w:trPr>
          <w:trHeight w:val="296"/>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Atairos Partners GP, Inc., its general partner</w:t>
            </w:r>
          </w:p>
        </w:tc>
      </w:tr>
      <w:tr>
        <w:trPr>
          <w:trHeight w:val="554"/>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Clare McGrory</w:t>
            </w:r>
          </w:p>
        </w:tc>
      </w:tr>
      <w:tr>
        <w:trPr>
          <w:trHeight w:val="250"/>
        </w:trPr>
        <w:tc>
          <w:tcPr>
            <w:tcW w:w="760" w:type="dxa"/>
            <w:vAlign w:val="bottom"/>
          </w:tcPr>
          <w:p>
            <w:pPr>
              <w:spacing w:after="0"/>
              <w:rPr>
                <w:sz w:val="21"/>
                <w:szCs w:val="21"/>
                <w:color w:val="auto"/>
              </w:rPr>
            </w:pPr>
          </w:p>
        </w:tc>
        <w:tc>
          <w:tcPr>
            <w:tcW w:w="7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Clare McGrory</w:t>
            </w:r>
          </w:p>
        </w:tc>
      </w:tr>
      <w:tr>
        <w:trPr>
          <w:trHeight w:val="282"/>
        </w:trPr>
        <w:tc>
          <w:tcPr>
            <w:tcW w:w="7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Shareholders Agreement of Atairos Group, Inc.</w:t>
      </w:r>
    </w:p>
    <w:p>
      <w:pPr>
        <w:sectPr>
          <w:pgSz w:w="11900" w:h="16838" w:orient="portrait"/>
          <w:cols w:equalWidth="0" w:num="1">
            <w:col w:w="11240"/>
          </w:cols>
          <w:pgMar w:left="320" w:top="1422" w:right="339" w:bottom="1440" w:gutter="0" w:footer="0" w:header="0"/>
        </w:sectPr>
      </w:pPr>
    </w:p>
    <w:bookmarkStart w:id="340" w:name="page341"/>
    <w:bookmarkEnd w:id="340"/>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auto"/>
        </w:rPr>
        <w:t>MANAGER:</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ATAIROS MANAGEMENT, L.P.</w:t>
      </w: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By: Atairos Family GP, LLC, its general partner</w:t>
      </w:r>
    </w:p>
    <w:p>
      <w:pPr>
        <w:spacing w:after="0" w:line="200" w:lineRule="exact"/>
        <w:rPr>
          <w:sz w:val="20"/>
          <w:szCs w:val="20"/>
          <w:color w:val="auto"/>
        </w:rPr>
      </w:pPr>
    </w:p>
    <w:p>
      <w:pPr>
        <w:spacing w:after="0" w:line="263" w:lineRule="exact"/>
        <w:rPr>
          <w:sz w:val="20"/>
          <w:szCs w:val="20"/>
          <w:color w:val="auto"/>
        </w:rPr>
      </w:pPr>
    </w:p>
    <w:tbl>
      <w:tblPr>
        <w:tblLayout w:type="fixed"/>
        <w:tblInd w:w="4760" w:type="dxa"/>
        <w:tblCellMar>
          <w:top w:w="0" w:type="dxa"/>
          <w:left w:w="0" w:type="dxa"/>
          <w:bottom w:w="0" w:type="dxa"/>
          <w:right w:w="0" w:type="dxa"/>
        </w:tblCellMar>
      </w:tblP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Atairos Family GP, LLC, its general partner</w:t>
            </w:r>
          </w:p>
        </w:tc>
      </w:tr>
      <w:tr>
        <w:trPr>
          <w:trHeight w:val="54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Clare McGrory</w:t>
            </w:r>
          </w:p>
        </w:tc>
      </w:tr>
      <w:tr>
        <w:trPr>
          <w:trHeight w:val="250"/>
        </w:trPr>
        <w:tc>
          <w:tcPr>
            <w:tcW w:w="760" w:type="dxa"/>
            <w:vAlign w:val="bottom"/>
          </w:tcPr>
          <w:p>
            <w:pPr>
              <w:spacing w:after="0"/>
              <w:rPr>
                <w:sz w:val="21"/>
                <w:szCs w:val="21"/>
                <w:color w:val="auto"/>
              </w:rPr>
            </w:pPr>
          </w:p>
        </w:tc>
        <w:tc>
          <w:tcPr>
            <w:tcW w:w="7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Clare McGrory</w:t>
            </w:r>
          </w:p>
        </w:tc>
      </w:tr>
      <w:tr>
        <w:trPr>
          <w:trHeight w:val="282"/>
        </w:trPr>
        <w:tc>
          <w:tcPr>
            <w:tcW w:w="7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auto"/>
        </w:rPr>
        <w:t>COMCAST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(solely for purposes of the Comcast Provisions)</w:t>
      </w:r>
    </w:p>
    <w:p>
      <w:pPr>
        <w:spacing w:after="0" w:line="200" w:lineRule="exact"/>
        <w:rPr>
          <w:sz w:val="20"/>
          <w:szCs w:val="20"/>
          <w:color w:val="auto"/>
        </w:rPr>
      </w:pPr>
    </w:p>
    <w:p>
      <w:pPr>
        <w:spacing w:after="0" w:line="2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9" w:lineRule="exact"/>
        <w:rPr>
          <w:sz w:val="20"/>
          <w:szCs w:val="20"/>
          <w:color w:val="auto"/>
        </w:rPr>
      </w:pPr>
    </w:p>
    <w:tbl>
      <w:tblPr>
        <w:tblLayout w:type="fixed"/>
        <w:tblInd w:w="476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Marc A. Rockford</w:t>
            </w:r>
          </w:p>
        </w:tc>
      </w:tr>
      <w:tr>
        <w:trPr>
          <w:trHeight w:val="250"/>
        </w:trPr>
        <w:tc>
          <w:tcPr>
            <w:tcW w:w="760" w:type="dxa"/>
            <w:vAlign w:val="bottom"/>
          </w:tcPr>
          <w:p>
            <w:pPr>
              <w:spacing w:after="0"/>
              <w:rPr>
                <w:sz w:val="21"/>
                <w:szCs w:val="21"/>
                <w:color w:val="auto"/>
              </w:rPr>
            </w:pPr>
          </w:p>
        </w:tc>
        <w:tc>
          <w:tcPr>
            <w:tcW w:w="76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160"/>
              <w:spacing w:after="0" w:line="249" w:lineRule="exact"/>
              <w:rPr>
                <w:sz w:val="20"/>
                <w:szCs w:val="20"/>
                <w:color w:val="auto"/>
              </w:rPr>
            </w:pPr>
            <w:r>
              <w:rPr>
                <w:rFonts w:ascii="Times New Roman" w:cs="Times New Roman" w:eastAsia="Times New Roman" w:hAnsi="Times New Roman"/>
                <w:sz w:val="22"/>
                <w:szCs w:val="22"/>
                <w:color w:val="auto"/>
              </w:rPr>
              <w:t>Marc A. Rockford</w:t>
            </w:r>
          </w:p>
        </w:tc>
      </w:tr>
      <w:tr>
        <w:trPr>
          <w:trHeight w:val="282"/>
        </w:trPr>
        <w:tc>
          <w:tcPr>
            <w:tcW w:w="7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Shareholders Agreement of Atairos Group, Inc.</w:t>
      </w:r>
    </w:p>
    <w:p>
      <w:pPr>
        <w:sectPr>
          <w:pgSz w:w="11900" w:h="16838" w:orient="portrait"/>
          <w:cols w:equalWidth="0" w:num="1">
            <w:col w:w="10120"/>
          </w:cols>
          <w:pgMar w:left="1440" w:top="1440" w:right="3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8880" w:type="dxa"/>
            <w:vAlign w:val="bottom"/>
            <w:tcBorders>
              <w:top w:val="single" w:sz="8" w:color="auto"/>
              <w:left w:val="single" w:sz="8" w:color="auto"/>
              <w:right w:val="single" w:sz="8" w:color="auto"/>
            </w:tcBorders>
            <w:vMerge w:val="restart"/>
          </w:tcPr>
          <w:p>
            <w:pPr>
              <w:ind w:left="392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160" w:type="dxa"/>
            <w:vAlign w:val="bottom"/>
            <w:tcBorders>
              <w:top w:val="single" w:sz="8" w:color="auto"/>
              <w:right w:val="single" w:sz="8" w:color="auto"/>
            </w:tcBorders>
          </w:tcPr>
          <w:p>
            <w:pPr>
              <w:ind w:left="360"/>
              <w:spacing w:after="0" w:line="203" w:lineRule="exact"/>
              <w:rPr>
                <w:sz w:val="20"/>
                <w:szCs w:val="20"/>
                <w:color w:val="auto"/>
              </w:rPr>
            </w:pPr>
            <w:r>
              <w:rPr>
                <w:rFonts w:ascii="Times New Roman" w:cs="Times New Roman" w:eastAsia="Times New Roman" w:hAnsi="Times New Roman"/>
                <w:sz w:val="20"/>
                <w:szCs w:val="20"/>
                <w:b w:val="1"/>
                <w:bCs w:val="1"/>
                <w:color w:val="auto"/>
              </w:rPr>
              <w:t>State/Country of</w:t>
            </w:r>
          </w:p>
        </w:tc>
        <w:tc>
          <w:tcPr>
            <w:tcW w:w="0" w:type="dxa"/>
            <w:vAlign w:val="bottom"/>
          </w:tcPr>
          <w:p>
            <w:pPr>
              <w:spacing w:after="0"/>
              <w:rPr>
                <w:sz w:val="1"/>
                <w:szCs w:val="1"/>
                <w:color w:val="auto"/>
              </w:rPr>
            </w:pPr>
          </w:p>
        </w:tc>
      </w:tr>
      <w:tr>
        <w:trPr>
          <w:trHeight w:val="154"/>
        </w:trPr>
        <w:tc>
          <w:tcPr>
            <w:tcW w:w="8880" w:type="dxa"/>
            <w:vAlign w:val="bottom"/>
            <w:tcBorders>
              <w:left w:val="single" w:sz="8" w:color="auto"/>
              <w:right w:val="single" w:sz="8" w:color="auto"/>
            </w:tcBorders>
            <w:vMerge w:val="continue"/>
          </w:tcPr>
          <w:p>
            <w:pPr>
              <w:spacing w:after="0"/>
              <w:rPr>
                <w:sz w:val="13"/>
                <w:szCs w:val="13"/>
                <w:color w:val="auto"/>
              </w:rPr>
            </w:pPr>
          </w:p>
        </w:tc>
        <w:tc>
          <w:tcPr>
            <w:tcW w:w="21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0"/>
                <w:szCs w:val="20"/>
                <w:b w:val="1"/>
                <w:bCs w:val="1"/>
                <w:color w:val="auto"/>
              </w:rPr>
              <w:t>Organization</w:t>
            </w:r>
          </w:p>
        </w:tc>
        <w:tc>
          <w:tcPr>
            <w:tcW w:w="0" w:type="dxa"/>
            <w:vAlign w:val="bottom"/>
          </w:tcPr>
          <w:p>
            <w:pPr>
              <w:spacing w:after="0"/>
              <w:rPr>
                <w:sz w:val="1"/>
                <w:szCs w:val="1"/>
                <w:color w:val="auto"/>
              </w:rPr>
            </w:pPr>
          </w:p>
        </w:tc>
      </w:tr>
      <w:tr>
        <w:trPr>
          <w:trHeight w:val="88"/>
        </w:trPr>
        <w:tc>
          <w:tcPr>
            <w:tcW w:w="888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Beijing International Resort Co., Ltd.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Beijing International Resort Co., Ltd. Theme Park and Resort Management Branch</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Bravo Media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NY</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CNBC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ABB Note Consolidation,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AG Holdings,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Bidco Holdings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Bidco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Broadband Security,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Business Communications,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Cable Communications Management,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Cable Communications,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Holdings Corporation</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Hulu Holdings,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Interactive Media,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IP Phone,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Alabama,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Arkansas/Louisiana/Minnesota/Mississippi/Tennessee,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Baltimore City,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Boston,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NY</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 II,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 III,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 IX,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California/Colorado,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California/Colorado/Florida/Oregon,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California/Colorado/Illinois/Indiana/Michigan,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California/Maryland/Pennsylvania/Virginia/West Virginia,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California/Massachusetts/Michigan/Utah,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Colorado IX,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Colorado/Pennsylvania/West Virginia,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Connecticut,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OK</w:t>
            </w:r>
          </w:p>
        </w:tc>
        <w:tc>
          <w:tcPr>
            <w:tcW w:w="0" w:type="dxa"/>
            <w:vAlign w:val="bottom"/>
          </w:tcPr>
          <w:p>
            <w:pPr>
              <w:spacing w:after="0"/>
              <w:rPr>
                <w:sz w:val="1"/>
                <w:szCs w:val="1"/>
                <w:color w:val="auto"/>
              </w:rPr>
            </w:pPr>
          </w:p>
        </w:tc>
      </w:tr>
      <w:tr>
        <w:trPr>
          <w:trHeight w:val="183"/>
        </w:trPr>
        <w:tc>
          <w:tcPr>
            <w:tcW w:w="8880" w:type="dxa"/>
            <w:vAlign w:val="bottom"/>
            <w:tcBorders>
              <w:left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20"/>
                <w:szCs w:val="20"/>
                <w:color w:val="auto"/>
                <w:w w:val="98"/>
              </w:rPr>
              <w:t>Comcast of Connecticut/Georgia/Massachusetts/New Hampshire/New York/North Carolina/Virginia/Vermont,</w:t>
            </w:r>
          </w:p>
        </w:tc>
        <w:tc>
          <w:tcPr>
            <w:tcW w:w="2160" w:type="dxa"/>
            <w:vAlign w:val="bottom"/>
            <w:tcBorders>
              <w:right w:val="single" w:sz="8" w:color="auto"/>
            </w:tcBorders>
          </w:tcPr>
          <w:p>
            <w:pPr>
              <w:spacing w:after="0" w:line="183" w:lineRule="exact"/>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43"/>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LLC</w:t>
            </w:r>
          </w:p>
        </w:tc>
        <w:tc>
          <w:tcPr>
            <w:tcW w:w="2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Delmarva,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Florida/Michigan/New Mexico/Pennsylvania/Washington,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Fresno,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w:t>
            </w:r>
          </w:p>
        </w:tc>
        <w:tc>
          <w:tcPr>
            <w:tcW w:w="0" w:type="dxa"/>
            <w:vAlign w:val="bottom"/>
          </w:tcPr>
          <w:p>
            <w:pPr>
              <w:spacing w:after="0"/>
              <w:rPr>
                <w:sz w:val="1"/>
                <w:szCs w:val="1"/>
                <w:color w:val="auto"/>
              </w:rPr>
            </w:pP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Garden State, L.P.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Georgia/Illinois/Michigan,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342" w:name="page343"/>
    <w:bookmarkEnd w:id="34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Georgia/Massachusetts, LLC</w:t>
            </w:r>
          </w:p>
        </w:tc>
        <w:tc>
          <w:tcPr>
            <w:tcW w:w="2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Georgia/South Carolina,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Houston,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Illinois IV,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IL</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Illinois VI,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Illinois XI,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Illinois/Indiana/Ohio,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Illinois/Ohio/Oregon,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Illinois/West Virginia,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Indianapolis, L.P.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Maine/New Hampshire,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NH</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Maryland Limited Partnership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MD</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Maryland,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Massachusetts II,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Massachusetts III,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Massachusetts/Virginia,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VA</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Minnesota,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Minnesota/Wisconsin,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New Jersey II,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New Mexico,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Oregon II,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OR</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Philadelphia II,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Potomac,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Sacramento I,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South Jersey,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Southeast Pennsylvania,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the District,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DC</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the South</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Utah II,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of Virginia,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OTR1,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PSM Holdings,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SportsNet New England,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SportsNet Philadelphia, L.P.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Comcast Ventures, LP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DreamWorks Animation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DWA Holdings,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 Entertainment Television,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MSNBC Cable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 Olympics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 Sports Network, L.P.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020"/>
          </w:cols>
          <w:pgMar w:left="320" w:top="1440" w:right="559" w:bottom="1440" w:gutter="0" w:footer="0" w:header="0"/>
        </w:sectPr>
      </w:pPr>
    </w:p>
    <w:bookmarkStart w:id="343" w:name="page344"/>
    <w:bookmarkEnd w:id="34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 Sports Ventures LLC</w:t>
            </w:r>
          </w:p>
        </w:tc>
        <w:tc>
          <w:tcPr>
            <w:tcW w:w="2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 Stations Management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 Subsidiary (WTVJ-TV)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 West,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NBCU Television Holding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NBCUniversal Enterprise, Inc.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NBCUniversal Media,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NBCUniversal Shared Services,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NBCUniversal,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Open 4 Business Productions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CP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Deutschland Fernsehen GmbH &amp; Co. KG</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German Holdings GmbH</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International Operations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Italia S.r.l.</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Italy</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Italian Holdings S.p.A.</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Italy</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Subscribers Services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Telecommunications Services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UK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Sky Ventures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Sympoz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VA</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Telemundo Media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Telemundo Network Group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TGC,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Beijing Owner Holding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City Development Partners, Ltd.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FL</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City Studios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City Studios Productions LLLP</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Content Productions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Film Exchanges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Studios International B.V.</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Studios Limited</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Studios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Television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NY</w:t>
            </w:r>
          </w:p>
        </w:tc>
      </w:tr>
      <w:tr>
        <w:trPr>
          <w:trHeight w:val="237"/>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Universal Television Networks</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NY</w:t>
            </w:r>
          </w:p>
        </w:tc>
      </w:tr>
      <w:tr>
        <w:trPr>
          <w:trHeight w:val="236"/>
        </w:trPr>
        <w:tc>
          <w:tcPr>
            <w:tcW w:w="8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USJ LLC</w:t>
            </w:r>
          </w:p>
        </w:tc>
        <w:tc>
          <w:tcPr>
            <w:tcW w:w="2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Japan</w:t>
            </w:r>
          </w:p>
        </w:tc>
      </w:tr>
    </w:tbl>
    <w:p>
      <w:pPr>
        <w:sectPr>
          <w:pgSz w:w="11900" w:h="16838" w:orient="portrait"/>
          <w:cols w:equalWidth="0" w:num="1">
            <w:col w:w="11020"/>
          </w:cols>
          <w:pgMar w:left="320" w:top="1440" w:right="55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on Form S-8 (Nos. 333-101295, 333-104385, 333-121082, 333-123059, 333-130844, 333-130845, 333-130847, 333-150976, 333-161468, 333-174416, 333-174417, 333-179638, 333-183008, 333-193903, 333-210085, 333-212716, 333-224455, 333-224456, 333-232416 and 333-239814) and Form S-3 (No. 333-232941) of our report dated February 3, 2021, relating to the consolidated financial statements of Comcast Corporation and the effectiveness of Comcast Corporation's internal control over financial reporting, appearing in this Annual Report on Form 10-K of Comcast Corporation for the year ended December 31, 2020.</w:t>
      </w:r>
    </w:p>
    <w:p>
      <w:pPr>
        <w:spacing w:after="0" w:line="3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February 3, 2021</w:t>
      </w:r>
    </w:p>
    <w:p>
      <w:pPr>
        <w:sectPr>
          <w:pgSz w:w="11900" w:h="16838" w:orient="portrait"/>
          <w:cols w:equalWidth="0" w:num="1">
            <w:col w:w="11240"/>
          </w:cols>
          <w:pgMar w:left="320" w:top="360"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1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3,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Michael J. Cavanagh,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7">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9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75E256A"/>
    <w:multiLevelType w:val="hybridMultilevel"/>
    <w:lvl w:ilvl="0">
      <w:lvlJc w:val="left"/>
      <w:lvlText w:val="•"/>
      <w:numFmt w:val="bullet"/>
      <w:start w:val="1"/>
    </w:lvl>
  </w:abstractNum>
  <w:abstractNum w:abstractNumId="1">
    <w:nsid w:val="368DB37E"/>
    <w:multiLevelType w:val="hybridMultilevel"/>
    <w:lvl w:ilvl="0">
      <w:lvlJc w:val="left"/>
      <w:lvlText w:val="(%1)"/>
      <w:numFmt w:val="lowerLetter"/>
      <w:start w:val="1"/>
    </w:lvl>
  </w:abstractNum>
  <w:abstractNum w:abstractNumId="2">
    <w:nsid w:val="6A3B714C"/>
    <w:multiLevelType w:val="hybridMultilevel"/>
    <w:lvl w:ilvl="0">
      <w:lvlJc w:val="left"/>
      <w:lvlText w:val="•"/>
      <w:numFmt w:val="bullet"/>
      <w:start w:val="1"/>
    </w:lvl>
  </w:abstractNum>
  <w:abstractNum w:abstractNumId="3">
    <w:nsid w:val="327B517E"/>
    <w:multiLevelType w:val="hybridMultilevel"/>
    <w:lvl w:ilvl="0">
      <w:lvlJc w:val="left"/>
      <w:lvlText w:val="•"/>
      <w:numFmt w:val="bullet"/>
      <w:start w:val="1"/>
    </w:lvl>
    <w:lvl w:ilvl="1">
      <w:lvlJc w:val="left"/>
      <w:lvlText w:val="◦"/>
      <w:numFmt w:val="bullet"/>
      <w:start w:val="1"/>
    </w:lvl>
  </w:abstractNum>
  <w:abstractNum w:abstractNumId="4">
    <w:nsid w:val="1F461B51"/>
    <w:multiLevelType w:val="hybridMultilevel"/>
    <w:lvl w:ilvl="0">
      <w:lvlJc w:val="left"/>
      <w:lvlText w:val="•"/>
      <w:numFmt w:val="bullet"/>
      <w:start w:val="1"/>
    </w:lvl>
    <w:lvl w:ilvl="1">
      <w:lvlJc w:val="left"/>
      <w:lvlText w:val="◦"/>
      <w:numFmt w:val="bullet"/>
      <w:start w:val="1"/>
    </w:lvl>
  </w:abstractNum>
  <w:abstractNum w:abstractNumId="5">
    <w:nsid w:val="29BACF25"/>
    <w:multiLevelType w:val="hybridMultilevel"/>
    <w:lvl w:ilvl="0">
      <w:lvlJc w:val="left"/>
      <w:lvlText w:val="•"/>
      <w:numFmt w:val="bullet"/>
      <w:start w:val="1"/>
    </w:lvl>
  </w:abstractNum>
  <w:abstractNum w:abstractNumId="6">
    <w:nsid w:val="5D5BABB3"/>
    <w:multiLevelType w:val="hybridMultilevel"/>
    <w:lvl w:ilvl="0">
      <w:lvlJc w:val="left"/>
      <w:lvlText w:val="(%1)"/>
      <w:numFmt w:val="lowerLetter"/>
      <w:start w:val="1"/>
    </w:lvl>
  </w:abstractNum>
  <w:abstractNum w:abstractNumId="7">
    <w:nsid w:val="51BF6B48"/>
    <w:multiLevelType w:val="hybridMultilevel"/>
    <w:lvl w:ilvl="0">
      <w:lvlJc w:val="left"/>
      <w:lvlText w:val="•"/>
      <w:numFmt w:val="bullet"/>
      <w:start w:val="1"/>
    </w:lvl>
  </w:abstractNum>
  <w:abstractNum w:abstractNumId="8">
    <w:nsid w:val="7E0F6384"/>
    <w:multiLevelType w:val="hybridMultilevel"/>
    <w:lvl w:ilvl="0">
      <w:lvlJc w:val="left"/>
      <w:lvlText w:val="(%1)"/>
      <w:numFmt w:val="lowerLetter"/>
      <w:start w:val="1"/>
    </w:lvl>
  </w:abstractNum>
  <w:abstractNum w:abstractNumId="9">
    <w:nsid w:val="2B4B8B53"/>
    <w:multiLevelType w:val="hybridMultilevel"/>
    <w:lvl w:ilvl="0">
      <w:lvlJc w:val="left"/>
      <w:lvlText w:val="•"/>
      <w:numFmt w:val="bullet"/>
      <w:start w:val="1"/>
    </w:lvl>
  </w:abstractNum>
  <w:abstractNum w:abstractNumId="10">
    <w:nsid w:val="72E3413A"/>
    <w:multiLevelType w:val="hybridMultilevel"/>
    <w:lvl w:ilvl="0">
      <w:lvlJc w:val="left"/>
      <w:lvlText w:val="•"/>
      <w:numFmt w:val="bullet"/>
      <w:start w:val="1"/>
    </w:lvl>
  </w:abstractNum>
  <w:abstractNum w:abstractNumId="11">
    <w:nsid w:val="116AE494"/>
    <w:multiLevelType w:val="hybridMultilevel"/>
    <w:lvl w:ilvl="0">
      <w:lvlJc w:val="left"/>
      <w:lvlText w:val="•"/>
      <w:numFmt w:val="bullet"/>
      <w:start w:val="1"/>
    </w:lvl>
  </w:abstractNum>
  <w:abstractNum w:abstractNumId="12">
    <w:nsid w:val="3494B2FB"/>
    <w:multiLevelType w:val="hybridMultilevel"/>
    <w:lvl w:ilvl="0">
      <w:lvlJc w:val="left"/>
      <w:lvlText w:val="•"/>
      <w:numFmt w:val="bullet"/>
      <w:start w:val="1"/>
    </w:lvl>
  </w:abstractNum>
  <w:abstractNum w:abstractNumId="13">
    <w:nsid w:val="B13A31"/>
    <w:multiLevelType w:val="hybridMultilevel"/>
    <w:lvl w:ilvl="0">
      <w:lvlJc w:val="left"/>
      <w:lvlText w:val="•"/>
      <w:numFmt w:val="bullet"/>
      <w:start w:val="1"/>
    </w:lvl>
  </w:abstractNum>
  <w:abstractNum w:abstractNumId="14">
    <w:nsid w:val="64429599"/>
    <w:multiLevelType w:val="hybridMultilevel"/>
    <w:lvl w:ilvl="0">
      <w:lvlJc w:val="left"/>
      <w:lvlText w:val="•"/>
      <w:numFmt w:val="bullet"/>
      <w:start w:val="1"/>
    </w:lvl>
  </w:abstractNum>
  <w:abstractNum w:abstractNumId="15">
    <w:nsid w:val="631F1690"/>
    <w:multiLevelType w:val="hybridMultilevel"/>
    <w:lvl w:ilvl="0">
      <w:lvlJc w:val="left"/>
      <w:lvlText w:val="•"/>
      <w:numFmt w:val="bullet"/>
      <w:start w:val="1"/>
    </w:lvl>
  </w:abstractNum>
  <w:abstractNum w:abstractNumId="16">
    <w:nsid w:val="25973E32"/>
    <w:multiLevelType w:val="hybridMultilevel"/>
    <w:lvl w:ilvl="0">
      <w:lvlJc w:val="left"/>
      <w:lvlText w:val="•"/>
      <w:numFmt w:val="bullet"/>
      <w:start w:val="1"/>
    </w:lvl>
  </w:abstractNum>
  <w:abstractNum w:abstractNumId="17">
    <w:nsid w:val="EAD6F57"/>
    <w:multiLevelType w:val="hybridMultilevel"/>
    <w:lvl w:ilvl="0">
      <w:lvlJc w:val="left"/>
      <w:lvlText w:val="•"/>
      <w:numFmt w:val="bullet"/>
      <w:start w:val="1"/>
    </w:lvl>
  </w:abstractNum>
  <w:abstractNum w:abstractNumId="18">
    <w:nsid w:val="6EC9D844"/>
    <w:multiLevelType w:val="hybridMultilevel"/>
    <w:lvl w:ilvl="0">
      <w:lvlJc w:val="left"/>
      <w:lvlText w:val="(%1)"/>
      <w:numFmt w:val="lowerLetter"/>
      <w:start w:val="1"/>
    </w:lvl>
  </w:abstractNum>
  <w:abstractNum w:abstractNumId="19">
    <w:nsid w:val="5C49EAEE"/>
    <w:multiLevelType w:val="hybridMultilevel"/>
    <w:lvl w:ilvl="0">
      <w:lvlJc w:val="left"/>
      <w:lvlText w:val="•"/>
      <w:numFmt w:val="bullet"/>
      <w:start w:val="1"/>
    </w:lvl>
  </w:abstractNum>
  <w:abstractNum w:abstractNumId="20">
    <w:nsid w:val="64AF49B"/>
    <w:multiLevelType w:val="hybridMultilevel"/>
    <w:lvl w:ilvl="0">
      <w:lvlJc w:val="left"/>
      <w:lvlText w:val="•"/>
      <w:numFmt w:val="bullet"/>
      <w:start w:val="1"/>
    </w:lvl>
  </w:abstractNum>
  <w:abstractNum w:abstractNumId="21">
    <w:nsid w:val="397C46BC"/>
    <w:multiLevelType w:val="hybridMultilevel"/>
    <w:lvl w:ilvl="0">
      <w:lvlJc w:val="left"/>
      <w:lvlText w:val="(%1)"/>
      <w:numFmt w:val="lowerLetter"/>
      <w:start w:val="1"/>
    </w:lvl>
  </w:abstractNum>
  <w:abstractNum w:abstractNumId="22">
    <w:nsid w:val="7E448DE9"/>
    <w:multiLevelType w:val="hybridMultilevel"/>
    <w:lvl w:ilvl="0">
      <w:lvlJc w:val="left"/>
      <w:lvlText w:val="(%1)"/>
      <w:numFmt w:val="lowerLetter"/>
      <w:start w:val="1"/>
    </w:lvl>
  </w:abstractNum>
  <w:abstractNum w:abstractNumId="23">
    <w:nsid w:val="5A9CC3E5"/>
    <w:multiLevelType w:val="hybridMultilevel"/>
    <w:lvl w:ilvl="0">
      <w:lvlJc w:val="left"/>
      <w:lvlText w:val="(%1)"/>
      <w:numFmt w:val="lowerLetter"/>
      <w:start w:val="1"/>
    </w:lvl>
  </w:abstractNum>
  <w:abstractNum w:abstractNumId="24">
    <w:nsid w:val="1AFE3625"/>
    <w:multiLevelType w:val="hybridMultilevel"/>
    <w:lvl w:ilvl="0">
      <w:lvlJc w:val="left"/>
      <w:lvlText w:val="(%1)"/>
      <w:numFmt w:val="lowerLetter"/>
      <w:start w:val="1"/>
    </w:lvl>
  </w:abstractNum>
  <w:abstractNum w:abstractNumId="25">
    <w:nsid w:val="3CA88ECF"/>
    <w:multiLevelType w:val="hybridMultilevel"/>
    <w:lvl w:ilvl="0">
      <w:lvlJc w:val="left"/>
      <w:lvlText w:val="(%1)"/>
      <w:numFmt w:val="lowerLetter"/>
      <w:start w:val="1"/>
    </w:lvl>
  </w:abstractNum>
  <w:abstractNum w:abstractNumId="26">
    <w:nsid w:val="6EBE4208"/>
    <w:multiLevelType w:val="hybridMultilevel"/>
    <w:lvl w:ilvl="0">
      <w:lvlJc w:val="left"/>
      <w:lvlText w:val="•"/>
      <w:numFmt w:val="bullet"/>
      <w:start w:val="1"/>
    </w:lvl>
  </w:abstractNum>
  <w:abstractNum w:abstractNumId="27">
    <w:nsid w:val="C058DF5"/>
    <w:multiLevelType w:val="hybridMultilevel"/>
    <w:lvl w:ilvl="0">
      <w:lvlJc w:val="left"/>
      <w:lvlText w:val="•"/>
      <w:numFmt w:val="bullet"/>
      <w:start w:val="1"/>
    </w:lvl>
  </w:abstractNum>
  <w:abstractNum w:abstractNumId="28">
    <w:nsid w:val="CBE5BE9"/>
    <w:multiLevelType w:val="hybridMultilevel"/>
    <w:lvl w:ilvl="0">
      <w:lvlJc w:val="left"/>
      <w:lvlText w:val="•"/>
      <w:numFmt w:val="bullet"/>
      <w:start w:val="1"/>
    </w:lvl>
  </w:abstractNum>
  <w:abstractNum w:abstractNumId="29">
    <w:nsid w:val="3102BBE2"/>
    <w:multiLevelType w:val="hybridMultilevel"/>
    <w:lvl w:ilvl="0">
      <w:lvlJc w:val="left"/>
      <w:lvlText w:val="•"/>
      <w:numFmt w:val="bullet"/>
      <w:start w:val="1"/>
    </w:lvl>
  </w:abstractNum>
  <w:abstractNum w:abstractNumId="30">
    <w:nsid w:val="26A02C5E"/>
    <w:multiLevelType w:val="hybridMultilevel"/>
    <w:lvl w:ilvl="0">
      <w:lvlJc w:val="left"/>
      <w:lvlText w:val="•"/>
      <w:numFmt w:val="bullet"/>
      <w:start w:val="1"/>
    </w:lvl>
  </w:abstractNum>
  <w:abstractNum w:abstractNumId="31">
    <w:nsid w:val="541C8153"/>
    <w:multiLevelType w:val="hybridMultilevel"/>
    <w:lvl w:ilvl="0">
      <w:lvlJc w:val="left"/>
      <w:lvlText w:val="(%1)"/>
      <w:numFmt w:val="lowerLetter"/>
      <w:start w:val="1"/>
    </w:lvl>
    <w:lvl w:ilvl="1">
      <w:lvlJc w:val="left"/>
      <w:lvlText w:val="•"/>
      <w:numFmt w:val="bullet"/>
      <w:start w:val="1"/>
    </w:lvl>
  </w:abstractNum>
  <w:abstractNum w:abstractNumId="32">
    <w:nsid w:val="67906F60"/>
    <w:multiLevelType w:val="hybridMultilevel"/>
    <w:lvl w:ilvl="0">
      <w:lvlJc w:val="left"/>
      <w:lvlText w:val="(%1)"/>
      <w:numFmt w:val="lowerLetter"/>
      <w:start w:val="1"/>
    </w:lvl>
  </w:abstractNum>
  <w:abstractNum w:abstractNumId="33">
    <w:nsid w:val="10DB9DAA"/>
    <w:multiLevelType w:val="hybridMultilevel"/>
    <w:lvl w:ilvl="0">
      <w:lvlJc w:val="left"/>
      <w:lvlText w:val="(%1)"/>
      <w:numFmt w:val="lowerLetter"/>
      <w:start w:val="1"/>
    </w:lvl>
  </w:abstractNum>
  <w:abstractNum w:abstractNumId="34">
    <w:nsid w:val="697D2D2"/>
    <w:multiLevelType w:val="hybridMultilevel"/>
    <w:lvl w:ilvl="0">
      <w:lvlJc w:val="left"/>
      <w:lvlText w:val="•"/>
      <w:numFmt w:val="bullet"/>
      <w:start w:val="1"/>
    </w:lvl>
  </w:abstractNum>
  <w:abstractNum w:abstractNumId="35">
    <w:nsid w:val="6D68AB2"/>
    <w:multiLevelType w:val="hybridMultilevel"/>
    <w:lvl w:ilvl="0">
      <w:lvlJc w:val="left"/>
      <w:lvlText w:val="(%1)"/>
      <w:numFmt w:val="lowerLetter"/>
      <w:start w:val="1"/>
    </w:lvl>
  </w:abstractNum>
  <w:abstractNum w:abstractNumId="36">
    <w:nsid w:val="3A966CD0"/>
    <w:multiLevelType w:val="hybridMultilevel"/>
    <w:lvl w:ilvl="0">
      <w:lvlJc w:val="left"/>
      <w:lvlText w:val="%1"/>
      <w:numFmt w:val="decimal"/>
      <w:start w:val="21"/>
    </w:lvl>
  </w:abstractNum>
  <w:abstractNum w:abstractNumId="37">
    <w:nsid w:val="63F37E85"/>
    <w:multiLevelType w:val="hybridMultilevel"/>
    <w:lvl w:ilvl="0">
      <w:lvlJc w:val="left"/>
      <w:lvlText w:val="%1"/>
      <w:numFmt w:val="decimal"/>
      <w:start w:val="31"/>
    </w:lvl>
  </w:abstractNum>
  <w:abstractNum w:abstractNumId="38">
    <w:nsid w:val="5895F5FA"/>
    <w:multiLevelType w:val="hybridMultilevel"/>
    <w:lvl w:ilvl="0">
      <w:lvlJc w:val="left"/>
      <w:lvlText w:val="%1"/>
      <w:numFmt w:val="decimal"/>
      <w:start w:val="101"/>
    </w:lvl>
  </w:abstractNum>
  <w:abstractNum w:abstractNumId="39">
    <w:nsid w:val="38A5D054"/>
    <w:multiLevelType w:val="hybridMultilevel"/>
    <w:lvl w:ilvl="0">
      <w:lvlJc w:val="left"/>
      <w:lvlText w:val="*"/>
      <w:numFmt w:val="bullet"/>
      <w:start w:val="1"/>
    </w:lvl>
  </w:abstractNum>
  <w:abstractNum w:abstractNumId="40">
    <w:nsid w:val="F3F09D8"/>
    <w:multiLevelType w:val="hybridMultilevel"/>
    <w:lvl w:ilvl="0">
      <w:lvlJc w:val="left"/>
      <w:lvlText w:val="(%1)"/>
      <w:numFmt w:val="decimal"/>
      <w:start w:val="1"/>
    </w:lvl>
  </w:abstractNum>
  <w:abstractNum w:abstractNumId="41">
    <w:nsid w:val="4B793735"/>
    <w:multiLevelType w:val="hybridMultilevel"/>
    <w:lvl w:ilvl="0">
      <w:lvlJc w:val="left"/>
      <w:lvlText w:val="(%1)"/>
      <w:numFmt w:val="decimal"/>
      <w:start w:val="2"/>
    </w:lvl>
  </w:abstractNum>
  <w:abstractNum w:abstractNumId="42">
    <w:nsid w:val="4A10B4E8"/>
    <w:multiLevelType w:val="hybridMultilevel"/>
    <w:lvl w:ilvl="0">
      <w:lvlJc w:val="left"/>
      <w:lvlText w:val="•"/>
      <w:numFmt w:val="bullet"/>
      <w:start w:val="1"/>
    </w:lvl>
  </w:abstractNum>
  <w:abstractNum w:abstractNumId="43">
    <w:nsid w:val="43D3BCD4"/>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44">
    <w:nsid w:val="4C2A7166"/>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abstractNum>
  <w:abstractNum w:abstractNumId="45">
    <w:nsid w:val="2E534A82"/>
    <w:multiLevelType w:val="hybridMultilevel"/>
    <w:lvl w:ilvl="0">
      <w:lvlJc w:val="left"/>
      <w:lvlText w:val="(%1)"/>
      <w:numFmt w:val="decimal"/>
      <w:start w:val="2"/>
    </w:lvl>
  </w:abstractNum>
  <w:abstractNum w:abstractNumId="46">
    <w:nsid w:val="26F2D364"/>
    <w:multiLevelType w:val="hybridMultilevel"/>
    <w:lvl w:ilvl="0">
      <w:lvlJc w:val="left"/>
      <w:lvlText w:val="•"/>
      <w:numFmt w:val="bullet"/>
      <w:start w:val="1"/>
    </w:lvl>
  </w:abstractNum>
  <w:abstractNum w:abstractNumId="47">
    <w:nsid w:val="71C1AF98"/>
    <w:multiLevelType w:val="hybridMultilevel"/>
    <w:lvl w:ilvl="0">
      <w:lvlJc w:val="left"/>
      <w:lvlText w:val="•"/>
      <w:numFmt w:val="bullet"/>
      <w:start w:val="1"/>
    </w:lvl>
  </w:abstractNum>
  <w:abstractNum w:abstractNumId="48">
    <w:nsid w:val="3D00B9D9"/>
    <w:multiLevelType w:val="hybridMultilevel"/>
    <w:lvl w:ilvl="0">
      <w:lvlJc w:val="left"/>
      <w:lvlText w:val="•"/>
      <w:numFmt w:val="bullet"/>
      <w:start w:val="1"/>
    </w:lvl>
  </w:abstractNum>
  <w:abstractNum w:abstractNumId="49">
    <w:nsid w:val="15BCABA8"/>
    <w:multiLevelType w:val="hybridMultilevel"/>
    <w:lvl w:ilvl="0">
      <w:lvlJc w:val="left"/>
      <w:lvlText w:val="A"/>
      <w:numFmt w:val="bullet"/>
      <w:start w:val="1"/>
    </w:lvl>
    <w:lvl w:ilvl="1">
      <w:lvlJc w:val="left"/>
      <w:lvlText w:val="•"/>
      <w:numFmt w:val="bullet"/>
      <w:start w:val="1"/>
    </w:lvl>
    <w:lvl w:ilvl="2">
      <w:lvlJc w:val="left"/>
      <w:lvlText w:val="◦"/>
      <w:numFmt w:val="bullet"/>
      <w:start w:val="1"/>
    </w:lvl>
  </w:abstractNum>
  <w:abstractNum w:abstractNumId="50">
    <w:nsid w:val="4E0B9A87"/>
    <w:multiLevelType w:val="hybridMultilevel"/>
    <w:lvl w:ilvl="0">
      <w:lvlJc w:val="left"/>
      <w:lvlText w:val="◦"/>
      <w:numFmt w:val="bullet"/>
      <w:start w:val="1"/>
    </w:lvl>
  </w:abstractNum>
  <w:abstractNum w:abstractNumId="51">
    <w:nsid w:val="434BAE75"/>
    <w:multiLevelType w:val="hybridMultilevel"/>
    <w:lvl w:ilvl="0">
      <w:lvlJc w:val="left"/>
      <w:lvlText w:val="•"/>
      <w:numFmt w:val="bullet"/>
      <w:start w:val="1"/>
    </w:lvl>
  </w:abstractNum>
  <w:abstractNum w:abstractNumId="52">
    <w:nsid w:val="4F38F265"/>
    <w:multiLevelType w:val="hybridMultilevel"/>
    <w:lvl w:ilvl="0">
      <w:lvlJc w:val="left"/>
      <w:lvlText w:val="•"/>
      <w:numFmt w:val="bullet"/>
      <w:start w:val="1"/>
    </w:lvl>
  </w:abstractNum>
  <w:abstractNum w:abstractNumId="53">
    <w:nsid w:val="4C502870"/>
    <w:multiLevelType w:val="hybridMultilevel"/>
    <w:lvl w:ilvl="0">
      <w:lvlJc w:val="left"/>
      <w:lvlText w:val="•"/>
      <w:numFmt w:val="bullet"/>
      <w:start w:val="1"/>
    </w:lvl>
  </w:abstractNum>
  <w:abstractNum w:abstractNumId="54">
    <w:nsid w:val="1DE8725A"/>
    <w:multiLevelType w:val="hybridMultilevel"/>
    <w:lvl w:ilvl="0">
      <w:lvlJc w:val="left"/>
      <w:lvlText w:val="(%1)"/>
      <w:numFmt w:val="lowerLetter"/>
      <w:start w:val="1"/>
    </w:lvl>
  </w:abstractNum>
  <w:abstractNum w:abstractNumId="55">
    <w:nsid w:val="6A37288A"/>
    <w:multiLevelType w:val="hybridMultilevel"/>
    <w:lvl w:ilvl="0">
      <w:lvlJc w:val="left"/>
      <w:lvlText w:val="(%1)"/>
      <w:numFmt w:val="lowerLetter"/>
      <w:start w:val="1"/>
    </w:lvl>
  </w:abstractNum>
  <w:abstractNum w:abstractNumId="56">
    <w:nsid w:val="8F8B73F"/>
    <w:multiLevelType w:val="hybridMultilevel"/>
    <w:lvl w:ilvl="0">
      <w:lvlJc w:val="left"/>
      <w:lvlText w:val="(%1)"/>
      <w:numFmt w:val="lowerLetter"/>
      <w:start w:val="10"/>
    </w:lvl>
  </w:abstractNum>
  <w:abstractNum w:abstractNumId="57">
    <w:nsid w:val="CA6B462"/>
    <w:multiLevelType w:val="hybridMultilevel"/>
    <w:lvl w:ilvl="0">
      <w:lvlJc w:val="left"/>
      <w:lvlText w:val="(%1)"/>
      <w:numFmt w:val="lowerLetter"/>
      <w:start w:val="1"/>
    </w:lvl>
  </w:abstractNum>
  <w:abstractNum w:abstractNumId="58">
    <w:nsid w:val="763CB680"/>
    <w:multiLevelType w:val="hybridMultilevel"/>
    <w:lvl w:ilvl="0">
      <w:lvlJc w:val="left"/>
      <w:lvlText w:val="(%1)"/>
      <w:numFmt w:val="lowerLetter"/>
      <w:start w:val="5"/>
    </w:lvl>
  </w:abstractNum>
  <w:abstractNum w:abstractNumId="59">
    <w:nsid w:val="15B71329"/>
    <w:multiLevelType w:val="hybridMultilevel"/>
    <w:lvl w:ilvl="0">
      <w:lvlJc w:val="left"/>
      <w:lvlText w:val="(%1)"/>
      <w:numFmt w:val="decimal"/>
      <w:start w:val="3"/>
    </w:lvl>
  </w:abstractNum>
  <w:abstractNum w:abstractNumId="60">
    <w:nsid w:val="3DA97044"/>
    <w:multiLevelType w:val="hybridMultilevel"/>
    <w:lvl w:ilvl="0">
      <w:lvlJc w:val="left"/>
      <w:lvlText w:val="•"/>
      <w:numFmt w:val="bullet"/>
      <w:start w:val="1"/>
    </w:lvl>
    <w:lvl w:ilvl="1">
      <w:lvlJc w:val="left"/>
      <w:lvlText w:val="◦"/>
      <w:numFmt w:val="bullet"/>
      <w:start w:val="1"/>
    </w:lvl>
  </w:abstractNum>
  <w:abstractNum w:abstractNumId="61">
    <w:nsid w:val="1CDCE2DE"/>
    <w:multiLevelType w:val="hybridMultilevel"/>
    <w:lvl w:ilvl="0">
      <w:lvlJc w:val="left"/>
      <w:lvlText w:val="•"/>
      <w:numFmt w:val="bullet"/>
      <w:start w:val="1"/>
    </w:lvl>
  </w:abstractNum>
  <w:abstractNum w:abstractNumId="62">
    <w:nsid w:val="69D3947C"/>
    <w:multiLevelType w:val="hybridMultilevel"/>
    <w:lvl w:ilvl="0">
      <w:lvlJc w:val="left"/>
      <w:lvlText w:val="•"/>
      <w:numFmt w:val="bullet"/>
      <w:start w:val="1"/>
    </w:lvl>
  </w:abstractNum>
  <w:abstractNum w:abstractNumId="63">
    <w:nsid w:val="2539DFA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2DB88089"/>
    <w:multiLevelType w:val="hybridMultilevel"/>
    <w:lvl w:ilvl="0">
      <w:lvlJc w:val="left"/>
      <w:lvlText w:val="•"/>
      <w:numFmt w:val="bullet"/>
      <w:start w:val="1"/>
    </w:lvl>
  </w:abstractNum>
  <w:abstractNum w:abstractNumId="65">
    <w:nsid w:val="706B674E"/>
    <w:multiLevelType w:val="hybridMultilevel"/>
    <w:lvl w:ilvl="0">
      <w:lvlJc w:val="left"/>
      <w:lvlText w:val="•"/>
      <w:numFmt w:val="bullet"/>
      <w:start w:val="1"/>
    </w:lvl>
  </w:abstractNum>
  <w:abstractNum w:abstractNumId="66">
    <w:nsid w:val="2C106A57"/>
    <w:multiLevelType w:val="hybridMultilevel"/>
    <w:lvl w:ilvl="0">
      <w:lvlJc w:val="left"/>
      <w:lvlText w:val="•"/>
      <w:numFmt w:val="bullet"/>
      <w:start w:val="1"/>
    </w:lvl>
  </w:abstractNum>
  <w:abstractNum w:abstractNumId="67">
    <w:nsid w:val="684EED59"/>
    <w:multiLevelType w:val="hybridMultilevel"/>
    <w:lvl w:ilvl="0">
      <w:lvlJc w:val="left"/>
      <w:lvlText w:val="•"/>
      <w:numFmt w:val="bullet"/>
      <w:start w:val="1"/>
    </w:lvl>
  </w:abstractNum>
  <w:abstractNum w:abstractNumId="68">
    <w:nsid w:val="545EE5D3"/>
    <w:multiLevelType w:val="hybridMultilevel"/>
    <w:lvl w:ilvl="0">
      <w:lvlJc w:val="left"/>
      <w:lvlText w:val="•"/>
      <w:numFmt w:val="bullet"/>
      <w:start w:val="1"/>
    </w:lvl>
  </w:abstractNum>
  <w:abstractNum w:abstractNumId="69">
    <w:nsid w:val="4A66051"/>
    <w:multiLevelType w:val="hybridMultilevel"/>
    <w:lvl w:ilvl="0">
      <w:lvlJc w:val="left"/>
      <w:lvlText w:val="(%1)"/>
      <w:numFmt w:val="decimal"/>
      <w:start w:val="1"/>
    </w:lvl>
    <w:lvl w:ilvl="1">
      <w:lvlJc w:val="left"/>
      <w:lvlText w:val="•"/>
      <w:numFmt w:val="bullet"/>
      <w:start w:val="1"/>
    </w:lvl>
  </w:abstractNum>
  <w:abstractNum w:abstractNumId="70">
    <w:nsid w:val="20F4BDAD"/>
    <w:multiLevelType w:val="hybridMultilevel"/>
    <w:lvl w:ilvl="0">
      <w:lvlJc w:val="left"/>
      <w:lvlText w:val="•"/>
      <w:numFmt w:val="bullet"/>
      <w:start w:val="1"/>
    </w:lvl>
  </w:abstractNum>
  <w:abstractNum w:abstractNumId="71">
    <w:nsid w:val="639DEFAC"/>
    <w:multiLevelType w:val="hybridMultilevel"/>
    <w:lvl w:ilvl="0">
      <w:lvlJc w:val="left"/>
      <w:lvlText w:val="•"/>
      <w:numFmt w:val="bullet"/>
      <w:start w:val="1"/>
    </w:lvl>
  </w:abstractNum>
  <w:abstractNum w:abstractNumId="72">
    <w:nsid w:val="501F9786"/>
    <w:multiLevelType w:val="hybridMultilevel"/>
    <w:lvl w:ilvl="0">
      <w:lvlJc w:val="left"/>
      <w:lvlText w:val="(%1)"/>
      <w:numFmt w:val="decimal"/>
      <w:start w:val="4"/>
    </w:lvl>
  </w:abstractNum>
  <w:abstractNum w:abstractNumId="73">
    <w:nsid w:val="6B057295"/>
    <w:multiLevelType w:val="hybridMultilevel"/>
    <w:lvl w:ilvl="0">
      <w:lvlJc w:val="left"/>
      <w:lvlText w:val="(%1)"/>
      <w:numFmt w:val="decimal"/>
      <w:start w:val="1"/>
    </w:lvl>
    <w:lvl w:ilvl="1">
      <w:lvlJc w:val="left"/>
      <w:lvlText w:val="(%2)"/>
      <w:numFmt w:val="lowerLetter"/>
      <w:start w:val="1"/>
    </w:lvl>
  </w:abstractNum>
  <w:abstractNum w:abstractNumId="74">
    <w:nsid w:val="2771AC80"/>
    <w:multiLevelType w:val="hybridMultilevel"/>
    <w:lvl w:ilvl="0">
      <w:lvlJc w:val="left"/>
      <w:lvlText w:val="%1"/>
      <w:numFmt w:val="decimal"/>
      <w:start w:val="1"/>
    </w:lvl>
    <w:lvl w:ilvl="1">
      <w:lvlJc w:val="left"/>
      <w:lvlText w:val="(%2)"/>
      <w:numFmt w:val="lowerLetter"/>
      <w:start w:val="2"/>
    </w:lvl>
  </w:abstractNum>
  <w:abstractNum w:abstractNumId="75">
    <w:nsid w:val="1C4A08EC"/>
    <w:multiLevelType w:val="hybridMultilevel"/>
    <w:lvl w:ilvl="0">
      <w:lvlJc w:val="left"/>
      <w:lvlText w:val="(%1)"/>
      <w:numFmt w:val="decimal"/>
      <w:start w:val="2"/>
    </w:lvl>
    <w:lvl w:ilvl="1">
      <w:lvlJc w:val="left"/>
      <w:lvlText w:val="%2"/>
      <w:numFmt w:val="lowerLetter"/>
      <w:start w:val="1"/>
    </w:lvl>
  </w:abstractNum>
  <w:abstractNum w:abstractNumId="76">
    <w:nsid w:val="1958BD17"/>
    <w:multiLevelType w:val="hybridMultilevel"/>
    <w:lvl w:ilvl="0">
      <w:lvlJc w:val="left"/>
      <w:lvlText w:val="(%1)"/>
      <w:numFmt w:val="decimal"/>
      <w:start w:val="6"/>
    </w:lvl>
  </w:abstractNum>
  <w:abstractNum w:abstractNumId="77">
    <w:nsid w:val="4E647FE4"/>
    <w:multiLevelType w:val="hybridMultilevel"/>
    <w:lvl w:ilvl="0">
      <w:lvlJc w:val="left"/>
      <w:lvlText w:val="•"/>
      <w:numFmt w:val="bullet"/>
      <w:start w:val="1"/>
    </w:lvl>
    <w:lvl w:ilvl="1">
      <w:lvlJc w:val="left"/>
      <w:lvlText w:val="◦"/>
      <w:numFmt w:val="bullet"/>
      <w:start w:val="1"/>
    </w:lvl>
  </w:abstractNum>
  <w:abstractNum w:abstractNumId="78">
    <w:nsid w:val="E0BB885"/>
    <w:multiLevelType w:val="hybridMultilevel"/>
    <w:lvl w:ilvl="0">
      <w:lvlJc w:val="left"/>
      <w:lvlText w:val="•"/>
      <w:numFmt w:val="bullet"/>
      <w:start w:val="1"/>
    </w:lvl>
  </w:abstractNum>
  <w:abstractNum w:abstractNumId="79">
    <w:nsid w:val="565976F1"/>
    <w:multiLevelType w:val="hybridMultilevel"/>
    <w:lvl w:ilvl="0">
      <w:lvlJc w:val="left"/>
      <w:lvlText w:val="•"/>
      <w:numFmt w:val="bullet"/>
      <w:start w:val="1"/>
    </w:lvl>
  </w:abstractNum>
  <w:abstractNum w:abstractNumId="80">
    <w:nsid w:val="64212B8C"/>
    <w:multiLevelType w:val="hybridMultilevel"/>
    <w:lvl w:ilvl="0">
      <w:lvlJc w:val="left"/>
      <w:lvlText w:val="•"/>
      <w:numFmt w:val="bullet"/>
      <w:start w:val="1"/>
    </w:lvl>
    <w:lvl w:ilvl="1">
      <w:lvlJc w:val="left"/>
      <w:lvlText w:val="◦"/>
      <w:numFmt w:val="bullet"/>
      <w:start w:val="1"/>
    </w:lvl>
  </w:abstractNum>
  <w:abstractNum w:abstractNumId="81">
    <w:nsid w:val="5C17530C"/>
    <w:multiLevelType w:val="hybridMultilevel"/>
    <w:lvl w:ilvl="0">
      <w:lvlJc w:val="left"/>
      <w:lvlText w:val="•"/>
      <w:numFmt w:val="bullet"/>
      <w:start w:val="1"/>
    </w:lvl>
  </w:abstractNum>
  <w:abstractNum w:abstractNumId="82">
    <w:nsid w:val="19A52566"/>
    <w:multiLevelType w:val="hybridMultilevel"/>
    <w:lvl w:ilvl="0">
      <w:lvlJc w:val="left"/>
      <w:lvlText w:val="•"/>
      <w:numFmt w:val="bullet"/>
      <w:start w:val="1"/>
    </w:lvl>
  </w:abstractNum>
  <w:abstractNum w:abstractNumId="83">
    <w:nsid w:val="335A1DF1"/>
    <w:multiLevelType w:val="hybridMultilevel"/>
    <w:lvl w:ilvl="0">
      <w:lvlJc w:val="left"/>
      <w:lvlText w:val="•"/>
      <w:numFmt w:val="bullet"/>
      <w:start w:val="1"/>
    </w:lvl>
  </w:abstractNum>
  <w:abstractNum w:abstractNumId="84">
    <w:nsid w:val="28677B7C"/>
    <w:multiLevelType w:val="hybridMultilevel"/>
    <w:lvl w:ilvl="0">
      <w:lvlJc w:val="left"/>
      <w:lvlText w:val="•"/>
      <w:numFmt w:val="bullet"/>
      <w:start w:val="1"/>
    </w:lvl>
  </w:abstractNum>
  <w:abstractNum w:abstractNumId="85">
    <w:nsid w:val="378D97C0"/>
    <w:multiLevelType w:val="hybridMultilevel"/>
    <w:lvl w:ilvl="0">
      <w:lvlJc w:val="left"/>
      <w:lvlText w:val="•"/>
      <w:numFmt w:val="bullet"/>
      <w:start w:val="1"/>
    </w:lvl>
  </w:abstractNum>
  <w:abstractNum w:abstractNumId="86">
    <w:nsid w:val="1D91467C"/>
    <w:multiLevelType w:val="hybridMultilevel"/>
    <w:lvl w:ilvl="0">
      <w:lvlJc w:val="left"/>
      <w:lvlText w:val="•"/>
      <w:numFmt w:val="bullet"/>
      <w:start w:val="1"/>
    </w:lvl>
  </w:abstractNum>
  <w:abstractNum w:abstractNumId="87">
    <w:nsid w:val="316032BB"/>
    <w:multiLevelType w:val="hybridMultilevel"/>
    <w:lvl w:ilvl="0">
      <w:lvlJc w:val="left"/>
      <w:lvlText w:val="(%1)"/>
      <w:numFmt w:val="decimal"/>
      <w:start w:val="1"/>
    </w:lvl>
    <w:lvl w:ilvl="1">
      <w:lvlJc w:val="left"/>
      <w:lvlText w:val="•"/>
      <w:numFmt w:val="bullet"/>
      <w:start w:val="1"/>
    </w:lvl>
  </w:abstractNum>
  <w:abstractNum w:abstractNumId="88">
    <w:nsid w:val="44344C22"/>
    <w:multiLevelType w:val="hybridMultilevel"/>
    <w:lvl w:ilvl="0">
      <w:lvlJc w:val="left"/>
      <w:lvlText w:val="•"/>
      <w:numFmt w:val="bullet"/>
      <w:start w:val="1"/>
    </w:lvl>
  </w:abstractNum>
  <w:abstractNum w:abstractNumId="89">
    <w:nsid w:val="13CDFCFC"/>
    <w:multiLevelType w:val="hybridMultilevel"/>
    <w:lvl w:ilvl="0">
      <w:lvlJc w:val="left"/>
      <w:lvlText w:val="•"/>
      <w:numFmt w:val="bullet"/>
      <w:start w:val="1"/>
    </w:lvl>
  </w:abstractNum>
  <w:abstractNum w:abstractNumId="90">
    <w:nsid w:val="471745E4"/>
    <w:multiLevelType w:val="hybridMultilevel"/>
    <w:lvl w:ilvl="0">
      <w:lvlJc w:val="left"/>
      <w:lvlText w:val="(%1)"/>
      <w:numFmt w:val="decimal"/>
      <w:start w:val="5"/>
    </w:lvl>
  </w:abstractNum>
  <w:abstractNum w:abstractNumId="91">
    <w:nsid w:val="1DDBC66"/>
    <w:multiLevelType w:val="hybridMultilevel"/>
    <w:lvl w:ilvl="0">
      <w:lvlJc w:val="left"/>
      <w:lvlText w:val="•"/>
      <w:numFmt w:val="bullet"/>
      <w:start w:val="1"/>
    </w:lvl>
  </w:abstractNum>
  <w:abstractNum w:abstractNumId="92">
    <w:nsid w:val="30AADFDA"/>
    <w:multiLevelType w:val="hybridMultilevel"/>
    <w:lvl w:ilvl="0">
      <w:lvlJc w:val="left"/>
      <w:lvlText w:val="•"/>
      <w:numFmt w:val="bullet"/>
      <w:start w:val="1"/>
    </w:lvl>
    <w:lvl w:ilvl="1">
      <w:lvlJc w:val="left"/>
      <w:lvlText w:val="(%2)"/>
      <w:numFmt w:val="lowerRoman"/>
      <w:start w:val="2"/>
    </w:lvl>
  </w:abstractNum>
  <w:abstractNum w:abstractNumId="93">
    <w:nsid w:val="30EADA61"/>
    <w:multiLevelType w:val="hybridMultilevel"/>
    <w:lvl w:ilvl="0">
      <w:lvlJc w:val="left"/>
      <w:lvlText w:val="(%1)"/>
      <w:numFmt w:val="decimal"/>
      <w:start w:val="1"/>
    </w:lvl>
    <w:lvl w:ilvl="1">
      <w:lvlJc w:val="left"/>
      <w:lvlText w:val="(%2)"/>
      <w:numFmt w:val="lowerLetter"/>
      <w:start w:val="1"/>
    </w:lvl>
  </w:abstractNum>
  <w:abstractNum w:abstractNumId="94">
    <w:nsid w:val="27179C0B"/>
    <w:multiLevelType w:val="hybridMultilevel"/>
    <w:lvl w:ilvl="0">
      <w:lvlJc w:val="left"/>
      <w:lvlText w:val="(%1)"/>
      <w:numFmt w:val="decimal"/>
      <w:start w:val="3"/>
    </w:lvl>
  </w:abstractNum>
  <w:abstractNum w:abstractNumId="95">
    <w:nsid w:val="5E636063"/>
    <w:multiLevelType w:val="hybridMultilevel"/>
    <w:lvl w:ilvl="0">
      <w:lvlJc w:val="left"/>
      <w:lvlText w:val="(%1)"/>
      <w:numFmt w:val="decimal"/>
      <w:start w:val="11"/>
    </w:lvl>
  </w:abstractNum>
  <w:abstractNum w:abstractNumId="96">
    <w:nsid w:val="215641AF"/>
    <w:multiLevelType w:val="hybridMultilevel"/>
    <w:lvl w:ilvl="0">
      <w:lvlJc w:val="left"/>
      <w:lvlText w:val="(%1)"/>
      <w:numFmt w:val="lowerLetter"/>
      <w:start w:val="1"/>
    </w:lvl>
  </w:abstractNum>
  <w:abstractNum w:abstractNumId="97">
    <w:nsid w:val="53280662"/>
    <w:multiLevelType w:val="hybridMultilevel"/>
    <w:lvl w:ilvl="0">
      <w:lvlJc w:val="left"/>
      <w:lvlText w:val="•"/>
      <w:numFmt w:val="bullet"/>
      <w:start w:val="1"/>
    </w:lvl>
  </w:abstractNum>
  <w:abstractNum w:abstractNumId="98">
    <w:nsid w:val="46B24DBC"/>
    <w:multiLevelType w:val="hybridMultilevel"/>
    <w:lvl w:ilvl="0">
      <w:lvlJc w:val="left"/>
      <w:lvlText w:val="(%1)"/>
      <w:numFmt w:val="decimal"/>
      <w:start w:val="1"/>
    </w:lvl>
  </w:abstractNum>
  <w:abstractNum w:abstractNumId="99">
    <w:nsid w:val="75B52783"/>
    <w:multiLevelType w:val="hybridMultilevel"/>
    <w:lvl w:ilvl="0">
      <w:lvlJc w:val="left"/>
      <w:lvlText w:val="(%1)"/>
      <w:numFmt w:val="decimal"/>
      <w:start w:val="1"/>
    </w:lvl>
  </w:abstractNum>
  <w:abstractNum w:abstractNumId="100">
    <w:nsid w:val="57CE66B4"/>
    <w:multiLevelType w:val="hybridMultilevel"/>
    <w:lvl w:ilvl="0">
      <w:lvlJc w:val="left"/>
      <w:lvlText w:val="(%1)"/>
      <w:numFmt w:val="decimal"/>
      <w:start w:val="1"/>
    </w:lvl>
  </w:abstractNum>
  <w:abstractNum w:abstractNumId="101">
    <w:nsid w:val="67A70B69"/>
    <w:multiLevelType w:val="hybridMultilevel"/>
    <w:lvl w:ilvl="0">
      <w:lvlJc w:val="left"/>
      <w:lvlText w:val="(%1)"/>
      <w:numFmt w:val="decimal"/>
      <w:start w:val="2"/>
    </w:lvl>
  </w:abstractNum>
  <w:abstractNum w:abstractNumId="102">
    <w:nsid w:val="5953172F"/>
    <w:multiLevelType w:val="hybridMultilevel"/>
    <w:lvl w:ilvl="0">
      <w:lvlJc w:val="left"/>
      <w:lvlText w:val="(%1)"/>
      <w:numFmt w:val="decimal"/>
      <w:start w:val="1"/>
    </w:lvl>
  </w:abstractNum>
  <w:abstractNum w:abstractNumId="103">
    <w:nsid w:val="27EDFE3A"/>
    <w:multiLevelType w:val="hybridMultilevel"/>
    <w:lvl w:ilvl="0">
      <w:lvlJc w:val="left"/>
      <w:lvlText w:val="(%1)"/>
      <w:numFmt w:val="decimal"/>
      <w:start w:val="3"/>
    </w:lvl>
  </w:abstractNum>
  <w:abstractNum w:abstractNumId="104">
    <w:nsid w:val="52AC7DFF"/>
    <w:multiLevelType w:val="hybridMultilevel"/>
    <w:lvl w:ilvl="0">
      <w:lvlJc w:val="left"/>
      <w:lvlText w:val="(%1)"/>
      <w:numFmt w:val="decimal"/>
      <w:start w:val="4"/>
    </w:lvl>
  </w:abstractNum>
  <w:abstractNum w:abstractNumId="105">
    <w:nsid w:val="C4C3AF"/>
    <w:multiLevelType w:val="hybridMultilevel"/>
    <w:lvl w:ilvl="0">
      <w:lvlJc w:val="left"/>
      <w:lvlText w:val="(%1)"/>
      <w:numFmt w:val="decimal"/>
      <w:start w:val="15"/>
    </w:lvl>
  </w:abstractNum>
  <w:abstractNum w:abstractNumId="106">
    <w:nsid w:val="44380727"/>
    <w:multiLevelType w:val="hybridMultilevel"/>
    <w:lvl w:ilvl="0">
      <w:lvlJc w:val="left"/>
      <w:lvlText w:val="•"/>
      <w:numFmt w:val="bullet"/>
      <w:start w:val="1"/>
    </w:lvl>
  </w:abstractNum>
  <w:abstractNum w:abstractNumId="107">
    <w:nsid w:val="6C053B16"/>
    <w:multiLevelType w:val="hybridMultilevel"/>
    <w:lvl w:ilvl="0">
      <w:lvlJc w:val="left"/>
      <w:lvlText w:val="•"/>
      <w:numFmt w:val="bullet"/>
      <w:start w:val="1"/>
    </w:lvl>
  </w:abstractNum>
  <w:abstractNum w:abstractNumId="108">
    <w:nsid w:val="4F294393"/>
    <w:multiLevelType w:val="hybridMultilevel"/>
    <w:lvl w:ilvl="0">
      <w:lvlJc w:val="left"/>
      <w:lvlText w:val="•"/>
      <w:numFmt w:val="bullet"/>
      <w:start w:val="1"/>
    </w:lvl>
  </w:abstractNum>
  <w:abstractNum w:abstractNumId="109">
    <w:nsid w:val="5243BFAC"/>
    <w:multiLevelType w:val="hybridMultilevel"/>
    <w:lvl w:ilvl="0">
      <w:lvlJc w:val="left"/>
      <w:lvlText w:val="•"/>
      <w:numFmt w:val="bullet"/>
      <w:start w:val="1"/>
    </w:lvl>
  </w:abstractNum>
  <w:abstractNum w:abstractNumId="110">
    <w:nsid w:val="425EB207"/>
    <w:multiLevelType w:val="hybridMultilevel"/>
    <w:lvl w:ilvl="0">
      <w:lvlJc w:val="left"/>
      <w:lvlText w:val="(%1)"/>
      <w:numFmt w:val="lowerLetter"/>
      <w:start w:val="1"/>
    </w:lvl>
  </w:abstractNum>
  <w:abstractNum w:abstractNumId="111">
    <w:nsid w:val="334A6F1F"/>
    <w:multiLevelType w:val="hybridMultilevel"/>
    <w:lvl w:ilvl="0">
      <w:lvlJc w:val="left"/>
      <w:lvlText w:val="(%1)"/>
      <w:numFmt w:val="lowerLetter"/>
      <w:start w:val="1"/>
    </w:lvl>
  </w:abstractNum>
  <w:abstractNum w:abstractNumId="112">
    <w:nsid w:val="2E5B12B8"/>
    <w:multiLevelType w:val="hybridMultilevel"/>
    <w:lvl w:ilvl="0">
      <w:lvlJc w:val="left"/>
      <w:lvlText w:val="(%1)"/>
      <w:numFmt w:val="lowerLetter"/>
      <w:start w:val="4"/>
    </w:lvl>
  </w:abstractNum>
  <w:abstractNum w:abstractNumId="113">
    <w:nsid w:val="5C03D76D"/>
    <w:multiLevelType w:val="hybridMultilevel"/>
    <w:lvl w:ilvl="0">
      <w:lvlJc w:val="left"/>
      <w:lvlText w:val="(%1)"/>
      <w:numFmt w:val="lowerLetter"/>
      <w:start w:val="1"/>
    </w:lvl>
  </w:abstractNum>
  <w:abstractNum w:abstractNumId="114">
    <w:nsid w:val="66A48D11"/>
    <w:multiLevelType w:val="hybridMultilevel"/>
    <w:lvl w:ilvl="0">
      <w:lvlJc w:val="left"/>
      <w:lvlText w:val="(%1)"/>
      <w:numFmt w:val="lowerLetter"/>
      <w:start w:val="1"/>
    </w:lvl>
    <w:lvl w:ilvl="1">
      <w:lvlJc w:val="left"/>
      <w:lvlText w:val="(%2)"/>
      <w:numFmt w:val="lowerRoman"/>
      <w:start w:val="1"/>
    </w:lvl>
  </w:abstractNum>
  <w:abstractNum w:abstractNumId="115">
    <w:nsid w:val="56C28E34"/>
    <w:multiLevelType w:val="hybridMultilevel"/>
    <w:lvl w:ilvl="0">
      <w:lvlJc w:val="left"/>
      <w:lvlText w:val="(%1)"/>
      <w:numFmt w:val="lowerLetter"/>
      <w:start w:val="3"/>
    </w:lvl>
  </w:abstractNum>
  <w:abstractNum w:abstractNumId="116">
    <w:nsid w:val="13916F2D"/>
    <w:multiLevelType w:val="hybridMultilevel"/>
    <w:lvl w:ilvl="0">
      <w:lvlJc w:val="left"/>
      <w:lvlText w:val="(%1)"/>
      <w:numFmt w:val="lowerLetter"/>
      <w:start w:val="1"/>
    </w:lvl>
  </w:abstractNum>
  <w:abstractNum w:abstractNumId="117">
    <w:nsid w:val="435D38D"/>
    <w:multiLevelType w:val="hybridMultilevel"/>
    <w:lvl w:ilvl="0">
      <w:lvlJc w:val="left"/>
      <w:lvlText w:val="(%1)"/>
      <w:numFmt w:val="lowerLetter"/>
      <w:start w:val="1"/>
    </w:lvl>
  </w:abstractNum>
  <w:abstractNum w:abstractNumId="118">
    <w:nsid w:val="822C0EF"/>
    <w:multiLevelType w:val="hybridMultilevel"/>
    <w:lvl w:ilvl="0">
      <w:lvlJc w:val="left"/>
      <w:lvlText w:val="(%1)"/>
      <w:numFmt w:val="lowerLetter"/>
      <w:start w:val="1"/>
    </w:lvl>
  </w:abstractNum>
  <w:abstractNum w:abstractNumId="119">
    <w:nsid w:val="57C5BB4F"/>
    <w:multiLevelType w:val="hybridMultilevel"/>
    <w:lvl w:ilvl="0">
      <w:lvlJc w:val="left"/>
      <w:lvlText w:val="(%1)"/>
      <w:numFmt w:val="lowerLetter"/>
      <w:start w:val="1"/>
    </w:lvl>
  </w:abstractNum>
  <w:abstractNum w:abstractNumId="120">
    <w:nsid w:val="1803D089"/>
    <w:multiLevelType w:val="hybridMultilevel"/>
    <w:lvl w:ilvl="0">
      <w:lvlJc w:val="left"/>
      <w:lvlText w:val="%1"/>
      <w:numFmt w:val="lowerLetter"/>
      <w:start w:val="1"/>
    </w:lvl>
    <w:lvl w:ilvl="1">
      <w:lvlJc w:val="left"/>
      <w:lvlText w:val="(%2)"/>
      <w:numFmt w:val="lowerLetter"/>
      <w:start w:val="2"/>
    </w:lvl>
  </w:abstractNum>
  <w:abstractNum w:abstractNumId="121">
    <w:nsid w:val="4F3A06D4"/>
    <w:multiLevelType w:val="hybridMultilevel"/>
    <w:lvl w:ilvl="0">
      <w:lvlJc w:val="left"/>
      <w:lvlText w:val="(%1)"/>
      <w:numFmt w:val="lowerLetter"/>
      <w:start w:val="9"/>
    </w:lvl>
    <w:lvl w:ilvl="1">
      <w:lvlJc w:val="left"/>
      <w:lvlText w:val="(%2)"/>
      <w:numFmt w:val="lowerLetter"/>
      <w:start w:val="5"/>
    </w:lvl>
  </w:abstractNum>
  <w:abstractNum w:abstractNumId="122">
    <w:nsid w:val="59A377B6"/>
    <w:multiLevelType w:val="hybridMultilevel"/>
    <w:lvl w:ilvl="0">
      <w:lvlJc w:val="left"/>
      <w:lvlText w:val="(%1)"/>
      <w:numFmt w:val="lowerLetter"/>
      <w:start w:val="7"/>
    </w:lvl>
  </w:abstractNum>
  <w:abstractNum w:abstractNumId="123">
    <w:nsid w:val="48AEB063"/>
    <w:multiLevelType w:val="hybridMultilevel"/>
    <w:lvl w:ilvl="0">
      <w:lvlJc w:val="left"/>
      <w:lvlText w:val="(%1)"/>
      <w:numFmt w:val="lowerLetter"/>
      <w:start w:val="1"/>
    </w:lvl>
  </w:abstractNum>
  <w:abstractNum w:abstractNumId="124">
    <w:nsid w:val="24E135"/>
    <w:multiLevelType w:val="hybridMultilevel"/>
    <w:lvl w:ilvl="0">
      <w:lvlJc w:val="left"/>
      <w:lvlText w:val="(%1)"/>
      <w:numFmt w:val="lowerLetter"/>
      <w:start w:val="1"/>
    </w:lvl>
  </w:abstractNum>
  <w:abstractNum w:abstractNumId="125">
    <w:nsid w:val="BB13C1"/>
    <w:multiLevelType w:val="hybridMultilevel"/>
    <w:lvl w:ilvl="0">
      <w:lvlJc w:val="left"/>
      <w:lvlText w:val="(%1)"/>
      <w:numFmt w:val="lowerLetter"/>
      <w:start w:val="1"/>
    </w:lvl>
  </w:abstractNum>
  <w:abstractNum w:abstractNumId="126">
    <w:nsid w:val="271210C7"/>
    <w:multiLevelType w:val="hybridMultilevel"/>
    <w:lvl w:ilvl="0">
      <w:lvlJc w:val="left"/>
      <w:lvlText w:val="(%1)"/>
      <w:numFmt w:val="lowerLetter"/>
      <w:start w:val="2"/>
    </w:lvl>
  </w:abstractNum>
  <w:abstractNum w:abstractNumId="127">
    <w:nsid w:val="217B22E4"/>
    <w:multiLevelType w:val="hybridMultilevel"/>
    <w:lvl w:ilvl="0">
      <w:lvlJc w:val="left"/>
      <w:lvlText w:val="(%1)"/>
      <w:numFmt w:val="lowerLetter"/>
      <w:start w:val="1"/>
    </w:lvl>
  </w:abstractNum>
  <w:abstractNum w:abstractNumId="128">
    <w:nsid w:val="53E31A24"/>
    <w:multiLevelType w:val="hybridMultilevel"/>
    <w:lvl w:ilvl="0">
      <w:lvlJc w:val="left"/>
      <w:lvlText w:val="(%1)"/>
      <w:numFmt w:val="lowerLetter"/>
      <w:start w:val="1"/>
    </w:lvl>
  </w:abstractNum>
  <w:abstractNum w:abstractNumId="129">
    <w:nsid w:val="6DC45E83"/>
    <w:multiLevelType w:val="hybridMultilevel"/>
    <w:lvl w:ilvl="0">
      <w:lvlJc w:val="left"/>
      <w:lvlText w:val="(%1)"/>
      <w:numFmt w:val="lowerLetter"/>
      <w:start w:val="1"/>
    </w:lvl>
  </w:abstractNum>
  <w:abstractNum w:abstractNumId="130">
    <w:nsid w:val="17304A67"/>
    <w:multiLevelType w:val="hybridMultilevel"/>
    <w:lvl w:ilvl="0">
      <w:lvlJc w:val="left"/>
      <w:lvlText w:val="(%1)"/>
      <w:numFmt w:val="lowerLetter"/>
      <w:start w:val="1"/>
    </w:lvl>
  </w:abstractNum>
  <w:abstractNum w:abstractNumId="131">
    <w:nsid w:val="2BB180D8"/>
    <w:multiLevelType w:val="hybridMultilevel"/>
    <w:lvl w:ilvl="0">
      <w:lvlJc w:val="left"/>
      <w:lvlText w:val="(%1)"/>
      <w:numFmt w:val="lowerLetter"/>
      <w:start w:val="2"/>
    </w:lvl>
  </w:abstractNum>
  <w:abstractNum w:abstractNumId="132">
    <w:nsid w:val="556B69ED"/>
    <w:multiLevelType w:val="hybridMultilevel"/>
    <w:lvl w:ilvl="0">
      <w:lvlJc w:val="left"/>
      <w:lvlText w:val="(%1)"/>
      <w:numFmt w:val="lowerLetter"/>
      <w:start w:val="1"/>
    </w:lvl>
  </w:abstractNum>
  <w:abstractNum w:abstractNumId="133">
    <w:nsid w:val="70836196"/>
    <w:multiLevelType w:val="hybridMultilevel"/>
    <w:lvl w:ilvl="0">
      <w:lvlJc w:val="left"/>
      <w:lvlText w:val="(%1)"/>
      <w:numFmt w:val="lowerLetter"/>
      <w:start w:val="2"/>
    </w:lvl>
  </w:abstractNum>
  <w:abstractNum w:abstractNumId="134">
    <w:nsid w:val="539F7F12"/>
    <w:multiLevelType w:val="hybridMultilevel"/>
    <w:lvl w:ilvl="0">
      <w:lvlJc w:val="left"/>
      <w:lvlText w:val="(%1)"/>
      <w:numFmt w:val="lowerLetter"/>
      <w:start w:val="1"/>
    </w:lvl>
  </w:abstractNum>
  <w:abstractNum w:abstractNumId="135">
    <w:nsid w:val="2817E7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6">
    <w:nsid w:val="7148254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7">
    <w:nsid w:val="17D7863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8">
    <w:nsid w:val="141D23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9">
    <w:nsid w:val="407168D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0">
    <w:nsid w:val="6A1B45E5"/>
    <w:multiLevelType w:val="hybridMultilevel"/>
    <w:lvl w:ilvl="0">
      <w:lvlJc w:val="left"/>
      <w:lvlText w:val="(%1)"/>
      <w:numFmt w:val="lowerRoman"/>
      <w:start w:val="2"/>
    </w:lvl>
    <w:lvl w:ilvl="1">
      <w:lvlJc w:val="left"/>
      <w:lvlText w:val="(%2)"/>
      <w:numFmt w:val="upperLetter"/>
      <w:start w:val="1"/>
    </w:lvl>
  </w:abstractNum>
  <w:abstractNum w:abstractNumId="141">
    <w:nsid w:val="567BD50A"/>
    <w:multiLevelType w:val="hybridMultilevel"/>
    <w:lvl w:ilvl="0">
      <w:lvlJc w:val="left"/>
      <w:lvlText w:val="(%1)"/>
      <w:numFmt w:val="lowerLetter"/>
      <w:start w:val="4"/>
    </w:lvl>
    <w:lvl w:ilvl="1">
      <w:lvlJc w:val="left"/>
      <w:lvlText w:val="(%2)"/>
      <w:numFmt w:val="lowerRoman"/>
      <w:start w:val="1"/>
    </w:lvl>
  </w:abstractNum>
  <w:abstractNum w:abstractNumId="142">
    <w:nsid w:val="73BBD7F8"/>
    <w:multiLevelType w:val="hybridMultilevel"/>
    <w:lvl w:ilvl="0">
      <w:lvlJc w:val="left"/>
      <w:lvlText w:val="(%1)"/>
      <w:numFmt w:val="upperLetter"/>
      <w:start w:val="1"/>
    </w:lvl>
  </w:abstractNum>
  <w:abstractNum w:abstractNumId="143">
    <w:nsid w:val="1876589D"/>
    <w:multiLevelType w:val="hybridMultilevel"/>
    <w:lvl w:ilvl="0">
      <w:lvlJc w:val="left"/>
      <w:lvlText w:val="(%1)"/>
      <w:numFmt w:val="lowerLetter"/>
      <w:start w:val="5"/>
    </w:lvl>
    <w:lvl w:ilvl="1">
      <w:lvlJc w:val="left"/>
      <w:lvlText w:val="(%2)"/>
      <w:numFmt w:val="lowerRoman"/>
      <w:start w:val="1"/>
    </w:lvl>
  </w:abstractNum>
  <w:abstractNum w:abstractNumId="144">
    <w:nsid w:val="327FAC7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45">
    <w:nsid w:val="5A60650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6">
    <w:nsid w:val="6F38E6D1"/>
    <w:multiLevelType w:val="hybridMultilevel"/>
    <w:lvl w:ilvl="0">
      <w:lvlJc w:val="left"/>
      <w:lvlText w:val="(%1)"/>
      <w:numFmt w:val="lowerRoman"/>
      <w:start w:val="1"/>
    </w:lvl>
  </w:abstractNum>
  <w:abstractNum w:abstractNumId="147">
    <w:nsid w:val="46111BA5"/>
    <w:multiLevelType w:val="hybridMultilevel"/>
    <w:lvl w:ilvl="0">
      <w:lvlJc w:val="left"/>
      <w:lvlText w:val="(%1)"/>
      <w:numFmt w:val="lowerLetter"/>
      <w:start w:val="1"/>
    </w:lvl>
    <w:lvl w:ilvl="1">
      <w:lvlJc w:val="left"/>
      <w:lvlText w:val="(%2)"/>
      <w:numFmt w:val="lowerRoman"/>
      <w:start w:val="1"/>
    </w:lvl>
  </w:abstractNum>
  <w:abstractNum w:abstractNumId="148">
    <w:nsid w:val="5E963896"/>
    <w:multiLevelType w:val="hybridMultilevel"/>
    <w:lvl w:ilvl="0">
      <w:lvlJc w:val="left"/>
      <w:lvlText w:val="(%1)"/>
      <w:numFmt w:val="lowerRoman"/>
      <w:start w:val="5"/>
    </w:lvl>
  </w:abstractNum>
  <w:abstractNum w:abstractNumId="149">
    <w:nsid w:val="775BA7C1"/>
    <w:multiLevelType w:val="hybridMultilevel"/>
    <w:lvl w:ilvl="0">
      <w:lvlJc w:val="left"/>
      <w:lvlText w:val="(%1)"/>
      <w:numFmt w:val="lowerLetter"/>
      <w:start w:val="1"/>
    </w:lvl>
    <w:lvl w:ilvl="1">
      <w:lvlJc w:val="left"/>
      <w:lvlText w:val="(%2)"/>
      <w:numFmt w:val="lowerRoman"/>
      <w:start w:val="1"/>
    </w:lvl>
  </w:abstractNum>
  <w:abstractNum w:abstractNumId="150">
    <w:nsid w:val="1DD6D6F4"/>
    <w:multiLevelType w:val="hybridMultilevel"/>
    <w:lvl w:ilvl="0">
      <w:lvlJc w:val="left"/>
      <w:lvlText w:val="(%1)"/>
      <w:numFmt w:val="lowerLetter"/>
      <w:start w:val="2"/>
    </w:lvl>
  </w:abstractNum>
  <w:abstractNum w:abstractNumId="151">
    <w:nsid w:val="769A091F"/>
    <w:multiLevelType w:val="hybridMultilevel"/>
    <w:lvl w:ilvl="0">
      <w:lvlJc w:val="left"/>
      <w:lvlText w:val="(%1)"/>
      <w:numFmt w:val="lowerRoman"/>
      <w:start w:val="1"/>
    </w:lvl>
  </w:abstractNum>
  <w:abstractNum w:abstractNumId="152">
    <w:nsid w:val="4695AE95"/>
    <w:multiLevelType w:val="hybridMultilevel"/>
    <w:lvl w:ilvl="0">
      <w:lvlJc w:val="left"/>
      <w:lvlText w:val="(%1)"/>
      <w:numFmt w:val="lowerLetter"/>
      <w:start w:val="1"/>
    </w:lvl>
  </w:abstractNum>
  <w:abstractNum w:abstractNumId="153">
    <w:nsid w:val="777A4EAA"/>
    <w:multiLevelType w:val="hybridMultilevel"/>
    <w:lvl w:ilvl="0">
      <w:lvlJc w:val="left"/>
      <w:lvlText w:val="(%1)"/>
      <w:numFmt w:val="lowerLetter"/>
      <w:start w:val="1"/>
    </w:lvl>
  </w:abstractNum>
  <w:abstractNum w:abstractNumId="154">
    <w:nsid w:val="3F48B982"/>
    <w:multiLevelType w:val="hybridMultilevel"/>
    <w:lvl w:ilvl="0">
      <w:lvlJc w:val="left"/>
      <w:lvlText w:val="(%1)"/>
      <w:numFmt w:val="lowerLetter"/>
      <w:start w:val="1"/>
    </w:lvl>
    <w:lvl w:ilvl="1">
      <w:lvlJc w:val="left"/>
      <w:lvlText w:val="(%2)"/>
      <w:numFmt w:val="lowerRoman"/>
      <w:start w:val="1"/>
    </w:lvl>
  </w:abstractNum>
  <w:abstractNum w:abstractNumId="155">
    <w:nsid w:val="46BA8FCA"/>
    <w:multiLevelType w:val="hybridMultilevel"/>
    <w:lvl w:ilvl="0">
      <w:lvlJc w:val="left"/>
      <w:lvlText w:val="(%1)"/>
      <w:numFmt w:val="lowerLetter"/>
      <w:start w:val="3"/>
    </w:lvl>
  </w:abstractNum>
  <w:abstractNum w:abstractNumId="156">
    <w:nsid w:val="7835626C"/>
    <w:multiLevelType w:val="hybridMultilevel"/>
    <w:lvl w:ilvl="0">
      <w:lvlJc w:val="left"/>
      <w:lvlText w:val="(%1)"/>
      <w:numFmt w:val="lowerLetter"/>
      <w:start w:val="1"/>
    </w:lvl>
  </w:abstractNum>
  <w:abstractNum w:abstractNumId="157">
    <w:nsid w:val="665ACA49"/>
    <w:multiLevelType w:val="hybridMultilevel"/>
    <w:lvl w:ilvl="0">
      <w:lvlJc w:val="left"/>
      <w:lvlText w:val="%1."/>
      <w:numFmt w:val="decimal"/>
      <w:start w:val="1"/>
    </w:lvl>
    <w:lvl w:ilvl="1">
      <w:lvlJc w:val="left"/>
      <w:lvlText w:val="(%2)"/>
      <w:numFmt w:val="lowerLetter"/>
      <w:start w:val="1"/>
    </w:lvl>
  </w:abstractNum>
  <w:abstractNum w:abstractNumId="158">
    <w:nsid w:val="6835B2AE"/>
    <w:multiLevelType w:val="hybridMultilevel"/>
    <w:lvl w:ilvl="0">
      <w:lvlJc w:val="left"/>
      <w:lvlText w:val="1"/>
      <w:numFmt w:val="bullet"/>
      <w:start w:val="1"/>
    </w:lvl>
  </w:abstractNum>
  <w:abstractNum w:abstractNumId="159">
    <w:nsid w:val="4C187C90"/>
    <w:multiLevelType w:val="hybridMultilevel"/>
    <w:lvl w:ilvl="0">
      <w:lvlJc w:val="left"/>
      <w:lvlText w:val="(%1)"/>
      <w:numFmt w:val="lowerLetter"/>
      <w:start w:val="13"/>
    </w:lvl>
  </w:abstractNum>
  <w:abstractNum w:abstractNumId="160">
    <w:nsid w:val="541F28CD"/>
    <w:multiLevelType w:val="hybridMultilevel"/>
    <w:lvl w:ilvl="0">
      <w:lvlJc w:val="left"/>
      <w:lvlText w:val="(%1)"/>
      <w:numFmt w:val="decimal"/>
      <w:start w:val="3"/>
    </w:lvl>
  </w:abstractNum>
  <w:abstractNum w:abstractNumId="161">
    <w:nsid w:val="7F65FD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2">
    <w:nsid w:val="77C9FD68"/>
    <w:multiLevelType w:val="hybridMultilevel"/>
    <w:lvl w:ilvl="0">
      <w:lvlJc w:val="left"/>
      <w:lvlText w:val="(%1)"/>
      <w:numFmt w:val="lowerLetter"/>
      <w:start w:val="15"/>
    </w:lvl>
    <w:lvl w:ilvl="1">
      <w:lvlJc w:val="left"/>
      <w:lvlText w:val="%2"/>
      <w:numFmt w:val="decimal"/>
      <w:start w:val="1"/>
    </w:lvl>
    <w:lvl w:ilvl="2">
      <w:lvlJc w:val="left"/>
      <w:lvlText w:val="%3"/>
      <w:numFmt w:val="lowerLetter"/>
      <w:start w:val="1"/>
    </w:lvl>
  </w:abstractNum>
  <w:abstractNum w:abstractNumId="163">
    <w:nsid w:val="298A92BA"/>
    <w:multiLevelType w:val="hybridMultilevel"/>
    <w:lvl w:ilvl="0">
      <w:lvlJc w:val="left"/>
      <w:lvlText w:val="3"/>
      <w:numFmt w:val="bullet"/>
      <w:start w:val="1"/>
    </w:lvl>
  </w:abstractNum>
  <w:abstractNum w:abstractNumId="164">
    <w:nsid w:val="6FE95EAC"/>
    <w:multiLevelType w:val="hybridMultilevel"/>
    <w:lvl w:ilvl="0">
      <w:lvlJc w:val="left"/>
      <w:lvlText w:val="4"/>
      <w:numFmt w:val="bullet"/>
      <w:start w:val="1"/>
    </w:lvl>
  </w:abstractNum>
  <w:abstractNum w:abstractNumId="165">
    <w:nsid w:val="4B697C7A"/>
    <w:multiLevelType w:val="hybridMultilevel"/>
    <w:lvl w:ilvl="0">
      <w:lvlJc w:val="left"/>
      <w:lvlText w:val="(%1)"/>
      <w:numFmt w:val="lowerLetter"/>
      <w:start w:val="16"/>
    </w:lvl>
  </w:abstractNum>
  <w:abstractNum w:abstractNumId="166">
    <w:nsid w:val="51A27AA6"/>
    <w:multiLevelType w:val="hybridMultilevel"/>
    <w:lvl w:ilvl="0">
      <w:lvlJc w:val="left"/>
      <w:lvlText w:val="(%1)"/>
      <w:numFmt w:val="lowerLetter"/>
      <w:start w:val="27"/>
    </w:lvl>
    <w:lvl w:ilvl="1">
      <w:lvlJc w:val="left"/>
      <w:lvlText w:val="(%2)"/>
      <w:numFmt w:val="lowerRoman"/>
      <w:start w:val="2"/>
    </w:lvl>
    <w:lvl w:ilvl="2">
      <w:lvlJc w:val="left"/>
      <w:lvlText w:val="(%3)"/>
      <w:numFmt w:val="decimal"/>
      <w:start w:val="1"/>
    </w:lvl>
  </w:abstractNum>
  <w:abstractNum w:abstractNumId="167">
    <w:nsid w:val="613183F2"/>
    <w:multiLevelType w:val="hybridMultilevel"/>
    <w:lvl w:ilvl="0">
      <w:lvlJc w:val="left"/>
      <w:lvlText w:val="6"/>
      <w:numFmt w:val="bullet"/>
      <w:start w:val="1"/>
    </w:lvl>
  </w:abstractNum>
  <w:abstractNum w:abstractNumId="168">
    <w:nsid w:val="634102B4"/>
    <w:multiLevelType w:val="hybridMultilevel"/>
    <w:lvl w:ilvl="0">
      <w:lvlJc w:val="left"/>
      <w:lvlText w:val="%1"/>
      <w:numFmt w:val="decimal"/>
      <w:start w:val="1"/>
    </w:lvl>
    <w:lvl w:ilvl="1">
      <w:lvlJc w:val="left"/>
      <w:lvlText w:val="(%2)"/>
      <w:numFmt w:val="lowerLetter"/>
      <w:start w:val="29"/>
    </w:lvl>
  </w:abstractNum>
  <w:abstractNum w:abstractNumId="169">
    <w:nsid w:val="65BF9DA8"/>
    <w:multiLevelType w:val="hybridMultilevel"/>
    <w:lvl w:ilvl="0">
      <w:lvlJc w:val="left"/>
      <w:lvlText w:val="%1."/>
      <w:numFmt w:val="decimal"/>
      <w:start w:val="2"/>
    </w:lvl>
    <w:lvl w:ilvl="1">
      <w:lvlJc w:val="left"/>
      <w:lvlText w:val="(%2)"/>
      <w:numFmt w:val="lowerLetter"/>
      <w:start w:val="1"/>
    </w:lvl>
  </w:abstractNum>
  <w:abstractNum w:abstractNumId="170">
    <w:nsid w:val="21A2ECCA"/>
    <w:multiLevelType w:val="hybridMultilevel"/>
    <w:lvl w:ilvl="0">
      <w:lvlJc w:val="left"/>
      <w:lvlText w:val="(%1)"/>
      <w:numFmt w:val="lowerLetter"/>
      <w:start w:val="2"/>
    </w:lvl>
  </w:abstractNum>
  <w:abstractNum w:abstractNumId="171">
    <w:nsid w:val="4D5C4899"/>
    <w:multiLevelType w:val="hybridMultilevel"/>
    <w:lvl w:ilvl="0">
      <w:lvlJc w:val="left"/>
      <w:lvlText w:val="(%1)"/>
      <w:numFmt w:val="lowerLetter"/>
      <w:start w:val="3"/>
    </w:lvl>
    <w:lvl w:ilvl="1">
      <w:lvlJc w:val="left"/>
      <w:lvlText w:val="(%2)"/>
      <w:numFmt w:val="decimal"/>
      <w:start w:val="1"/>
    </w:lvl>
  </w:abstractNum>
  <w:abstractNum w:abstractNumId="172">
    <w:nsid w:val="3C3B72B2"/>
    <w:multiLevelType w:val="hybridMultilevel"/>
    <w:lvl w:ilvl="0">
      <w:lvlJc w:val="left"/>
      <w:lvlText w:val="(%1)"/>
      <w:numFmt w:val="decimal"/>
      <w:start w:val="1"/>
    </w:lvl>
  </w:abstractNum>
  <w:abstractNum w:abstractNumId="173">
    <w:nsid w:val="155EC4C2"/>
    <w:multiLevelType w:val="hybridMultilevel"/>
    <w:lvl w:ilvl="0">
      <w:lvlJc w:val="left"/>
      <w:lvlText w:val="8"/>
      <w:numFmt w:val="bullet"/>
      <w:start w:val="1"/>
    </w:lvl>
  </w:abstractNum>
  <w:abstractNum w:abstractNumId="174">
    <w:nsid w:val="65D2A137"/>
    <w:multiLevelType w:val="hybridMultilevel"/>
    <w:lvl w:ilvl="0">
      <w:lvlJc w:val="left"/>
      <w:lvlText w:val="%1"/>
      <w:numFmt w:val="lowerLetter"/>
      <w:start w:val="1"/>
    </w:lvl>
    <w:lvl w:ilvl="1">
      <w:lvlJc w:val="left"/>
      <w:lvlText w:val="(%2)"/>
      <w:numFmt w:val="decimal"/>
      <w:start w:val="3"/>
    </w:lvl>
  </w:abstractNum>
  <w:abstractNum w:abstractNumId="175">
    <w:nsid w:val="6EBB1F2A"/>
    <w:multiLevelType w:val="hybridMultilevel"/>
    <w:lvl w:ilvl="0">
      <w:lvlJc w:val="left"/>
      <w:lvlText w:val="(%1)"/>
      <w:numFmt w:val="lowerLetter"/>
      <w:start w:val="6"/>
    </w:lvl>
    <w:lvl w:ilvl="1">
      <w:lvlJc w:val="left"/>
      <w:lvlText w:val="(%2)"/>
      <w:numFmt w:val="decimal"/>
      <w:start w:val="1"/>
    </w:lvl>
  </w:abstractNum>
  <w:abstractNum w:abstractNumId="176">
    <w:nsid w:val="6FBF29CB"/>
    <w:multiLevelType w:val="hybridMultilevel"/>
    <w:lvl w:ilvl="0">
      <w:lvlJc w:val="left"/>
      <w:lvlText w:val="%1"/>
      <w:numFmt w:val="decimal"/>
      <w:start w:val="11"/>
    </w:lvl>
  </w:abstractNum>
  <w:abstractNum w:abstractNumId="177">
    <w:nsid w:val="550B8808"/>
    <w:multiLevelType w:val="hybridMultilevel"/>
    <w:lvl w:ilvl="0">
      <w:lvlJc w:val="left"/>
      <w:lvlText w:val="(%1)"/>
      <w:numFmt w:val="decimal"/>
      <w:start w:val="3"/>
    </w:lvl>
  </w:abstractNum>
  <w:abstractNum w:abstractNumId="178">
    <w:nsid w:val="34CC3ACF"/>
    <w:multiLevelType w:val="hybridMultilevel"/>
    <w:lvl w:ilvl="0">
      <w:lvlJc w:val="left"/>
      <w:lvlText w:val="%1."/>
      <w:numFmt w:val="decimal"/>
      <w:start w:val="4"/>
    </w:lvl>
    <w:lvl w:ilvl="1">
      <w:lvlJc w:val="left"/>
      <w:lvlText w:val="(%2)"/>
      <w:numFmt w:val="lowerLetter"/>
      <w:start w:val="1"/>
    </w:lvl>
  </w:abstractNum>
  <w:abstractNum w:abstractNumId="179">
    <w:nsid w:val="4E556261"/>
    <w:multiLevelType w:val="hybridMultilevel"/>
    <w:lvl w:ilvl="0">
      <w:lvlJc w:val="left"/>
      <w:lvlText w:val="%1"/>
      <w:numFmt w:val="decimal"/>
      <w:start w:val="14"/>
    </w:lvl>
  </w:abstractNum>
  <w:abstractNum w:abstractNumId="180">
    <w:nsid w:val="4C672FC9"/>
    <w:multiLevelType w:val="hybridMultilevel"/>
    <w:lvl w:ilvl="0">
      <w:lvlJc w:val="left"/>
      <w:lvlText w:val="%1."/>
      <w:numFmt w:val="decimal"/>
      <w:start w:val="6"/>
    </w:lvl>
    <w:lvl w:ilvl="1">
      <w:lvlJc w:val="left"/>
      <w:lvlText w:val="(%2)"/>
      <w:numFmt w:val="lowerLetter"/>
      <w:start w:val="1"/>
    </w:lvl>
  </w:abstractNum>
  <w:abstractNum w:abstractNumId="181">
    <w:nsid w:val="52A311C3"/>
    <w:multiLevelType w:val="hybridMultilevel"/>
    <w:lvl w:ilvl="0">
      <w:lvlJc w:val="left"/>
      <w:lvlText w:val="%1"/>
      <w:numFmt w:val="decimal"/>
      <w:start w:val="1"/>
    </w:lvl>
    <w:lvl w:ilvl="1">
      <w:lvlJc w:val="left"/>
      <w:lvlText w:val="(%2)"/>
      <w:numFmt w:val="lowerLetter"/>
      <w:start w:val="2"/>
    </w:lvl>
  </w:abstractNum>
  <w:abstractNum w:abstractNumId="182">
    <w:nsid w:val="44EF6B80"/>
    <w:multiLevelType w:val="hybridMultilevel"/>
    <w:lvl w:ilvl="0">
      <w:lvlJc w:val="left"/>
      <w:lvlText w:val="%1."/>
      <w:numFmt w:val="decimal"/>
      <w:start w:val="14"/>
    </w:lvl>
    <w:lvl w:ilvl="1">
      <w:lvlJc w:val="left"/>
      <w:lvlText w:val="(%2)"/>
      <w:numFmt w:val="lowerLetter"/>
      <w:start w:val="3"/>
    </w:lvl>
  </w:abstractNum>
  <w:abstractNum w:abstractNumId="183">
    <w:nsid w:val="12FCDE5E"/>
    <w:multiLevelType w:val="hybridMultilevel"/>
    <w:lvl w:ilvl="0">
      <w:lvlJc w:val="left"/>
      <w:lvlText w:val="%1"/>
      <w:numFmt w:val="decimal"/>
      <w:start w:val="15"/>
    </w:lvl>
  </w:abstractNum>
  <w:abstractNum w:abstractNumId="184">
    <w:nsid w:val="4A1D606E"/>
    <w:multiLevelType w:val="hybridMultilevel"/>
    <w:lvl w:ilvl="0">
      <w:lvlJc w:val="left"/>
      <w:lvlText w:val="%1"/>
      <w:numFmt w:val="decimal"/>
      <w:start w:val="16"/>
    </w:lvl>
  </w:abstractNum>
  <w:abstractNum w:abstractNumId="185">
    <w:nsid w:val="438250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6">
    <w:nsid w:val="59B76E28"/>
    <w:multiLevelType w:val="hybridMultilevel"/>
    <w:lvl w:ilvl="0">
      <w:lvlJc w:val="left"/>
      <w:lvlText w:val="(%1)"/>
      <w:numFmt w:val="lowerLetter"/>
      <w:start w:val="13"/>
    </w:lvl>
    <w:lvl w:ilvl="1">
      <w:lvlJc w:val="left"/>
      <w:lvlText w:val="(%2)"/>
      <w:numFmt w:val="decimal"/>
      <w:start w:val="1"/>
    </w:lvl>
  </w:abstractNum>
  <w:abstractNum w:abstractNumId="187">
    <w:nsid w:val="4252C2DA"/>
    <w:multiLevelType w:val="hybridMultilevel"/>
    <w:lvl w:ilvl="0">
      <w:lvlJc w:val="left"/>
      <w:lvlText w:val="1"/>
      <w:numFmt w:val="bullet"/>
      <w:start w:val="1"/>
    </w:lvl>
  </w:abstractNum>
  <w:abstractNum w:abstractNumId="188">
    <w:nsid w:val="6A92EF4C"/>
    <w:multiLevelType w:val="hybridMultilevel"/>
    <w:lvl w:ilvl="0">
      <w:lvlJc w:val="left"/>
      <w:lvlText w:val="(%1)"/>
      <w:numFmt w:val="decimal"/>
      <w:start w:val="4"/>
    </w:lvl>
  </w:abstractNum>
  <w:abstractNum w:abstractNumId="189">
    <w:nsid w:val="41ED20D7"/>
    <w:multiLevelType w:val="hybridMultilevel"/>
    <w:lvl w:ilvl="0">
      <w:lvlJc w:val="left"/>
      <w:lvlText w:val="%1"/>
      <w:numFmt w:val="lowerLetter"/>
      <w:start w:val="1"/>
    </w:lvl>
    <w:lvl w:ilvl="1">
      <w:lvlJc w:val="left"/>
      <w:lvlText w:val="(%2)"/>
      <w:numFmt w:val="decimal"/>
      <w:start w:val="1"/>
    </w:lvl>
  </w:abstractNum>
  <w:abstractNum w:abstractNumId="190">
    <w:nsid w:val="E6B3F6A"/>
    <w:multiLevelType w:val="hybridMultilevel"/>
    <w:lvl w:ilvl="0">
      <w:lvlJc w:val="left"/>
      <w:lvlText w:val="(%1)"/>
      <w:numFmt w:val="lowerLetter"/>
      <w:start w:val="19"/>
    </w:lvl>
    <w:lvl w:ilvl="1">
      <w:lvlJc w:val="left"/>
      <w:lvlText w:val="%2"/>
      <w:numFmt w:val="decimal"/>
      <w:start w:val="1"/>
    </w:lvl>
  </w:abstractNum>
  <w:abstractNum w:abstractNumId="191">
    <w:nsid w:val="3EB21819"/>
    <w:multiLevelType w:val="hybridMultilevel"/>
    <w:lvl w:ilvl="0">
      <w:lvlJc w:val="left"/>
      <w:lvlText w:val="2"/>
      <w:numFmt w:val="bullet"/>
      <w:start w:val="1"/>
    </w:lvl>
  </w:abstractNum>
  <w:abstractNum w:abstractNumId="192">
    <w:nsid w:val="41531DED"/>
    <w:multiLevelType w:val="hybridMultilevel"/>
    <w:lvl w:ilvl="0">
      <w:lvlJc w:val="left"/>
      <w:lvlText w:val="%1."/>
      <w:numFmt w:val="decimal"/>
      <w:start w:val="2"/>
    </w:lvl>
    <w:lvl w:ilvl="1">
      <w:lvlJc w:val="left"/>
      <w:lvlText w:val="(%2)"/>
      <w:numFmt w:val="lowerLetter"/>
      <w:start w:val="1"/>
    </w:lvl>
  </w:abstractNum>
  <w:abstractNum w:abstractNumId="193">
    <w:nsid w:val="6353CD2"/>
    <w:multiLevelType w:val="hybridMultilevel"/>
    <w:lvl w:ilvl="0">
      <w:lvlJc w:val="left"/>
      <w:lvlText w:val="(%1)"/>
      <w:numFmt w:val="lowerLetter"/>
      <w:start w:val="3"/>
    </w:lvl>
  </w:abstractNum>
  <w:abstractNum w:abstractNumId="194">
    <w:nsid w:val="683CAAD3"/>
    <w:multiLevelType w:val="hybridMultilevel"/>
    <w:lvl w:ilvl="0">
      <w:lvlJc w:val="left"/>
      <w:lvlText w:val="3"/>
      <w:numFmt w:val="bullet"/>
      <w:start w:val="1"/>
    </w:lvl>
  </w:abstractNum>
  <w:abstractNum w:abstractNumId="195">
    <w:nsid w:val="313C7C99"/>
    <w:multiLevelType w:val="hybridMultilevel"/>
    <w:lvl w:ilvl="0">
      <w:lvlJc w:val="left"/>
      <w:lvlText w:val="%1"/>
      <w:numFmt w:val="lowerLetter"/>
      <w:start w:val="1"/>
    </w:lvl>
    <w:lvl w:ilvl="1">
      <w:lvlJc w:val="left"/>
      <w:lvlText w:val="(%2)"/>
      <w:numFmt w:val="decimal"/>
      <w:start w:val="1"/>
    </w:lvl>
  </w:abstractNum>
  <w:abstractNum w:abstractNumId="196">
    <w:nsid w:val="519EB94C"/>
    <w:multiLevelType w:val="hybridMultilevel"/>
    <w:lvl w:ilvl="0">
      <w:lvlJc w:val="left"/>
      <w:lvlText w:val="(%1)"/>
      <w:numFmt w:val="lowerLetter"/>
      <w:start w:val="4"/>
    </w:lvl>
    <w:lvl w:ilvl="1">
      <w:lvlJc w:val="left"/>
      <w:lvlText w:val="(%2)"/>
      <w:numFmt w:val="decimal"/>
      <w:start w:val="1"/>
    </w:lvl>
  </w:abstractNum>
  <w:abstractNum w:abstractNumId="197">
    <w:nsid w:val="39DF2579"/>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98">
    <w:nsid w:val="126E008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99">
    <w:nsid w:val="34DFBC00"/>
    <w:multiLevelType w:val="hybridMultilevel"/>
    <w:lvl w:ilvl="0">
      <w:lvlJc w:val="left"/>
      <w:lvlText w:val="6"/>
      <w:numFmt w:val="bullet"/>
      <w:start w:val="1"/>
    </w:lvl>
  </w:abstractNum>
  <w:abstractNum w:abstractNumId="200">
    <w:nsid w:val="1F9EC32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01">
    <w:nsid w:val="3410ED56"/>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02">
    <w:nsid w:val="23C049A"/>
    <w:multiLevelType w:val="hybridMultilevel"/>
    <w:lvl w:ilvl="0">
      <w:lvlJc w:val="left"/>
      <w:lvlText w:val="8"/>
      <w:numFmt w:val="bullet"/>
      <w:start w:val="1"/>
    </w:lvl>
  </w:abstractNum>
  <w:abstractNum w:abstractNumId="203">
    <w:nsid w:val="5BDA35D4"/>
    <w:multiLevelType w:val="hybridMultilevel"/>
    <w:lvl w:ilvl="0">
      <w:lvlJc w:val="left"/>
      <w:lvlText w:val="%1"/>
      <w:numFmt w:val="decimal"/>
      <w:start w:val="1"/>
    </w:lvl>
    <w:lvl w:ilvl="1">
      <w:lvlJc w:val="left"/>
      <w:lvlText w:val="(%2)"/>
      <w:numFmt w:val="lowerLetter"/>
      <w:start w:val="4"/>
    </w:lvl>
  </w:abstractNum>
  <w:abstractNum w:abstractNumId="204">
    <w:nsid w:val="496FB218"/>
    <w:multiLevelType w:val="hybridMultilevel"/>
    <w:lvl w:ilvl="0">
      <w:lvlJc w:val="left"/>
      <w:lvlText w:val="%1."/>
      <w:numFmt w:val="decimal"/>
      <w:start w:val="7"/>
    </w:lvl>
    <w:lvl w:ilvl="1">
      <w:lvlJc w:val="left"/>
      <w:lvlText w:val="(%2)"/>
      <w:numFmt w:val="lowerLetter"/>
      <w:start w:val="1"/>
    </w:lvl>
  </w:abstractNum>
  <w:abstractNum w:abstractNumId="205">
    <w:nsid w:val="680EA5D1"/>
    <w:multiLevelType w:val="hybridMultilevel"/>
    <w:lvl w:ilvl="0">
      <w:lvlJc w:val="left"/>
      <w:lvlText w:val="%1"/>
      <w:numFmt w:val="decimal"/>
      <w:start w:val="1"/>
    </w:lvl>
    <w:lvl w:ilvl="1">
      <w:lvlJc w:val="left"/>
      <w:lvlText w:val="(%2)"/>
      <w:numFmt w:val="lowerLetter"/>
      <w:start w:val="2"/>
    </w:lvl>
  </w:abstractNum>
  <w:abstractNum w:abstractNumId="206">
    <w:nsid w:val="4A9554FE"/>
    <w:multiLevelType w:val="hybridMultilevel"/>
    <w:lvl w:ilvl="0">
      <w:lvlJc w:val="left"/>
      <w:lvlText w:val="%1."/>
      <w:numFmt w:val="decimal"/>
      <w:start w:val="10"/>
    </w:lvl>
    <w:lvl w:ilvl="1">
      <w:lvlJc w:val="left"/>
      <w:lvlText w:val="(%2)"/>
      <w:numFmt w:val="lowerLetter"/>
      <w:start w:val="1"/>
    </w:lvl>
  </w:abstractNum>
  <w:abstractNum w:abstractNumId="207">
    <w:nsid w:val="392EDBE4"/>
    <w:multiLevelType w:val="hybridMultilevel"/>
    <w:lvl w:ilvl="0">
      <w:lvlJc w:val="left"/>
      <w:lvlText w:val="9"/>
      <w:numFmt w:val="bullet"/>
      <w:start w:val="1"/>
    </w:lvl>
  </w:abstractNum>
  <w:abstractNum w:abstractNumId="208">
    <w:nsid w:val="3D1A2DD9"/>
    <w:multiLevelType w:val="hybridMultilevel"/>
    <w:lvl w:ilvl="0">
      <w:lvlJc w:val="left"/>
      <w:lvlText w:val="--"/>
      <w:numFmt w:val="bullet"/>
      <w:start w:val="1"/>
    </w:lvl>
  </w:abstractNum>
  <w:abstractNum w:abstractNumId="209">
    <w:nsid w:val="7F618FCD"/>
    <w:multiLevelType w:val="hybridMultilevel"/>
    <w:lvl w:ilvl="0">
      <w:lvlJc w:val="left"/>
      <w:lvlText w:val="%1"/>
      <w:numFmt w:val="decimal"/>
      <w:start w:val="11"/>
    </w:lvl>
  </w:abstractNum>
  <w:abstractNum w:abstractNumId="210">
    <w:nsid w:val="7843E45"/>
    <w:multiLevelType w:val="hybridMultilevel"/>
    <w:lvl w:ilvl="0">
      <w:lvlJc w:val="left"/>
      <w:lvlText w:val="(%1)"/>
      <w:numFmt w:val="decimal"/>
      <w:start w:val="1"/>
    </w:lvl>
  </w:abstractNum>
  <w:abstractNum w:abstractNumId="211">
    <w:nsid w:val="9815DA3"/>
    <w:multiLevelType w:val="hybridMultilevel"/>
    <w:lvl w:ilvl="0">
      <w:lvlJc w:val="left"/>
      <w:lvlText w:val="%1."/>
      <w:numFmt w:val="decimal"/>
      <w:start w:val="1"/>
    </w:lvl>
    <w:lvl w:ilvl="1">
      <w:lvlJc w:val="left"/>
      <w:lvlText w:val="(%2)"/>
      <w:numFmt w:val="lowerLetter"/>
      <w:start w:val="1"/>
    </w:lvl>
  </w:abstractNum>
  <w:abstractNum w:abstractNumId="212">
    <w:nsid w:val="5204A191"/>
    <w:multiLevelType w:val="hybridMultilevel"/>
    <w:lvl w:ilvl="0">
      <w:lvlJc w:val="left"/>
      <w:lvlText w:val="1"/>
      <w:numFmt w:val="bullet"/>
      <w:start w:val="1"/>
    </w:lvl>
  </w:abstractNum>
  <w:abstractNum w:abstractNumId="213">
    <w:nsid w:val="4C73A9C6"/>
    <w:multiLevelType w:val="hybridMultilevel"/>
    <w:lvl w:ilvl="0">
      <w:lvlJc w:val="left"/>
      <w:lvlText w:val="(%1)"/>
      <w:numFmt w:val="lowerLetter"/>
      <w:start w:val="7"/>
    </w:lvl>
    <w:lvl w:ilvl="1">
      <w:lvlJc w:val="left"/>
      <w:lvlText w:val="(%2)"/>
      <w:numFmt w:val="decimal"/>
      <w:start w:val="1"/>
    </w:lvl>
  </w:abstractNum>
  <w:abstractNum w:abstractNumId="214">
    <w:nsid w:val="1C7E3C01"/>
    <w:multiLevelType w:val="hybridMultilevel"/>
    <w:lvl w:ilvl="0">
      <w:lvlJc w:val="left"/>
      <w:lvlText w:val="(%1)"/>
      <w:numFmt w:val="lowerLetter"/>
      <w:start w:val="14"/>
    </w:lvl>
    <w:lvl w:ilvl="1">
      <w:lvlJc w:val="left"/>
      <w:lvlText w:val="(%2)"/>
      <w:numFmt w:val="decimal"/>
      <w:start w:val="1"/>
    </w:lvl>
  </w:abstractNum>
  <w:abstractNum w:abstractNumId="215">
    <w:nsid w:val="1C2201FF"/>
    <w:multiLevelType w:val="hybridMultilevel"/>
    <w:lvl w:ilvl="0">
      <w:lvlJc w:val="left"/>
      <w:lvlText w:val="(%1)"/>
      <w:numFmt w:val="decimal"/>
      <w:start w:val="5"/>
    </w:lvl>
  </w:abstractNum>
  <w:abstractNum w:abstractNumId="216">
    <w:nsid w:val="50ABCE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17">
    <w:nsid w:val="7635AA2A"/>
    <w:multiLevelType w:val="hybridMultilevel"/>
    <w:lvl w:ilvl="0">
      <w:lvlJc w:val="left"/>
      <w:lvlText w:val="%1"/>
      <w:numFmt w:val="decimal"/>
      <w:start w:val="1"/>
    </w:lvl>
    <w:lvl w:ilvl="1">
      <w:lvlJc w:val="left"/>
      <w:lvlText w:val="(%2)"/>
      <w:numFmt w:val="lowerLetter"/>
      <w:start w:val="17"/>
    </w:lvl>
    <w:lvl w:ilvl="2">
      <w:lvlJc w:val="left"/>
      <w:lvlText w:val="%3"/>
      <w:numFmt w:val="decimal"/>
      <w:start w:val="1"/>
    </w:lvl>
  </w:abstractNum>
  <w:abstractNum w:abstractNumId="218">
    <w:nsid w:val="5E74C4D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19">
    <w:nsid w:val="3B3EBE15"/>
    <w:multiLevelType w:val="hybridMultilevel"/>
    <w:lvl w:ilvl="0">
      <w:lvlJc w:val="left"/>
      <w:lvlText w:val="2"/>
      <w:numFmt w:val="bullet"/>
      <w:start w:val="1"/>
    </w:lvl>
  </w:abstractNum>
  <w:abstractNum w:abstractNumId="220">
    <w:nsid w:val="3822CB01"/>
    <w:multiLevelType w:val="hybridMultilevel"/>
    <w:lvl w:ilvl="0">
      <w:lvlJc w:val="left"/>
      <w:lvlText w:val="%1."/>
      <w:numFmt w:val="decimal"/>
      <w:start w:val="3"/>
    </w:lvl>
    <w:lvl w:ilvl="1">
      <w:lvlJc w:val="left"/>
      <w:lvlText w:val="(%2)"/>
      <w:numFmt w:val="lowerLetter"/>
      <w:start w:val="1"/>
    </w:lvl>
  </w:abstractNum>
  <w:abstractNum w:abstractNumId="221">
    <w:nsid w:val="6CE00443"/>
    <w:multiLevelType w:val="hybridMultilevel"/>
    <w:lvl w:ilvl="0">
      <w:lvlJc w:val="left"/>
      <w:lvlText w:val="%1"/>
      <w:numFmt w:val="lowerLetter"/>
      <w:start w:val="1"/>
    </w:lvl>
    <w:lvl w:ilvl="1">
      <w:lvlJc w:val="left"/>
      <w:lvlText w:val="(%2)"/>
      <w:numFmt w:val="decimal"/>
      <w:start w:val="1"/>
    </w:lvl>
  </w:abstractNum>
  <w:abstractNum w:abstractNumId="222">
    <w:nsid w:val="79F0D62F"/>
    <w:multiLevelType w:val="hybridMultilevel"/>
    <w:lvl w:ilvl="0">
      <w:lvlJc w:val="left"/>
      <w:lvlText w:val="(%1)"/>
      <w:numFmt w:val="lowerLetter"/>
      <w:start w:val="4"/>
    </w:lvl>
    <w:lvl w:ilvl="1">
      <w:lvlJc w:val="left"/>
      <w:lvlText w:val="(%2)"/>
      <w:numFmt w:val="decimal"/>
      <w:start w:val="1"/>
    </w:lvl>
  </w:abstractNum>
  <w:abstractNum w:abstractNumId="223">
    <w:nsid w:val="7975E8EE"/>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24">
    <w:nsid w:val="7315411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25">
    <w:nsid w:val="622D810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26">
    <w:nsid w:val="2AB265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27">
    <w:nsid w:val="44B3FA6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28">
    <w:nsid w:val="1C0CA67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29">
    <w:nsid w:val="3D206613"/>
    <w:multiLevelType w:val="hybridMultilevel"/>
    <w:lvl w:ilvl="0">
      <w:lvlJc w:val="left"/>
      <w:lvlText w:val="%1."/>
      <w:numFmt w:val="decimal"/>
      <w:start w:val="8"/>
    </w:lvl>
    <w:lvl w:ilvl="1">
      <w:lvlJc w:val="left"/>
      <w:lvlText w:val="(%2)"/>
      <w:numFmt w:val="lowerLetter"/>
      <w:start w:val="1"/>
    </w:lvl>
  </w:abstractNum>
  <w:abstractNum w:abstractNumId="230">
    <w:nsid w:val="7993B662"/>
    <w:multiLevelType w:val="hybridMultilevel"/>
    <w:lvl w:ilvl="0">
      <w:lvlJc w:val="left"/>
      <w:lvlText w:val="4"/>
      <w:numFmt w:val="bullet"/>
      <w:start w:val="1"/>
    </w:lvl>
  </w:abstractNum>
  <w:abstractNum w:abstractNumId="231">
    <w:nsid w:val="3BAB699E"/>
    <w:multiLevelType w:val="hybridMultilevel"/>
    <w:lvl w:ilvl="0">
      <w:lvlJc w:val="left"/>
      <w:lvlText w:val="%1."/>
      <w:numFmt w:val="decimal"/>
      <w:start w:val="11"/>
    </w:lvl>
    <w:lvl w:ilvl="1">
      <w:lvlJc w:val="left"/>
      <w:lvlText w:val="(%2)"/>
      <w:numFmt w:val="lowerLetter"/>
      <w:start w:val="1"/>
    </w:lvl>
  </w:abstractNum>
  <w:abstractNum w:abstractNumId="232">
    <w:nsid w:val="71315369"/>
    <w:multiLevelType w:val="hybridMultilevel"/>
    <w:lvl w:ilvl="0">
      <w:lvlJc w:val="left"/>
      <w:lvlText w:val="5"/>
      <w:numFmt w:val="bullet"/>
      <w:start w:val="1"/>
    </w:lvl>
  </w:abstractNum>
  <w:abstractNum w:abstractNumId="233">
    <w:nsid w:val="7BCFBAFC"/>
    <w:multiLevelType w:val="hybridMultilevel"/>
    <w:lvl w:ilvl="0">
      <w:lvlJc w:val="left"/>
      <w:lvlText w:val="6"/>
      <w:numFmt w:val="bullet"/>
      <w:start w:val="1"/>
    </w:lvl>
  </w:abstractNum>
  <w:abstractNum w:abstractNumId="234">
    <w:nsid w:val="17859F72"/>
    <w:multiLevelType w:val="hybridMultilevel"/>
    <w:lvl w:ilvl="0">
      <w:lvlJc w:val="left"/>
      <w:lvlText w:val="7"/>
      <w:numFmt w:val="bullet"/>
      <w:start w:val="1"/>
    </w:lvl>
  </w:abstractNum>
  <w:abstractNum w:abstractNumId="235">
    <w:nsid w:val="3AA10581"/>
    <w:multiLevelType w:val="hybridMultilevel"/>
    <w:lvl w:ilvl="0">
      <w:lvlJc w:val="left"/>
      <w:lvlText w:val="%1."/>
      <w:numFmt w:val="decimal"/>
      <w:start w:val="1"/>
    </w:lvl>
    <w:lvl w:ilvl="1">
      <w:lvlJc w:val="left"/>
      <w:lvlText w:val="(%2)"/>
      <w:numFmt w:val="lowerLetter"/>
      <w:start w:val="1"/>
    </w:lvl>
  </w:abstractNum>
  <w:abstractNum w:abstractNumId="236">
    <w:nsid w:val="63DE60CD"/>
    <w:multiLevelType w:val="hybridMultilevel"/>
    <w:lvl w:ilvl="0">
      <w:lvlJc w:val="left"/>
      <w:lvlText w:val="(%1)"/>
      <w:numFmt w:val="lowerLetter"/>
      <w:start w:val="11"/>
    </w:lvl>
  </w:abstractNum>
  <w:abstractNum w:abstractNumId="237">
    <w:nsid w:val="621AF471"/>
    <w:multiLevelType w:val="hybridMultilevel"/>
    <w:lvl w:ilvl="0">
      <w:lvlJc w:val="left"/>
      <w:lvlText w:val="%1"/>
      <w:numFmt w:val="decimal"/>
      <w:start w:val="1"/>
    </w:lvl>
    <w:lvl w:ilvl="1">
      <w:lvlJc w:val="left"/>
      <w:lvlText w:val="(%2)"/>
      <w:numFmt w:val="lowerLetter"/>
      <w:start w:val="24"/>
    </w:lvl>
  </w:abstractNum>
  <w:abstractNum w:abstractNumId="238">
    <w:nsid w:val="73CFE165"/>
    <w:multiLevelType w:val="hybridMultilevel"/>
    <w:lvl w:ilvl="0">
      <w:lvlJc w:val="left"/>
      <w:lvlText w:val="%1."/>
      <w:numFmt w:val="decimal"/>
      <w:start w:val="2"/>
    </w:lvl>
    <w:lvl w:ilvl="1">
      <w:lvlJc w:val="left"/>
      <w:lvlText w:val="(%2)"/>
      <w:numFmt w:val="lowerLetter"/>
      <w:start w:val="1"/>
    </w:lvl>
  </w:abstractNum>
  <w:abstractNum w:abstractNumId="239">
    <w:nsid w:val="20F88EA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40">
    <w:nsid w:val="617C843E"/>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41">
    <w:nsid w:val="7B541FA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42">
    <w:nsid w:val="2A79EC4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43">
    <w:nsid w:val="338125CF"/>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44">
    <w:nsid w:val="47C7C971"/>
    <w:multiLevelType w:val="hybridMultilevel"/>
    <w:lvl w:ilvl="0">
      <w:lvlJc w:val="left"/>
      <w:lvlText w:val="%1"/>
      <w:numFmt w:val="lowerLetter"/>
      <w:start w:val="1"/>
    </w:lvl>
    <w:lvl w:ilvl="1">
      <w:lvlJc w:val="left"/>
      <w:lvlText w:val="(%2)"/>
      <w:numFmt w:val="decimal"/>
      <w:start w:val="2"/>
    </w:lvl>
  </w:abstractNum>
  <w:abstractNum w:abstractNumId="245">
    <w:nsid w:val="46F8284B"/>
    <w:multiLevelType w:val="hybridMultilevel"/>
    <w:lvl w:ilvl="0">
      <w:lvlJc w:val="left"/>
      <w:lvlText w:val="(%1)"/>
      <w:numFmt w:val="lowerLetter"/>
      <w:start w:val="3"/>
    </w:lvl>
    <w:lvl w:ilvl="1">
      <w:lvlJc w:val="left"/>
      <w:lvlText w:val="(%2)"/>
      <w:numFmt w:val="decimal"/>
      <w:start w:val="1"/>
    </w:lvl>
  </w:abstractNum>
  <w:abstractNum w:abstractNumId="246">
    <w:nsid w:val="4FA327CE"/>
    <w:multiLevelType w:val="hybridMultilevel"/>
    <w:lvl w:ilvl="0">
      <w:lvlJc w:val="left"/>
      <w:lvlText w:val="%1"/>
      <w:numFmt w:val="decimal"/>
      <w:start w:val="1"/>
    </w:lvl>
    <w:lvl w:ilvl="1">
      <w:lvlJc w:val="left"/>
      <w:lvlText w:val="(%2)"/>
      <w:numFmt w:val="lowerLetter"/>
      <w:start w:val="6"/>
    </w:lvl>
  </w:abstractNum>
  <w:abstractNum w:abstractNumId="247">
    <w:nsid w:val="1873983A"/>
    <w:multiLevelType w:val="hybridMultilevel"/>
    <w:lvl w:ilvl="0">
      <w:lvlJc w:val="left"/>
      <w:lvlText w:val="%1."/>
      <w:numFmt w:val="decimal"/>
      <w:start w:val="7"/>
    </w:lvl>
    <w:lvl w:ilvl="1">
      <w:lvlJc w:val="left"/>
      <w:lvlText w:val="%2"/>
      <w:numFmt w:val="lowerLetter"/>
      <w:start w:val="1"/>
    </w:lvl>
  </w:abstractNum>
  <w:abstractNum w:abstractNumId="248">
    <w:nsid w:val="3D2DD275"/>
    <w:multiLevelType w:val="hybridMultilevel"/>
    <w:lvl w:ilvl="0">
      <w:lvlJc w:val="left"/>
      <w:lvlText w:val="%1."/>
      <w:numFmt w:val="decimal"/>
      <w:start w:val="10"/>
    </w:lvl>
    <w:lvl w:ilvl="1">
      <w:lvlJc w:val="left"/>
      <w:lvlText w:val="(%2)"/>
      <w:numFmt w:val="lowerLetter"/>
      <w:start w:val="1"/>
    </w:lvl>
  </w:abstractNum>
  <w:abstractNum w:abstractNumId="249">
    <w:nsid w:val="2E17ECA7"/>
    <w:multiLevelType w:val="hybridMultilevel"/>
    <w:lvl w:ilvl="0">
      <w:lvlJc w:val="left"/>
      <w:lvlText w:val="§"/>
      <w:numFmt w:val="bullet"/>
      <w:start w:val="1"/>
    </w:lvl>
    <w:lvl w:ilvl="1">
      <w:lvlJc w:val="left"/>
      <w:lvlText w:val="%2."/>
      <w:numFmt w:val="decimal"/>
      <w:start w:val="13"/>
    </w:lvl>
  </w:abstractNum>
  <w:abstractNum w:abstractNumId="250">
    <w:nsid w:val="53B2564F"/>
    <w:multiLevelType w:val="hybridMultilevel"/>
    <w:lvl w:ilvl="0">
      <w:lvlJc w:val="left"/>
      <w:lvlText w:val="1"/>
      <w:numFmt w:val="bullet"/>
      <w:start w:val="1"/>
    </w:lvl>
  </w:abstractNum>
  <w:abstractNum w:abstractNumId="251">
    <w:nsid w:val="75509D76"/>
    <w:multiLevelType w:val="hybridMultilevel"/>
    <w:lvl w:ilvl="0">
      <w:lvlJc w:val="left"/>
      <w:lvlText w:val="(%1)"/>
      <w:numFmt w:val="lowerRoman"/>
      <w:start w:val="6"/>
    </w:lvl>
  </w:abstractNum>
  <w:abstractNum w:abstractNumId="252">
    <w:nsid w:val="1AF7F0EA"/>
    <w:multiLevelType w:val="hybridMultilevel"/>
    <w:lvl w:ilvl="0">
      <w:lvlJc w:val="left"/>
      <w:lvlText w:val="(%1)"/>
      <w:numFmt w:val="lowerLetter"/>
      <w:start w:val="1"/>
    </w:lvl>
  </w:abstractNum>
  <w:abstractNum w:abstractNumId="253">
    <w:nsid w:val="4DA32C7E"/>
    <w:multiLevelType w:val="hybridMultilevel"/>
    <w:lvl w:ilvl="0">
      <w:lvlJc w:val="left"/>
      <w:lvlText w:val="(%1)"/>
      <w:numFmt w:val="lowerRoman"/>
      <w:start w:val="1"/>
    </w:lvl>
  </w:abstractNum>
  <w:abstractNum w:abstractNumId="254">
    <w:nsid w:val="6EC68664"/>
    <w:multiLevelType w:val="hybridMultilevel"/>
    <w:lvl w:ilvl="0">
      <w:lvlJc w:val="left"/>
      <w:lvlText w:val="(%1)"/>
      <w:numFmt w:val="lowerRoman"/>
      <w:start w:val="1"/>
    </w:lvl>
  </w:abstractNum>
  <w:abstractNum w:abstractNumId="255">
    <w:nsid w:val="E0D31FF"/>
    <w:multiLevelType w:val="hybridMultilevel"/>
    <w:lvl w:ilvl="0">
      <w:lvlJc w:val="left"/>
      <w:lvlText w:val="(%1)"/>
      <w:numFmt w:val="lowerRoman"/>
      <w:start w:val="3"/>
    </w:lvl>
  </w:abstractNum>
  <w:abstractNum w:abstractNumId="256">
    <w:nsid w:val="2FD0AD81"/>
    <w:multiLevelType w:val="hybridMultilevel"/>
    <w:lvl w:ilvl="0">
      <w:lvlJc w:val="left"/>
      <w:lvlText w:val="(%1)"/>
      <w:numFmt w:val="lowerRoman"/>
      <w:start w:val="2"/>
    </w:lvl>
  </w:abstractNum>
  <w:abstractNum w:abstractNumId="257">
    <w:nsid w:val="1978EBEB"/>
    <w:multiLevelType w:val="hybridMultilevel"/>
    <w:lvl w:ilvl="0">
      <w:lvlJc w:val="left"/>
      <w:lvlText w:val="(%1)"/>
      <w:numFmt w:val="lowerRoman"/>
      <w:start w:val="1"/>
    </w:lvl>
  </w:abstractNum>
  <w:abstractNum w:abstractNumId="258">
    <w:nsid w:val="52C12C61"/>
    <w:multiLevelType w:val="hybridMultilevel"/>
    <w:lvl w:ilvl="0">
      <w:lvlJc w:val="left"/>
      <w:lvlText w:val="(%1)"/>
      <w:numFmt w:val="lowerRoman"/>
      <w:start w:val="1"/>
    </w:lvl>
  </w:abstractNum>
  <w:abstractNum w:abstractNumId="259">
    <w:nsid w:val="4BDD53FD"/>
    <w:multiLevelType w:val="hybridMultilevel"/>
    <w:lvl w:ilvl="0">
      <w:lvlJc w:val="left"/>
      <w:lvlText w:val="(%1)"/>
      <w:numFmt w:val="lowerRoman"/>
      <w:start w:val="1"/>
    </w:lvl>
  </w:abstractNum>
  <w:abstractNum w:abstractNumId="260">
    <w:nsid w:val="569951FE"/>
    <w:multiLevelType w:val="hybridMultilevel"/>
    <w:lvl w:ilvl="0">
      <w:lvlJc w:val="left"/>
      <w:lvlText w:val="(%1)"/>
      <w:numFmt w:val="lowerRoman"/>
      <w:start w:val="2"/>
    </w:lvl>
  </w:abstractNum>
  <w:abstractNum w:abstractNumId="261">
    <w:nsid w:val="4C54E2C3"/>
    <w:multiLevelType w:val="hybridMultilevel"/>
    <w:lvl w:ilvl="0">
      <w:lvlJc w:val="left"/>
      <w:lvlText w:val="(%1)"/>
      <w:numFmt w:val="lowerRoman"/>
      <w:start w:val="4"/>
    </w:lvl>
  </w:abstractNum>
  <w:abstractNum w:abstractNumId="262">
    <w:nsid w:val="788BD9B"/>
    <w:multiLevelType w:val="hybridMultilevel"/>
    <w:lvl w:ilvl="0">
      <w:lvlJc w:val="left"/>
      <w:lvlText w:val="(%1)"/>
      <w:numFmt w:val="lowerRoman"/>
      <w:start w:val="1"/>
    </w:lvl>
  </w:abstractNum>
  <w:abstractNum w:abstractNumId="263">
    <w:nsid w:val="47CAA567"/>
    <w:multiLevelType w:val="hybridMultilevel"/>
    <w:lvl w:ilvl="0">
      <w:lvlJc w:val="left"/>
      <w:lvlText w:val="(%1)"/>
      <w:numFmt w:val="lowerRoman"/>
      <w:start w:val="3"/>
    </w:lvl>
  </w:abstractNum>
  <w:abstractNum w:abstractNumId="264">
    <w:nsid w:val="48249DBF"/>
    <w:multiLevelType w:val="hybridMultilevel"/>
    <w:lvl w:ilvl="0">
      <w:lvlJc w:val="left"/>
      <w:lvlText w:val="(%1)"/>
      <w:numFmt w:val="lowerRoman"/>
      <w:start w:val="1"/>
    </w:lvl>
  </w:abstractNum>
  <w:abstractNum w:abstractNumId="265">
    <w:nsid w:val="1F0E5D0D"/>
    <w:multiLevelType w:val="hybridMultilevel"/>
    <w:lvl w:ilvl="0">
      <w:lvlJc w:val="left"/>
      <w:lvlText w:val="(%1)"/>
      <w:numFmt w:val="lowerLetter"/>
      <w:start w:val="2"/>
    </w:lvl>
  </w:abstractNum>
  <w:abstractNum w:abstractNumId="266">
    <w:nsid w:val="26BAA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7">
    <w:nsid w:val="2C02FE8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3"/>
    </w:lvl>
  </w:abstractNum>
  <w:abstractNum w:abstractNumId="268">
    <w:nsid w:val="129517E"/>
    <w:multiLevelType w:val="hybridMultilevel"/>
    <w:lvl w:ilvl="0">
      <w:lvlJc w:val="left"/>
      <w:lvlText w:val="(%1)"/>
      <w:numFmt w:val="lowerLetter"/>
      <w:start w:val="1"/>
    </w:lvl>
  </w:abstractNum>
  <w:abstractNum w:abstractNumId="269">
    <w:nsid w:val="763B8C4E"/>
    <w:multiLevelType w:val="hybridMultilevel"/>
    <w:lvl w:ilvl="0">
      <w:lvlJc w:val="left"/>
      <w:lvlText w:val="(%1)"/>
      <w:numFmt w:val="lowerLetter"/>
      <w:start w:val="1"/>
    </w:lvl>
  </w:abstractNum>
  <w:abstractNum w:abstractNumId="270">
    <w:nsid w:val="4CFB8D32"/>
    <w:multiLevelType w:val="hybridMultilevel"/>
    <w:lvl w:ilvl="0">
      <w:lvlJc w:val="left"/>
      <w:lvlText w:val="(%1)"/>
      <w:numFmt w:val="lowerLetter"/>
      <w:start w:val="2"/>
    </w:lvl>
  </w:abstractNum>
  <w:abstractNum w:abstractNumId="271">
    <w:nsid w:val="62A5D5BD"/>
    <w:multiLevelType w:val="hybridMultilevel"/>
    <w:lvl w:ilvl="0">
      <w:lvlJc w:val="left"/>
      <w:lvlText w:val="(%1)"/>
      <w:numFmt w:val="lowerLetter"/>
      <w:start w:val="1"/>
    </w:lvl>
  </w:abstractNum>
  <w:abstractNum w:abstractNumId="272">
    <w:nsid w:val="718FABF9"/>
    <w:multiLevelType w:val="hybridMultilevel"/>
    <w:lvl w:ilvl="0">
      <w:lvlJc w:val="left"/>
      <w:lvlText w:val="(%1)"/>
      <w:numFmt w:val="lowerLetter"/>
      <w:start w:val="1"/>
    </w:lvl>
  </w:abstractNum>
  <w:abstractNum w:abstractNumId="273">
    <w:nsid w:val="7775797C"/>
    <w:multiLevelType w:val="hybridMultilevel"/>
    <w:lvl w:ilvl="0">
      <w:lvlJc w:val="left"/>
      <w:lvlText w:val="(%1)"/>
      <w:numFmt w:val="lowerLetter"/>
      <w:start w:val="3"/>
    </w:lvl>
  </w:abstractNum>
  <w:abstractNum w:abstractNumId="274">
    <w:nsid w:val="1626FB8C"/>
    <w:multiLevelType w:val="hybridMultilevel"/>
    <w:lvl w:ilvl="0">
      <w:lvlJc w:val="left"/>
      <w:lvlText w:val="(%1)"/>
      <w:numFmt w:val="lowerLetter"/>
      <w:start w:val="1"/>
    </w:lvl>
    <w:lvl w:ilvl="1">
      <w:lvlJc w:val="left"/>
      <w:lvlText w:val="(%2)"/>
      <w:numFmt w:val="lowerLetter"/>
      <w:start w:val="9"/>
    </w:lvl>
  </w:abstractNum>
  <w:abstractNum w:abstractNumId="275">
    <w:nsid w:val="3957756A"/>
    <w:multiLevelType w:val="hybridMultilevel"/>
    <w:lvl w:ilvl="0">
      <w:lvlJc w:val="left"/>
      <w:lvlText w:val="%1"/>
      <w:numFmt w:val="lowerLetter"/>
      <w:start w:val="1"/>
    </w:lvl>
    <w:lvl w:ilvl="1">
      <w:lvlJc w:val="left"/>
      <w:lvlText w:val="(%2)"/>
      <w:numFmt w:val="lowerLetter"/>
      <w:start w:val="35"/>
    </w:lvl>
  </w:abstractNum>
  <w:abstractNum w:abstractNumId="276">
    <w:nsid w:val="3E6DA1C7"/>
    <w:multiLevelType w:val="hybridMultilevel"/>
    <w:lvl w:ilvl="0">
      <w:lvlJc w:val="left"/>
      <w:lvlText w:val="(%1)"/>
      <w:numFmt w:val="lowerLetter"/>
      <w:start w:val="4"/>
    </w:lvl>
    <w:lvl w:ilvl="1">
      <w:lvlJc w:val="left"/>
      <w:lvlText w:val="%2"/>
      <w:numFmt w:val="lowerLetter"/>
      <w:start w:val="1"/>
    </w:lvl>
  </w:abstractNum>
  <w:abstractNum w:abstractNumId="277">
    <w:nsid w:val="65CA235B"/>
    <w:multiLevelType w:val="hybridMultilevel"/>
    <w:lvl w:ilvl="0">
      <w:lvlJc w:val="left"/>
      <w:lvlText w:val="(%1)"/>
      <w:numFmt w:val="lowerLetter"/>
      <w:start w:val="10"/>
    </w:lvl>
  </w:abstractNum>
  <w:abstractNum w:abstractNumId="278">
    <w:nsid w:val="51CB0DA4"/>
    <w:multiLevelType w:val="hybridMultilevel"/>
    <w:lvl w:ilvl="0">
      <w:lvlJc w:val="left"/>
      <w:lvlText w:val="(%1)"/>
      <w:numFmt w:val="lowerLetter"/>
      <w:start w:val="1"/>
    </w:lvl>
  </w:abstractNum>
  <w:abstractNum w:abstractNumId="279">
    <w:nsid w:val="7B9B743C"/>
    <w:multiLevelType w:val="hybridMultilevel"/>
    <w:lvl w:ilvl="0">
      <w:lvlJc w:val="left"/>
      <w:lvlText w:val="(%1)"/>
      <w:numFmt w:val="lowerLetter"/>
      <w:start w:val="1"/>
    </w:lvl>
  </w:abstractNum>
  <w:abstractNum w:abstractNumId="280">
    <w:nsid w:val="13E21002"/>
    <w:multiLevelType w:val="hybridMultilevel"/>
    <w:lvl w:ilvl="0">
      <w:lvlJc w:val="left"/>
      <w:lvlText w:val="(%1)"/>
      <w:numFmt w:val="lowerLetter"/>
      <w:start w:val="1"/>
    </w:lvl>
    <w:lvl w:ilvl="1">
      <w:lvlJc w:val="left"/>
      <w:lvlText w:val="(%2)"/>
      <w:numFmt w:val="lowerRoman"/>
      <w:start w:val="1"/>
    </w:lvl>
  </w:abstractNum>
  <w:abstractNum w:abstractNumId="281">
    <w:nsid w:val="257D63F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282">
    <w:nsid w:val="70EC11B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83">
    <w:nsid w:val="2EDA00E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284">
    <w:nsid w:val="73209072"/>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85">
    <w:nsid w:val="5FB2981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86">
    <w:nsid w:val="3CE732EC"/>
    <w:multiLevelType w:val="hybridMultilevel"/>
    <w:lvl w:ilvl="0">
      <w:lvlJc w:val="left"/>
      <w:lvlText w:val="(%1)"/>
      <w:numFmt w:val="lowerLetter"/>
      <w:start w:val="5"/>
    </w:lvl>
    <w:lvl w:ilvl="1">
      <w:lvlJc w:val="left"/>
      <w:lvlText w:val="(%2)"/>
      <w:numFmt w:val="lowerRoman"/>
      <w:start w:val="1"/>
    </w:lvl>
  </w:abstractNum>
  <w:abstractNum w:abstractNumId="287">
    <w:nsid w:val="22F13DF3"/>
    <w:multiLevelType w:val="hybridMultilevel"/>
    <w:lvl w:ilvl="0">
      <w:lvlJc w:val="left"/>
      <w:lvlText w:val="(%1)"/>
      <w:numFmt w:val="lowerLetter"/>
      <w:start w:val="1"/>
    </w:lvl>
  </w:abstractNum>
  <w:abstractNum w:abstractNumId="288">
    <w:nsid w:val="792B8401"/>
    <w:multiLevelType w:val="hybridMultilevel"/>
    <w:lvl w:ilvl="0">
      <w:lvlJc w:val="left"/>
      <w:lvlText w:val="(%1)"/>
      <w:numFmt w:val="lowerLetter"/>
      <w:start w:val="3"/>
    </w:lvl>
    <w:lvl w:ilvl="1">
      <w:lvlJc w:val="left"/>
      <w:lvlText w:val="(%2)"/>
      <w:numFmt w:val="lowerRoman"/>
      <w:start w:val="1"/>
    </w:lvl>
  </w:abstractNum>
  <w:abstractNum w:abstractNumId="289">
    <w:nsid w:val="FA85F4D"/>
    <w:multiLevelType w:val="hybridMultilevel"/>
    <w:lvl w:ilvl="0">
      <w:lvlJc w:val="left"/>
      <w:lvlText w:val="(%1)"/>
      <w:numFmt w:val="lowerLetter"/>
      <w:start w:val="4"/>
    </w:lvl>
  </w:abstractNum>
  <w:abstractNum w:abstractNumId="290">
    <w:nsid w:val="6ECE91F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1">
    <w:nsid w:val="4FC4D600"/>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3"/>
    </w:lvl>
  </w:abstractNum>
  <w:abstractNum w:abstractNumId="292">
    <w:nsid w:val="5BFD4210"/>
    <w:multiLevelType w:val="hybridMultilevel"/>
    <w:lvl w:ilvl="0">
      <w:lvlJc w:val="left"/>
      <w:lvlText w:val="%1"/>
      <w:numFmt w:val="lowerLetter"/>
      <w:start w:val="1"/>
    </w:lvl>
    <w:lvl w:ilvl="1">
      <w:lvlJc w:val="left"/>
      <w:lvlText w:val="(%2)"/>
      <w:numFmt w:val="lowerLetter"/>
      <w:start w:val="4"/>
    </w:lvl>
  </w:abstractNum>
  <w:abstractNum w:abstractNumId="293">
    <w:nsid w:val="76574F8B"/>
    <w:multiLevelType w:val="hybridMultilevel"/>
    <w:lvl w:ilvl="0">
      <w:lvlJc w:val="left"/>
      <w:lvlText w:val="(%1)"/>
      <w:numFmt w:val="lowerLetter"/>
      <w:start w:val="35"/>
    </w:lvl>
    <w:lvl w:ilvl="1">
      <w:lvlJc w:val="left"/>
      <w:lvlText w:val="%2"/>
      <w:numFmt w:val="lowerLetter"/>
      <w:start w:val="1"/>
    </w:lvl>
  </w:abstractNum>
  <w:abstractNum w:abstractNumId="294">
    <w:nsid w:val="178F7B67"/>
    <w:multiLevelType w:val="hybridMultilevel"/>
    <w:lvl w:ilvl="0">
      <w:lvlJc w:val="left"/>
      <w:lvlText w:val="(%1)"/>
      <w:numFmt w:val="lowerLetter"/>
      <w:start w:val="5"/>
    </w:lvl>
  </w:abstractNum>
  <w:abstractNum w:abstractNumId="295">
    <w:nsid w:val="2421DFCF"/>
    <w:multiLevelType w:val="hybridMultilevel"/>
    <w:lvl w:ilvl="0">
      <w:lvlJc w:val="left"/>
      <w:lvlText w:val="(%1)"/>
      <w:numFmt w:val="lowerLetter"/>
      <w:start w:val="1"/>
    </w:lvl>
  </w:abstractNum>
  <w:abstractNum w:abstractNumId="296">
    <w:nsid w:val="1565AC99"/>
    <w:multiLevelType w:val="hybridMultilevel"/>
    <w:lvl w:ilvl="0">
      <w:lvlJc w:val="left"/>
      <w:lvlText w:val="(%1)"/>
      <w:numFmt w:val="lowerLetter"/>
      <w:start w:val="1"/>
    </w:lvl>
  </w:abstractNum>
  <w:abstractNum w:abstractNumId="297">
    <w:nsid w:val="19FB2650"/>
    <w:multiLevelType w:val="hybridMultilevel"/>
    <w:lvl w:ilvl="0">
      <w:lvlJc w:val="left"/>
      <w:lvlText w:val="(%1)"/>
      <w:numFmt w:val="lowerRoman"/>
      <w:start w:val="1"/>
    </w:lvl>
  </w:abstractNum>
  <w:abstractNum w:abstractNumId="298">
    <w:nsid w:val="5024DE5B"/>
    <w:multiLevelType w:val="hybridMultilevel"/>
    <w:lvl w:ilvl="0">
      <w:lvlJc w:val="left"/>
      <w:lvlText w:val="(%1)"/>
      <w:numFmt w:val="lowerLetter"/>
      <w:start w:val="1"/>
    </w:lvl>
  </w:abstractNum>
  <w:abstractNum w:abstractNumId="299">
    <w:nsid w:val="168EFE1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0">
    <w:nsid w:val="1036B29F"/>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01">
    <w:nsid w:val="1D206B8E"/>
    <w:multiLevelType w:val="hybridMultilevel"/>
    <w:lvl w:ilvl="0">
      <w:lvlJc w:val="left"/>
      <w:lvlText w:val="(%1)"/>
      <w:numFmt w:val="lowerLetter"/>
      <w:start w:val="6"/>
    </w:lvl>
  </w:abstractNum>
  <w:abstractNum w:abstractNumId="302">
    <w:nsid w:val="7934D3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3">
    <w:nsid w:val="1C65E9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304">
    <w:nsid w:val="1495E50A"/>
    <w:multiLevelType w:val="hybridMultilevel"/>
    <w:lvl w:ilvl="0">
      <w:lvlJc w:val="left"/>
      <w:lvlText w:val="(%1)"/>
      <w:numFmt w:val="lowerLetter"/>
      <w:start w:val="3"/>
    </w:lvl>
  </w:abstractNum>
  <w:abstractNum w:abstractNumId="305">
    <w:nsid w:val="F5BCF61"/>
    <w:multiLevelType w:val="hybridMultilevel"/>
    <w:lvl w:ilvl="0">
      <w:lvlJc w:val="left"/>
      <w:lvlText w:val="(%1)"/>
      <w:numFmt w:val="lowerLetter"/>
      <w:start w:val="1"/>
    </w:lvl>
  </w:abstractNum>
  <w:abstractNum w:abstractNumId="306">
    <w:nsid w:val="3B1DD403"/>
    <w:multiLevelType w:val="hybridMultilevel"/>
    <w:lvl w:ilvl="0">
      <w:lvlJc w:val="left"/>
      <w:lvlText w:val="(%1)"/>
      <w:numFmt w:val="lowerLetter"/>
      <w:start w:val="9"/>
    </w:lvl>
    <w:lvl w:ilvl="1">
      <w:lvlJc w:val="left"/>
      <w:lvlText w:val="(%2)"/>
      <w:numFmt w:val="lowerLetter"/>
      <w:start w:val="4"/>
    </w:lvl>
  </w:abstractNum>
  <w:abstractNum w:abstractNumId="307">
    <w:nsid w:val="530386D1"/>
    <w:multiLevelType w:val="hybridMultilevel"/>
    <w:lvl w:ilvl="0">
      <w:lvlJc w:val="left"/>
      <w:lvlText w:val="(%1)"/>
      <w:numFmt w:val="lowerLetter"/>
      <w:start w:val="5"/>
    </w:lvl>
  </w:abstractNum>
  <w:abstractNum w:abstractNumId="308">
    <w:nsid w:val="7525F2BC"/>
    <w:multiLevelType w:val="hybridMultilevel"/>
    <w:lvl w:ilvl="0">
      <w:lvlJc w:val="left"/>
      <w:lvlText w:val="(%1)"/>
      <w:numFmt w:val="lowerLetter"/>
      <w:start w:val="7"/>
    </w:lvl>
    <w:lvl w:ilvl="1">
      <w:lvlJc w:val="left"/>
      <w:lvlText w:val="(%2)"/>
      <w:numFmt w:val="lowerRoman"/>
      <w:start w:val="1"/>
    </w:lvl>
  </w:abstractNum>
  <w:abstractNum w:abstractNumId="309">
    <w:nsid w:val="CE8E1A7"/>
    <w:multiLevelType w:val="hybridMultilevel"/>
    <w:lvl w:ilvl="0">
      <w:lvlJc w:val="left"/>
      <w:lvlText w:val="(%1)"/>
      <w:numFmt w:val="lowerRoman"/>
      <w:start w:val="2"/>
    </w:lvl>
  </w:abstractNum>
  <w:abstractNum w:abstractNumId="310">
    <w:nsid w:val="4E9EFB0D"/>
    <w:multiLevelType w:val="hybridMultilevel"/>
    <w:lvl w:ilvl="0">
      <w:lvlJc w:val="left"/>
      <w:lvlText w:val="(%1)"/>
      <w:numFmt w:val="lowerLetter"/>
      <w:start w:val="1"/>
    </w:lvl>
  </w:abstractNum>
  <w:abstractNum w:abstractNumId="311">
    <w:nsid w:val="90802BE"/>
    <w:multiLevelType w:val="hybridMultilevel"/>
    <w:lvl w:ilvl="0">
      <w:lvlJc w:val="left"/>
      <w:lvlText w:val="(%1)"/>
      <w:numFmt w:val="lowerLetter"/>
      <w:start w:val="1"/>
    </w:lvl>
    <w:lvl w:ilvl="1">
      <w:lvlJc w:val="left"/>
      <w:lvlText w:val="(%2)"/>
      <w:numFmt w:val="lowerRoman"/>
      <w:start w:val="1"/>
    </w:lvl>
  </w:abstractNum>
  <w:abstractNum w:abstractNumId="312">
    <w:nsid w:val="3266459B"/>
    <w:multiLevelType w:val="hybridMultilevel"/>
    <w:lvl w:ilvl="0">
      <w:lvlJc w:val="left"/>
      <w:lvlText w:val="(%1)"/>
      <w:numFmt w:val="lowerLetter"/>
      <w:start w:val="1"/>
    </w:lvl>
  </w:abstractNum>
  <w:abstractNum w:abstractNumId="313">
    <w:nsid w:val="3F8B0CBF"/>
    <w:multiLevelType w:val="hybridMultilevel"/>
    <w:lvl w:ilvl="0">
      <w:lvlJc w:val="left"/>
      <w:lvlText w:val="(%1)"/>
      <w:numFmt w:val="lowerLetter"/>
      <w:start w:val="6"/>
    </w:lvl>
  </w:abstractNum>
  <w:abstractNum w:abstractNumId="314">
    <w:nsid w:val="37E203AB"/>
    <w:multiLevelType w:val="hybridMultilevel"/>
    <w:lvl w:ilvl="0">
      <w:lvlJc w:val="left"/>
      <w:lvlText w:val="(%1)"/>
      <w:numFmt w:val="lowerLetter"/>
      <w:start w:val="1"/>
    </w:lvl>
  </w:abstractNum>
  <w:abstractNum w:abstractNumId="315">
    <w:nsid w:val="2586D60E"/>
    <w:multiLevelType w:val="hybridMultilevel"/>
    <w:lvl w:ilvl="0">
      <w:lvlJc w:val="left"/>
      <w:lvlText w:val="(%1)"/>
      <w:numFmt w:val="lowerLetter"/>
      <w:start w:val="1"/>
    </w:lvl>
  </w:abstractNum>
  <w:abstractNum w:abstractNumId="316">
    <w:nsid w:val="1F3DA4D5"/>
    <w:multiLevelType w:val="hybridMultilevel"/>
    <w:lvl w:ilvl="0">
      <w:lvlJc w:val="left"/>
      <w:lvlText w:val="(%1)"/>
      <w:numFmt w:val="lowerLetter"/>
      <w:start w:val="2"/>
    </w:lvl>
  </w:abstractNum>
  <w:abstractNum w:abstractNumId="317">
    <w:nsid w:val="74C93698"/>
    <w:multiLevelType w:val="hybridMultilevel"/>
    <w:lvl w:ilvl="0">
      <w:lvlJc w:val="left"/>
      <w:lvlText w:val="(%1)"/>
      <w:numFmt w:val="lowerLetter"/>
      <w:start w:val="5"/>
    </w:lvl>
  </w:abstractNum>
  <w:abstractNum w:abstractNumId="318">
    <w:nsid w:val="48781401"/>
    <w:multiLevelType w:val="hybridMultilevel"/>
    <w:lvl w:ilvl="0">
      <w:lvlJc w:val="left"/>
      <w:lvlText w:val="(%1)"/>
      <w:numFmt w:val="lowerLetter"/>
      <w:start w:val="1"/>
    </w:lvl>
  </w:abstractNum>
  <w:abstractNum w:abstractNumId="319">
    <w:nsid w:val="186928D6"/>
    <w:multiLevelType w:val="hybridMultilevel"/>
    <w:lvl w:ilvl="0">
      <w:lvlJc w:val="left"/>
      <w:lvlText w:val="(%1)"/>
      <w:numFmt w:val="lowerRoman"/>
      <w:start w:val="1"/>
    </w:lvl>
  </w:abstractNum>
  <w:abstractNum w:abstractNumId="320">
    <w:nsid w:val="47195E5"/>
    <w:multiLevelType w:val="hybridMultilevel"/>
    <w:lvl w:ilvl="0">
      <w:lvlJc w:val="left"/>
      <w:lvlText w:val="(%1)"/>
      <w:numFmt w:val="lowerLetter"/>
      <w:start w:val="2"/>
    </w:lvl>
  </w:abstractNum>
  <w:abstractNum w:abstractNumId="321">
    <w:nsid w:val="3746A5F2"/>
    <w:multiLevelType w:val="hybridMultilevel"/>
    <w:lvl w:ilvl="0">
      <w:lvlJc w:val="left"/>
      <w:lvlText w:val="(%1)"/>
      <w:numFmt w:val="lowerRoman"/>
      <w:start w:val="1"/>
    </w:lvl>
  </w:abstractNum>
  <w:abstractNum w:abstractNumId="322">
    <w:nsid w:val="682DFED6"/>
    <w:multiLevelType w:val="hybridMultilevel"/>
    <w:lvl w:ilvl="0">
      <w:lvlJc w:val="left"/>
      <w:lvlText w:val="(%1)"/>
      <w:numFmt w:val="lowerLetter"/>
      <w:start w:val="3"/>
    </w:lvl>
  </w:abstractNum>
  <w:abstractNum w:abstractNumId="323">
    <w:nsid w:val="606ED7F6"/>
    <w:multiLevelType w:val="hybridMultilevel"/>
    <w:lvl w:ilvl="0">
      <w:lvlJc w:val="left"/>
      <w:lvlText w:val="(%1)"/>
      <w:numFmt w:val="lowerLetter"/>
      <w:start w:val="4"/>
    </w:lvl>
  </w:abstractNum>
  <w:abstractNum w:abstractNumId="324">
    <w:nsid w:val="2D9DF57D"/>
    <w:multiLevelType w:val="hybridMultilevel"/>
    <w:lvl w:ilvl="0">
      <w:lvlJc w:val="left"/>
      <w:lvlText w:val="(%1)"/>
      <w:numFmt w:val="lowerLetter"/>
      <w:start w:val="1"/>
    </w:lvl>
    <w:lvl w:ilvl="1">
      <w:lvlJc w:val="left"/>
      <w:lvlText w:val="(%2)"/>
      <w:numFmt w:val="lowerRoman"/>
      <w:start w:val="1"/>
    </w:lvl>
  </w:abstractNum>
  <w:abstractNum w:abstractNumId="325">
    <w:nsid w:val="7FBD7A3E"/>
    <w:multiLevelType w:val="hybridMultilevel"/>
    <w:lvl w:ilvl="0">
      <w:lvlJc w:val="left"/>
      <w:lvlText w:val="(%1)"/>
      <w:numFmt w:val="lowerLetter"/>
      <w:start w:val="2"/>
    </w:lvl>
    <w:lvl w:ilvl="1">
      <w:lvlJc w:val="left"/>
      <w:lvlText w:val="(%2)"/>
      <w:numFmt w:val="lowerRoman"/>
      <w:start w:val="1"/>
    </w:lvl>
  </w:abstractNum>
  <w:abstractNum w:abstractNumId="326">
    <w:nsid w:val="490B7C5"/>
    <w:multiLevelType w:val="hybridMultilevel"/>
    <w:lvl w:ilvl="0">
      <w:lvlJc w:val="left"/>
      <w:lvlText w:val="(%1)"/>
      <w:numFmt w:val="lowerRoman"/>
      <w:start w:val="10"/>
    </w:lvl>
  </w:abstractNum>
  <w:abstractNum w:abstractNumId="327">
    <w:nsid w:val="4303A216"/>
    <w:multiLevelType w:val="hybridMultilevel"/>
    <w:lvl w:ilvl="0">
      <w:lvlJc w:val="left"/>
      <w:lvlText w:val="(%1)"/>
      <w:numFmt w:val="lowerLetter"/>
      <w:start w:val="1"/>
    </w:lvl>
  </w:abstractNum>
  <w:abstractNum w:abstractNumId="328">
    <w:nsid w:val="19B8A08E"/>
    <w:multiLevelType w:val="hybridMultilevel"/>
    <w:lvl w:ilvl="0">
      <w:lvlJc w:val="left"/>
      <w:lvlText w:val="(%1)"/>
      <w:numFmt w:val="lowerLetter"/>
      <w:start w:val="1"/>
    </w:lvl>
  </w:abstractNum>
  <w:abstractNum w:abstractNumId="329">
    <w:nsid w:val="54B59621"/>
    <w:multiLevelType w:val="hybridMultilevel"/>
    <w:lvl w:ilvl="0">
      <w:lvlJc w:val="left"/>
      <w:lvlText w:val="(%1)"/>
      <w:numFmt w:val="lowerLetter"/>
      <w:start w:val="2"/>
    </w:lvl>
  </w:abstractNum>
  <w:abstractNum w:abstractNumId="330">
    <w:nsid w:val="5992A02E"/>
    <w:multiLevelType w:val="hybridMultilevel"/>
    <w:lvl w:ilvl="0">
      <w:lvlJc w:val="left"/>
      <w:lvlText w:val="(%1)"/>
      <w:numFmt w:val="lowerLetter"/>
      <w:start w:val="4"/>
    </w:lvl>
  </w:abstractNum>
  <w:abstractNum w:abstractNumId="331">
    <w:nsid w:val="29EF532D"/>
    <w:multiLevelType w:val="hybridMultilevel"/>
    <w:lvl w:ilvl="0">
      <w:lvlJc w:val="left"/>
      <w:lvlText w:val="(%1)"/>
      <w:numFmt w:val="lowerLetter"/>
      <w:start w:val="5"/>
    </w:lvl>
  </w:abstractNum>
  <w:abstractNum w:abstractNumId="332">
    <w:nsid w:val="71D601AF"/>
    <w:multiLevelType w:val="hybridMultilevel"/>
    <w:lvl w:ilvl="0">
      <w:lvlJc w:val="left"/>
      <w:lvlText w:val="(%1)"/>
      <w:numFmt w:val="lowerLetter"/>
      <w:start w:val="8"/>
    </w:lvl>
  </w:abstractNum>
  <w:abstractNum w:abstractNumId="333">
    <w:nsid w:val="52C77402"/>
    <w:multiLevelType w:val="hybridMultilevel"/>
    <w:lvl w:ilvl="0">
      <w:lvlJc w:val="left"/>
      <w:lvlText w:val="(%1)"/>
      <w:numFmt w:val="lowerLetter"/>
      <w:start w:val="1"/>
    </w:lvl>
  </w:abstractNum>
  <w:abstractNum w:abstractNumId="334">
    <w:nsid w:val="2BB5B1C6"/>
    <w:multiLevelType w:val="hybridMultilevel"/>
    <w:lvl w:ilvl="0">
      <w:lvlJc w:val="left"/>
      <w:lvlText w:val="%1"/>
      <w:numFmt w:val="lowerLetter"/>
      <w:start w:val="1"/>
    </w:lvl>
    <w:lvl w:ilvl="1">
      <w:lvlJc w:val="left"/>
      <w:lvlText w:val="(%2)"/>
      <w:numFmt w:val="lowerLetter"/>
      <w:start w:val="2"/>
    </w:lvl>
  </w:abstractNum>
  <w:abstractNum w:abstractNumId="335">
    <w:nsid w:val="66BE6B9"/>
    <w:multiLevelType w:val="hybridMultilevel"/>
    <w:lvl w:ilvl="0">
      <w:lvlJc w:val="left"/>
      <w:lvlText w:val="(%1)"/>
      <w:numFmt w:val="lowerLetter"/>
      <w:start w:val="9"/>
    </w:lvl>
    <w:lvl w:ilvl="1">
      <w:lvlJc w:val="left"/>
      <w:lvlText w:val="(%2)"/>
      <w:numFmt w:val="lowerLetter"/>
      <w:start w:val="3"/>
    </w:lvl>
  </w:abstractNum>
  <w:abstractNum w:abstractNumId="336">
    <w:nsid w:val="62234363"/>
    <w:multiLevelType w:val="hybridMultilevel"/>
    <w:lvl w:ilvl="0">
      <w:lvlJc w:val="left"/>
      <w:lvlText w:val="(%1)"/>
      <w:numFmt w:val="lowerLetter"/>
      <w:start w:val="1"/>
    </w:lvl>
  </w:abstractNum>
  <w:abstractNum w:abstractNumId="337">
    <w:nsid w:val="66D385C9"/>
    <w:multiLevelType w:val="hybridMultilevel"/>
    <w:lvl w:ilvl="0">
      <w:lvlJc w:val="left"/>
      <w:lvlText w:val="(%1)"/>
      <w:numFmt w:val="lowerLetter"/>
      <w:start w:val="3"/>
    </w:lvl>
  </w:abstractNum>
  <w:abstractNum w:abstractNumId="338">
    <w:nsid w:val="596F6D8A"/>
    <w:multiLevelType w:val="hybridMultilevel"/>
    <w:lvl w:ilvl="0">
      <w:lvlJc w:val="left"/>
      <w:lvlText w:val="(%1)"/>
      <w:numFmt w:val="lowerLetter"/>
      <w:start w:val="1"/>
    </w:lvl>
    <w:lvl w:ilvl="1">
      <w:lvlJc w:val="left"/>
      <w:lvlText w:val="(%2)"/>
      <w:numFmt w:val="lowerRoman"/>
      <w:start w:val="1"/>
    </w:lvl>
  </w:abstractNum>
  <w:abstractNum w:abstractNumId="339">
    <w:nsid w:val="5749361F"/>
    <w:multiLevelType w:val="hybridMultilevel"/>
    <w:lvl w:ilvl="0">
      <w:lvlJc w:val="left"/>
      <w:lvlText w:val="(%1)"/>
      <w:numFmt w:val="lowerRoman"/>
      <w:start w:val="1"/>
    </w:lvl>
  </w:abstractNum>
  <w:abstractNum w:abstractNumId="340">
    <w:nsid w:val="73BC6770"/>
    <w:multiLevelType w:val="hybridMultilevel"/>
    <w:lvl w:ilvl="0">
      <w:lvlJc w:val="left"/>
      <w:lvlText w:val="%1"/>
      <w:numFmt w:val="lowerLetter"/>
      <w:start w:val="1"/>
    </w:lvl>
    <w:lvl w:ilvl="1">
      <w:lvlJc w:val="left"/>
      <w:lvlText w:val="(%2)"/>
      <w:numFmt w:val="lowerLetter"/>
      <w:start w:val="61"/>
    </w:lvl>
  </w:abstractNum>
  <w:abstractNum w:abstractNumId="341">
    <w:nsid w:val="280E6897"/>
    <w:multiLevelType w:val="hybridMultilevel"/>
    <w:lvl w:ilvl="0">
      <w:lvlJc w:val="left"/>
      <w:lvlText w:val="(%1)"/>
      <w:numFmt w:val="lowerLetter"/>
      <w:start w:val="2"/>
    </w:lvl>
    <w:lvl w:ilvl="1">
      <w:lvlJc w:val="left"/>
      <w:lvlText w:val="%2"/>
      <w:numFmt w:val="lowerLetter"/>
      <w:start w:val="1"/>
    </w:lvl>
  </w:abstractNum>
  <w:abstractNum w:abstractNumId="342">
    <w:nsid w:val="605138DE"/>
    <w:multiLevelType w:val="hybridMultilevel"/>
    <w:lvl w:ilvl="0">
      <w:lvlJc w:val="left"/>
      <w:lvlText w:val="(%1)"/>
      <w:numFmt w:val="lowerRoman"/>
      <w:start w:val="1"/>
    </w:lvl>
  </w:abstractNum>
  <w:abstractNum w:abstractNumId="343">
    <w:nsid w:val="2622AD0C"/>
    <w:multiLevelType w:val="hybridMultilevel"/>
    <w:lvl w:ilvl="0">
      <w:lvlJc w:val="left"/>
      <w:lvlText w:val="%1"/>
      <w:numFmt w:val="lowerLetter"/>
      <w:start w:val="1"/>
    </w:lvl>
    <w:lvl w:ilvl="1">
      <w:lvlJc w:val="left"/>
      <w:lvlText w:val="(%2)"/>
      <w:numFmt w:val="lowerLetter"/>
      <w:start w:val="61"/>
    </w:lvl>
  </w:abstractNum>
  <w:abstractNum w:abstractNumId="344">
    <w:nsid w:val="67997556"/>
    <w:multiLevelType w:val="hybridMultilevel"/>
    <w:lvl w:ilvl="0">
      <w:lvlJc w:val="left"/>
      <w:lvlText w:val="(%1)"/>
      <w:numFmt w:val="lowerLetter"/>
      <w:start w:val="4"/>
    </w:lvl>
    <w:lvl w:ilvl="1">
      <w:lvlJc w:val="left"/>
      <w:lvlText w:val="%2"/>
      <w:numFmt w:val="lowerLetter"/>
      <w:start w:val="1"/>
    </w:lvl>
  </w:abstractNum>
  <w:abstractNum w:abstractNumId="345">
    <w:nsid w:val="18333C89"/>
    <w:multiLevelType w:val="hybridMultilevel"/>
    <w:lvl w:ilvl="0">
      <w:lvlJc w:val="left"/>
      <w:lvlText w:val="(%1)"/>
      <w:numFmt w:val="lowerLetter"/>
      <w:start w:val="5"/>
    </w:lvl>
  </w:abstractNum>
  <w:abstractNum w:abstractNumId="346">
    <w:nsid w:val="4BA9831A"/>
    <w:multiLevelType w:val="hybridMultilevel"/>
    <w:lvl w:ilvl="0">
      <w:lvlJc w:val="left"/>
      <w:lvlText w:val="(%1)"/>
      <w:numFmt w:val="lowerLetter"/>
      <w:start w:val="1"/>
    </w:lvl>
    <w:lvl w:ilvl="1">
      <w:lvlJc w:val="left"/>
      <w:lvlText w:val="(%2)"/>
      <w:numFmt w:val="lowerRoman"/>
      <w:start w:val="1"/>
    </w:lvl>
  </w:abstractNum>
  <w:abstractNum w:abstractNumId="347">
    <w:nsid w:val="6D71A2B"/>
    <w:multiLevelType w:val="hybridMultilevel"/>
    <w:lvl w:ilvl="0">
      <w:lvlJc w:val="left"/>
      <w:lvlText w:val="(%1)"/>
      <w:numFmt w:val="lowerRoman"/>
      <w:start w:val="1"/>
    </w:lvl>
  </w:abstractNum>
  <w:abstractNum w:abstractNumId="348">
    <w:nsid w:val="CFC7321"/>
    <w:multiLevelType w:val="hybridMultilevel"/>
    <w:lvl w:ilvl="0">
      <w:lvlJc w:val="left"/>
      <w:lvlText w:val="(%1)"/>
      <w:numFmt w:val="lowerLetter"/>
      <w:start w:val="4"/>
    </w:lvl>
  </w:abstractNum>
  <w:abstractNum w:abstractNumId="349">
    <w:nsid w:val="1421971B"/>
    <w:multiLevelType w:val="hybridMultilevel"/>
    <w:lvl w:ilvl="0">
      <w:lvlJc w:val="left"/>
      <w:lvlText w:val="(%1)"/>
      <w:numFmt w:val="lowerLetter"/>
      <w:start w:val="1"/>
    </w:lvl>
  </w:abstractNum>
  <w:abstractNum w:abstractNumId="350">
    <w:nsid w:val="1F404301"/>
    <w:multiLevelType w:val="hybridMultilevel"/>
    <w:lvl w:ilvl="0">
      <w:lvlJc w:val="left"/>
      <w:lvlText w:val="(%1)"/>
      <w:numFmt w:val="lowerLetter"/>
      <w:start w:val="3"/>
    </w:lvl>
  </w:abstractNum>
  <w:abstractNum w:abstractNumId="351">
    <w:nsid w:val="116E0907"/>
    <w:multiLevelType w:val="hybridMultilevel"/>
    <w:lvl w:ilvl="0">
      <w:lvlJc w:val="left"/>
      <w:lvlText w:val="%1"/>
      <w:numFmt w:val="lowerLetter"/>
      <w:start w:val="1"/>
    </w:lvl>
    <w:lvl w:ilvl="1">
      <w:lvlJc w:val="left"/>
      <w:lvlText w:val="(%2)"/>
      <w:numFmt w:val="lowerLetter"/>
      <w:start w:val="1"/>
    </w:lvl>
  </w:abstractNum>
  <w:abstractNum w:abstractNumId="352">
    <w:nsid w:val="4B683D0D"/>
    <w:multiLevelType w:val="hybridMultilevel"/>
    <w:lvl w:ilvl="0">
      <w:lvlJc w:val="left"/>
      <w:lvlText w:val="(%1)"/>
      <w:numFmt w:val="lowerLetter"/>
      <w:start w:val="9"/>
    </w:lvl>
    <w:lvl w:ilvl="1">
      <w:lvlJc w:val="left"/>
      <w:lvlText w:val="(%2)"/>
      <w:numFmt w:val="lowerLetter"/>
      <w:start w:val="3"/>
    </w:lvl>
  </w:abstractNum>
  <w:abstractNum w:abstractNumId="353">
    <w:nsid w:val="76E41D8"/>
    <w:multiLevelType w:val="hybridMultilevel"/>
    <w:lvl w:ilvl="0">
      <w:lvlJc w:val="left"/>
      <w:lvlText w:val="(%1)"/>
      <w:numFmt w:val="lowerLetter"/>
      <w:start w:val="1"/>
    </w:lvl>
  </w:abstractNum>
  <w:abstractNum w:abstractNumId="354">
    <w:nsid w:val="71DCE0FD"/>
    <w:multiLevelType w:val="hybridMultilevel"/>
    <w:lvl w:ilvl="0">
      <w:lvlJc w:val="left"/>
      <w:lvlText w:val="(%1)"/>
      <w:numFmt w:val="lowerLetter"/>
      <w:start w:val="1"/>
    </w:lvl>
  </w:abstractNum>
  <w:abstractNum w:abstractNumId="355">
    <w:nsid w:val="7906328B"/>
    <w:multiLevelType w:val="hybridMultilevel"/>
    <w:lvl w:ilvl="0">
      <w:lvlJc w:val="left"/>
      <w:lvlText w:val="(%1)"/>
      <w:numFmt w:val="lowerLetter"/>
      <w:start w:val="1"/>
    </w:lvl>
    <w:lvl w:ilvl="1">
      <w:lvlJc w:val="left"/>
      <w:lvlText w:val="(%2)"/>
      <w:numFmt w:val="lowerRoman"/>
      <w:start w:val="1"/>
    </w:lvl>
  </w:abstractNum>
  <w:abstractNum w:abstractNumId="356">
    <w:nsid w:val="72BBC16"/>
    <w:multiLevelType w:val="hybridMultilevel"/>
    <w:lvl w:ilvl="0">
      <w:lvlJc w:val="left"/>
      <w:lvlText w:val="(%1)"/>
      <w:numFmt w:val="lowerRoman"/>
      <w:start w:val="2"/>
    </w:lvl>
  </w:abstractNum>
  <w:abstractNum w:abstractNumId="357">
    <w:nsid w:val="766D98C2"/>
    <w:multiLevelType w:val="hybridMultilevel"/>
    <w:lvl w:ilvl="0">
      <w:lvlJc w:val="left"/>
      <w:lvlText w:val="%1."/>
      <w:numFmt w:val="decimal"/>
      <w:start w:val="1"/>
    </w:lvl>
    <w:lvl w:ilvl="1">
      <w:lvlJc w:val="left"/>
      <w:lvlText w:val="%2)"/>
      <w:numFmt w:val="lowerLetter"/>
      <w:start w:val="1"/>
    </w:lvl>
  </w:abstractNum>
  <w:abstractNum w:abstractNumId="358">
    <w:nsid w:val="3C09D4A1"/>
    <w:multiLevelType w:val="hybridMultilevel"/>
    <w:lvl w:ilvl="0">
      <w:lvlJc w:val="left"/>
      <w:lvlText w:val="%1."/>
      <w:numFmt w:val="decimal"/>
      <w:start w:val="1"/>
    </w:lvl>
    <w:lvl w:ilvl="1">
      <w:lvlJc w:val="left"/>
      <w:lvlText w:val="%2)"/>
      <w:numFmt w:val="lowerLetter"/>
      <w:start w:val="1"/>
    </w:lvl>
  </w:abstractNum>
  <w:abstractNum w:abstractNumId="359">
    <w:nsid w:val="20E45C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94" Type="http://schemas.openxmlformats.org/officeDocument/2006/relationships/image" Target="media/image240.png"/><Relationship Id="rId304" Type="http://schemas.openxmlformats.org/officeDocument/2006/relationships/image" Target="media/image241.png"/><Relationship Id="rId305" Type="http://schemas.openxmlformats.org/officeDocument/2006/relationships/image" Target="media/image242.png"/><Relationship Id="rId306" Type="http://schemas.openxmlformats.org/officeDocument/2006/relationships/image" Target="media/image243.png"/><Relationship Id="rId307" Type="http://schemas.openxmlformats.org/officeDocument/2006/relationships/image" Target="media/image244.png"/><Relationship Id="rId308" Type="http://schemas.openxmlformats.org/officeDocument/2006/relationships/image" Target="media/image245.png"/><Relationship Id="rId309" Type="http://schemas.openxmlformats.org/officeDocument/2006/relationships/image" Target="media/image246.png"/><Relationship Id="rId310" Type="http://schemas.openxmlformats.org/officeDocument/2006/relationships/image" Target="media/image247.png"/><Relationship Id="rId311" Type="http://schemas.openxmlformats.org/officeDocument/2006/relationships/image" Target="media/image248.png"/><Relationship Id="rId312" Type="http://schemas.openxmlformats.org/officeDocument/2006/relationships/image" Target="media/image249.png"/><Relationship Id="rId313" Type="http://schemas.openxmlformats.org/officeDocument/2006/relationships/image" Target="media/image250.png"/><Relationship Id="rId314" Type="http://schemas.openxmlformats.org/officeDocument/2006/relationships/image" Target="media/image251.png"/><Relationship Id="rId315" Type="http://schemas.openxmlformats.org/officeDocument/2006/relationships/image" Target="media/image252.png"/><Relationship Id="rId316" Type="http://schemas.openxmlformats.org/officeDocument/2006/relationships/image" Target="media/image253.png"/><Relationship Id="rId317" Type="http://schemas.openxmlformats.org/officeDocument/2006/relationships/image" Target="media/image254.png"/><Relationship Id="rId318" Type="http://schemas.openxmlformats.org/officeDocument/2006/relationships/image" Target="media/image255.png"/><Relationship Id="rId319" Type="http://schemas.openxmlformats.org/officeDocument/2006/relationships/image" Target="media/image256.png"/><Relationship Id="rId320" Type="http://schemas.openxmlformats.org/officeDocument/2006/relationships/image" Target="media/image257.png"/><Relationship Id="rId321" Type="http://schemas.openxmlformats.org/officeDocument/2006/relationships/image" Target="media/image258.png"/><Relationship Id="rId322" Type="http://schemas.openxmlformats.org/officeDocument/2006/relationships/image" Target="media/image259.png"/><Relationship Id="rId323" Type="http://schemas.openxmlformats.org/officeDocument/2006/relationships/image" Target="media/image260.png"/><Relationship Id="rId324" Type="http://schemas.openxmlformats.org/officeDocument/2006/relationships/image" Target="media/image261.png"/><Relationship Id="rId325" Type="http://schemas.openxmlformats.org/officeDocument/2006/relationships/image" Target="media/image262.png"/><Relationship Id="rId326" Type="http://schemas.openxmlformats.org/officeDocument/2006/relationships/image" Target="media/image263.png"/><Relationship Id="rId327" Type="http://schemas.openxmlformats.org/officeDocument/2006/relationships/image" Target="media/image264.png"/><Relationship Id="rId328" Type="http://schemas.openxmlformats.org/officeDocument/2006/relationships/image" Target="media/image265.png"/><Relationship Id="rId329" Type="http://schemas.openxmlformats.org/officeDocument/2006/relationships/image" Target="media/image266.png"/><Relationship Id="rId330" Type="http://schemas.openxmlformats.org/officeDocument/2006/relationships/image" Target="media/image267.png"/><Relationship Id="rId331" Type="http://schemas.openxmlformats.org/officeDocument/2006/relationships/image" Target="media/image268.png"/><Relationship Id="rId332" Type="http://schemas.openxmlformats.org/officeDocument/2006/relationships/image" Target="media/image269.png"/><Relationship Id="rId333" Type="http://schemas.openxmlformats.org/officeDocument/2006/relationships/image" Target="media/image270.png"/><Relationship Id="rId334" Type="http://schemas.openxmlformats.org/officeDocument/2006/relationships/image" Target="media/image271.png"/><Relationship Id="rId335" Type="http://schemas.openxmlformats.org/officeDocument/2006/relationships/image" Target="media/image272.png"/><Relationship Id="rId336" Type="http://schemas.openxmlformats.org/officeDocument/2006/relationships/image" Target="media/image273.png"/><Relationship Id="rId337" Type="http://schemas.openxmlformats.org/officeDocument/2006/relationships/image" Target="media/image274.png"/><Relationship Id="rId338" Type="http://schemas.openxmlformats.org/officeDocument/2006/relationships/image" Target="media/image275.png"/><Relationship Id="rId339" Type="http://schemas.openxmlformats.org/officeDocument/2006/relationships/image" Target="media/image276.png"/><Relationship Id="rId340" Type="http://schemas.openxmlformats.org/officeDocument/2006/relationships/image" Target="media/image277.png"/><Relationship Id="rId341" Type="http://schemas.openxmlformats.org/officeDocument/2006/relationships/image" Target="media/image278.png"/><Relationship Id="rId342" Type="http://schemas.openxmlformats.org/officeDocument/2006/relationships/image" Target="media/image279.png"/><Relationship Id="rId343" Type="http://schemas.openxmlformats.org/officeDocument/2006/relationships/image" Target="media/image280.png"/><Relationship Id="rId344" Type="http://schemas.openxmlformats.org/officeDocument/2006/relationships/image" Target="media/image281.png"/><Relationship Id="rId345" Type="http://schemas.openxmlformats.org/officeDocument/2006/relationships/image" Target="media/image282.png"/><Relationship Id="rId346" Type="http://schemas.openxmlformats.org/officeDocument/2006/relationships/image" Target="media/image283.png"/><Relationship Id="rId347" Type="http://schemas.openxmlformats.org/officeDocument/2006/relationships/image" Target="media/image284.png"/><Relationship Id="rId348" Type="http://schemas.openxmlformats.org/officeDocument/2006/relationships/image" Target="media/image285.png"/><Relationship Id="rId349" Type="http://schemas.openxmlformats.org/officeDocument/2006/relationships/image" Target="media/image286.png"/><Relationship Id="rId350" Type="http://schemas.openxmlformats.org/officeDocument/2006/relationships/image" Target="media/image287.png"/><Relationship Id="rId351" Type="http://schemas.openxmlformats.org/officeDocument/2006/relationships/image" Target="media/image288.png"/><Relationship Id="rId352" Type="http://schemas.openxmlformats.org/officeDocument/2006/relationships/image" Target="media/image289.png"/><Relationship Id="rId353" Type="http://schemas.openxmlformats.org/officeDocument/2006/relationships/image" Target="media/image290.png"/><Relationship Id="rId354" Type="http://schemas.openxmlformats.org/officeDocument/2006/relationships/image" Target="media/image291.png"/><Relationship Id="rId355" Type="http://schemas.openxmlformats.org/officeDocument/2006/relationships/image" Target="media/image292.png"/><Relationship Id="rId356" Type="http://schemas.openxmlformats.org/officeDocument/2006/relationships/image" Target="media/image293.png"/><Relationship Id="rId357" Type="http://schemas.openxmlformats.org/officeDocument/2006/relationships/image" Target="media/image294.png"/><Relationship Id="rId358" Type="http://schemas.openxmlformats.org/officeDocument/2006/relationships/image" Target="media/image295.png"/><Relationship Id="rId83" Type="http://schemas.openxmlformats.org/officeDocument/2006/relationships/hyperlink" Target="http://www.sec.gov/ix?doc=/Archives/edgar/data/902739/000116669120000008/cmcsa-12312019x10k.htm#s4EFEBECC48AC560F95613F8C7FCC5C42" TargetMode="External"/><Relationship Id="rId244" Type="http://schemas.openxmlformats.org/officeDocument/2006/relationships/hyperlink" Target="http://www.sec.gov/Archives/edgar/data/1166691/000095010315009516/dp61838_ex0301.htm" TargetMode="External"/><Relationship Id="rId245" Type="http://schemas.openxmlformats.org/officeDocument/2006/relationships/hyperlink" Target="https://www.sec.gov/Archives/edgar/data/902739/000116669119000005/ex32-12312018.htm" TargetMode="External"/><Relationship Id="rId246" Type="http://schemas.openxmlformats.org/officeDocument/2006/relationships/hyperlink" Target="http://www.sec.gov/Archives/edgar/data/1166691/000095015903000238/exhibit4-1.txt" TargetMode="External"/><Relationship Id="rId247" Type="http://schemas.openxmlformats.org/officeDocument/2006/relationships/hyperlink" Target="http://www.sec.gov/Archives/edgar/data/1166691/000119312509033975/dex44.htm" TargetMode="External"/><Relationship Id="rId248" Type="http://schemas.openxmlformats.org/officeDocument/2006/relationships/hyperlink" Target="http://www.sec.gov/Archives/edgar/data/1166691/000119312509033975/dex45.htm" TargetMode="External"/><Relationship Id="rId249" Type="http://schemas.openxmlformats.org/officeDocument/2006/relationships/hyperlink" Target="http://www.sec.gov/Archives/edgar/data/1166691/000095010309002175/dp14665_8k-ex0401.htm" TargetMode="External"/><Relationship Id="rId250" Type="http://schemas.openxmlformats.org/officeDocument/2006/relationships/hyperlink" Target="http://www.sec.gov/Archives/edgar/data/1166691/000119312513191930/d525898dex44.htm" TargetMode="External"/><Relationship Id="rId251" Type="http://schemas.openxmlformats.org/officeDocument/2006/relationships/hyperlink" Target="http://www.sec.gov/Archives/edgar/data/902739/000119312515354626/d98958dex41.htm" TargetMode="External"/><Relationship Id="rId252" Type="http://schemas.openxmlformats.org/officeDocument/2006/relationships/hyperlink" Target="http://www.sec.gov/Archives/edgar/data/355069/000119312513370526/d554661dex43.htm" TargetMode="External"/><Relationship Id="rId253" Type="http://schemas.openxmlformats.org/officeDocument/2006/relationships/hyperlink" Target="http://www.sec.gov/Archives/edgar/data/902739/000119312515384253/d60854dex44.htm" TargetMode="External"/><Relationship Id="rId254" Type="http://schemas.openxmlformats.org/officeDocument/2006/relationships/hyperlink" Target="http://www.sec.gov/Archives/edgar/data/902739/000119312511139191/dex4.htm" TargetMode="External"/><Relationship Id="rId255" Type="http://schemas.openxmlformats.org/officeDocument/2006/relationships/hyperlink" Target="http://www.sec.gov/Archives/edgar/data/1166691/000119312513191930/d525898dex43.htm" TargetMode="External"/><Relationship Id="rId258" Type="http://schemas.openxmlformats.org/officeDocument/2006/relationships/hyperlink" Target="http://www.sec.gov/Archives/edgar/data/902739/000119312515354626/d98958dex42.htm" TargetMode="External"/><Relationship Id="rId259" Type="http://schemas.openxmlformats.org/officeDocument/2006/relationships/hyperlink" Target="http://www.sec.gov/Archives/edgar/data/1166691/000119312513191930/d525898dex41.htm" TargetMode="External"/><Relationship Id="rId260" Type="http://schemas.openxmlformats.org/officeDocument/2006/relationships/hyperlink" Target="http://www.sec.gov/Archives/edgar/data/902739/000116669119000005/ex413-12312018.htm" TargetMode="External"/><Relationship Id="rId261" Type="http://schemas.openxmlformats.org/officeDocument/2006/relationships/hyperlink" Target="http://www.sec.gov/Archives/edgar/data/902739/000116669119000005/ex414-12312018.htm" TargetMode="External"/><Relationship Id="rId262" Type="http://schemas.openxmlformats.org/officeDocument/2006/relationships/hyperlink" Target="http://www.sec.gov/Archives/edgar/data/1166691/000119312516608609/d149151dex101.htm" TargetMode="External"/><Relationship Id="rId263" Type="http://schemas.openxmlformats.org/officeDocument/2006/relationships/hyperlink" Target="https://www.sec.gov/Archives/edgar/data/902739/000095010318005454/dp90124_ex1001.htm" TargetMode="External"/><Relationship Id="rId264" Type="http://schemas.openxmlformats.org/officeDocument/2006/relationships/hyperlink" Target="http://www.sec.gov/Archives/edgar/data/902739/000095010319008213/dp108508_ex1001.htm" TargetMode="External"/><Relationship Id="rId265" Type="http://schemas.openxmlformats.org/officeDocument/2006/relationships/hyperlink" Target="http://www.sec.gov/Archives/edgar/data/1166691/000119312513191930/d525898dex103.htm" TargetMode="External"/><Relationship Id="rId266" Type="http://schemas.openxmlformats.org/officeDocument/2006/relationships/hyperlink" Target="http://www.sec.gov/Archives/edgar/data/1166691/000119312513191930/d525898dex104.htm" TargetMode="External"/><Relationship Id="rId267" Type="http://schemas.openxmlformats.org/officeDocument/2006/relationships/hyperlink" Target="http://www.sec.gov/Archives/edgar/data/1166691/000119312513191930/d525898dex105.htm" TargetMode="External"/><Relationship Id="rId268" Type="http://schemas.openxmlformats.org/officeDocument/2006/relationships/hyperlink" Target="http://www.sec.gov/Archives/edgar/data/902739/000095010318005136/dp89893_ex1001.htm" TargetMode="External"/><Relationship Id="rId269" Type="http://schemas.openxmlformats.org/officeDocument/2006/relationships/hyperlink" Target="http://www.sec.gov/Archives/edgar/data/902739/000095010318010970/dp95843_ex1003.htm" TargetMode="External"/><Relationship Id="rId270" Type="http://schemas.openxmlformats.org/officeDocument/2006/relationships/hyperlink" Target="http://www.sec.gov/Archives/edgar/data/902739/000095010318010970/dp95843_ex1001.htm" TargetMode="External"/><Relationship Id="rId271" Type="http://schemas.openxmlformats.org/officeDocument/2006/relationships/hyperlink" Target="http://www.sec.gov/Archives/edgar/data/902739/000095010318010970/dp95843_ex1002.htm" TargetMode="External"/><Relationship Id="rId274" Type="http://schemas.openxmlformats.org/officeDocument/2006/relationships/hyperlink" Target="http://www.sec.gov/Archives/edgar/data/1166691/000116669120000017/ex104-3312020.htm" TargetMode="External"/><Relationship Id="rId275" Type="http://schemas.openxmlformats.org/officeDocument/2006/relationships/hyperlink" Target="http://www.sec.gov/Archives/edgar/data/1166691/000116669120000032/ex101-93020.htm" TargetMode="External"/><Relationship Id="rId276" Type="http://schemas.openxmlformats.org/officeDocument/2006/relationships/hyperlink" Target="http://www.sec.gov/Archives/edgar/data/1166691/000116669120000032/ex103-93020.htm" TargetMode="External"/><Relationship Id="rId277" Type="http://schemas.openxmlformats.org/officeDocument/2006/relationships/hyperlink" Target="http://www.sec.gov/Archives/edgar/data/902739/000119312516452423/d49239dex1011.htm" TargetMode="External"/><Relationship Id="rId278" Type="http://schemas.openxmlformats.org/officeDocument/2006/relationships/hyperlink" Target="https://www.sec.gov/Archives/edgar/data/1166691/000116669120000032/ex102-9302020.htm" TargetMode="External"/><Relationship Id="rId279" Type="http://schemas.openxmlformats.org/officeDocument/2006/relationships/hyperlink" Target="http://www.sec.gov/Archives/edgar/data/1166691/000119312516535136/d162753ddef14a.htm#toc162753_31" TargetMode="External"/><Relationship Id="rId280" Type="http://schemas.openxmlformats.org/officeDocument/2006/relationships/hyperlink" Target="http://www.sec.gov/Archives/edgar/data/1166691/000119312516535136/d162753ddef14a.htm#toc162753_32" TargetMode="External"/><Relationship Id="rId281" Type="http://schemas.openxmlformats.org/officeDocument/2006/relationships/hyperlink" Target="http://www.sec.gov/Archives/edgar/data/1166691/000116669117000022/ex102-6302017.htm" TargetMode="External"/><Relationship Id="rId282" Type="http://schemas.openxmlformats.org/officeDocument/2006/relationships/hyperlink" Target="http://www.sec.gov/Archives/edgar/data/902739/000116669120000008/ex1020-12312019.htm" TargetMode="External"/><Relationship Id="rId283" Type="http://schemas.openxmlformats.org/officeDocument/2006/relationships/hyperlink" Target="http://www.sec.gov/Archives/edgar/data/1166691/000095010309003354/dp15972_ex9901.htm" TargetMode="External"/><Relationship Id="rId284" Type="http://schemas.openxmlformats.org/officeDocument/2006/relationships/hyperlink" Target="http://www.sec.gov/Archives/edgar/data/1166691/000119312513067658/d458593dex1041.htm" TargetMode="External"/><Relationship Id="rId285" Type="http://schemas.openxmlformats.org/officeDocument/2006/relationships/hyperlink" Target="http://www.sec.gov/Archives/edgar/data/1166691/000095010313004940/dp40191_ex9901.htm" TargetMode="External"/><Relationship Id="rId286" Type="http://schemas.openxmlformats.org/officeDocument/2006/relationships/hyperlink" Target="http://www.sec.gov/Archives/edgar/data/1166691/000095010316015080/dp67442_ex9901.htm" TargetMode="External"/><Relationship Id="rId287" Type="http://schemas.openxmlformats.org/officeDocument/2006/relationships/hyperlink" Target="http://www.sec.gov/Archives/edgar/data/902739/000116669120000008/ex1024-12312019.htm" TargetMode="External"/><Relationship Id="rId288" Type="http://schemas.openxmlformats.org/officeDocument/2006/relationships/hyperlink" Target="http://www.sec.gov/Archives/edgar/data/1166691/000116669120000024/ex101-6302020.htm" TargetMode="External"/><Relationship Id="rId289" Type="http://schemas.openxmlformats.org/officeDocument/2006/relationships/hyperlink" Target="http://www.sec.gov/Archives/edgar/data/902739/000119312515354626/d98958dex101.htm" TargetMode="External"/><Relationship Id="rId290" Type="http://schemas.openxmlformats.org/officeDocument/2006/relationships/hyperlink" Target="http://www.sec.gov/Archives/edgar/data/902739/000116669120000008/ex1026-12312019.htm" TargetMode="External"/><Relationship Id="rId291" Type="http://schemas.openxmlformats.org/officeDocument/2006/relationships/hyperlink" Target="http://www.sec.gov/Archives/edgar/data/1166691/000116669120000024/ex102-6302020.htm" TargetMode="External"/><Relationship Id="rId292" Type="http://schemas.openxmlformats.org/officeDocument/2006/relationships/hyperlink" Target="http://www.sec.gov/Archives/edgar/data/1166691/000095010318014887/dp99797_ex9901.htm" TargetMode="External"/><Relationship Id="rId293" Type="http://schemas.openxmlformats.org/officeDocument/2006/relationships/hyperlink" Target="http://www.sec.gov/Archives/edgar/data/902739/000116669120000008/ex1029-12312019.htm" TargetMode="External"/><Relationship Id="rId295" Type="http://schemas.openxmlformats.org/officeDocument/2006/relationships/hyperlink" Target="http://www.sec.gov/Archives/edgar/data/902739/000116669118000019/ex104-6302018.htm" TargetMode="External"/><Relationship Id="rId296" Type="http://schemas.openxmlformats.org/officeDocument/2006/relationships/hyperlink" Target="http://www.sec.gov/Archives/edgar/data/902739/000116669120000008/ex1031-12312019.htm" TargetMode="External"/><Relationship Id="rId297" Type="http://schemas.openxmlformats.org/officeDocument/2006/relationships/hyperlink" Target="http://www.sec.gov/Archives/edgar/data/1166691/000116669120000017/ex105-3312020.htm" TargetMode="External"/><Relationship Id="rId298" Type="http://schemas.openxmlformats.org/officeDocument/2006/relationships/hyperlink" Target="http://www.sec.gov/Archives/edgar/data/902739/000119312515068526/d817352dex1060.htm" TargetMode="External"/><Relationship Id="rId299" Type="http://schemas.openxmlformats.org/officeDocument/2006/relationships/hyperlink" Target="http://www.sec.gov/Archives/edgar/data/1166691/000119312509166759/dex103.htm" TargetMode="External"/><Relationship Id="rId300" Type="http://schemas.openxmlformats.org/officeDocument/2006/relationships/hyperlink" Target="http://www.sec.gov/Archives/edgar/data/1262449/000119312510008732/dex1049.htm" TargetMode="External"/><Relationship Id="rId301" Type="http://schemas.openxmlformats.org/officeDocument/2006/relationships/hyperlink" Target="http://www.sec.gov/Archives/edgar/data/1262449/000119312510008732/dex1050.htm" TargetMode="External"/><Relationship Id="rId302" Type="http://schemas.openxmlformats.org/officeDocument/2006/relationships/hyperlink" Target="http://www.sec.gov/Archives/edgar/data/1262449/000119312510008732/dex1052.htm" TargetMode="External"/><Relationship Id="rId303" Type="http://schemas.openxmlformats.org/officeDocument/2006/relationships/hyperlink" Target="http://www.sec.gov/Archives/edgar/data/1262449/000119312510008732/dex10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2021-02-04T05:24:34Z</dcterms:created>
  <dcterms:modified xsi:type="dcterms:W3CDTF">2021-02-04T05:24:34Z</dcterms:modified>
</cp:coreProperties>
</file>