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5,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€800,000,000 0.250% Euro Notes due 2027 (the “2027 Euro Notes”)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€1,400,000,000 0.750% Euro Notes due 2032 (the “2032 Euro Notes”)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€800,000,000 1.250% Euro Notes due 2040 (the “2040 Euro Notes”)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£600,000,000 1.500% Sterling Notes due 2029 (the “2029 Sterling Notes”)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£800,000,000 1.875% Sterling Notes due 2036 (the “2036 Sterling Notes”)</w:t>
      </w:r>
    </w:p>
    <w:p>
      <w:pPr>
        <w:spacing w:after="0" w:line="211" w:lineRule="exact"/>
        <w:rPr>
          <w:sz w:val="24"/>
          <w:szCs w:val="24"/>
          <w:color w:val="auto"/>
        </w:rPr>
      </w:pPr>
    </w:p>
    <w:p>
      <w:pPr>
        <w:ind w:right="240" w:firstLine="441"/>
        <w:spacing w:after="0" w:line="308" w:lineRule="auto"/>
        <w:rPr>
          <w:sz w:val="20"/>
          <w:szCs w:val="20"/>
          <w:color w:val="auto"/>
        </w:rPr>
      </w:pPr>
      <w:r>
        <w:rPr>
          <w:rFonts w:ascii="Arial" w:cs="Arial" w:eastAsia="Arial" w:hAnsi="Arial"/>
          <w:sz w:val="17"/>
          <w:szCs w:val="17"/>
          <w:i w:val="1"/>
          <w:iCs w:val="1"/>
          <w:color w:val="auto"/>
        </w:rPr>
        <w:t>The 2027 Euro Notes, 2032 Euro Notes and 2040 Euro Notes are herein referred to as the “Euro Notes.” The 2029 Sterling Notes and the 2036 Sterling Notes are herein referred to as the “Sterling Notes.” The Euro Notes and Sterling Notes are herein referred to as the “Notes.”</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80" w:type="dxa"/>
            <w:vAlign w:val="bottom"/>
          </w:tcPr>
          <w:p>
            <w:pPr>
              <w:ind w:left="1080"/>
              <w:spacing w:after="0"/>
              <w:rPr>
                <w:sz w:val="20"/>
                <w:szCs w:val="20"/>
                <w:color w:val="auto"/>
              </w:rPr>
            </w:pPr>
            <w:r>
              <w:rPr>
                <w:rFonts w:ascii="Arial" w:cs="Arial" w:eastAsia="Arial" w:hAnsi="Arial"/>
                <w:sz w:val="18"/>
                <w:szCs w:val="18"/>
                <w:b w:val="1"/>
                <w:bCs w:val="1"/>
                <w:color w:val="auto"/>
              </w:rPr>
              <w:t>Final Term Sheet</w:t>
            </w:r>
          </w:p>
        </w:tc>
      </w:tr>
      <w:tr>
        <w:trPr>
          <w:trHeight w:val="477"/>
        </w:trPr>
        <w:tc>
          <w:tcPr>
            <w:tcW w:w="2400" w:type="dxa"/>
            <w:vAlign w:val="bottom"/>
          </w:tcPr>
          <w:p>
            <w:pPr>
              <w:spacing w:after="0"/>
              <w:rPr>
                <w:sz w:val="20"/>
                <w:szCs w:val="20"/>
                <w:color w:val="auto"/>
              </w:rPr>
            </w:pPr>
            <w:r>
              <w:rPr>
                <w:rFonts w:ascii="Arial" w:cs="Arial" w:eastAsia="Arial" w:hAnsi="Arial"/>
                <w:sz w:val="20"/>
                <w:szCs w:val="20"/>
                <w:b w:val="1"/>
                <w:bCs w:val="1"/>
                <w:color w:val="auto"/>
              </w:rPr>
              <w:t>Issuer:</w:t>
            </w: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338"/>
        </w:trPr>
        <w:tc>
          <w:tcPr>
            <w:tcW w:w="2400" w:type="dxa"/>
            <w:vAlign w:val="bottom"/>
          </w:tcPr>
          <w:p>
            <w:pPr>
              <w:spacing w:after="0"/>
              <w:rPr>
                <w:sz w:val="20"/>
                <w:szCs w:val="20"/>
                <w:color w:val="auto"/>
              </w:rPr>
            </w:pPr>
            <w:r>
              <w:rPr>
                <w:rFonts w:ascii="Arial" w:cs="Arial" w:eastAsia="Arial" w:hAnsi="Arial"/>
                <w:sz w:val="20"/>
                <w:szCs w:val="20"/>
                <w:b w:val="1"/>
                <w:bCs w:val="1"/>
                <w:color w:val="auto"/>
              </w:rPr>
              <w:t>Guarantors:</w:t>
            </w: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rPr>
              <w:t>Comcast Cable Communications, LLC and NBCUniversal Media, LLC</w:t>
            </w:r>
          </w:p>
        </w:tc>
      </w:tr>
      <w:tr>
        <w:trPr>
          <w:trHeight w:val="338"/>
        </w:trPr>
        <w:tc>
          <w:tcPr>
            <w:tcW w:w="2400" w:type="dxa"/>
            <w:vAlign w:val="bottom"/>
          </w:tcPr>
          <w:p>
            <w:pPr>
              <w:spacing w:after="0"/>
              <w:rPr>
                <w:sz w:val="20"/>
                <w:szCs w:val="20"/>
                <w:color w:val="auto"/>
              </w:rPr>
            </w:pPr>
            <w:r>
              <w:rPr>
                <w:rFonts w:ascii="Arial" w:cs="Arial" w:eastAsia="Arial" w:hAnsi="Arial"/>
                <w:sz w:val="20"/>
                <w:szCs w:val="20"/>
                <w:b w:val="1"/>
                <w:bCs w:val="1"/>
                <w:color w:val="auto"/>
              </w:rPr>
              <w:t>Issue of Securities:</w:t>
            </w:r>
          </w:p>
        </w:tc>
        <w:tc>
          <w:tcPr>
            <w:tcW w:w="1380" w:type="dxa"/>
            <w:vAlign w:val="bottom"/>
          </w:tcPr>
          <w:p>
            <w:pPr>
              <w:ind w:left="800"/>
              <w:spacing w:after="0"/>
              <w:rPr>
                <w:sz w:val="20"/>
                <w:szCs w:val="20"/>
                <w:color w:val="auto"/>
              </w:rPr>
            </w:pPr>
            <w:r>
              <w:rPr>
                <w:rFonts w:ascii="Arial" w:cs="Arial" w:eastAsia="Arial" w:hAnsi="Arial"/>
                <w:sz w:val="18"/>
                <w:szCs w:val="18"/>
                <w:color w:val="auto"/>
                <w:w w:val="91"/>
              </w:rPr>
              <w:t>0.250%</w:t>
            </w:r>
          </w:p>
        </w:tc>
        <w:tc>
          <w:tcPr>
            <w:tcW w:w="7180" w:type="dxa"/>
            <w:vAlign w:val="bottom"/>
          </w:tcPr>
          <w:p>
            <w:pPr>
              <w:ind w:left="20"/>
              <w:spacing w:after="0"/>
              <w:rPr>
                <w:sz w:val="20"/>
                <w:szCs w:val="20"/>
                <w:color w:val="auto"/>
              </w:rPr>
            </w:pPr>
            <w:r>
              <w:rPr>
                <w:rFonts w:ascii="Arial" w:cs="Arial" w:eastAsia="Arial" w:hAnsi="Arial"/>
                <w:sz w:val="18"/>
                <w:szCs w:val="18"/>
                <w:color w:val="auto"/>
              </w:rPr>
              <w:t>Euro Notes due 2027</w:t>
            </w:r>
          </w:p>
        </w:tc>
      </w:tr>
      <w:tr>
        <w:trPr>
          <w:trHeight w:val="320"/>
        </w:trPr>
        <w:tc>
          <w:tcPr>
            <w:tcW w:w="240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Arial" w:cs="Arial" w:eastAsia="Arial" w:hAnsi="Arial"/>
                <w:sz w:val="18"/>
                <w:szCs w:val="18"/>
                <w:color w:val="auto"/>
                <w:w w:val="91"/>
              </w:rPr>
              <w:t>0.750%</w:t>
            </w:r>
          </w:p>
        </w:tc>
        <w:tc>
          <w:tcPr>
            <w:tcW w:w="7180" w:type="dxa"/>
            <w:vAlign w:val="bottom"/>
          </w:tcPr>
          <w:p>
            <w:pPr>
              <w:ind w:left="20"/>
              <w:spacing w:after="0"/>
              <w:rPr>
                <w:sz w:val="20"/>
                <w:szCs w:val="20"/>
                <w:color w:val="auto"/>
              </w:rPr>
            </w:pPr>
            <w:r>
              <w:rPr>
                <w:rFonts w:ascii="Arial" w:cs="Arial" w:eastAsia="Arial" w:hAnsi="Arial"/>
                <w:sz w:val="18"/>
                <w:szCs w:val="18"/>
                <w:color w:val="auto"/>
              </w:rPr>
              <w:t>Euro Notes due 2032</w:t>
            </w:r>
          </w:p>
        </w:tc>
      </w:tr>
      <w:tr>
        <w:trPr>
          <w:trHeight w:val="338"/>
        </w:trPr>
        <w:tc>
          <w:tcPr>
            <w:tcW w:w="240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Arial" w:cs="Arial" w:eastAsia="Arial" w:hAnsi="Arial"/>
                <w:sz w:val="18"/>
                <w:szCs w:val="18"/>
                <w:color w:val="auto"/>
                <w:w w:val="91"/>
              </w:rPr>
              <w:t>1.250%</w:t>
            </w:r>
          </w:p>
        </w:tc>
        <w:tc>
          <w:tcPr>
            <w:tcW w:w="7180" w:type="dxa"/>
            <w:vAlign w:val="bottom"/>
          </w:tcPr>
          <w:p>
            <w:pPr>
              <w:ind w:left="20"/>
              <w:spacing w:after="0"/>
              <w:rPr>
                <w:sz w:val="20"/>
                <w:szCs w:val="20"/>
                <w:color w:val="auto"/>
              </w:rPr>
            </w:pPr>
            <w:r>
              <w:rPr>
                <w:rFonts w:ascii="Arial" w:cs="Arial" w:eastAsia="Arial" w:hAnsi="Arial"/>
                <w:sz w:val="18"/>
                <w:szCs w:val="18"/>
                <w:color w:val="auto"/>
              </w:rPr>
              <w:t>Euro Notes due 2040</w:t>
            </w:r>
          </w:p>
        </w:tc>
      </w:tr>
      <w:tr>
        <w:trPr>
          <w:trHeight w:val="338"/>
        </w:trPr>
        <w:tc>
          <w:tcPr>
            <w:tcW w:w="240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Arial" w:cs="Arial" w:eastAsia="Arial" w:hAnsi="Arial"/>
                <w:sz w:val="18"/>
                <w:szCs w:val="18"/>
                <w:color w:val="auto"/>
                <w:w w:val="91"/>
              </w:rPr>
              <w:t>1.500%</w:t>
            </w:r>
          </w:p>
        </w:tc>
        <w:tc>
          <w:tcPr>
            <w:tcW w:w="7180" w:type="dxa"/>
            <w:vAlign w:val="bottom"/>
          </w:tcPr>
          <w:p>
            <w:pPr>
              <w:ind w:left="20"/>
              <w:spacing w:after="0"/>
              <w:rPr>
                <w:sz w:val="20"/>
                <w:szCs w:val="20"/>
                <w:color w:val="auto"/>
              </w:rPr>
            </w:pPr>
            <w:r>
              <w:rPr>
                <w:rFonts w:ascii="Arial" w:cs="Arial" w:eastAsia="Arial" w:hAnsi="Arial"/>
                <w:sz w:val="18"/>
                <w:szCs w:val="18"/>
                <w:color w:val="auto"/>
              </w:rPr>
              <w:t>Sterling Notes due 2029</w:t>
            </w:r>
          </w:p>
        </w:tc>
      </w:tr>
      <w:tr>
        <w:trPr>
          <w:trHeight w:val="338"/>
        </w:trPr>
        <w:tc>
          <w:tcPr>
            <w:tcW w:w="2400" w:type="dxa"/>
            <w:vAlign w:val="bottom"/>
          </w:tcPr>
          <w:p>
            <w:pPr>
              <w:spacing w:after="0"/>
              <w:rPr>
                <w:sz w:val="24"/>
                <w:szCs w:val="24"/>
                <w:color w:val="auto"/>
              </w:rPr>
            </w:pPr>
          </w:p>
        </w:tc>
        <w:tc>
          <w:tcPr>
            <w:tcW w:w="1380" w:type="dxa"/>
            <w:vAlign w:val="bottom"/>
          </w:tcPr>
          <w:p>
            <w:pPr>
              <w:ind w:left="800"/>
              <w:spacing w:after="0"/>
              <w:rPr>
                <w:sz w:val="20"/>
                <w:szCs w:val="20"/>
                <w:color w:val="auto"/>
              </w:rPr>
            </w:pPr>
            <w:r>
              <w:rPr>
                <w:rFonts w:ascii="Arial" w:cs="Arial" w:eastAsia="Arial" w:hAnsi="Arial"/>
                <w:sz w:val="18"/>
                <w:szCs w:val="18"/>
                <w:color w:val="auto"/>
                <w:w w:val="91"/>
              </w:rPr>
              <w:t>1.875%</w:t>
            </w:r>
          </w:p>
        </w:tc>
        <w:tc>
          <w:tcPr>
            <w:tcW w:w="7180" w:type="dxa"/>
            <w:vAlign w:val="bottom"/>
          </w:tcPr>
          <w:p>
            <w:pPr>
              <w:ind w:left="20"/>
              <w:spacing w:after="0"/>
              <w:rPr>
                <w:sz w:val="20"/>
                <w:szCs w:val="20"/>
                <w:color w:val="auto"/>
              </w:rPr>
            </w:pPr>
            <w:r>
              <w:rPr>
                <w:rFonts w:ascii="Arial" w:cs="Arial" w:eastAsia="Arial" w:hAnsi="Arial"/>
                <w:sz w:val="18"/>
                <w:szCs w:val="18"/>
                <w:color w:val="auto"/>
              </w:rPr>
              <w:t>Sterling Notes due 2036</w:t>
            </w:r>
          </w:p>
        </w:tc>
      </w:tr>
      <w:tr>
        <w:trPr>
          <w:trHeight w:val="323"/>
        </w:trPr>
        <w:tc>
          <w:tcPr>
            <w:tcW w:w="2400" w:type="dxa"/>
            <w:vAlign w:val="bottom"/>
          </w:tcPr>
          <w:p>
            <w:pPr>
              <w:spacing w:after="0"/>
              <w:rPr>
                <w:sz w:val="20"/>
                <w:szCs w:val="20"/>
                <w:color w:val="auto"/>
              </w:rPr>
            </w:pPr>
            <w:r>
              <w:rPr>
                <w:rFonts w:ascii="Arial" w:cs="Arial" w:eastAsia="Arial" w:hAnsi="Arial"/>
                <w:sz w:val="20"/>
                <w:szCs w:val="20"/>
                <w:b w:val="1"/>
                <w:bCs w:val="1"/>
                <w:color w:val="auto"/>
              </w:rPr>
              <w:t>Denominations:</w:t>
            </w: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w w:val="93"/>
              </w:rPr>
              <w:t>The Euro Notes will be issued in minimum denominations of €100,000 and integral multiples of €1,000 in</w:t>
            </w:r>
          </w:p>
        </w:tc>
      </w:tr>
      <w:tr>
        <w:trPr>
          <w:trHeight w:val="230"/>
        </w:trPr>
        <w:tc>
          <w:tcPr>
            <w:tcW w:w="2400" w:type="dxa"/>
            <w:vAlign w:val="bottom"/>
          </w:tcPr>
          <w:p>
            <w:pPr>
              <w:spacing w:after="0"/>
              <w:rPr>
                <w:sz w:val="20"/>
                <w:szCs w:val="20"/>
                <w:color w:val="auto"/>
              </w:rPr>
            </w:pP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rPr>
              <w:t>excess thereof</w:t>
            </w:r>
          </w:p>
        </w:tc>
      </w:tr>
      <w:tr>
        <w:trPr>
          <w:trHeight w:val="323"/>
        </w:trPr>
        <w:tc>
          <w:tcPr>
            <w:tcW w:w="2400" w:type="dxa"/>
            <w:vAlign w:val="bottom"/>
          </w:tcPr>
          <w:p>
            <w:pPr>
              <w:spacing w:after="0"/>
              <w:rPr>
                <w:sz w:val="24"/>
                <w:szCs w:val="24"/>
                <w:color w:val="auto"/>
              </w:rPr>
            </w:pP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w w:val="92"/>
              </w:rPr>
              <w:t>The Sterling Notes will be issued in minimum denominations of £100,000 and integral multiples of £1,000</w:t>
            </w:r>
          </w:p>
        </w:tc>
      </w:tr>
      <w:tr>
        <w:trPr>
          <w:trHeight w:val="230"/>
        </w:trPr>
        <w:tc>
          <w:tcPr>
            <w:tcW w:w="2400" w:type="dxa"/>
            <w:vAlign w:val="bottom"/>
          </w:tcPr>
          <w:p>
            <w:pPr>
              <w:spacing w:after="0"/>
              <w:rPr>
                <w:sz w:val="20"/>
                <w:szCs w:val="20"/>
                <w:color w:val="auto"/>
              </w:rPr>
            </w:pP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rPr>
              <w:t>in excess thereof</w:t>
            </w:r>
          </w:p>
        </w:tc>
      </w:tr>
      <w:tr>
        <w:trPr>
          <w:trHeight w:val="323"/>
        </w:trPr>
        <w:tc>
          <w:tcPr>
            <w:tcW w:w="2400" w:type="dxa"/>
            <w:vAlign w:val="bottom"/>
          </w:tcPr>
          <w:p>
            <w:pPr>
              <w:spacing w:after="0"/>
              <w:rPr>
                <w:sz w:val="20"/>
                <w:szCs w:val="20"/>
                <w:color w:val="auto"/>
              </w:rPr>
            </w:pPr>
            <w:r>
              <w:rPr>
                <w:rFonts w:ascii="Arial" w:cs="Arial" w:eastAsia="Arial" w:hAnsi="Arial"/>
                <w:sz w:val="20"/>
                <w:szCs w:val="20"/>
                <w:b w:val="1"/>
                <w:bCs w:val="1"/>
                <w:color w:val="auto"/>
              </w:rPr>
              <w:t>Use of Proceeds:</w:t>
            </w: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w w:val="91"/>
              </w:rPr>
              <w:t>The Company intends to use the net proceeds from the offering, after deducting underwriters’ discount and</w:t>
            </w:r>
          </w:p>
        </w:tc>
      </w:tr>
      <w:tr>
        <w:trPr>
          <w:trHeight w:val="216"/>
        </w:trPr>
        <w:tc>
          <w:tcPr>
            <w:tcW w:w="2400" w:type="dxa"/>
            <w:vAlign w:val="bottom"/>
          </w:tcPr>
          <w:p>
            <w:pPr>
              <w:spacing w:after="0"/>
              <w:rPr>
                <w:sz w:val="18"/>
                <w:szCs w:val="18"/>
                <w:color w:val="auto"/>
              </w:rPr>
            </w:pP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w w:val="97"/>
              </w:rPr>
              <w:t>expenses, entirely for the refinancing of debt, including Sky Limited’s floating rate notes, which bear</w:t>
            </w:r>
          </w:p>
        </w:tc>
      </w:tr>
      <w:tr>
        <w:trPr>
          <w:trHeight w:val="230"/>
        </w:trPr>
        <w:tc>
          <w:tcPr>
            <w:tcW w:w="2400" w:type="dxa"/>
            <w:vAlign w:val="bottom"/>
          </w:tcPr>
          <w:p>
            <w:pPr>
              <w:spacing w:after="0"/>
              <w:rPr>
                <w:sz w:val="20"/>
                <w:szCs w:val="20"/>
                <w:color w:val="auto"/>
              </w:rPr>
            </w:pPr>
          </w:p>
        </w:tc>
        <w:tc>
          <w:tcPr>
            <w:tcW w:w="8560" w:type="dxa"/>
            <w:vAlign w:val="bottom"/>
            <w:gridSpan w:val="2"/>
          </w:tcPr>
          <w:p>
            <w:pPr>
              <w:ind w:left="800"/>
              <w:spacing w:after="0"/>
              <w:rPr>
                <w:sz w:val="20"/>
                <w:szCs w:val="20"/>
                <w:color w:val="auto"/>
              </w:rPr>
            </w:pPr>
            <w:r>
              <w:rPr>
                <w:rFonts w:ascii="Arial" w:cs="Arial" w:eastAsia="Arial" w:hAnsi="Arial"/>
                <w:sz w:val="18"/>
                <w:szCs w:val="18"/>
                <w:color w:val="auto"/>
                <w:w w:val="92"/>
              </w:rPr>
              <w:t>interest at a rate equal to 3 month EURIBOR plus 0.75%, due April 1, 2020 (€600 million principal amount</w:t>
            </w:r>
          </w:p>
        </w:tc>
      </w:tr>
    </w:tbl>
    <w:p>
      <w:pPr>
        <w:ind w:left="3200"/>
        <w:spacing w:after="0"/>
        <w:rPr>
          <w:sz w:val="20"/>
          <w:szCs w:val="20"/>
          <w:color w:val="auto"/>
        </w:rPr>
      </w:pPr>
      <w:r>
        <w:rPr>
          <w:rFonts w:ascii="Arial" w:cs="Arial" w:eastAsia="Arial" w:hAnsi="Arial"/>
          <w:sz w:val="18"/>
          <w:szCs w:val="18"/>
          <w:color w:val="auto"/>
        </w:rPr>
        <w:t>outstanding as of the date hereof), NBCUniversal Media, LLC’s 4.375% notes due April 1, 2021</w:t>
      </w:r>
    </w:p>
    <w:p>
      <w:pPr>
        <w:spacing w:after="0" w:line="9" w:lineRule="exact"/>
        <w:rPr>
          <w:sz w:val="24"/>
          <w:szCs w:val="24"/>
          <w:color w:val="auto"/>
        </w:rPr>
      </w:pPr>
    </w:p>
    <w:p>
      <w:pPr>
        <w:ind w:left="3200" w:right="540"/>
        <w:spacing w:after="0" w:line="261" w:lineRule="auto"/>
        <w:rPr>
          <w:sz w:val="20"/>
          <w:szCs w:val="20"/>
          <w:color w:val="auto"/>
        </w:rPr>
      </w:pPr>
      <w:r>
        <w:rPr>
          <w:rFonts w:ascii="Arial" w:cs="Arial" w:eastAsia="Arial" w:hAnsi="Arial"/>
          <w:sz w:val="18"/>
          <w:szCs w:val="18"/>
          <w:color w:val="auto"/>
        </w:rPr>
        <w:t>($2.0 billion principal amount outstanding as of the date hereof) and the Company’s 3.45% notes due October 1, 2021 ($2.0 billion principal amount outstanding as of the date hereof)</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Indenture:</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-608965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2480" w:space="720"/>
            <w:col w:w="7780"/>
          </w:cols>
          <w:pgMar w:left="440" w:top="373" w:right="479" w:bottom="1440" w:gutter="0" w:footer="0" w:header="0"/>
        </w:sectPr>
      </w:pPr>
    </w:p>
    <w:p>
      <w:pPr>
        <w:spacing w:after="0"/>
        <w:rPr>
          <w:sz w:val="20"/>
          <w:szCs w:val="20"/>
          <w:color w:val="auto"/>
        </w:rPr>
      </w:pPr>
      <w:r>
        <w:rPr>
          <w:rFonts w:ascii="Arial" w:cs="Arial" w:eastAsia="Arial" w:hAnsi="Arial"/>
          <w:sz w:val="18"/>
          <w:szCs w:val="18"/>
          <w:b w:val="1"/>
          <w:bCs w:val="1"/>
          <w:color w:val="auto"/>
        </w:rPr>
        <w:t>Optional Tax Redemption:</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Each series of Notes may be redeemed, at any time, by the Company, in whole, but not in part, at a redemption price equal to 100% of the aggregate principal amount of such Notes, together with accrued and unpaid interest on such Notes being redeemed to, but not including, the date fixed for redemption, 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hereof, the Company becomes or, based upon a written opinion of independent counsel selected by the Company, will become obligated to pay additional amounts as described in the Prospectus Supplement</w:t>
      </w:r>
    </w:p>
    <w:p>
      <w:pPr>
        <w:spacing w:after="0" w:line="50" w:lineRule="exact"/>
        <w:rPr>
          <w:sz w:val="20"/>
          <w:szCs w:val="20"/>
          <w:color w:val="auto"/>
        </w:rPr>
      </w:pPr>
    </w:p>
    <w:p>
      <w:pPr>
        <w:sectPr>
          <w:pgSz w:w="11900" w:h="16838" w:orient="portrait"/>
          <w:cols w:equalWidth="0" w:num="2">
            <w:col w:w="2480" w:space="720"/>
            <w:col w:w="7780"/>
          </w:cols>
          <w:pgMar w:left="440" w:top="373"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w:t>
      </w:r>
    </w:p>
    <w:p>
      <w:pPr>
        <w:spacing w:after="0" w:line="120" w:lineRule="exact"/>
        <w:rPr>
          <w:sz w:val="20"/>
          <w:szCs w:val="20"/>
          <w:color w:val="auto"/>
        </w:rPr>
      </w:pPr>
    </w:p>
    <w:p>
      <w:pPr>
        <w:sectPr>
          <w:pgSz w:w="11900" w:h="16838" w:orient="portrait"/>
          <w:cols w:equalWidth="0" w:num="2">
            <w:col w:w="2480" w:space="720"/>
            <w:col w:w="7780"/>
          </w:cols>
          <w:pgMar w:left="440" w:top="373"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Paying Agent: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London Branch</w:t>
      </w:r>
    </w:p>
    <w:p>
      <w:pPr>
        <w:spacing w:after="0" w:line="132" w:lineRule="exact"/>
        <w:rPr>
          <w:sz w:val="20"/>
          <w:szCs w:val="20"/>
          <w:color w:val="auto"/>
        </w:rPr>
      </w:pPr>
    </w:p>
    <w:p>
      <w:pPr>
        <w:sectPr>
          <w:pgSz w:w="11900" w:h="16838" w:orient="portrait"/>
          <w:cols w:equalWidth="0" w:num="2">
            <w:col w:w="2480" w:space="720"/>
            <w:col w:w="7780"/>
          </w:cols>
          <w:pgMar w:left="440" w:top="373"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Expected Ratings: </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Moody’s: A3; S&amp;P: A-; Fitch: A-</w:t>
      </w:r>
    </w:p>
    <w:p>
      <w:pPr>
        <w:spacing w:after="0" w:line="120" w:lineRule="exact"/>
        <w:rPr>
          <w:sz w:val="20"/>
          <w:szCs w:val="20"/>
          <w:color w:val="auto"/>
        </w:rPr>
      </w:pPr>
    </w:p>
    <w:p>
      <w:pPr>
        <w:sectPr>
          <w:pgSz w:w="11900" w:h="16838" w:orient="portrait"/>
          <w:cols w:equalWidth="0" w:num="2">
            <w:col w:w="2480" w:space="720"/>
            <w:col w:w="7780"/>
          </w:cols>
          <w:pgMar w:left="440" w:top="373"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Joint Book-Running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63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Deutsche Bank AG, London Branch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Europe Limited</w:t>
      </w:r>
    </w:p>
    <w:p>
      <w:pPr>
        <w:spacing w:after="0" w:line="197" w:lineRule="exact"/>
        <w:rPr>
          <w:sz w:val="20"/>
          <w:szCs w:val="20"/>
          <w:color w:val="auto"/>
        </w:rPr>
      </w:pPr>
    </w:p>
    <w:p>
      <w:pPr>
        <w:sectPr>
          <w:pgSz w:w="11900" w:h="16838" w:orient="portrait"/>
          <w:cols w:equalWidth="0" w:num="2">
            <w:col w:w="2680" w:space="520"/>
            <w:col w:w="7780"/>
          </w:cols>
          <w:pgMar w:left="440" w:top="373" w:right="479" w:bottom="1440" w:gutter="0" w:footer="0" w:header="0"/>
          <w:type w:val="continuous"/>
        </w:sectPr>
      </w:pPr>
    </w:p>
    <w:p>
      <w:pPr>
        <w:ind w:left="5460" w:right="1120" w:hanging="5456"/>
        <w:spacing w:after="0" w:line="449" w:lineRule="auto"/>
        <w:tabs>
          <w:tab w:leader="none" w:pos="427" w:val="left"/>
        </w:tabs>
        <w:numPr>
          <w:ilvl w:val="0"/>
          <w:numId w:val="1"/>
        </w:numPr>
        <w:rPr>
          <w:rFonts w:ascii="Arial" w:cs="Arial" w:eastAsia="Arial" w:hAnsi="Arial"/>
          <w:sz w:val="15"/>
          <w:szCs w:val="15"/>
          <w:color w:val="auto"/>
        </w:rPr>
      </w:pPr>
      <w:r>
        <w:rPr>
          <w:rFonts w:ascii="Arial" w:cs="Arial" w:eastAsia="Arial" w:hAnsi="Arial"/>
          <w:sz w:val="18"/>
          <w:szCs w:val="18"/>
          <w:color w:val="auto"/>
        </w:rPr>
        <w:t>A securities rating is not a recommendation to buy, sell or hold securities and may be subject to revision or withdrawal at any time. 2</w:t>
      </w:r>
    </w:p>
    <w:p>
      <w:pPr>
        <w:sectPr>
          <w:pgSz w:w="11900" w:h="16838" w:orient="portrait"/>
          <w:cols w:equalWidth="0" w:num="1">
            <w:col w:w="10980"/>
          </w:cols>
          <w:pgMar w:left="440" w:top="373"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20"/>
                <w:szCs w:val="20"/>
                <w:b w:val="1"/>
                <w:bCs w:val="1"/>
                <w:color w:val="auto"/>
              </w:rPr>
              <w:t>Co-Managers:</w:t>
            </w:r>
          </w:p>
        </w:tc>
        <w:tc>
          <w:tcPr>
            <w:tcW w:w="6800" w:type="dxa"/>
            <w:vAlign w:val="bottom"/>
          </w:tcPr>
          <w:p>
            <w:pPr>
              <w:ind w:left="880"/>
              <w:spacing w:after="0"/>
              <w:rPr>
                <w:sz w:val="20"/>
                <w:szCs w:val="20"/>
                <w:color w:val="auto"/>
              </w:rPr>
            </w:pPr>
            <w:r>
              <w:rPr>
                <w:rFonts w:ascii="Arial" w:cs="Arial" w:eastAsia="Arial" w:hAnsi="Arial"/>
                <w:sz w:val="18"/>
                <w:szCs w:val="18"/>
                <w:color w:val="auto"/>
              </w:rPr>
              <w:t>Banco Santander, S.A.</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Commerzbank Aktiengesellschaft</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Credit Suisse Securities (Europe) Limited</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Goldman Sachs &amp; Co.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Merrill Lynch International</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Mizuho International plc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Morgan Stanley &amp; Co. International plc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SMBC Nikko Capital Markets Limited</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The Toronto-Dominion Bank</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Wells Fargo Securities,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DNB Markets, Inc.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ICBC Standard Bank Plc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PNC Capital Markets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Société Générale</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Academy Securities, Inc.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ING Bank N.V. Belgian Branch</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Loop Capital Markets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Bancroft Capital</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CastleOak Securities, L.P.</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Drexel Hamilton, LLC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MFR Securities, Inc.</w:t>
            </w:r>
          </w:p>
        </w:tc>
      </w:tr>
      <w:tr>
        <w:trPr>
          <w:trHeight w:val="216"/>
        </w:trPr>
        <w:tc>
          <w:tcPr>
            <w:tcW w:w="2320" w:type="dxa"/>
            <w:vAlign w:val="bottom"/>
          </w:tcPr>
          <w:p>
            <w:pPr>
              <w:spacing w:after="0"/>
              <w:rPr>
                <w:sz w:val="18"/>
                <w:szCs w:val="18"/>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2320" w:type="dxa"/>
            <w:vAlign w:val="bottom"/>
          </w:tcPr>
          <w:p>
            <w:pPr>
              <w:spacing w:after="0"/>
              <w:rPr>
                <w:sz w:val="20"/>
                <w:szCs w:val="20"/>
                <w:color w:val="auto"/>
              </w:rPr>
            </w:pPr>
          </w:p>
        </w:tc>
        <w:tc>
          <w:tcPr>
            <w:tcW w:w="6800" w:type="dxa"/>
            <w:vAlign w:val="bottom"/>
          </w:tcPr>
          <w:p>
            <w:pPr>
              <w:ind w:left="880"/>
              <w:spacing w:after="0"/>
              <w:rPr>
                <w:sz w:val="20"/>
                <w:szCs w:val="20"/>
                <w:color w:val="auto"/>
              </w:rPr>
            </w:pPr>
            <w:r>
              <w:rPr>
                <w:rFonts w:ascii="Arial" w:cs="Arial" w:eastAsia="Arial" w:hAnsi="Arial"/>
                <w:sz w:val="18"/>
                <w:szCs w:val="18"/>
                <w:color w:val="auto"/>
              </w:rPr>
              <w:t>Siebert Williams Shank &amp; Co., LLC</w:t>
            </w:r>
          </w:p>
        </w:tc>
      </w:tr>
      <w:tr>
        <w:trPr>
          <w:trHeight w:val="355"/>
        </w:trPr>
        <w:tc>
          <w:tcPr>
            <w:tcW w:w="232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6800" w:type="dxa"/>
            <w:vAlign w:val="bottom"/>
          </w:tcPr>
          <w:p>
            <w:pPr>
              <w:ind w:left="880"/>
              <w:spacing w:after="0"/>
              <w:rPr>
                <w:sz w:val="20"/>
                <w:szCs w:val="20"/>
                <w:color w:val="auto"/>
              </w:rPr>
            </w:pPr>
            <w:r>
              <w:rPr>
                <w:rFonts w:ascii="Arial" w:cs="Arial" w:eastAsia="Arial" w:hAnsi="Arial"/>
                <w:sz w:val="18"/>
                <w:szCs w:val="18"/>
                <w:color w:val="auto"/>
              </w:rPr>
              <w:t>February 5, 2020</w:t>
            </w:r>
          </w:p>
        </w:tc>
      </w:tr>
      <w:tr>
        <w:trPr>
          <w:trHeight w:val="338"/>
        </w:trPr>
        <w:tc>
          <w:tcPr>
            <w:tcW w:w="2320" w:type="dxa"/>
            <w:vAlign w:val="bottom"/>
          </w:tcPr>
          <w:p>
            <w:pPr>
              <w:spacing w:after="0"/>
              <w:rPr>
                <w:sz w:val="20"/>
                <w:szCs w:val="20"/>
                <w:color w:val="auto"/>
              </w:rPr>
            </w:pPr>
            <w:r>
              <w:rPr>
                <w:rFonts w:ascii="Arial" w:cs="Arial" w:eastAsia="Arial" w:hAnsi="Arial"/>
                <w:sz w:val="20"/>
                <w:szCs w:val="20"/>
                <w:b w:val="1"/>
                <w:bCs w:val="1"/>
                <w:color w:val="auto"/>
              </w:rPr>
              <w:t>Settlement Date:</w:t>
            </w:r>
          </w:p>
        </w:tc>
        <w:tc>
          <w:tcPr>
            <w:tcW w:w="6800" w:type="dxa"/>
            <w:vAlign w:val="bottom"/>
          </w:tcPr>
          <w:p>
            <w:pPr>
              <w:ind w:left="880"/>
              <w:spacing w:after="0"/>
              <w:rPr>
                <w:sz w:val="20"/>
                <w:szCs w:val="20"/>
                <w:color w:val="auto"/>
              </w:rPr>
            </w:pPr>
            <w:r>
              <w:rPr>
                <w:rFonts w:ascii="Arial" w:cs="Arial" w:eastAsia="Arial" w:hAnsi="Arial"/>
                <w:sz w:val="18"/>
                <w:szCs w:val="18"/>
                <w:color w:val="auto"/>
              </w:rPr>
              <w:t>February 20, 2020 (T+10)</w:t>
            </w:r>
          </w:p>
        </w:tc>
      </w:tr>
      <w:tr>
        <w:trPr>
          <w:trHeight w:val="338"/>
        </w:trPr>
        <w:tc>
          <w:tcPr>
            <w:tcW w:w="2320" w:type="dxa"/>
            <w:vAlign w:val="bottom"/>
          </w:tcPr>
          <w:p>
            <w:pPr>
              <w:spacing w:after="0"/>
              <w:rPr>
                <w:sz w:val="20"/>
                <w:szCs w:val="20"/>
                <w:color w:val="auto"/>
              </w:rPr>
            </w:pPr>
            <w:r>
              <w:rPr>
                <w:rFonts w:ascii="Arial" w:cs="Arial" w:eastAsia="Arial" w:hAnsi="Arial"/>
                <w:sz w:val="20"/>
                <w:szCs w:val="20"/>
                <w:b w:val="1"/>
                <w:bCs w:val="1"/>
                <w:color w:val="auto"/>
              </w:rPr>
              <w:t>Listing:</w:t>
            </w:r>
          </w:p>
        </w:tc>
        <w:tc>
          <w:tcPr>
            <w:tcW w:w="6800" w:type="dxa"/>
            <w:vAlign w:val="bottom"/>
          </w:tcPr>
          <w:p>
            <w:pPr>
              <w:ind w:left="880"/>
              <w:spacing w:after="0"/>
              <w:rPr>
                <w:sz w:val="20"/>
                <w:szCs w:val="20"/>
                <w:color w:val="auto"/>
              </w:rPr>
            </w:pPr>
            <w:r>
              <w:rPr>
                <w:rFonts w:ascii="Arial" w:cs="Arial" w:eastAsia="Arial" w:hAnsi="Arial"/>
                <w:sz w:val="18"/>
                <w:szCs w:val="18"/>
                <w:color w:val="auto"/>
                <w:w w:val="91"/>
              </w:rPr>
              <w:t>The Company intends to list each series of Notes on the NASDAQ Global Market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41"/>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February 20, 2020, which is the tenth business day following the date hereof (such settlement cycle being referred to as “T+10”).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T+10, to specify an alternative settlement cycle at the time of any such trade to prevent failed settlement and should consult their own advisors.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368" w:right="57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u w:val="single" w:color="auto"/>
          <w:color w:val="auto"/>
        </w:rPr>
        <w:t>2027 Euro Notes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Aggregate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Maturity 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Payment Dates: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Spread to Benchmark Bund: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Mid-swap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Reoffer Spread to Mid-swap: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Yield to Maturity: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Offering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Underwriters’ Discount:</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Net Proceeds to Comcast, Before Expenses: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 Count Convention: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-507365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May 20, 2027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0.250% per annum, accruing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May 20 of each year, commencing May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DBR 0.250% due February 15, 2027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105.615%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83.6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-0.147%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+45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0.303%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99.621% plus accrued interest, if any,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0.325%</w:t>
      </w:r>
    </w:p>
    <w:p>
      <w:pPr>
        <w:spacing w:after="0" w:line="360" w:lineRule="exact"/>
        <w:rPr>
          <w:sz w:val="20"/>
          <w:szCs w:val="20"/>
          <w:color w:val="auto"/>
        </w:rPr>
      </w:pPr>
    </w:p>
    <w:p>
      <w:pPr>
        <w:ind w:right="1540"/>
        <w:spacing w:after="0" w:line="383" w:lineRule="auto"/>
        <w:rPr>
          <w:sz w:val="20"/>
          <w:szCs w:val="20"/>
          <w:color w:val="auto"/>
        </w:rPr>
      </w:pPr>
      <w:r>
        <w:rPr>
          <w:rFonts w:ascii="Arial" w:cs="Arial" w:eastAsia="Arial" w:hAnsi="Arial"/>
          <w:sz w:val="18"/>
          <w:szCs w:val="18"/>
          <w:color w:val="auto"/>
        </w:rPr>
        <w:t>99.296% per €800,000,000 principal amount of 2027 Euro Notes; €794,368,000 total Actual/Actual (ICMA)</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2027 Euro Notes are redeemable at the option of the Company at any time, in whole or in part, at the “Redemption Price.” The Redemption Price will equal, 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Bund Rate plus 15 basis points, provided that, if the 2027 Euro Notes are redeemed on or after the 2027 Par Call Date, the Redemption Price will equal 100% of the principal amount of such notes; plus, in each case, accrued and unpaid interest thereon to the date of redemption</w:t>
      </w: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760" w:space="440"/>
            <w:col w:w="7680"/>
          </w:cols>
          <w:pgMar w:left="440" w:top="373"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Additional Issuances:</w:t>
            </w:r>
          </w:p>
        </w:tc>
        <w:tc>
          <w:tcPr>
            <w:tcW w:w="7880" w:type="dxa"/>
            <w:vAlign w:val="bottom"/>
          </w:tcPr>
          <w:p>
            <w:pPr>
              <w:ind w:left="280"/>
              <w:spacing w:after="0"/>
              <w:rPr>
                <w:sz w:val="20"/>
                <w:szCs w:val="20"/>
                <w:color w:val="auto"/>
              </w:rPr>
            </w:pPr>
            <w:r>
              <w:rPr>
                <w:rFonts w:ascii="Arial" w:cs="Arial" w:eastAsia="Arial" w:hAnsi="Arial"/>
                <w:sz w:val="18"/>
                <w:szCs w:val="18"/>
                <w:color w:val="auto"/>
                <w:w w:val="97"/>
              </w:rPr>
              <w:t>An unlimited amount of additional 2027 Euro Notes may be issued. The 2027 Euro Notes and any</w:t>
            </w:r>
          </w:p>
        </w:tc>
      </w:tr>
      <w:tr>
        <w:trPr>
          <w:trHeight w:val="216"/>
        </w:trPr>
        <w:tc>
          <w:tcPr>
            <w:tcW w:w="29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w w:val="89"/>
              </w:rPr>
              <w:t>additional 2027 Euro Notes that may be issued may be treated as a single series for all purposes under the</w:t>
            </w:r>
          </w:p>
        </w:tc>
      </w:tr>
      <w:tr>
        <w:trPr>
          <w:trHeight w:val="230"/>
        </w:trPr>
        <w:tc>
          <w:tcPr>
            <w:tcW w:w="2920" w:type="dxa"/>
            <w:vAlign w:val="bottom"/>
          </w:tcPr>
          <w:p>
            <w:pPr>
              <w:spacing w:after="0"/>
              <w:rPr>
                <w:sz w:val="20"/>
                <w:szCs w:val="20"/>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rPr>
              <w:t>Indenture</w:t>
            </w:r>
          </w:p>
        </w:tc>
      </w:tr>
      <w:tr>
        <w:trPr>
          <w:trHeight w:val="342"/>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 / Common Code:</w:t>
            </w:r>
          </w:p>
        </w:tc>
        <w:tc>
          <w:tcPr>
            <w:tcW w:w="7880" w:type="dxa"/>
            <w:vAlign w:val="bottom"/>
          </w:tcPr>
          <w:p>
            <w:pPr>
              <w:ind w:left="280"/>
              <w:spacing w:after="0"/>
              <w:rPr>
                <w:sz w:val="20"/>
                <w:szCs w:val="20"/>
                <w:color w:val="auto"/>
              </w:rPr>
            </w:pPr>
            <w:r>
              <w:rPr>
                <w:rFonts w:ascii="Arial" w:cs="Arial" w:eastAsia="Arial" w:hAnsi="Arial"/>
                <w:sz w:val="18"/>
                <w:szCs w:val="18"/>
                <w:color w:val="auto"/>
              </w:rPr>
              <w:t>20030N DB4 / XS2114852218 / 211485221</w:t>
            </w:r>
          </w:p>
        </w:tc>
      </w:tr>
      <w:tr>
        <w:trPr>
          <w:trHeight w:val="361"/>
        </w:trPr>
        <w:tc>
          <w:tcPr>
            <w:tcW w:w="2920" w:type="dxa"/>
            <w:vAlign w:val="bottom"/>
          </w:tcPr>
          <w:p>
            <w:pPr>
              <w:spacing w:after="0"/>
              <w:rPr>
                <w:sz w:val="24"/>
                <w:szCs w:val="24"/>
                <w:color w:val="auto"/>
              </w:rPr>
            </w:pPr>
          </w:p>
        </w:tc>
        <w:tc>
          <w:tcPr>
            <w:tcW w:w="7880" w:type="dxa"/>
            <w:vAlign w:val="bottom"/>
          </w:tcPr>
          <w:p>
            <w:pPr>
              <w:ind w:left="2540"/>
              <w:spacing w:after="0"/>
              <w:rPr>
                <w:sz w:val="20"/>
                <w:szCs w:val="20"/>
                <w:color w:val="auto"/>
              </w:rPr>
            </w:pPr>
            <w:r>
              <w:rPr>
                <w:rFonts w:ascii="Arial" w:cs="Arial" w:eastAsia="Arial" w:hAnsi="Arial"/>
                <w:sz w:val="18"/>
                <w:szCs w:val="18"/>
                <w:color w:val="auto"/>
              </w:rPr>
              <w:t>5</w:t>
            </w:r>
          </w:p>
        </w:tc>
      </w:tr>
    </w:tbl>
    <w:p>
      <w:pPr>
        <w:ind w:left="2540"/>
        <w:spacing w:after="0"/>
        <w:rPr>
          <w:sz w:val="20"/>
          <w:szCs w:val="20"/>
          <w:color w:val="auto"/>
        </w:rPr>
        <w:sectPr>
          <w:pgSz w:w="11900" w:h="16838" w:orient="portrait"/>
          <w:cols w:equalWidth="0" w:num="1">
            <w:col w:w="10800"/>
          </w:cols>
          <w:pgMar w:left="440" w:top="368" w:right="6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2032 Euro Notes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Aggregate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Maturity 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Payment Dates: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Spread to Benchmark Bund: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Mid-swap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Reoffer Spread to Mid-swap: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Yield to Maturity: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Offering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Underwriters’ Discount:</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Net Proceeds to Comcast, Before Expenses: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 Count Convention: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€1,400,000,000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-507365</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2032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0.750% per annum, accruing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20 of each year, commencing February 20,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DBR 0.000% due August 15, 2029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103.850%</w:t>
      </w:r>
    </w:p>
    <w:p>
      <w:pPr>
        <w:spacing w:after="0" w:line="131" w:lineRule="exact"/>
        <w:rPr>
          <w:sz w:val="20"/>
          <w:szCs w:val="20"/>
          <w:color w:val="auto"/>
        </w:rPr>
      </w:pPr>
    </w:p>
    <w:p>
      <w:pPr>
        <w:jc w:val="right"/>
        <w:ind w:right="7220" w:firstLine="5"/>
        <w:spacing w:after="0" w:line="469" w:lineRule="auto"/>
        <w:tabs>
          <w:tab w:leader="none" w:pos="308" w:val="left"/>
        </w:tabs>
        <w:numPr>
          <w:ilvl w:val="0"/>
          <w:numId w:val="2"/>
        </w:numPr>
        <w:rPr>
          <w:rFonts w:ascii="Arial" w:cs="Arial" w:eastAsia="Arial" w:hAnsi="Arial"/>
          <w:sz w:val="15"/>
          <w:szCs w:val="15"/>
          <w:color w:val="auto"/>
        </w:rPr>
      </w:pPr>
      <w:r>
        <w:rPr>
          <w:rFonts w:ascii="Arial" w:cs="Arial" w:eastAsia="Arial" w:hAnsi="Arial"/>
          <w:sz w:val="15"/>
          <w:szCs w:val="15"/>
          <w:color w:val="auto"/>
        </w:rPr>
        <w:t>bps 0.114%</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+65 bps</w:t>
      </w:r>
    </w:p>
    <w:p>
      <w:pPr>
        <w:spacing w:after="0" w:line="1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0.764%</w:t>
      </w:r>
    </w:p>
    <w:p>
      <w:pPr>
        <w:spacing w:after="0" w:line="130" w:lineRule="exact"/>
        <w:rPr>
          <w:rFonts w:ascii="Arial" w:cs="Arial" w:eastAsia="Arial" w:hAnsi="Arial"/>
          <w:sz w:val="15"/>
          <w:szCs w:val="15"/>
          <w:color w:val="auto"/>
        </w:rPr>
      </w:pPr>
    </w:p>
    <w:p>
      <w:pPr>
        <w:ind w:right="3300"/>
        <w:spacing w:after="0" w:line="418" w:lineRule="auto"/>
        <w:rPr>
          <w:rFonts w:ascii="Arial" w:cs="Arial" w:eastAsia="Arial" w:hAnsi="Arial"/>
          <w:sz w:val="15"/>
          <w:szCs w:val="15"/>
          <w:color w:val="auto"/>
        </w:rPr>
      </w:pPr>
      <w:r>
        <w:rPr>
          <w:rFonts w:ascii="Arial" w:cs="Arial" w:eastAsia="Arial" w:hAnsi="Arial"/>
          <w:sz w:val="18"/>
          <w:szCs w:val="18"/>
          <w:color w:val="auto"/>
        </w:rPr>
        <w:t>99.840% plus accrued interest, if any, from February 20, 2020 0.375%</w:t>
      </w:r>
    </w:p>
    <w:p>
      <w:pPr>
        <w:spacing w:after="0" w:line="184" w:lineRule="exact"/>
        <w:rPr>
          <w:sz w:val="20"/>
          <w:szCs w:val="20"/>
          <w:color w:val="auto"/>
        </w:rPr>
      </w:pPr>
    </w:p>
    <w:p>
      <w:pPr>
        <w:ind w:right="1380"/>
        <w:spacing w:after="0" w:line="383" w:lineRule="auto"/>
        <w:rPr>
          <w:sz w:val="20"/>
          <w:szCs w:val="20"/>
          <w:color w:val="auto"/>
        </w:rPr>
      </w:pPr>
      <w:r>
        <w:rPr>
          <w:rFonts w:ascii="Arial" w:cs="Arial" w:eastAsia="Arial" w:hAnsi="Arial"/>
          <w:sz w:val="18"/>
          <w:szCs w:val="18"/>
          <w:color w:val="auto"/>
        </w:rPr>
        <w:t>99.465% per €1,400,000,000 principal amount of 2032 Euro Notes; €1,392,510,000 total Actual/Actual (ICMA)</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2032 Euro Notes are redeemable at the option of the Company at any time, in whole or in part, at the “Redemption Price.” The Redemption Price will equal, 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Bund Rate plus 20 basis points, provided that, if the 2032 Euro Notes are redeemed on or after the 2032 Par Call Date, the Redemption Price will equal 100% of the principal amount of such notes; plus, in each case, accrued and unpaid interest thereon to the date of redemption</w:t>
      </w: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760" w:space="440"/>
            <w:col w:w="7780"/>
          </w:cols>
          <w:pgMar w:left="440" w:top="373"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Additional Issuances:</w:t>
            </w:r>
          </w:p>
        </w:tc>
        <w:tc>
          <w:tcPr>
            <w:tcW w:w="7880" w:type="dxa"/>
            <w:vAlign w:val="bottom"/>
          </w:tcPr>
          <w:p>
            <w:pPr>
              <w:ind w:left="280"/>
              <w:spacing w:after="0"/>
              <w:rPr>
                <w:sz w:val="20"/>
                <w:szCs w:val="20"/>
                <w:color w:val="auto"/>
              </w:rPr>
            </w:pPr>
            <w:r>
              <w:rPr>
                <w:rFonts w:ascii="Arial" w:cs="Arial" w:eastAsia="Arial" w:hAnsi="Arial"/>
                <w:sz w:val="18"/>
                <w:szCs w:val="18"/>
                <w:color w:val="auto"/>
                <w:w w:val="97"/>
              </w:rPr>
              <w:t>An unlimited amount of additional 2032 Euro Notes may be issued. The 2032 Euro Notes and any</w:t>
            </w:r>
          </w:p>
        </w:tc>
      </w:tr>
      <w:tr>
        <w:trPr>
          <w:trHeight w:val="216"/>
        </w:trPr>
        <w:tc>
          <w:tcPr>
            <w:tcW w:w="29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w w:val="89"/>
              </w:rPr>
              <w:t>additional 2032 Euro Notes that may be issued may be treated as a single series for all purposes under the</w:t>
            </w:r>
          </w:p>
        </w:tc>
      </w:tr>
      <w:tr>
        <w:trPr>
          <w:trHeight w:val="230"/>
        </w:trPr>
        <w:tc>
          <w:tcPr>
            <w:tcW w:w="2920" w:type="dxa"/>
            <w:vAlign w:val="bottom"/>
          </w:tcPr>
          <w:p>
            <w:pPr>
              <w:spacing w:after="0"/>
              <w:rPr>
                <w:sz w:val="20"/>
                <w:szCs w:val="20"/>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rPr>
              <w:t>Indenture</w:t>
            </w:r>
          </w:p>
        </w:tc>
      </w:tr>
      <w:tr>
        <w:trPr>
          <w:trHeight w:val="342"/>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 / Common Code:</w:t>
            </w:r>
          </w:p>
        </w:tc>
        <w:tc>
          <w:tcPr>
            <w:tcW w:w="7880" w:type="dxa"/>
            <w:vAlign w:val="bottom"/>
          </w:tcPr>
          <w:p>
            <w:pPr>
              <w:ind w:left="280"/>
              <w:spacing w:after="0"/>
              <w:rPr>
                <w:sz w:val="20"/>
                <w:szCs w:val="20"/>
                <w:color w:val="auto"/>
              </w:rPr>
            </w:pPr>
            <w:r>
              <w:rPr>
                <w:rFonts w:ascii="Arial" w:cs="Arial" w:eastAsia="Arial" w:hAnsi="Arial"/>
                <w:sz w:val="18"/>
                <w:szCs w:val="18"/>
                <w:color w:val="auto"/>
              </w:rPr>
              <w:t>20030N DC2 / XS2114852564 / 211485256</w:t>
            </w:r>
          </w:p>
        </w:tc>
      </w:tr>
      <w:tr>
        <w:trPr>
          <w:trHeight w:val="361"/>
        </w:trPr>
        <w:tc>
          <w:tcPr>
            <w:tcW w:w="2920" w:type="dxa"/>
            <w:vAlign w:val="bottom"/>
          </w:tcPr>
          <w:p>
            <w:pPr>
              <w:spacing w:after="0"/>
              <w:rPr>
                <w:sz w:val="24"/>
                <w:szCs w:val="24"/>
                <w:color w:val="auto"/>
              </w:rPr>
            </w:pPr>
          </w:p>
        </w:tc>
        <w:tc>
          <w:tcPr>
            <w:tcW w:w="7880" w:type="dxa"/>
            <w:vAlign w:val="bottom"/>
          </w:tcPr>
          <w:p>
            <w:pPr>
              <w:ind w:left="2540"/>
              <w:spacing w:after="0"/>
              <w:rPr>
                <w:sz w:val="20"/>
                <w:szCs w:val="20"/>
                <w:color w:val="auto"/>
              </w:rPr>
            </w:pPr>
            <w:r>
              <w:rPr>
                <w:rFonts w:ascii="Arial" w:cs="Arial" w:eastAsia="Arial" w:hAnsi="Arial"/>
                <w:sz w:val="18"/>
                <w:szCs w:val="18"/>
                <w:color w:val="auto"/>
              </w:rPr>
              <w:t>7</w:t>
            </w:r>
          </w:p>
        </w:tc>
      </w:tr>
    </w:tbl>
    <w:p>
      <w:pPr>
        <w:ind w:left="2540"/>
        <w:spacing w:after="0"/>
        <w:rPr>
          <w:sz w:val="20"/>
          <w:szCs w:val="20"/>
          <w:color w:val="auto"/>
        </w:rPr>
        <w:sectPr>
          <w:pgSz w:w="11900" w:h="16838" w:orient="portrait"/>
          <w:cols w:equalWidth="0" w:num="1">
            <w:col w:w="10800"/>
          </w:cols>
          <w:pgMar w:left="440" w:top="368" w:right="6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2040 Euro Notes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Aggregate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Maturity 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Payment Dates: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Bund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Spread to Benchmark Bund: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Mid-swap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Reoffer Spread to Mid-swap: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Yield to Maturity: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Offering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Underwriters’ Discount:</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Net Proceeds to Comcast, Before Expenses: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 Count Convention: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-507365</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2040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1.250% per annum, accruing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20 of each year, commencing February 20,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DBR 4.250% due July 4, 2039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184.500%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145.7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0.384%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+100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1.384%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97.673% plus accrued interest, if any,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0.550%</w:t>
      </w:r>
    </w:p>
    <w:p>
      <w:pPr>
        <w:spacing w:after="0" w:line="360" w:lineRule="exact"/>
        <w:rPr>
          <w:sz w:val="20"/>
          <w:szCs w:val="20"/>
          <w:color w:val="auto"/>
        </w:rPr>
      </w:pPr>
    </w:p>
    <w:p>
      <w:pPr>
        <w:ind w:right="1540"/>
        <w:spacing w:after="0" w:line="383" w:lineRule="auto"/>
        <w:rPr>
          <w:sz w:val="20"/>
          <w:szCs w:val="20"/>
          <w:color w:val="auto"/>
        </w:rPr>
      </w:pPr>
      <w:r>
        <w:rPr>
          <w:rFonts w:ascii="Arial" w:cs="Arial" w:eastAsia="Arial" w:hAnsi="Arial"/>
          <w:sz w:val="18"/>
          <w:szCs w:val="18"/>
          <w:color w:val="auto"/>
        </w:rPr>
        <w:t>97.123% per €800,000,000 principal amount of 2040 Euro Notes; €776,984,000 total Actual/Actual (ICMA)</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2040 Euro Notes are redeemable at the option of the Company at any time, in whole or in part, at the “Redemption Price.” The Redemption Price will equal, 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Bund Rate plus 25 basis points, provided that, if the 2040 Euro Notes are redeemed on or after the 2040 Par Call Date, the Redemption Price will equal 100% of the principal amount of such notes; plus, in each case, accrued and unpaid interest thereon to the date of redemption</w:t>
      </w: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2760" w:space="440"/>
            <w:col w:w="7680"/>
          </w:cols>
          <w:pgMar w:left="440" w:top="373" w:right="5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Additional Issuances:</w:t>
            </w:r>
          </w:p>
        </w:tc>
        <w:tc>
          <w:tcPr>
            <w:tcW w:w="7880" w:type="dxa"/>
            <w:vAlign w:val="bottom"/>
          </w:tcPr>
          <w:p>
            <w:pPr>
              <w:ind w:left="280"/>
              <w:spacing w:after="0"/>
              <w:rPr>
                <w:sz w:val="20"/>
                <w:szCs w:val="20"/>
                <w:color w:val="auto"/>
              </w:rPr>
            </w:pPr>
            <w:r>
              <w:rPr>
                <w:rFonts w:ascii="Arial" w:cs="Arial" w:eastAsia="Arial" w:hAnsi="Arial"/>
                <w:sz w:val="18"/>
                <w:szCs w:val="18"/>
                <w:color w:val="auto"/>
                <w:w w:val="97"/>
              </w:rPr>
              <w:t>An unlimited amount of additional 2040 Euro Notes may be issued. The 2040 Euro Notes and any</w:t>
            </w:r>
          </w:p>
        </w:tc>
      </w:tr>
      <w:tr>
        <w:trPr>
          <w:trHeight w:val="216"/>
        </w:trPr>
        <w:tc>
          <w:tcPr>
            <w:tcW w:w="2920" w:type="dxa"/>
            <w:vAlign w:val="bottom"/>
          </w:tcPr>
          <w:p>
            <w:pPr>
              <w:spacing w:after="0"/>
              <w:rPr>
                <w:sz w:val="18"/>
                <w:szCs w:val="18"/>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w w:val="89"/>
              </w:rPr>
              <w:t>additional 2040 Euro Notes that may be issued may be treated as a single series for all purposes under the</w:t>
            </w:r>
          </w:p>
        </w:tc>
      </w:tr>
      <w:tr>
        <w:trPr>
          <w:trHeight w:val="230"/>
        </w:trPr>
        <w:tc>
          <w:tcPr>
            <w:tcW w:w="2920" w:type="dxa"/>
            <w:vAlign w:val="bottom"/>
          </w:tcPr>
          <w:p>
            <w:pPr>
              <w:spacing w:after="0"/>
              <w:rPr>
                <w:sz w:val="20"/>
                <w:szCs w:val="20"/>
                <w:color w:val="auto"/>
              </w:rPr>
            </w:pPr>
          </w:p>
        </w:tc>
        <w:tc>
          <w:tcPr>
            <w:tcW w:w="7880" w:type="dxa"/>
            <w:vAlign w:val="bottom"/>
          </w:tcPr>
          <w:p>
            <w:pPr>
              <w:ind w:left="280"/>
              <w:spacing w:after="0"/>
              <w:rPr>
                <w:sz w:val="20"/>
                <w:szCs w:val="20"/>
                <w:color w:val="auto"/>
              </w:rPr>
            </w:pPr>
            <w:r>
              <w:rPr>
                <w:rFonts w:ascii="Arial" w:cs="Arial" w:eastAsia="Arial" w:hAnsi="Arial"/>
                <w:sz w:val="18"/>
                <w:szCs w:val="18"/>
                <w:color w:val="auto"/>
              </w:rPr>
              <w:t>Indenture</w:t>
            </w:r>
          </w:p>
        </w:tc>
      </w:tr>
      <w:tr>
        <w:trPr>
          <w:trHeight w:val="342"/>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 / Common Code:</w:t>
            </w:r>
          </w:p>
        </w:tc>
        <w:tc>
          <w:tcPr>
            <w:tcW w:w="7880" w:type="dxa"/>
            <w:vAlign w:val="bottom"/>
          </w:tcPr>
          <w:p>
            <w:pPr>
              <w:ind w:left="280"/>
              <w:spacing w:after="0"/>
              <w:rPr>
                <w:sz w:val="20"/>
                <w:szCs w:val="20"/>
                <w:color w:val="auto"/>
              </w:rPr>
            </w:pPr>
            <w:r>
              <w:rPr>
                <w:rFonts w:ascii="Arial" w:cs="Arial" w:eastAsia="Arial" w:hAnsi="Arial"/>
                <w:sz w:val="18"/>
                <w:szCs w:val="18"/>
                <w:color w:val="auto"/>
              </w:rPr>
              <w:t>20030N DD0 / XS2114852721 / 211485272</w:t>
            </w:r>
          </w:p>
        </w:tc>
      </w:tr>
      <w:tr>
        <w:trPr>
          <w:trHeight w:val="361"/>
        </w:trPr>
        <w:tc>
          <w:tcPr>
            <w:tcW w:w="2920" w:type="dxa"/>
            <w:vAlign w:val="bottom"/>
          </w:tcPr>
          <w:p>
            <w:pPr>
              <w:spacing w:after="0"/>
              <w:rPr>
                <w:sz w:val="24"/>
                <w:szCs w:val="24"/>
                <w:color w:val="auto"/>
              </w:rPr>
            </w:pPr>
          </w:p>
        </w:tc>
        <w:tc>
          <w:tcPr>
            <w:tcW w:w="7880" w:type="dxa"/>
            <w:vAlign w:val="bottom"/>
          </w:tcPr>
          <w:p>
            <w:pPr>
              <w:ind w:left="2540"/>
              <w:spacing w:after="0"/>
              <w:rPr>
                <w:sz w:val="20"/>
                <w:szCs w:val="20"/>
                <w:color w:val="auto"/>
              </w:rPr>
            </w:pPr>
            <w:r>
              <w:rPr>
                <w:rFonts w:ascii="Arial" w:cs="Arial" w:eastAsia="Arial" w:hAnsi="Arial"/>
                <w:sz w:val="18"/>
                <w:szCs w:val="18"/>
                <w:color w:val="auto"/>
              </w:rPr>
              <w:t>9</w:t>
            </w:r>
          </w:p>
        </w:tc>
      </w:tr>
    </w:tbl>
    <w:p>
      <w:pPr>
        <w:ind w:left="2540"/>
        <w:spacing w:after="0"/>
        <w:rPr>
          <w:sz w:val="20"/>
          <w:szCs w:val="20"/>
          <w:color w:val="auto"/>
        </w:rPr>
        <w:sectPr>
          <w:pgSz w:w="11900" w:h="16838" w:orient="portrait"/>
          <w:cols w:equalWidth="0" w:num="1">
            <w:col w:w="10800"/>
          </w:cols>
          <w:pgMar w:left="440" w:top="368" w:right="6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ind w:right="260"/>
        <w:spacing w:after="0" w:line="352" w:lineRule="auto"/>
        <w:rPr>
          <w:sz w:val="20"/>
          <w:szCs w:val="20"/>
          <w:color w:val="auto"/>
        </w:rPr>
      </w:pPr>
      <w:r>
        <w:rPr>
          <w:rFonts w:ascii="Arial" w:cs="Arial" w:eastAsia="Arial" w:hAnsi="Arial"/>
          <w:sz w:val="20"/>
          <w:szCs w:val="20"/>
          <w:b w:val="1"/>
          <w:bCs w:val="1"/>
          <w:u w:val="single" w:color="auto"/>
          <w:color w:val="auto"/>
        </w:rPr>
        <w:t xml:space="preserve">2029 Sterling Notes </w:t>
      </w:r>
      <w:r>
        <w:rPr>
          <w:rFonts w:ascii="Arial" w:cs="Arial" w:eastAsia="Arial" w:hAnsi="Arial"/>
          <w:sz w:val="20"/>
          <w:szCs w:val="20"/>
          <w:b w:val="1"/>
          <w:bCs w:val="1"/>
          <w:color w:val="auto"/>
        </w:rPr>
        <w:t>Aggregate Principal Amount: Maturity Date: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Payment Dates: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Gilt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Gilt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Spread to Benchmark Gilt: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Yield to Maturity: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Offering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Underwriters’ Discount:</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Net Proceeds to Comcast, Before Expenses: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 Count Convention: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-507365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1.500% per annum, accruing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20 of each year, commencing February 20,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UKT 0.875% due October 22, 2029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102.580%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+95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1.557%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99.525% plus accrued interest, if any,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0.3875%</w:t>
      </w:r>
    </w:p>
    <w:p>
      <w:pPr>
        <w:spacing w:after="0" w:line="360" w:lineRule="exact"/>
        <w:rPr>
          <w:sz w:val="20"/>
          <w:szCs w:val="20"/>
          <w:color w:val="auto"/>
        </w:rPr>
      </w:pPr>
    </w:p>
    <w:p>
      <w:pPr>
        <w:ind w:right="1440"/>
        <w:spacing w:after="0" w:line="383" w:lineRule="auto"/>
        <w:rPr>
          <w:sz w:val="20"/>
          <w:szCs w:val="20"/>
          <w:color w:val="auto"/>
        </w:rPr>
      </w:pPr>
      <w:r>
        <w:rPr>
          <w:rFonts w:ascii="Arial" w:cs="Arial" w:eastAsia="Arial" w:hAnsi="Arial"/>
          <w:sz w:val="18"/>
          <w:szCs w:val="18"/>
          <w:color w:val="auto"/>
        </w:rPr>
        <w:t>99.138% per £600,000,000 principal amount of 2029 Sterling Notes; £594,825,000 total Actual/Actual (ICMA)</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2029 Sterling Notes are redeemable at the option of the Company at any time, in whole or in part, at the “Redemption Price.” The Redemption Price will equal, with respect to the 2029 Sterling Notes, at any time prior to November 20, 2028 (three months prior to the maturity of the 2029 Sterling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Gilt Rate plus 15 basis points, provided that, if the 2029 Sterling Notes are redeemed on or after the 2029 Par Call Date, the Redemption Price will equal 100% of the principal amount of such notes; plus, in each case, accrued and unpaid interest thereon to the date of redemption</w:t>
      </w:r>
    </w:p>
    <w:p>
      <w:pPr>
        <w:spacing w:after="0" w:line="10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2760" w:space="440"/>
            <w:col w:w="7800"/>
          </w:cols>
          <w:pgMar w:left="440" w:top="373"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Additional Issuances:</w:t>
            </w:r>
          </w:p>
        </w:tc>
        <w:tc>
          <w:tcPr>
            <w:tcW w:w="7840" w:type="dxa"/>
            <w:vAlign w:val="bottom"/>
          </w:tcPr>
          <w:p>
            <w:pPr>
              <w:ind w:left="280"/>
              <w:spacing w:after="0"/>
              <w:rPr>
                <w:sz w:val="20"/>
                <w:szCs w:val="20"/>
                <w:color w:val="auto"/>
              </w:rPr>
            </w:pPr>
            <w:r>
              <w:rPr>
                <w:rFonts w:ascii="Arial" w:cs="Arial" w:eastAsia="Arial" w:hAnsi="Arial"/>
                <w:sz w:val="18"/>
                <w:szCs w:val="18"/>
                <w:color w:val="auto"/>
                <w:w w:val="91"/>
              </w:rPr>
              <w:t>An unlimited amount of additional 2029 Sterling Notes may be issued. The 2029 Sterling Notes and any</w:t>
            </w:r>
          </w:p>
        </w:tc>
      </w:tr>
      <w:tr>
        <w:trPr>
          <w:trHeight w:val="216"/>
        </w:trPr>
        <w:tc>
          <w:tcPr>
            <w:tcW w:w="2920" w:type="dxa"/>
            <w:vAlign w:val="bottom"/>
          </w:tcPr>
          <w:p>
            <w:pPr>
              <w:spacing w:after="0"/>
              <w:rPr>
                <w:sz w:val="18"/>
                <w:szCs w:val="18"/>
                <w:color w:val="auto"/>
              </w:rPr>
            </w:pPr>
          </w:p>
        </w:tc>
        <w:tc>
          <w:tcPr>
            <w:tcW w:w="7840" w:type="dxa"/>
            <w:vAlign w:val="bottom"/>
          </w:tcPr>
          <w:p>
            <w:pPr>
              <w:ind w:left="280"/>
              <w:spacing w:after="0"/>
              <w:rPr>
                <w:sz w:val="20"/>
                <w:szCs w:val="20"/>
                <w:color w:val="auto"/>
              </w:rPr>
            </w:pPr>
            <w:r>
              <w:rPr>
                <w:rFonts w:ascii="Arial" w:cs="Arial" w:eastAsia="Arial" w:hAnsi="Arial"/>
                <w:sz w:val="18"/>
                <w:szCs w:val="18"/>
                <w:color w:val="auto"/>
                <w:w w:val="89"/>
              </w:rPr>
              <w:t>additional 2029 Sterling Notes that may be issued may be treated as a single series for all purposes under</w:t>
            </w:r>
          </w:p>
        </w:tc>
      </w:tr>
      <w:tr>
        <w:trPr>
          <w:trHeight w:val="230"/>
        </w:trPr>
        <w:tc>
          <w:tcPr>
            <w:tcW w:w="2920" w:type="dxa"/>
            <w:vAlign w:val="bottom"/>
          </w:tcPr>
          <w:p>
            <w:pPr>
              <w:spacing w:after="0"/>
              <w:rPr>
                <w:sz w:val="20"/>
                <w:szCs w:val="20"/>
                <w:color w:val="auto"/>
              </w:rPr>
            </w:pPr>
          </w:p>
        </w:tc>
        <w:tc>
          <w:tcPr>
            <w:tcW w:w="7840" w:type="dxa"/>
            <w:vAlign w:val="bottom"/>
          </w:tcPr>
          <w:p>
            <w:pPr>
              <w:ind w:left="280"/>
              <w:spacing w:after="0"/>
              <w:rPr>
                <w:sz w:val="20"/>
                <w:szCs w:val="20"/>
                <w:color w:val="auto"/>
              </w:rPr>
            </w:pPr>
            <w:r>
              <w:rPr>
                <w:rFonts w:ascii="Arial" w:cs="Arial" w:eastAsia="Arial" w:hAnsi="Arial"/>
                <w:sz w:val="18"/>
                <w:szCs w:val="18"/>
                <w:color w:val="auto"/>
              </w:rPr>
              <w:t>the Indenture</w:t>
            </w:r>
          </w:p>
        </w:tc>
      </w:tr>
      <w:tr>
        <w:trPr>
          <w:trHeight w:val="342"/>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 / Common Code:</w:t>
            </w:r>
          </w:p>
        </w:tc>
        <w:tc>
          <w:tcPr>
            <w:tcW w:w="7840" w:type="dxa"/>
            <w:vAlign w:val="bottom"/>
          </w:tcPr>
          <w:p>
            <w:pPr>
              <w:ind w:left="280"/>
              <w:spacing w:after="0"/>
              <w:rPr>
                <w:sz w:val="20"/>
                <w:szCs w:val="20"/>
                <w:color w:val="auto"/>
              </w:rPr>
            </w:pPr>
            <w:r>
              <w:rPr>
                <w:rFonts w:ascii="Arial" w:cs="Arial" w:eastAsia="Arial" w:hAnsi="Arial"/>
                <w:sz w:val="18"/>
                <w:szCs w:val="18"/>
                <w:color w:val="auto"/>
              </w:rPr>
              <w:t>20030N DE8 / XS2114853299 / 211485329</w:t>
            </w:r>
          </w:p>
        </w:tc>
      </w:tr>
      <w:tr>
        <w:trPr>
          <w:trHeight w:val="361"/>
        </w:trPr>
        <w:tc>
          <w:tcPr>
            <w:tcW w:w="2920" w:type="dxa"/>
            <w:vAlign w:val="bottom"/>
          </w:tcPr>
          <w:p>
            <w:pPr>
              <w:spacing w:after="0"/>
              <w:rPr>
                <w:sz w:val="24"/>
                <w:szCs w:val="24"/>
                <w:color w:val="auto"/>
              </w:rPr>
            </w:pPr>
          </w:p>
        </w:tc>
        <w:tc>
          <w:tcPr>
            <w:tcW w:w="7840" w:type="dxa"/>
            <w:vAlign w:val="bottom"/>
          </w:tcPr>
          <w:p>
            <w:pPr>
              <w:ind w:left="2500"/>
              <w:spacing w:after="0"/>
              <w:rPr>
                <w:sz w:val="20"/>
                <w:szCs w:val="20"/>
                <w:color w:val="auto"/>
              </w:rPr>
            </w:pPr>
            <w:r>
              <w:rPr>
                <w:rFonts w:ascii="Arial" w:cs="Arial" w:eastAsia="Arial" w:hAnsi="Arial"/>
                <w:sz w:val="18"/>
                <w:szCs w:val="18"/>
                <w:color w:val="auto"/>
              </w:rPr>
              <w:t>11</w:t>
            </w:r>
          </w:p>
        </w:tc>
      </w:tr>
    </w:tbl>
    <w:p>
      <w:pPr>
        <w:ind w:left="2500"/>
        <w:spacing w:after="0"/>
        <w:rPr>
          <w:sz w:val="20"/>
          <w:szCs w:val="20"/>
          <w:color w:val="auto"/>
        </w:rPr>
        <w:sectPr>
          <w:pgSz w:w="11900" w:h="16838" w:orient="portrait"/>
          <w:cols w:equalWidth="0" w:num="1">
            <w:col w:w="10760"/>
          </w:cols>
          <w:pgMar w:left="440" w:top="368"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ind w:right="260"/>
        <w:spacing w:after="0" w:line="352" w:lineRule="auto"/>
        <w:rPr>
          <w:sz w:val="20"/>
          <w:szCs w:val="20"/>
          <w:color w:val="auto"/>
        </w:rPr>
      </w:pPr>
      <w:r>
        <w:rPr>
          <w:rFonts w:ascii="Arial" w:cs="Arial" w:eastAsia="Arial" w:hAnsi="Arial"/>
          <w:sz w:val="20"/>
          <w:szCs w:val="20"/>
          <w:b w:val="1"/>
          <w:bCs w:val="1"/>
          <w:u w:val="single" w:color="auto"/>
          <w:color w:val="auto"/>
        </w:rPr>
        <w:t xml:space="preserve">2036 Sterling Notes </w:t>
      </w:r>
      <w:r>
        <w:rPr>
          <w:rFonts w:ascii="Arial" w:cs="Arial" w:eastAsia="Arial" w:hAnsi="Arial"/>
          <w:sz w:val="20"/>
          <w:szCs w:val="20"/>
          <w:b w:val="1"/>
          <w:bCs w:val="1"/>
          <w:color w:val="auto"/>
        </w:rPr>
        <w:t>Aggregate Principal Amount: Maturity Date: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Payment Dates: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Gilt Rate: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Benchmark Gilt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Spread to Benchmark Gilt: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Yield to Maturity: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Offering Price: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Underwriters’ Discount:</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Net Proceeds to Comcast, Before Expenses: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 Count Convention: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-507365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2036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1.875% per annum, accruing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20 of each year, commencing February 20,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UKT 4.250% due March 7, 2036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149.630%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+100 bps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99.232% plus accrued interest, if any, from February 20,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0.4950%</w:t>
      </w:r>
    </w:p>
    <w:p>
      <w:pPr>
        <w:spacing w:after="0" w:line="360" w:lineRule="exact"/>
        <w:rPr>
          <w:sz w:val="20"/>
          <w:szCs w:val="20"/>
          <w:color w:val="auto"/>
        </w:rPr>
      </w:pPr>
    </w:p>
    <w:p>
      <w:pPr>
        <w:ind w:right="1440"/>
        <w:spacing w:after="0" w:line="383" w:lineRule="auto"/>
        <w:rPr>
          <w:sz w:val="20"/>
          <w:szCs w:val="20"/>
          <w:color w:val="auto"/>
        </w:rPr>
      </w:pPr>
      <w:r>
        <w:rPr>
          <w:rFonts w:ascii="Arial" w:cs="Arial" w:eastAsia="Arial" w:hAnsi="Arial"/>
          <w:sz w:val="18"/>
          <w:szCs w:val="18"/>
          <w:color w:val="auto"/>
        </w:rPr>
        <w:t>98.737% per £800,000,000 principal amount of 2036 Sterling Notes; £789,896,000 total Actual/Actual (ICMA)</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2036 Sterling Notes are redeemable at the option of the Company at any time, in whole or in part, at the “Redemption Price.” The Redemption Price will equal, with respect to the 2036 Sterling Notes, at any time prior to November 20, 2035 (three months prior to the maturity of the 2036 Sterling Notes)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Gilt Rate plus 15 basis points, provided that, if the 2036 Sterling Notes are redeemed on or after the 2036 Par Call Date, the Redemption Price will equal 100% of the principal amount of such notes; plus, in each case, accrued and unpaid interest thereon to the date of redemption</w:t>
      </w:r>
    </w:p>
    <w:p>
      <w:pPr>
        <w:spacing w:after="0" w:line="10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2760" w:space="440"/>
            <w:col w:w="7800"/>
          </w:cols>
          <w:pgMar w:left="440" w:top="373" w:right="4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b w:val="1"/>
                <w:bCs w:val="1"/>
                <w:color w:val="auto"/>
              </w:rPr>
              <w:t>Additional Issuances:</w:t>
            </w:r>
          </w:p>
        </w:tc>
        <w:tc>
          <w:tcPr>
            <w:tcW w:w="7840" w:type="dxa"/>
            <w:vAlign w:val="bottom"/>
          </w:tcPr>
          <w:p>
            <w:pPr>
              <w:ind w:left="280"/>
              <w:spacing w:after="0"/>
              <w:rPr>
                <w:sz w:val="20"/>
                <w:szCs w:val="20"/>
                <w:color w:val="auto"/>
              </w:rPr>
            </w:pPr>
            <w:r>
              <w:rPr>
                <w:rFonts w:ascii="Arial" w:cs="Arial" w:eastAsia="Arial" w:hAnsi="Arial"/>
                <w:sz w:val="18"/>
                <w:szCs w:val="18"/>
                <w:color w:val="auto"/>
                <w:w w:val="91"/>
              </w:rPr>
              <w:t>An unlimited amount of additional 2036 Sterling Notes may be issued. The 2036 Sterling Notes and any</w:t>
            </w:r>
          </w:p>
        </w:tc>
      </w:tr>
      <w:tr>
        <w:trPr>
          <w:trHeight w:val="216"/>
        </w:trPr>
        <w:tc>
          <w:tcPr>
            <w:tcW w:w="2920" w:type="dxa"/>
            <w:vAlign w:val="bottom"/>
          </w:tcPr>
          <w:p>
            <w:pPr>
              <w:spacing w:after="0"/>
              <w:rPr>
                <w:sz w:val="18"/>
                <w:szCs w:val="18"/>
                <w:color w:val="auto"/>
              </w:rPr>
            </w:pPr>
          </w:p>
        </w:tc>
        <w:tc>
          <w:tcPr>
            <w:tcW w:w="7840" w:type="dxa"/>
            <w:vAlign w:val="bottom"/>
          </w:tcPr>
          <w:p>
            <w:pPr>
              <w:ind w:left="280"/>
              <w:spacing w:after="0"/>
              <w:rPr>
                <w:sz w:val="20"/>
                <w:szCs w:val="20"/>
                <w:color w:val="auto"/>
              </w:rPr>
            </w:pPr>
            <w:r>
              <w:rPr>
                <w:rFonts w:ascii="Arial" w:cs="Arial" w:eastAsia="Arial" w:hAnsi="Arial"/>
                <w:sz w:val="18"/>
                <w:szCs w:val="18"/>
                <w:color w:val="auto"/>
                <w:w w:val="89"/>
              </w:rPr>
              <w:t>additional 2036 Sterling Notes that may be issued may be treated as a single series for all purposes under</w:t>
            </w:r>
          </w:p>
        </w:tc>
      </w:tr>
      <w:tr>
        <w:trPr>
          <w:trHeight w:val="230"/>
        </w:trPr>
        <w:tc>
          <w:tcPr>
            <w:tcW w:w="2920" w:type="dxa"/>
            <w:vAlign w:val="bottom"/>
          </w:tcPr>
          <w:p>
            <w:pPr>
              <w:spacing w:after="0"/>
              <w:rPr>
                <w:sz w:val="20"/>
                <w:szCs w:val="20"/>
                <w:color w:val="auto"/>
              </w:rPr>
            </w:pPr>
          </w:p>
        </w:tc>
        <w:tc>
          <w:tcPr>
            <w:tcW w:w="7840" w:type="dxa"/>
            <w:vAlign w:val="bottom"/>
          </w:tcPr>
          <w:p>
            <w:pPr>
              <w:ind w:left="280"/>
              <w:spacing w:after="0"/>
              <w:rPr>
                <w:sz w:val="20"/>
                <w:szCs w:val="20"/>
                <w:color w:val="auto"/>
              </w:rPr>
            </w:pPr>
            <w:r>
              <w:rPr>
                <w:rFonts w:ascii="Arial" w:cs="Arial" w:eastAsia="Arial" w:hAnsi="Arial"/>
                <w:sz w:val="18"/>
                <w:szCs w:val="18"/>
                <w:color w:val="auto"/>
              </w:rPr>
              <w:t>the Indenture</w:t>
            </w:r>
          </w:p>
        </w:tc>
      </w:tr>
      <w:tr>
        <w:trPr>
          <w:trHeight w:val="342"/>
        </w:trPr>
        <w:tc>
          <w:tcPr>
            <w:tcW w:w="2920" w:type="dxa"/>
            <w:vAlign w:val="bottom"/>
          </w:tcPr>
          <w:p>
            <w:pPr>
              <w:spacing w:after="0"/>
              <w:rPr>
                <w:sz w:val="20"/>
                <w:szCs w:val="20"/>
                <w:color w:val="auto"/>
              </w:rPr>
            </w:pPr>
            <w:r>
              <w:rPr>
                <w:rFonts w:ascii="Arial" w:cs="Arial" w:eastAsia="Arial" w:hAnsi="Arial"/>
                <w:sz w:val="20"/>
                <w:szCs w:val="20"/>
                <w:b w:val="1"/>
                <w:bCs w:val="1"/>
                <w:color w:val="auto"/>
              </w:rPr>
              <w:t>CUSIP / ISIN / Common Code:</w:t>
            </w:r>
          </w:p>
        </w:tc>
        <w:tc>
          <w:tcPr>
            <w:tcW w:w="7840" w:type="dxa"/>
            <w:vAlign w:val="bottom"/>
          </w:tcPr>
          <w:p>
            <w:pPr>
              <w:ind w:left="280"/>
              <w:spacing w:after="0"/>
              <w:rPr>
                <w:sz w:val="20"/>
                <w:szCs w:val="20"/>
                <w:color w:val="auto"/>
              </w:rPr>
            </w:pPr>
            <w:r>
              <w:rPr>
                <w:rFonts w:ascii="Arial" w:cs="Arial" w:eastAsia="Arial" w:hAnsi="Arial"/>
                <w:sz w:val="18"/>
                <w:szCs w:val="18"/>
                <w:color w:val="auto"/>
              </w:rPr>
              <w:t>20030N DF5 / XS2114853455 / 211485345</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41"/>
        <w:spacing w:after="0" w:line="308" w:lineRule="auto"/>
        <w:rPr>
          <w:sz w:val="20"/>
          <w:szCs w:val="20"/>
          <w:color w:val="auto"/>
        </w:rPr>
      </w:pPr>
      <w:r>
        <w:rPr>
          <w:rFonts w:ascii="Arial" w:cs="Arial" w:eastAsia="Arial" w:hAnsi="Arial"/>
          <w:sz w:val="17"/>
          <w:szCs w:val="17"/>
          <w:color w:val="auto"/>
        </w:rPr>
        <w:t>Manufacturer target market (MiFID II product governance) is eligible counterparties and professional clients only (all distribution channels). No PRIIPs key information document has been prepared as the notes are not available to retail investors in the EEA and the United Kingdom.</w:t>
      </w:r>
    </w:p>
    <w:p>
      <w:pPr>
        <w:spacing w:after="0" w:line="14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This communication is being distributed to, and is directed only at, persons in the United Kingdom in circumstances where section 21(1) of the Financial Services and Markets Act 2000 does not apply.</w:t>
      </w:r>
    </w:p>
    <w:p>
      <w:pPr>
        <w:spacing w:after="0" w:line="170"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BNP Paribas at +1 800-854-5674; Citigroup Global Markets Limited at +1 800-831-9146; or J.P. Morgan Securities plc collect on +44-207-134-2486.</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sectPr>
      <w:pgSz w:w="11900" w:h="16838" w:orient="portrait"/>
      <w:cols w:equalWidth="0" w:num="1">
        <w:col w:w="10840"/>
      </w:cols>
      <w:pgMar w:left="440" w:top="36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11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2020-02-05T16:14:57Z</dcterms:created>
  <dcterms:modified xsi:type="dcterms:W3CDTF">2020-02-05T16:14:57Z</dcterms:modified>
</cp:coreProperties>
</file>