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ind w:left="4960"/>
        <w:spacing w:after="0"/>
        <w:rPr>
          <w:sz w:val="20"/>
          <w:szCs w:val="20"/>
          <w:color w:val="auto"/>
        </w:rPr>
      </w:pPr>
      <w:r>
        <w:rPr>
          <w:rFonts w:ascii="Arial" w:cs="Arial" w:eastAsia="Arial" w:hAnsi="Arial"/>
          <w:sz w:val="32"/>
          <w:szCs w:val="32"/>
          <w:b w:val="1"/>
          <w:bCs w:val="1"/>
          <w:color w:val="auto"/>
        </w:rPr>
        <w:t>Form 11-K</w:t>
      </w:r>
    </w:p>
    <w:p>
      <w:pPr>
        <w:spacing w:after="0" w:line="186"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ANNUAL REPORT</w:t>
      </w:r>
    </w:p>
    <w:p>
      <w:pPr>
        <w:spacing w:after="0" w:line="17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Pursuant to Section 15(d)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33065"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151130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1"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19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98"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09" w:lineRule="exact"/>
        <w:rPr>
          <w:sz w:val="24"/>
          <w:szCs w:val="24"/>
          <w:color w:val="auto"/>
        </w:rPr>
      </w:pPr>
    </w:p>
    <w:p>
      <w:pPr>
        <w:ind w:left="5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-10160</wp:posOffset>
            </wp:positionV>
            <wp:extent cx="789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7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COMCAST-SPECTACOR 401(k) PLAN</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Philadelphia, PA 19102-2148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Financial Statements and 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2004</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Statements of Net Assets Available for Benefits at December 31, 2005 and 2004</w:t>
              </w:r>
            </w:hyperlink>
          </w:p>
        </w:tc>
        <w:tc>
          <w:tcPr>
            <w:tcW w:w="50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Statement of Changes in Net Assets Available for Benefits for the Year ended December 31, 2005</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w w:val="99"/>
              </w:rPr>
              <w:t>4-7</w:t>
            </w: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3"/>
        </w:trPr>
        <w:tc>
          <w:tcPr>
            <w:tcW w:w="1114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61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Schedule H - Line 4i - Schedule of Assets (Held at End of Year) at December 31, 2005</w:t>
              </w:r>
            </w:hyperlink>
          </w:p>
        </w:tc>
        <w:tc>
          <w:tcPr>
            <w:tcW w:w="46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CONSENT OF INDEPENDENT REGISTERED PUBLIC ACCOUNTING FIRM</w:t>
              </w:r>
            </w:hyperlink>
          </w:p>
        </w:tc>
        <w:tc>
          <w:tcPr>
            <w:tcW w:w="53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SIGNATURE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Comcast-Spectacor 401(k) Plan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Comcast-Spectacor 401(k) Plan (the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and evaluating the overall financial statement presentation. We believe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2005 and 2004, and the changes in net assets available for benefits for the year ended December 31, 2005 in conformity with accounting principles generally accepted in the United States of America.</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audits were conducted for the purpose of forming an opinion on the Plan’s basic financial statements taken as a whole. The supplemental schedule of assets (held at end of year) as of December 31, 2005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basic 2005 financial statements and, in our opinion, is fairly stated in all material respects, in relation to the basic financial statements taken as a whole.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12,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r>
      <w:tr>
        <w:trPr>
          <w:trHeight w:val="161"/>
        </w:trPr>
        <w:tc>
          <w:tcPr>
            <w:tcW w:w="9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2004</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23,949,635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19,887,520</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Participant loans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388,460</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373,292</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24,338,095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20,260,812</w:t>
            </w: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Dividends and interest</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Employer</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4,774,234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280" w:type="dxa"/>
            <w:vAlign w:val="bottom"/>
            <w:gridSpan w:val="2"/>
          </w:tcPr>
          <w:p>
            <w:pPr>
              <w:spacing w:after="0"/>
              <w:rPr>
                <w:sz w:val="20"/>
                <w:szCs w:val="20"/>
                <w:color w:val="auto"/>
              </w:rPr>
            </w:pPr>
            <w:r>
              <w:rPr>
                <w:rFonts w:ascii="Arial" w:cs="Arial" w:eastAsia="Arial" w:hAnsi="Arial"/>
                <w:sz w:val="18"/>
                <w:szCs w:val="18"/>
                <w:color w:val="auto"/>
              </w:rPr>
              <w:t>DEDUCTIONS FROM NET ASSETS ATTRIBUTED TO:</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51,003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28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4,077,283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20,260,812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NOTEA - DESCRIPTION OF THE PLAN</w:t>
      </w:r>
    </w:p>
    <w:p>
      <w:pPr>
        <w:spacing w:after="0" w:line="17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following description of the Comcast-Spectacor 401(k) Plan (the Plan) provides only general information. Participants should refer to the official Plan document for a complete description of the Plan’s provisions.</w:t>
      </w:r>
    </w:p>
    <w:p>
      <w:pPr>
        <w:spacing w:after="0" w:line="17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The Plan covers “eligible employees,” as defined in the Plan document, who have completed one year of eligibility service (as defined in the Plan document) and have attained age 21. Effective January 1, 1994, a 401(k) feature was added to the Plan and the name was changed from the Spectacor Retirement Plan to the Spectacor Retirement and Savings Plan. Effective January 1, 1997, the name was changed to the Comcast-Spectacor 401(k) Plan. The following entities participate in the Plan, referred to collectively as “the Company”:</w:t>
      </w:r>
    </w:p>
    <w:p>
      <w:pPr>
        <w:spacing w:after="0" w:line="156"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Limited Partnership (Plan Sponsor)</w:t>
      </w:r>
    </w:p>
    <w:p>
      <w:pPr>
        <w:spacing w:after="0" w:line="15"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Limited Partnership Baysox Club, LLC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Limited Partnership Keys Club, LLC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Limited Partnership Shorebirds Club, LLC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Flyers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76ers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Phantoms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Spectacor Foundation</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Flyers Skate Zone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Spectrum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Patron Solutions Limited Liability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FPS Rinks Limited Partnership</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and Record-keeper for the Plan is Citigroup Institutional Trust Company and CitiStreet Associates, LLC, respectively.</w:t>
      </w:r>
    </w:p>
    <w:p>
      <w:pPr>
        <w:spacing w:after="0" w:line="21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Contributions and Related Party Transactions</w:t>
      </w:r>
    </w:p>
    <w:p>
      <w:pPr>
        <w:spacing w:after="0" w:line="17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Internal Revenue Service (IRS) regulations.</w:t>
      </w:r>
    </w:p>
    <w:p>
      <w:pPr>
        <w:spacing w:after="0" w:line="132" w:lineRule="exact"/>
        <w:rPr>
          <w:sz w:val="20"/>
          <w:szCs w:val="20"/>
          <w:color w:val="auto"/>
        </w:rPr>
      </w:pPr>
    </w:p>
    <w:p>
      <w:pPr>
        <w:jc w:val="both"/>
        <w:ind w:left="460" w:right="120"/>
        <w:spacing w:after="0" w:line="256" w:lineRule="auto"/>
        <w:rPr>
          <w:sz w:val="20"/>
          <w:szCs w:val="20"/>
          <w:color w:val="auto"/>
        </w:rPr>
      </w:pPr>
      <w:r>
        <w:rPr>
          <w:rFonts w:ascii="Arial" w:cs="Arial" w:eastAsia="Arial" w:hAnsi="Arial"/>
          <w:sz w:val="18"/>
          <w:szCs w:val="18"/>
          <w:color w:val="auto"/>
        </w:rPr>
        <w:t>Effective January 1, 2005, the Company matching contribution formula provides a non-discretionary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Participant Accounts</w:t>
      </w:r>
    </w:p>
    <w:p>
      <w:pPr>
        <w:spacing w:after="0" w:line="171" w:lineRule="exact"/>
        <w:rPr>
          <w:sz w:val="20"/>
          <w:szCs w:val="20"/>
          <w:color w:val="auto"/>
        </w:rPr>
      </w:pPr>
    </w:p>
    <w:p>
      <w:pPr>
        <w:jc w:val="both"/>
        <w:ind w:left="460" w:right="30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The benefit to which a participant is entitled is the benefit that can be provided from the participant’s account.</w:t>
      </w:r>
    </w:p>
    <w:p>
      <w:pPr>
        <w:spacing w:after="0" w:line="18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Vesting</w:t>
      </w:r>
    </w:p>
    <w:p>
      <w:pPr>
        <w:spacing w:after="0" w:line="171"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Participants are immediately vested in their elective deferral contributions plus actual earnings thereon. Participants shall have a fully (100%) vested and nonforfeitable interest in Company matching contributions for Plan years beginning on or after January 1, 2005. Matching contributions and any profit sharing contributions attributable to periods prior to January 1, 2005 will continue to vest according to their original schedule based on years of service. A participant is 100% vested after five years of credited service. Vesting can be accelerated under certain other conditions defined in the Plan document. All forfeited amounts may be applied to Plan expenses including legal, consulting, education materials, etc. or to reduce Company contributions.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whole or partial termination of the Plan, there will be full and immediate vesting of each affected employee’s account balance.</w:t>
      </w:r>
    </w:p>
    <w:p>
      <w:pPr>
        <w:spacing w:after="0" w:line="23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21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Loans to Participants</w:t>
      </w:r>
    </w:p>
    <w:p>
      <w:pPr>
        <w:spacing w:after="0" w:line="17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Citigroup Institutional Trust Company (the Trustee) may make loans from the Plan to participants in accordance with the Plan document. All loans to participants are considered investments of the participant’s account and bear a rate of interest. All loans are to be repaid within five years unless the loan is used to acquire a principal residence, in which case the term may be longer.</w:t>
      </w:r>
    </w:p>
    <w:p>
      <w:pPr>
        <w:spacing w:after="0" w:line="18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 Status</w:t>
      </w:r>
    </w:p>
    <w:p>
      <w:pPr>
        <w:spacing w:after="0" w:line="171"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IRS issued a determination letter to the Plan, dated April 29, 2003, stating that the Plan was qualified under Section 401(a) of the Internal Revenue Code (the Code) and, therefore, is exempt from federal income tax under Section 501(a) of the Code. The Plan has been amended since receiving the determination letter. The Plan Administrator and the Plan’s tax counsel believe that the Plan is designed and is currently being operated in compliance with the applicable requirements of the Code. Therefore, no provision for income taxes has been included in the Plan’s financial statements.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COMCAST-SPECTATOR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1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Valuation of Investments and Income Recognition</w:t>
      </w:r>
    </w:p>
    <w:p>
      <w:pPr>
        <w:spacing w:after="0" w:line="171"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Plan assets are stated at fair value. The fair value of mutual funds is determined by quoted market price. The change in fair value of assets during the year is measured by the difference between the fair value at year-end and the fair value at the beginning of the year or costs of purchases during the year and is reflected in the statement of changes in net assets available for benefits as net appreciation in fair value of investments.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loans are stated at their outstanding balances, which approximates fair value.</w:t>
      </w:r>
    </w:p>
    <w:p>
      <w:pPr>
        <w:spacing w:after="0" w:line="17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7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In preparing financial statements in conformity with accounting principles generally accepted in the United States of America, management is required to make estimates and assumptions that affect the reported amounts of assets and liabilities, the disclosure of contingent assets and liabilities at the date of the financial statements, and the reported amounts of additions and deductions during the reporting period. Actual results could differ from those estimates.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FAIR VALUE OF INVESTMENTS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2004</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Comcast Common Stock</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  3,005,716</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3,390,945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Smith Barney Money Market - Government Portfolio</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1,364,740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1,181,773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EuroPacific Growth Fund - F Share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2,495,617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1,495,189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Washington Mutual Investors Fund - F Share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3,231,553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3,154,137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The Growth Fund of America - F Share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4,079,592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3,139,443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Baron Growth Fund</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1,569,360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1,048,055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Janus Balanced Fund</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1,711,887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1,359,815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Strong Government Securities Fund</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1,681,525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1,386,667</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Royce Total Return Fund</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1,521,122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1,400,938</w:t>
            </w:r>
          </w:p>
        </w:tc>
      </w:tr>
      <w:tr>
        <w:trPr>
          <w:trHeight w:val="356"/>
        </w:trPr>
        <w:tc>
          <w:tcPr>
            <w:tcW w:w="4460" w:type="dxa"/>
            <w:vAlign w:val="bottom"/>
          </w:tcPr>
          <w:p>
            <w:pPr>
              <w:spacing w:after="0"/>
              <w:rPr>
                <w:sz w:val="24"/>
                <w:szCs w:val="24"/>
                <w:color w:val="auto"/>
              </w:rPr>
            </w:pPr>
          </w:p>
        </w:tc>
        <w:tc>
          <w:tcPr>
            <w:tcW w:w="3720" w:type="dxa"/>
            <w:vAlign w:val="bottom"/>
          </w:tcPr>
          <w:p>
            <w:pPr>
              <w:jc w:val="right"/>
              <w:ind w:right="2732"/>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2005, the Plan’s investments appreciated (depreciated) in value as follows: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2320" w:type="dxa"/>
            <w:vAlign w:val="bottom"/>
          </w:tcPr>
          <w:p>
            <w:pPr>
              <w:spacing w:after="0"/>
              <w:rPr>
                <w:sz w:val="19"/>
                <w:szCs w:val="19"/>
                <w:color w:val="auto"/>
              </w:rPr>
            </w:pPr>
          </w:p>
        </w:tc>
        <w:tc>
          <w:tcPr>
            <w:tcW w:w="6400" w:type="dxa"/>
            <w:vAlign w:val="bottom"/>
            <w:gridSpan w:val="2"/>
          </w:tcPr>
          <w:p>
            <w:pPr>
              <w:jc w:val="right"/>
              <w:ind w:right="2602"/>
              <w:spacing w:after="0"/>
              <w:rPr>
                <w:sz w:val="20"/>
                <w:szCs w:val="20"/>
                <w:color w:val="auto"/>
              </w:rPr>
            </w:pPr>
            <w:r>
              <w:rPr>
                <w:rFonts w:ascii="Arial" w:cs="Arial" w:eastAsia="Arial" w:hAnsi="Arial"/>
                <w:sz w:val="18"/>
                <w:szCs w:val="18"/>
                <w:b w:val="1"/>
                <w:bCs w:val="1"/>
                <w:color w:val="auto"/>
              </w:rPr>
              <w:t>NET CHANGE IN FAIR VALUE</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23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23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5"/>
        </w:trPr>
        <w:tc>
          <w:tcPr>
            <w:tcW w:w="23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5"/>
                <w:szCs w:val="15"/>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(790,224)</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Mutual Funds</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941,100</w:t>
            </w:r>
          </w:p>
        </w:tc>
      </w:tr>
      <w:tr>
        <w:trPr>
          <w:trHeight w:val="27"/>
        </w:trPr>
        <w:tc>
          <w:tcPr>
            <w:tcW w:w="2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32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150,876</w:t>
            </w:r>
          </w:p>
        </w:tc>
      </w:tr>
      <w:tr>
        <w:trPr>
          <w:trHeight w:val="20"/>
        </w:trPr>
        <w:tc>
          <w:tcPr>
            <w:tcW w:w="2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TRUST AGREEMENT</w:t>
      </w:r>
    </w:p>
    <w:p>
      <w:pPr>
        <w:spacing w:after="0" w:line="17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Comcast-Spectacor, L.P., as Plan Sponsor, entered into a trust agreement with Smith Barney Corporate Trust Company (Trustee), a party-in-interest. Under the terms of this agreement, the Trustee will hold, invest and reinvest the funds. Comcast-Spectacor, L.P. has no right, title or interest in or to the trust fund maintained under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PLAN TERMINATION</w:t>
      </w:r>
    </w:p>
    <w:p>
      <w:pPr>
        <w:spacing w:after="0" w:line="17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Although it has not expressed any intent to do so, each entity that constitutes the Company has the right under the Plan to discontinue its contributions and to terminate the Plan with the respect to its employees. Additionally, Comcast-Spectacor, L.P. has the right to terminate the Plan. In the event of Plan termination, participants will become 100% vested in their accounts.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PLAN AMENDMENTS</w:t>
      </w:r>
    </w:p>
    <w:p>
      <w:pPr>
        <w:spacing w:after="0" w:line="177"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On December 19, 2005, the Plan was amended to change the computation of the eligibility period for subsequent years in which the employee had not yet reached the 1,000 hours of service required in a one-year period beginning on their date of hire and ending on their one-year anniversary (“employment year”). Per the amendment, effective January 1, 2005, if the employee had not satisfied the eligibility requirement of 1,000 hours of service in their first employment year, the subsequent measuring periods to determine eligibility will be the Plan year, rather than the employment year.</w:t>
      </w:r>
    </w:p>
    <w:p>
      <w:pPr>
        <w:spacing w:after="0" w:line="113" w:lineRule="exact"/>
        <w:rPr>
          <w:sz w:val="20"/>
          <w:szCs w:val="20"/>
          <w:color w:val="auto"/>
        </w:rPr>
      </w:pPr>
    </w:p>
    <w:p>
      <w:pPr>
        <w:ind w:left="460" w:right="500"/>
        <w:spacing w:after="0" w:line="306" w:lineRule="auto"/>
        <w:rPr>
          <w:sz w:val="20"/>
          <w:szCs w:val="20"/>
          <w:color w:val="auto"/>
        </w:rPr>
      </w:pPr>
      <w:r>
        <w:rPr>
          <w:rFonts w:ascii="Arial" w:cs="Arial" w:eastAsia="Arial" w:hAnsi="Arial"/>
          <w:sz w:val="16"/>
          <w:szCs w:val="16"/>
          <w:color w:val="auto"/>
        </w:rPr>
        <w:t>Also on December 19, 2005, the Plan was amended with respect to automatic rollover requirements relating to small sum mandatory distributions. Effective for distributions on or after March 28, 2005 that are greater than $1,000 and not exceeding $5,000, the distribution shall be paid in a direct rollover to a Citibank individual retirement money market account unless the Plan participant elects otherwise.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EIN 23-2303756</w:t>
            </w:r>
          </w:p>
        </w:tc>
      </w:tr>
      <w:tr>
        <w:trPr>
          <w:trHeight w:val="228"/>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PLAN NO. 004</w:t>
            </w:r>
          </w:p>
        </w:tc>
      </w:tr>
      <w:tr>
        <w:trPr>
          <w:trHeight w:val="340"/>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7"/>
              </w:rPr>
              <w:t>(c) Description of Investment</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tcPr>
          <w:p>
            <w:pPr>
              <w:jc w:val="center"/>
              <w:ind w:left="1136"/>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8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(b) Identity of Issue, Borrower, Lessor,</w:t>
            </w:r>
          </w:p>
        </w:tc>
        <w:tc>
          <w:tcPr>
            <w:tcW w:w="220" w:type="dxa"/>
            <w:vAlign w:val="bottom"/>
          </w:tcPr>
          <w:p>
            <w:pPr>
              <w:spacing w:after="0"/>
              <w:rPr>
                <w:sz w:val="12"/>
                <w:szCs w:val="12"/>
                <w:color w:val="auto"/>
              </w:rPr>
            </w:pPr>
          </w:p>
        </w:tc>
        <w:tc>
          <w:tcPr>
            <w:tcW w:w="2980" w:type="dxa"/>
            <w:vAlign w:val="bottom"/>
            <w:gridSpan w:val="3"/>
          </w:tcPr>
          <w:p>
            <w:pPr>
              <w:jc w:val="center"/>
              <w:ind w:left="856"/>
              <w:spacing w:after="0" w:line="149" w:lineRule="exact"/>
              <w:rPr>
                <w:sz w:val="20"/>
                <w:szCs w:val="20"/>
                <w:color w:val="auto"/>
              </w:rPr>
            </w:pPr>
            <w:r>
              <w:rPr>
                <w:rFonts w:ascii="Arial" w:cs="Arial" w:eastAsia="Arial" w:hAnsi="Arial"/>
                <w:sz w:val="14"/>
                <w:szCs w:val="14"/>
                <w:b w:val="1"/>
                <w:bCs w:val="1"/>
                <w:color w:val="auto"/>
                <w:w w:val="88"/>
              </w:rPr>
              <w:t>Rate of Interest, Collateral, Par, or</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638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or Similar Party</w:t>
            </w:r>
          </w:p>
        </w:tc>
        <w:tc>
          <w:tcPr>
            <w:tcW w:w="220" w:type="dxa"/>
            <w:vAlign w:val="bottom"/>
          </w:tcPr>
          <w:p>
            <w:pPr>
              <w:spacing w:after="0"/>
              <w:rPr>
                <w:sz w:val="14"/>
                <w:szCs w:val="14"/>
                <w:color w:val="auto"/>
              </w:rPr>
            </w:pPr>
          </w:p>
        </w:tc>
        <w:tc>
          <w:tcPr>
            <w:tcW w:w="2700" w:type="dxa"/>
            <w:vAlign w:val="bottom"/>
            <w:tcBorders>
              <w:bottom w:val="single" w:sz="8" w:color="auto"/>
            </w:tcBorders>
          </w:tcPr>
          <w:p>
            <w:pPr>
              <w:jc w:val="center"/>
              <w:ind w:left="1136"/>
              <w:spacing w:after="0"/>
              <w:rPr>
                <w:sz w:val="20"/>
                <w:szCs w:val="20"/>
                <w:color w:val="auto"/>
              </w:rPr>
            </w:pPr>
            <w:r>
              <w:rPr>
                <w:rFonts w:ascii="Arial" w:cs="Arial" w:eastAsia="Arial" w:hAnsi="Arial"/>
                <w:sz w:val="14"/>
                <w:szCs w:val="14"/>
                <w:b w:val="1"/>
                <w:bCs w:val="1"/>
                <w:color w:val="auto"/>
                <w:w w:val="91"/>
              </w:rPr>
              <w:t>Maturity Value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6"/>
        </w:trPr>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54"/>
              <w:spacing w:after="0" w:line="136" w:lineRule="exact"/>
              <w:rPr>
                <w:sz w:val="20"/>
                <w:szCs w:val="20"/>
                <w:color w:val="auto"/>
              </w:rPr>
            </w:pPr>
            <w:r>
              <w:rPr>
                <w:rFonts w:ascii="Arial" w:cs="Arial" w:eastAsia="Arial" w:hAnsi="Arial"/>
                <w:sz w:val="14"/>
                <w:szCs w:val="14"/>
                <w:b w:val="1"/>
                <w:bCs w:val="1"/>
                <w:color w:val="auto"/>
                <w:w w:val="92"/>
              </w:rPr>
              <w:t>(e) Current</w:t>
            </w:r>
          </w:p>
        </w:tc>
        <w:tc>
          <w:tcPr>
            <w:tcW w:w="2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Smith Barney participant loans</w:t>
            </w: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jc w:val="center"/>
              <w:ind w:right="96"/>
              <w:spacing w:after="0" w:line="201" w:lineRule="exact"/>
              <w:rPr>
                <w:sz w:val="20"/>
                <w:szCs w:val="20"/>
                <w:color w:val="auto"/>
              </w:rPr>
            </w:pPr>
            <w:r>
              <w:rPr>
                <w:rFonts w:ascii="Arial" w:cs="Arial" w:eastAsia="Arial" w:hAnsi="Arial"/>
                <w:sz w:val="18"/>
                <w:szCs w:val="18"/>
                <w:color w:val="auto"/>
                <w:w w:val="88"/>
              </w:rPr>
              <w:t>Interest rates from 5.75%-</w:t>
            </w: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10.00%;</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388,460</w:t>
            </w:r>
          </w:p>
        </w:tc>
        <w:tc>
          <w:tcPr>
            <w:tcW w:w="2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89"/>
              </w:rPr>
              <w:t>maturities from 2005-2036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EuroPacific Growth Fund - F Share</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2,495,617</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Washington Mutual Investors Fund - F Share</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3,231,553</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The Growth Fund of America - F Share</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4,079,592</w:t>
            </w:r>
          </w:p>
        </w:tc>
        <w:tc>
          <w:tcPr>
            <w:tcW w:w="20" w:type="dxa"/>
            <w:vAlign w:val="bottom"/>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Comcast Common Stock</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89"/>
              </w:rPr>
              <w:t>Common stock</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3,005,716</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Baron Growth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1,569,360</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Cohen and Steers Realty Shares</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568,480</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Dreyfus Appreciation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218,375</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Dreyfus US Treasury Long Term Fund</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432,161</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Dreyfus Premier Emerging Markets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1,105,488</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ING GNMA Income Fund</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331,463</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Janus Balanced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1,711,887</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Strong Government Securities Fund</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1,681,525</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Royce Total Return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1,521,122</w:t>
            </w:r>
          </w:p>
        </w:tc>
        <w:tc>
          <w:tcPr>
            <w:tcW w:w="20" w:type="dxa"/>
            <w:vAlign w:val="bottom"/>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Smith Barney Money Market - Government Portfolio</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1,364,740</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 Rowe Price International Bond Advisor</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173,516</w:t>
            </w:r>
          </w:p>
        </w:tc>
        <w:tc>
          <w:tcPr>
            <w:tcW w:w="20" w:type="dxa"/>
            <w:vAlign w:val="bottom"/>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American Century Vista Advisors</w:t>
            </w:r>
          </w:p>
        </w:tc>
        <w:tc>
          <w:tcPr>
            <w:tcW w:w="220" w:type="dxa"/>
            <w:vAlign w:val="bottom"/>
          </w:tcPr>
          <w:p>
            <w:pPr>
              <w:spacing w:after="0"/>
              <w:rPr>
                <w:sz w:val="19"/>
                <w:szCs w:val="19"/>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459,040</w:t>
            </w:r>
          </w:p>
        </w:tc>
        <w:tc>
          <w:tcPr>
            <w:tcW w:w="20" w:type="dxa"/>
            <w:vAlign w:val="bottom"/>
          </w:tcPr>
          <w:p>
            <w:pPr>
              <w:spacing w:after="0"/>
              <w:rPr>
                <w:sz w:val="19"/>
                <w:szCs w:val="19"/>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24,338,095</w:t>
            </w:r>
          </w:p>
        </w:tc>
        <w:tc>
          <w:tcPr>
            <w:tcW w:w="2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333-101295 of Comcast Corporation on Form S-8 of our report dated June 12, 2006, relating to the statements of net assets available for benefits as of December 31, 2005 and 2004, the related statement of changes in net assets available for benefits for the year ended December 31, 2005 and the related supplemental Schedule H - Line 4i - schedule of assets (held at end of year) as of December 31, 2005, which report appears in the December 31, 2005 Annual Report on Form 11-K of the Comcast-Spectacor 401(k) Plan.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12, 2006</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COMCAST-SPECTACOR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68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2006</w:t>
      </w:r>
    </w:p>
    <w:p>
      <w:pPr>
        <w:spacing w:after="0" w:line="30"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Chief</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Accounting Officer and Controller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2019-12-15T07:21:02Z</dcterms:created>
  <dcterms:modified xsi:type="dcterms:W3CDTF">2019-12-15T07:21:02Z</dcterms:modified>
</cp:coreProperties>
</file>