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333-232941</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restart"/>
          </w:tcPr>
          <w:p>
            <w:pPr>
              <w:ind w:left="3320"/>
              <w:spacing w:after="0"/>
              <w:rPr>
                <w:sz w:val="20"/>
                <w:szCs w:val="20"/>
                <w:color w:val="auto"/>
              </w:rPr>
            </w:pPr>
            <w:r>
              <w:rPr>
                <w:rFonts w:ascii="Arial" w:cs="Arial" w:eastAsia="Arial" w:hAnsi="Arial"/>
                <w:sz w:val="14"/>
                <w:szCs w:val="14"/>
                <w:b w:val="1"/>
                <w:bCs w:val="1"/>
                <w:color w:val="auto"/>
              </w:rPr>
              <w:t>Title of Each Class of</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60" w:type="dxa"/>
            <w:vAlign w:val="bottom"/>
            <w:tcBorders>
              <w:bottom w:val="single" w:sz="8" w:color="auto"/>
              <w:right w:val="single" w:sz="8" w:color="auto"/>
            </w:tcBorders>
          </w:tcPr>
          <w:p>
            <w:pPr>
              <w:ind w:left="3160"/>
              <w:spacing w:after="0"/>
              <w:rPr>
                <w:sz w:val="20"/>
                <w:szCs w:val="20"/>
                <w:color w:val="auto"/>
              </w:rPr>
            </w:pPr>
            <w:r>
              <w:rPr>
                <w:rFonts w:ascii="Arial" w:cs="Arial" w:eastAsia="Arial" w:hAnsi="Arial"/>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1.500% Notes due 2031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$1,744,102,500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$226,384.50</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2.450% Notes due 2052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$1,488,150,000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$193,161.87</w:t>
            </w:r>
          </w:p>
        </w:tc>
        <w:tc>
          <w:tcPr>
            <w:tcW w:w="0" w:type="dxa"/>
            <w:vAlign w:val="bottom"/>
          </w:tcPr>
          <w:p>
            <w:pPr>
              <w:spacing w:after="0"/>
              <w:rPr>
                <w:sz w:val="1"/>
                <w:szCs w:val="1"/>
                <w:color w:val="auto"/>
              </w:rPr>
            </w:pPr>
          </w:p>
        </w:tc>
      </w:tr>
      <w:tr>
        <w:trPr>
          <w:trHeight w:val="210"/>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2.650% Notes due 2062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$1,238,725,000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$160,786.51</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$4,470,977,500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$580,332.88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60" w:type="dxa"/>
            <w:vAlign w:val="bottom"/>
          </w:tcPr>
          <w:p>
            <w:pPr>
              <w:spacing w:after="0"/>
              <w:rPr>
                <w:sz w:val="20"/>
                <w:szCs w:val="20"/>
                <w:color w:val="auto"/>
              </w:rPr>
            </w:pPr>
            <w:r>
              <w:rPr>
                <w:rFonts w:ascii="Arial" w:cs="Arial" w:eastAsia="Arial" w:hAnsi="Arial"/>
                <w:sz w:val="18"/>
                <w:szCs w:val="18"/>
                <w:color w:val="auto"/>
              </w:rPr>
              <w:t>(1)   Calculated in accordance with Rule 457(r) under the Securities Act of 1933, as amended.</w:t>
            </w: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 prospectus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83185</wp:posOffset>
            </wp:positionV>
            <wp:extent cx="139700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$1,750,000,000 1.500% Notes due 2031</w:t>
      </w:r>
    </w:p>
    <w:p>
      <w:pPr>
        <w:spacing w:after="0" w:line="26"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$1,500,000,000 2.450% Notes due 2052</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$1,250,000,000 2.650% Notes due 2062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Notes due 2031 (the “Notes due 2031”) will bear interest at a rate of 1.500% per year and will mature on February 15, 2031, the Notes due 2052 (the “Notes due 2052”) will bear interest at a rate of 2.450% per year and will mature on August 15, 2052 and the Notes due 2062 (the “Notes due 2062”) will bear interest at a rate of 2.650% per year and will mature on August 15, 2062. We refer to the Notes due 2031, the Notes due 2052 and the Notes due 2062 collectively as the “notes.” We will pay interest on the Notes due 2031, the Notes due 2052 and the Notes due 2062 on February 15 and August 15 of each year, beginning on February 15, 2021. We may redeem any of the notes at any time by paying the applicable Redemption Price described under the heading “Description of the Notes-Optional Redemption.”</w:t>
      </w:r>
    </w:p>
    <w:p>
      <w:pPr>
        <w:spacing w:after="0" w:line="137"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2"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auto"/>
        </w:rPr>
        <w:t>Investing in these securities involves certain risks. See “Item 1A-Risk Factors” beginning on page 20 of Comcast Corporation’s (“Comcast”) Annual Report on Form 10-K for the year ended December 31, 2019 and “Item 1A-Risk Factors” beginning on page 35 of Comcast’s Quarterly Report on Form 10-Q for the quarter ended March 31, 2020, each of which is incorporated by reference herein.</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Price to</w:t>
            </w:r>
          </w:p>
        </w:tc>
        <w:tc>
          <w:tcPr>
            <w:tcW w:w="320" w:type="dxa"/>
            <w:vAlign w:val="bottom"/>
          </w:tcPr>
          <w:p>
            <w:pPr>
              <w:spacing w:after="0"/>
              <w:rPr>
                <w:sz w:val="14"/>
                <w:szCs w:val="14"/>
                <w:color w:val="auto"/>
              </w:rPr>
            </w:pPr>
          </w:p>
        </w:tc>
        <w:tc>
          <w:tcPr>
            <w:tcW w:w="1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Underwriters’</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Investors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Discount</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196"/>
        </w:trPr>
        <w:tc>
          <w:tcPr>
            <w:tcW w:w="3440" w:type="dxa"/>
            <w:vAlign w:val="bottom"/>
            <w:tcBorders>
              <w:top w:val="single" w:sz="8" w:color="D1FCFC"/>
            </w:tcBorders>
            <w:shd w:val="clear" w:color="auto" w:fill="D1FCFC"/>
          </w:tcPr>
          <w:p>
            <w:pPr>
              <w:spacing w:after="0"/>
              <w:rPr>
                <w:sz w:val="20"/>
                <w:szCs w:val="20"/>
                <w:color w:val="auto"/>
              </w:rPr>
            </w:pPr>
            <w:r>
              <w:rPr>
                <w:rFonts w:ascii="Arial" w:cs="Arial" w:eastAsia="Arial" w:hAnsi="Arial"/>
                <w:sz w:val="17"/>
                <w:szCs w:val="17"/>
                <w:color w:val="auto"/>
              </w:rPr>
              <w:t>Per note due 2031</w:t>
            </w:r>
            <w:r>
              <w:rPr>
                <w:rFonts w:ascii="Arial" w:cs="Arial" w:eastAsia="Arial" w:hAnsi="Arial"/>
                <w:sz w:val="14"/>
                <w:szCs w:val="14"/>
                <w:color w:val="auto"/>
              </w:rPr>
              <w:t>(1)</w:t>
            </w:r>
          </w:p>
        </w:tc>
        <w:tc>
          <w:tcPr>
            <w:tcW w:w="2020" w:type="dxa"/>
            <w:vAlign w:val="bottom"/>
            <w:tcBorders>
              <w:top w:val="single" w:sz="8" w:color="D1FCFC"/>
            </w:tcBorders>
            <w:shd w:val="clear" w:color="auto" w:fill="D1FCFC"/>
          </w:tcPr>
          <w:p>
            <w:pPr>
              <w:spacing w:after="0"/>
              <w:rPr>
                <w:sz w:val="17"/>
                <w:szCs w:val="17"/>
                <w:color w:val="auto"/>
              </w:rPr>
            </w:pPr>
          </w:p>
        </w:tc>
        <w:tc>
          <w:tcPr>
            <w:tcW w:w="108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7"/>
                <w:szCs w:val="17"/>
                <w:color w:val="auto"/>
              </w:rPr>
              <w:t>99.663%</w:t>
            </w:r>
          </w:p>
        </w:tc>
        <w:tc>
          <w:tcPr>
            <w:tcW w:w="320" w:type="dxa"/>
            <w:vAlign w:val="bottom"/>
            <w:tcBorders>
              <w:top w:val="single" w:sz="8" w:color="D1FCFC"/>
            </w:tcBorders>
            <w:shd w:val="clear" w:color="auto" w:fill="D1FCFC"/>
          </w:tcPr>
          <w:p>
            <w:pPr>
              <w:spacing w:after="0"/>
              <w:rPr>
                <w:sz w:val="17"/>
                <w:szCs w:val="17"/>
                <w:color w:val="auto"/>
              </w:rPr>
            </w:pPr>
          </w:p>
        </w:tc>
        <w:tc>
          <w:tcPr>
            <w:tcW w:w="320" w:type="dxa"/>
            <w:vAlign w:val="bottom"/>
            <w:tcBorders>
              <w:top w:val="single" w:sz="8" w:color="D1FCFC"/>
            </w:tcBorders>
            <w:shd w:val="clear" w:color="auto" w:fill="D1FCFC"/>
          </w:tcPr>
          <w:p>
            <w:pPr>
              <w:spacing w:after="0"/>
              <w:rPr>
                <w:sz w:val="17"/>
                <w:szCs w:val="17"/>
                <w:color w:val="auto"/>
              </w:rPr>
            </w:pPr>
          </w:p>
        </w:tc>
        <w:tc>
          <w:tcPr>
            <w:tcW w:w="140" w:type="dxa"/>
            <w:vAlign w:val="bottom"/>
            <w:tcBorders>
              <w:top w:val="single" w:sz="8" w:color="auto"/>
            </w:tcBorders>
            <w:shd w:val="clear" w:color="auto" w:fill="D1FCFC"/>
          </w:tcPr>
          <w:p>
            <w:pPr>
              <w:spacing w:after="0"/>
              <w:rPr>
                <w:sz w:val="17"/>
                <w:szCs w:val="17"/>
                <w:color w:val="auto"/>
              </w:rPr>
            </w:pPr>
          </w:p>
        </w:tc>
        <w:tc>
          <w:tcPr>
            <w:tcW w:w="98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7"/>
                <w:szCs w:val="17"/>
                <w:color w:val="auto"/>
              </w:rPr>
              <w:t>0.400%</w:t>
            </w:r>
          </w:p>
        </w:tc>
        <w:tc>
          <w:tcPr>
            <w:tcW w:w="620" w:type="dxa"/>
            <w:vAlign w:val="bottom"/>
            <w:tcBorders>
              <w:top w:val="single" w:sz="8" w:color="D1FCFC"/>
            </w:tcBorders>
            <w:shd w:val="clear" w:color="auto" w:fill="D1FCFC"/>
          </w:tcPr>
          <w:p>
            <w:pPr>
              <w:spacing w:after="0"/>
              <w:rPr>
                <w:sz w:val="17"/>
                <w:szCs w:val="17"/>
                <w:color w:val="auto"/>
              </w:rPr>
            </w:pPr>
          </w:p>
        </w:tc>
        <w:tc>
          <w:tcPr>
            <w:tcW w:w="114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7"/>
                <w:szCs w:val="17"/>
                <w:color w:val="auto"/>
              </w:rPr>
              <w:t>99.263%</w:t>
            </w:r>
          </w:p>
        </w:tc>
        <w:tc>
          <w:tcPr>
            <w:tcW w:w="6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7"/>
                <w:szCs w:val="17"/>
                <w:color w:val="auto"/>
              </w:rPr>
              <w:t>Total</w:t>
            </w:r>
          </w:p>
        </w:tc>
        <w:tc>
          <w:tcPr>
            <w:tcW w:w="3420" w:type="dxa"/>
            <w:vAlign w:val="bottom"/>
            <w:gridSpan w:val="3"/>
          </w:tcPr>
          <w:p>
            <w:pPr>
              <w:jc w:val="right"/>
              <w:ind w:right="320"/>
              <w:spacing w:after="0"/>
              <w:rPr>
                <w:sz w:val="20"/>
                <w:szCs w:val="20"/>
                <w:color w:val="auto"/>
              </w:rPr>
            </w:pPr>
            <w:r>
              <w:rPr>
                <w:rFonts w:ascii="Arial" w:cs="Arial" w:eastAsia="Arial" w:hAnsi="Arial"/>
                <w:sz w:val="17"/>
                <w:szCs w:val="17"/>
                <w:color w:val="auto"/>
              </w:rPr>
              <w:t>$ 1,744,102,500</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7"/>
                <w:szCs w:val="17"/>
                <w:color w:val="auto"/>
              </w:rPr>
              <w:t>7,000,000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$ 1,737,102,500</w:t>
            </w:r>
          </w:p>
        </w:tc>
        <w:tc>
          <w:tcPr>
            <w:tcW w:w="0" w:type="dxa"/>
            <w:vAlign w:val="bottom"/>
          </w:tcPr>
          <w:p>
            <w:pPr>
              <w:spacing w:after="0"/>
              <w:rPr>
                <w:sz w:val="1"/>
                <w:szCs w:val="1"/>
                <w:color w:val="auto"/>
              </w:rPr>
            </w:pPr>
          </w:p>
        </w:tc>
      </w:tr>
      <w:tr>
        <w:trPr>
          <w:trHeight w:val="203"/>
        </w:trPr>
        <w:tc>
          <w:tcPr>
            <w:tcW w:w="3440" w:type="dxa"/>
            <w:vAlign w:val="bottom"/>
            <w:shd w:val="clear" w:color="auto" w:fill="D1FCFC"/>
          </w:tcPr>
          <w:p>
            <w:pPr>
              <w:spacing w:after="0"/>
              <w:rPr>
                <w:sz w:val="20"/>
                <w:szCs w:val="20"/>
                <w:color w:val="auto"/>
              </w:rPr>
            </w:pPr>
            <w:r>
              <w:rPr>
                <w:rFonts w:ascii="Arial" w:cs="Arial" w:eastAsia="Arial" w:hAnsi="Arial"/>
                <w:sz w:val="17"/>
                <w:szCs w:val="17"/>
                <w:color w:val="auto"/>
              </w:rPr>
              <w:t>Per note due 2052</w:t>
            </w:r>
            <w:r>
              <w:rPr>
                <w:rFonts w:ascii="Arial" w:cs="Arial" w:eastAsia="Arial" w:hAnsi="Arial"/>
                <w:sz w:val="14"/>
                <w:szCs w:val="14"/>
                <w:color w:val="auto"/>
              </w:rPr>
              <w:t>(1)</w:t>
            </w:r>
          </w:p>
        </w:tc>
        <w:tc>
          <w:tcPr>
            <w:tcW w:w="3420" w:type="dxa"/>
            <w:vAlign w:val="bottom"/>
            <w:gridSpan w:val="3"/>
            <w:shd w:val="clear" w:color="auto" w:fill="D1FCFC"/>
          </w:tcPr>
          <w:p>
            <w:pPr>
              <w:jc w:val="right"/>
              <w:ind w:right="320"/>
              <w:spacing w:after="0"/>
              <w:rPr>
                <w:sz w:val="20"/>
                <w:szCs w:val="20"/>
                <w:color w:val="auto"/>
              </w:rPr>
            </w:pPr>
            <w:r>
              <w:rPr>
                <w:rFonts w:ascii="Arial" w:cs="Arial" w:eastAsia="Arial" w:hAnsi="Arial"/>
                <w:sz w:val="17"/>
                <w:szCs w:val="17"/>
                <w:color w:val="auto"/>
              </w:rPr>
              <w:t>99.210%</w:t>
            </w:r>
          </w:p>
        </w:tc>
        <w:tc>
          <w:tcPr>
            <w:tcW w:w="320" w:type="dxa"/>
            <w:vAlign w:val="bottom"/>
            <w:shd w:val="clear" w:color="auto" w:fill="D1FCFC"/>
          </w:tcPr>
          <w:p>
            <w:pPr>
              <w:spacing w:after="0"/>
              <w:rPr>
                <w:sz w:val="17"/>
                <w:szCs w:val="17"/>
                <w:color w:val="auto"/>
              </w:rPr>
            </w:pPr>
          </w:p>
        </w:tc>
        <w:tc>
          <w:tcPr>
            <w:tcW w:w="140" w:type="dxa"/>
            <w:vAlign w:val="bottom"/>
            <w:shd w:val="clear" w:color="auto" w:fill="D1FCFC"/>
          </w:tcPr>
          <w:p>
            <w:pPr>
              <w:spacing w:after="0"/>
              <w:rPr>
                <w:sz w:val="17"/>
                <w:szCs w:val="17"/>
                <w:color w:val="auto"/>
              </w:rPr>
            </w:pPr>
          </w:p>
        </w:tc>
        <w:tc>
          <w:tcPr>
            <w:tcW w:w="1600" w:type="dxa"/>
            <w:vAlign w:val="bottom"/>
            <w:gridSpan w:val="2"/>
            <w:shd w:val="clear" w:color="auto" w:fill="D1FCFC"/>
          </w:tcPr>
          <w:p>
            <w:pPr>
              <w:jc w:val="right"/>
              <w:ind w:right="620"/>
              <w:spacing w:after="0"/>
              <w:rPr>
                <w:sz w:val="20"/>
                <w:szCs w:val="20"/>
                <w:color w:val="auto"/>
              </w:rPr>
            </w:pPr>
            <w:r>
              <w:rPr>
                <w:rFonts w:ascii="Arial" w:cs="Arial" w:eastAsia="Arial" w:hAnsi="Arial"/>
                <w:sz w:val="17"/>
                <w:szCs w:val="17"/>
                <w:color w:val="auto"/>
              </w:rPr>
              <w:t>0.750%</w:t>
            </w:r>
          </w:p>
        </w:tc>
        <w:tc>
          <w:tcPr>
            <w:tcW w:w="1200" w:type="dxa"/>
            <w:vAlign w:val="bottom"/>
            <w:gridSpan w:val="2"/>
            <w:shd w:val="clear" w:color="auto" w:fill="D1FCFC"/>
          </w:tcPr>
          <w:p>
            <w:pPr>
              <w:jc w:val="right"/>
              <w:ind w:right="60"/>
              <w:spacing w:after="0"/>
              <w:rPr>
                <w:sz w:val="20"/>
                <w:szCs w:val="20"/>
                <w:color w:val="auto"/>
              </w:rPr>
            </w:pPr>
            <w:r>
              <w:rPr>
                <w:rFonts w:ascii="Arial" w:cs="Arial" w:eastAsia="Arial" w:hAnsi="Arial"/>
                <w:sz w:val="17"/>
                <w:szCs w:val="17"/>
                <w:color w:val="auto"/>
              </w:rPr>
              <w:t>98.460%</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20"/>
                <w:szCs w:val="20"/>
                <w:color w:val="auto"/>
              </w:rPr>
            </w:pPr>
            <w:r>
              <w:rPr>
                <w:rFonts w:ascii="Arial" w:cs="Arial" w:eastAsia="Arial" w:hAnsi="Arial"/>
                <w:sz w:val="17"/>
                <w:szCs w:val="17"/>
                <w:color w:val="auto"/>
              </w:rPr>
              <w:t>Total</w:t>
            </w:r>
          </w:p>
        </w:tc>
        <w:tc>
          <w:tcPr>
            <w:tcW w:w="3420" w:type="dxa"/>
            <w:vAlign w:val="bottom"/>
            <w:gridSpan w:val="3"/>
          </w:tcPr>
          <w:p>
            <w:pPr>
              <w:jc w:val="right"/>
              <w:ind w:right="320"/>
              <w:spacing w:after="0"/>
              <w:rPr>
                <w:sz w:val="20"/>
                <w:szCs w:val="20"/>
                <w:color w:val="auto"/>
              </w:rPr>
            </w:pPr>
            <w:r>
              <w:rPr>
                <w:rFonts w:ascii="Arial" w:cs="Arial" w:eastAsia="Arial" w:hAnsi="Arial"/>
                <w:sz w:val="17"/>
                <w:szCs w:val="17"/>
                <w:color w:val="auto"/>
              </w:rPr>
              <w:t>$ 1,488,150,000</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7"/>
                <w:szCs w:val="17"/>
                <w:color w:val="auto"/>
              </w:rPr>
              <w:t>11,250,000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$ 1,476,900,000</w:t>
            </w:r>
          </w:p>
        </w:tc>
        <w:tc>
          <w:tcPr>
            <w:tcW w:w="0" w:type="dxa"/>
            <w:vAlign w:val="bottom"/>
          </w:tcPr>
          <w:p>
            <w:pPr>
              <w:spacing w:after="0"/>
              <w:rPr>
                <w:sz w:val="1"/>
                <w:szCs w:val="1"/>
                <w:color w:val="auto"/>
              </w:rPr>
            </w:pPr>
          </w:p>
        </w:tc>
      </w:tr>
      <w:tr>
        <w:trPr>
          <w:trHeight w:val="203"/>
        </w:trPr>
        <w:tc>
          <w:tcPr>
            <w:tcW w:w="3440" w:type="dxa"/>
            <w:vAlign w:val="bottom"/>
            <w:shd w:val="clear" w:color="auto" w:fill="D1FCFC"/>
          </w:tcPr>
          <w:p>
            <w:pPr>
              <w:spacing w:after="0"/>
              <w:rPr>
                <w:sz w:val="20"/>
                <w:szCs w:val="20"/>
                <w:color w:val="auto"/>
              </w:rPr>
            </w:pPr>
            <w:r>
              <w:rPr>
                <w:rFonts w:ascii="Arial" w:cs="Arial" w:eastAsia="Arial" w:hAnsi="Arial"/>
                <w:sz w:val="17"/>
                <w:szCs w:val="17"/>
                <w:color w:val="auto"/>
              </w:rPr>
              <w:t>Per note due 2062</w:t>
            </w:r>
            <w:r>
              <w:rPr>
                <w:rFonts w:ascii="Arial" w:cs="Arial" w:eastAsia="Arial" w:hAnsi="Arial"/>
                <w:sz w:val="14"/>
                <w:szCs w:val="14"/>
                <w:color w:val="auto"/>
              </w:rPr>
              <w:t>(1)</w:t>
            </w:r>
          </w:p>
        </w:tc>
        <w:tc>
          <w:tcPr>
            <w:tcW w:w="3420" w:type="dxa"/>
            <w:vAlign w:val="bottom"/>
            <w:gridSpan w:val="3"/>
            <w:shd w:val="clear" w:color="auto" w:fill="D1FCFC"/>
          </w:tcPr>
          <w:p>
            <w:pPr>
              <w:jc w:val="right"/>
              <w:ind w:right="320"/>
              <w:spacing w:after="0"/>
              <w:rPr>
                <w:sz w:val="20"/>
                <w:szCs w:val="20"/>
                <w:color w:val="auto"/>
              </w:rPr>
            </w:pPr>
            <w:r>
              <w:rPr>
                <w:rFonts w:ascii="Arial" w:cs="Arial" w:eastAsia="Arial" w:hAnsi="Arial"/>
                <w:sz w:val="17"/>
                <w:szCs w:val="17"/>
                <w:color w:val="auto"/>
              </w:rPr>
              <w:t>99.098%</w:t>
            </w:r>
          </w:p>
        </w:tc>
        <w:tc>
          <w:tcPr>
            <w:tcW w:w="320" w:type="dxa"/>
            <w:vAlign w:val="bottom"/>
            <w:shd w:val="clear" w:color="auto" w:fill="D1FCFC"/>
          </w:tcPr>
          <w:p>
            <w:pPr>
              <w:spacing w:after="0"/>
              <w:rPr>
                <w:sz w:val="17"/>
                <w:szCs w:val="17"/>
                <w:color w:val="auto"/>
              </w:rPr>
            </w:pPr>
          </w:p>
        </w:tc>
        <w:tc>
          <w:tcPr>
            <w:tcW w:w="140" w:type="dxa"/>
            <w:vAlign w:val="bottom"/>
            <w:shd w:val="clear" w:color="auto" w:fill="D1FCFC"/>
          </w:tcPr>
          <w:p>
            <w:pPr>
              <w:spacing w:after="0"/>
              <w:rPr>
                <w:sz w:val="17"/>
                <w:szCs w:val="17"/>
                <w:color w:val="auto"/>
              </w:rPr>
            </w:pPr>
          </w:p>
        </w:tc>
        <w:tc>
          <w:tcPr>
            <w:tcW w:w="1600" w:type="dxa"/>
            <w:vAlign w:val="bottom"/>
            <w:gridSpan w:val="2"/>
            <w:shd w:val="clear" w:color="auto" w:fill="D1FCFC"/>
          </w:tcPr>
          <w:p>
            <w:pPr>
              <w:jc w:val="right"/>
              <w:ind w:right="620"/>
              <w:spacing w:after="0"/>
              <w:rPr>
                <w:sz w:val="20"/>
                <w:szCs w:val="20"/>
                <w:color w:val="auto"/>
              </w:rPr>
            </w:pPr>
            <w:r>
              <w:rPr>
                <w:rFonts w:ascii="Arial" w:cs="Arial" w:eastAsia="Arial" w:hAnsi="Arial"/>
                <w:sz w:val="17"/>
                <w:szCs w:val="17"/>
                <w:color w:val="auto"/>
              </w:rPr>
              <w:t>0.800%</w:t>
            </w:r>
          </w:p>
        </w:tc>
        <w:tc>
          <w:tcPr>
            <w:tcW w:w="1200" w:type="dxa"/>
            <w:vAlign w:val="bottom"/>
            <w:gridSpan w:val="2"/>
            <w:shd w:val="clear" w:color="auto" w:fill="D1FCFC"/>
          </w:tcPr>
          <w:p>
            <w:pPr>
              <w:jc w:val="right"/>
              <w:ind w:right="60"/>
              <w:spacing w:after="0"/>
              <w:rPr>
                <w:sz w:val="20"/>
                <w:szCs w:val="20"/>
                <w:color w:val="auto"/>
              </w:rPr>
            </w:pPr>
            <w:r>
              <w:rPr>
                <w:rFonts w:ascii="Arial" w:cs="Arial" w:eastAsia="Arial" w:hAnsi="Arial"/>
                <w:sz w:val="17"/>
                <w:szCs w:val="17"/>
                <w:color w:val="auto"/>
              </w:rPr>
              <w:t>98.298%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rPr>
              <w:t>Total</w:t>
            </w:r>
          </w:p>
        </w:tc>
        <w:tc>
          <w:tcPr>
            <w:tcW w:w="3420" w:type="dxa"/>
            <w:vAlign w:val="bottom"/>
            <w:gridSpan w:val="3"/>
          </w:tcPr>
          <w:p>
            <w:pPr>
              <w:jc w:val="right"/>
              <w:ind w:right="320"/>
              <w:spacing w:after="0"/>
              <w:rPr>
                <w:sz w:val="20"/>
                <w:szCs w:val="20"/>
                <w:color w:val="auto"/>
              </w:rPr>
            </w:pPr>
            <w:r>
              <w:rPr>
                <w:rFonts w:ascii="Arial" w:cs="Arial" w:eastAsia="Arial" w:hAnsi="Arial"/>
                <w:sz w:val="17"/>
                <w:szCs w:val="17"/>
                <w:color w:val="auto"/>
              </w:rPr>
              <w:t>$ 1,238,725,000</w:t>
            </w: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7"/>
                <w:szCs w:val="17"/>
                <w:color w:val="auto"/>
              </w:rPr>
              <w:t>10,000,000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$ 1,228,725,000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5" w:lineRule="exact"/>
        <w:rPr>
          <w:sz w:val="20"/>
          <w:szCs w:val="20"/>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August 25, 2020, if settlement occurs after that date.</w:t>
      </w:r>
    </w:p>
    <w:p>
      <w:pPr>
        <w:spacing w:after="0" w:line="221"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August 25, 2020, which is the tenth business day following the date of this prospectus supplement. See “Underwriting.”</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260" w:right="320" w:hanging="1144"/>
        <w:spacing w:after="0" w:line="347" w:lineRule="auto"/>
        <w:rPr>
          <w:sz w:val="20"/>
          <w:szCs w:val="20"/>
          <w:color w:val="auto"/>
        </w:rPr>
      </w:pPr>
      <w:r>
        <w:rPr>
          <w:rFonts w:ascii="Arial" w:cs="Arial" w:eastAsia="Arial" w:hAnsi="Arial"/>
          <w:sz w:val="16"/>
          <w:szCs w:val="16"/>
          <w:b w:val="1"/>
          <w:bCs w:val="1"/>
          <w:color w:val="auto"/>
        </w:rPr>
        <w:t>BofA Securities Citigroup</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42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21"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6"/>
          <w:szCs w:val="16"/>
          <w:b w:val="1"/>
          <w:bCs w:val="1"/>
          <w:color w:val="auto"/>
        </w:rPr>
        <w:t>Morgan Stanley</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firstLine="593"/>
        <w:spacing w:after="0" w:line="312" w:lineRule="auto"/>
        <w:rPr>
          <w:sz w:val="20"/>
          <w:szCs w:val="20"/>
          <w:color w:val="auto"/>
        </w:rPr>
      </w:pPr>
      <w:r>
        <w:rPr>
          <w:rFonts w:ascii="Arial" w:cs="Arial" w:eastAsia="Arial" w:hAnsi="Arial"/>
          <w:sz w:val="17"/>
          <w:szCs w:val="17"/>
          <w:b w:val="1"/>
          <w:bCs w:val="1"/>
          <w:color w:val="auto"/>
        </w:rPr>
        <w:t>Wells Fargo Securities Mizuho Securities</w:t>
      </w:r>
    </w:p>
    <w:p>
      <w:pPr>
        <w:spacing w:after="0" w:line="98" w:lineRule="exact"/>
        <w:rPr>
          <w:sz w:val="20"/>
          <w:szCs w:val="20"/>
          <w:color w:val="auto"/>
        </w:rPr>
      </w:pPr>
    </w:p>
    <w:p>
      <w:pPr>
        <w:sectPr>
          <w:pgSz w:w="11900" w:h="16838" w:orient="portrait"/>
          <w:cols w:equalWidth="0" w:num="3">
            <w:col w:w="2320" w:space="720"/>
            <w:col w:w="5060" w:space="720"/>
            <w:col w:w="232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August 11,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6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493"/>
        </w:trPr>
        <w:tc>
          <w:tcPr>
            <w:tcW w:w="33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360" w:type="dxa"/>
            <w:vAlign w:val="bottom"/>
          </w:tcPr>
          <w:p>
            <w:pPr>
              <w:spacing w:after="0"/>
              <w:rPr>
                <w:sz w:val="24"/>
                <w:szCs w:val="24"/>
                <w:color w:val="auto"/>
              </w:rPr>
            </w:pPr>
          </w:p>
        </w:tc>
        <w:tc>
          <w:tcPr>
            <w:tcW w:w="4300" w:type="dxa"/>
            <w:vAlign w:val="bottom"/>
          </w:tcPr>
          <w:p>
            <w:pPr>
              <w:ind w:left="1220"/>
              <w:spacing w:after="0"/>
              <w:rPr>
                <w:sz w:val="20"/>
                <w:szCs w:val="20"/>
                <w:color w:val="auto"/>
              </w:rPr>
            </w:pPr>
            <w:r>
              <w:rPr>
                <w:rFonts w:ascii="Arial" w:cs="Arial" w:eastAsia="Arial" w:hAnsi="Arial"/>
                <w:sz w:val="18"/>
                <w:szCs w:val="18"/>
                <w:b w:val="1"/>
                <w:bCs w:val="1"/>
                <w:color w:val="auto"/>
              </w:rPr>
              <w:t>Prospectus Supplement</w:t>
            </w:r>
          </w:p>
        </w:tc>
        <w:tc>
          <w:tcPr>
            <w:tcW w:w="29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6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More Information</w:t>
              </w:r>
            </w:hyperlink>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Use of Proceeds</w:t>
              </w:r>
            </w:hyperlink>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Description of the Notes</w:t>
              </w:r>
            </w:hyperlink>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Material U.S. Federal Income Tax Consequences for Non-U.S. Holders</w:t>
              </w:r>
            </w:hyperlink>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Underwriting</w:t>
              </w:r>
            </w:hyperlink>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Matters</w:t>
              </w:r>
            </w:hyperlink>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Experts</w:t>
              </w:r>
            </w:hyperlink>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581"/>
        </w:trPr>
        <w:tc>
          <w:tcPr>
            <w:tcW w:w="33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5"/>
              </w:rPr>
              <w:t>Prospectus</w:t>
            </w: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vMerge w:val="restart"/>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The Companies</w:t>
              </w:r>
            </w:hyperlink>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5"/>
        </w:trPr>
        <w:tc>
          <w:tcPr>
            <w:tcW w:w="7660" w:type="dxa"/>
            <w:vAlign w:val="bottom"/>
            <w:gridSpan w:val="2"/>
            <w:vMerge w:val="continue"/>
          </w:tcPr>
          <w:p>
            <w:pPr>
              <w:spacing w:after="0"/>
              <w:rPr>
                <w:sz w:val="16"/>
                <w:szCs w:val="16"/>
                <w:color w:val="auto"/>
              </w:rPr>
            </w:pPr>
          </w:p>
        </w:tc>
        <w:tc>
          <w:tcPr>
            <w:tcW w:w="2920" w:type="dxa"/>
            <w:vAlign w:val="bottom"/>
            <w:gridSpan w:val="2"/>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Caution Concerning Forward-Looking Statements</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Use of Proceeds</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Dividend Policy</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Description of Debt Securities and Guarantees</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Global Securities</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Capital Stock</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Plan of Distribution</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Matters</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Experts</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Available Information</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Incorporation of Certain Documents by Reference</w:t>
              </w:r>
            </w:hyperlink>
          </w:p>
        </w:tc>
        <w:tc>
          <w:tcPr>
            <w:tcW w:w="332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205740</wp:posOffset>
            </wp:positionV>
            <wp:extent cx="2726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set forth below that we or NBCUniversal have previously filed with the SEC:</w:t>
      </w:r>
    </w:p>
    <w:p>
      <w:pPr>
        <w:spacing w:after="0" w:line="170" w:lineRule="exact"/>
        <w:rPr>
          <w:sz w:val="20"/>
          <w:szCs w:val="20"/>
          <w:color w:val="auto"/>
        </w:rPr>
      </w:pPr>
    </w:p>
    <w:p>
      <w:pPr>
        <w:ind w:left="980" w:hanging="432"/>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filed on January 30, 2020.</w:t>
      </w:r>
    </w:p>
    <w:p>
      <w:pPr>
        <w:spacing w:after="0" w:line="248" w:lineRule="exact"/>
        <w:rPr>
          <w:rFonts w:ascii="Arial" w:cs="Arial" w:eastAsia="Arial" w:hAnsi="Arial"/>
          <w:sz w:val="16"/>
          <w:szCs w:val="16"/>
          <w:color w:val="auto"/>
        </w:rPr>
      </w:pPr>
    </w:p>
    <w:p>
      <w:pPr>
        <w:ind w:left="980" w:right="60" w:hanging="432"/>
        <w:spacing w:after="0" w:line="277" w:lineRule="auto"/>
        <w:tabs>
          <w:tab w:leader="none" w:pos="980" w:val="left"/>
        </w:tabs>
        <w:numPr>
          <w:ilvl w:val="0"/>
          <w:numId w:val="2"/>
        </w:numPr>
        <w:rPr>
          <w:rFonts w:ascii="Arial" w:cs="Arial" w:eastAsia="Arial" w:hAnsi="Arial"/>
          <w:sz w:val="18"/>
          <w:szCs w:val="18"/>
          <w:color w:val="0000EE"/>
        </w:rPr>
      </w:pPr>
      <w:hyperlink r:id="rId17">
        <w:r>
          <w:rPr>
            <w:rFonts w:ascii="Arial" w:cs="Arial" w:eastAsia="Arial" w:hAnsi="Arial"/>
            <w:sz w:val="18"/>
            <w:szCs w:val="18"/>
            <w:color w:val="auto"/>
          </w:rPr>
          <w:t xml:space="preserve">Comcast’s Quarterly Reports on Form 10-Q for the quarters ended March 31, 2020 and June 30, 2020, filed on </w:t>
        </w:r>
        <w:r>
          <w:rPr>
            <w:rFonts w:ascii="Arial" w:cs="Arial" w:eastAsia="Arial" w:hAnsi="Arial"/>
            <w:sz w:val="18"/>
            <w:szCs w:val="18"/>
            <w:u w:val="single" w:color="auto"/>
            <w:color w:val="0000EE"/>
          </w:rPr>
          <w:t>April 30, 2020</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July 30,</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2020</w:t>
        </w:r>
        <w:r>
          <w:rPr>
            <w:rFonts w:ascii="Arial" w:cs="Arial" w:eastAsia="Arial" w:hAnsi="Arial"/>
            <w:sz w:val="18"/>
            <w:szCs w:val="18"/>
            <w:color w:val="000000"/>
          </w:rPr>
          <w:t>, respectively.</w:t>
        </w:r>
      </w:hyperlink>
    </w:p>
    <w:p>
      <w:pPr>
        <w:spacing w:after="0" w:line="170" w:lineRule="exact"/>
        <w:rPr>
          <w:rFonts w:ascii="Arial" w:cs="Arial" w:eastAsia="Arial" w:hAnsi="Arial"/>
          <w:sz w:val="18"/>
          <w:szCs w:val="18"/>
          <w:color w:val="0000EE"/>
        </w:rPr>
      </w:pPr>
    </w:p>
    <w:p>
      <w:pPr>
        <w:ind w:left="980" w:hanging="432"/>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Comcast’s Current Reports on Form 8-K filed on </w:t>
      </w:r>
      <w:hyperlink r:id="rId18">
        <w:r>
          <w:rPr>
            <w:rFonts w:ascii="Arial" w:cs="Arial" w:eastAsia="Arial" w:hAnsi="Arial"/>
            <w:sz w:val="16"/>
            <w:szCs w:val="16"/>
            <w:u w:val="single" w:color="auto"/>
            <w:color w:val="0000EE"/>
          </w:rPr>
          <w:t>February 20, 2020</w:t>
        </w:r>
      </w:hyperlink>
      <w:r>
        <w:rPr>
          <w:rFonts w:ascii="Arial" w:cs="Arial" w:eastAsia="Arial" w:hAnsi="Arial"/>
          <w:sz w:val="16"/>
          <w:szCs w:val="16"/>
          <w:color w:val="auto"/>
        </w:rPr>
        <w:t xml:space="preserve">, </w:t>
      </w:r>
      <w:hyperlink r:id="rId19">
        <w:r>
          <w:rPr>
            <w:rFonts w:ascii="Arial" w:cs="Arial" w:eastAsia="Arial" w:hAnsi="Arial"/>
            <w:sz w:val="16"/>
            <w:szCs w:val="16"/>
            <w:u w:val="single" w:color="auto"/>
            <w:color w:val="0000EE"/>
          </w:rPr>
          <w:t>March 24, 2020</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EE"/>
          </w:rPr>
          <w:t>March 27, 2020</w:t>
        </w:r>
      </w:hyperlink>
      <w:r>
        <w:rPr>
          <w:rFonts w:ascii="Arial" w:cs="Arial" w:eastAsia="Arial" w:hAnsi="Arial"/>
          <w:sz w:val="16"/>
          <w:szCs w:val="16"/>
          <w:color w:val="auto"/>
        </w:rPr>
        <w:t xml:space="preserve">, </w:t>
      </w:r>
      <w:hyperlink r:id="rId21">
        <w:r>
          <w:rPr>
            <w:rFonts w:ascii="Arial" w:cs="Arial" w:eastAsia="Arial" w:hAnsi="Arial"/>
            <w:sz w:val="16"/>
            <w:szCs w:val="16"/>
            <w:u w:val="single" w:color="auto"/>
            <w:color w:val="0000EE"/>
          </w:rPr>
          <w:t>May 28,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2">
        <w:r>
          <w:rPr>
            <w:rFonts w:ascii="Arial" w:cs="Arial" w:eastAsia="Arial" w:hAnsi="Arial"/>
            <w:sz w:val="16"/>
            <w:szCs w:val="16"/>
            <w:u w:val="single" w:color="auto"/>
            <w:color w:val="0000EE"/>
          </w:rPr>
          <w:t>June 11, 2020</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980" w:right="500" w:hanging="432"/>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23">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2020 annual meeting of shareholders incorporated by reference in Comcast’s Annual Report on Form 10-K for the year ended December 31, 2019.</w:t>
      </w:r>
    </w:p>
    <w:p>
      <w:pPr>
        <w:spacing w:after="0" w:line="130" w:lineRule="exact"/>
        <w:rPr>
          <w:rFonts w:ascii="Arial" w:cs="Arial" w:eastAsia="Arial" w:hAnsi="Arial"/>
          <w:sz w:val="16"/>
          <w:szCs w:val="16"/>
          <w:color w:val="auto"/>
        </w:rPr>
      </w:pPr>
    </w:p>
    <w:p>
      <w:pPr>
        <w:ind w:left="120"/>
        <w:spacing w:after="0" w:line="269" w:lineRule="auto"/>
        <w:rPr>
          <w:sz w:val="20"/>
          <w:szCs w:val="20"/>
          <w:color w:val="auto"/>
        </w:rPr>
      </w:pPr>
      <w:r>
        <w:rPr>
          <w:rFonts w:ascii="Arial" w:cs="Arial" w:eastAsia="Arial" w:hAnsi="Arial"/>
          <w:sz w:val="17"/>
          <w:szCs w:val="17"/>
          <w:color w:val="auto"/>
        </w:rPr>
        <w:t>Beginning with our Quarterly Report on Form 10-Q for the quarter ended March 31, 2020, we are voluntarily complying with new disclosure rules for guarantors and issuers of guaranteed debt securities issued by the SEC in March 2020, as permitted by the transition guidance contained in the SEC’s final rule release “Financial Disclosures about Guarantors and Issuers of Guaranteed Securities and Affiliates Whose Securities Collateralize a Registrant’s Securities.” As a result, our Quarterly Reports on Form 10-Q for the quarters ended March 31, 2020 and June 30, 2020 include new disclosures related to our consolidated subsidiaries that guarantee or have issued guaranteed debt securities registered with the SEC that are included within our guarantee structure (refer to Guarantee Structure within the Liquidity and Capital Resources section of Item 2: Management’s Discussion and Analysis of Financial Condition and Results of Operations in each of our Quarterly Reports on Form 10-Q for the quarters ended March 31, 2020 and June 30, 2020, as well as see “Prospectus Supplement Summary—The Guarantors” in this prospectus supplement). As a result of these rules, NBCUniversal is no longer required to prepare stand-alone periodic reports under SEC rules, and our periodic reports are no longer prepared as a combined report being filed separately by Comcast and NBCUniversal.</w:t>
      </w:r>
    </w:p>
    <w:p>
      <w:pPr>
        <w:spacing w:after="0" w:line="158" w:lineRule="exact"/>
        <w:rPr>
          <w:rFonts w:ascii="Arial" w:cs="Arial" w:eastAsia="Arial" w:hAnsi="Arial"/>
          <w:sz w:val="16"/>
          <w:szCs w:val="16"/>
          <w:color w:val="auto"/>
        </w:rPr>
      </w:pPr>
    </w:p>
    <w:p>
      <w:pPr>
        <w:ind w:left="120"/>
        <w:spacing w:after="0" w:line="293"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w:t>
      </w:r>
    </w:p>
    <w:p>
      <w:pPr>
        <w:spacing w:after="0" w:line="2" w:lineRule="exact"/>
        <w:rPr>
          <w:sz w:val="20"/>
          <w:szCs w:val="20"/>
          <w:color w:val="auto"/>
        </w:rPr>
      </w:pPr>
    </w:p>
    <w:p>
      <w:pPr>
        <w:ind w:left="560" w:hanging="26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206" w:lineRule="exact"/>
        <w:rPr>
          <w:rFonts w:ascii="Arial" w:cs="Arial" w:eastAsia="Arial" w:hAnsi="Arial"/>
          <w:sz w:val="18"/>
          <w:szCs w:val="18"/>
          <w:color w:val="auto"/>
        </w:rPr>
      </w:pPr>
    </w:p>
    <w:p>
      <w:pPr>
        <w:ind w:left="112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a leading provider of high-speed internet,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under the Xfinity brand; we also provide these and other services to business customers and sell advertising.</w:t>
      </w:r>
    </w:p>
    <w:p>
      <w:pPr>
        <w:spacing w:after="0" w:line="175" w:lineRule="exact"/>
        <w:rPr>
          <w:rFonts w:ascii="Arial" w:cs="Arial" w:eastAsia="Arial" w:hAnsi="Arial"/>
          <w:sz w:val="18"/>
          <w:szCs w:val="18"/>
          <w:color w:val="auto"/>
        </w:rPr>
      </w:pPr>
    </w:p>
    <w:p>
      <w:pPr>
        <w:ind w:left="1120" w:right="8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175" w:lineRule="exact"/>
        <w:rPr>
          <w:rFonts w:ascii="Arial" w:cs="Arial" w:eastAsia="Arial" w:hAnsi="Arial"/>
          <w:sz w:val="18"/>
          <w:szCs w:val="18"/>
          <w:color w:val="auto"/>
        </w:rPr>
      </w:pPr>
    </w:p>
    <w:p>
      <w:pPr>
        <w:ind w:left="1120" w:right="38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175" w:lineRule="exact"/>
        <w:rPr>
          <w:rFonts w:ascii="Arial" w:cs="Arial" w:eastAsia="Arial" w:hAnsi="Arial"/>
          <w:sz w:val="18"/>
          <w:szCs w:val="18"/>
          <w:color w:val="auto"/>
        </w:rPr>
      </w:pPr>
    </w:p>
    <w:p>
      <w:pPr>
        <w:ind w:left="1120" w:right="16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175" w:lineRule="exact"/>
        <w:rPr>
          <w:rFonts w:ascii="Arial" w:cs="Arial" w:eastAsia="Arial" w:hAnsi="Arial"/>
          <w:sz w:val="18"/>
          <w:szCs w:val="18"/>
          <w:color w:val="auto"/>
        </w:rPr>
      </w:pPr>
    </w:p>
    <w:p>
      <w:pPr>
        <w:ind w:left="1120" w:right="44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5" w:lineRule="exact"/>
        <w:rPr>
          <w:rFonts w:ascii="Arial" w:cs="Arial" w:eastAsia="Arial" w:hAnsi="Arial"/>
          <w:sz w:val="18"/>
          <w:szCs w:val="18"/>
          <w:color w:val="auto"/>
        </w:rPr>
      </w:pPr>
    </w:p>
    <w:p>
      <w:pPr>
        <w:ind w:left="1120" w:hanging="403"/>
        <w:spacing w:after="0" w:line="266"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Sky</w:t>
      </w:r>
      <w:r>
        <w:rPr>
          <w:rFonts w:ascii="Arial" w:cs="Arial" w:eastAsia="Arial" w:hAnsi="Arial"/>
          <w:sz w:val="18"/>
          <w:szCs w:val="18"/>
          <w:color w:val="auto"/>
        </w:rPr>
        <w:t>: One of Europe’s leading entertainment companies, which primarily includes a direct-to-consumer business, providing video, high-speed internet, voice and wireless phone services, and a content business, operating entertainment networks, the Sky News broadcast network and Sky Sports networks.</w:t>
      </w:r>
    </w:p>
    <w:p>
      <w:pPr>
        <w:spacing w:after="0" w:line="139" w:lineRule="exact"/>
        <w:rPr>
          <w:sz w:val="20"/>
          <w:szCs w:val="20"/>
          <w:color w:val="auto"/>
        </w:rPr>
      </w:pPr>
    </w:p>
    <w:p>
      <w:pPr>
        <w:ind w:left="300" w:right="260"/>
        <w:spacing w:after="0" w:line="311" w:lineRule="auto"/>
        <w:rPr>
          <w:sz w:val="20"/>
          <w:szCs w:val="20"/>
          <w:color w:val="auto"/>
        </w:rPr>
      </w:pPr>
      <w:r>
        <w:rPr>
          <w:rFonts w:ascii="Arial" w:cs="Arial" w:eastAsia="Arial" w:hAnsi="Arial"/>
          <w:sz w:val="16"/>
          <w:szCs w:val="16"/>
          <w:color w:val="auto"/>
        </w:rPr>
        <w:t>Our other business interests consist primarily of the operations of Comcast Spectacor, which owns the Philadelphia Flyers and the Wells Fargo Center arena in Philadelphia, Pennsylvania, and other business initiatives, such as Peacock, our new direct-to-consumer streaming service that primarily features NBCUniversal content, which was made available to Comcast customers in April 2020 and launched nationally in July 2020.</w:t>
      </w:r>
    </w:p>
    <w:p>
      <w:pPr>
        <w:spacing w:after="0" w:line="122"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00" w:right="60" w:hanging="2"/>
        <w:spacing w:after="0" w:line="260"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120" w:right="160" w:hanging="403"/>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120" w:hanging="403"/>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10112- 0015.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Corporation.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$1,750,000,000 aggregate principal amount of 1.500% Notes due 2031.</w:t>
            </w:r>
          </w:p>
        </w:tc>
      </w:tr>
      <w:tr>
        <w:trPr>
          <w:trHeight w:val="446"/>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$1,500,000,000 aggregate principal amount of 2.450% Notes due 2052.</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$1,250,000,000 aggregate principal amount of 2.650% Notes due 2062.</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2031 will mature on February 15, 2031.</w:t>
            </w:r>
          </w:p>
        </w:tc>
      </w:tr>
      <w:tr>
        <w:trPr>
          <w:trHeight w:val="446"/>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2052 will mature on August 15, 2052.</w:t>
            </w:r>
          </w:p>
        </w:tc>
      </w:tr>
      <w:tr>
        <w:trPr>
          <w:trHeight w:val="432"/>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2062 will mature on August 15, 2062.</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2031 will accrue at the rate of 1.500%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semiannually in cash in arrears on February 15 and August 15, beginning February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2021.</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2052 will accrue at the rate of 2.450%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semiannually in cash in arrears on February 15 and August 15, beginning February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2021.</w:t>
            </w:r>
          </w:p>
        </w:tc>
      </w:tr>
      <w:tr>
        <w:trPr>
          <w:trHeight w:val="418"/>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2062 will accrue at the rate of 2.650%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semiannually in cash in arrears on February 15 and August 15, beginning February 15,</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2021.</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applicable Redemption Price determined as set forth under the heading “Description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Notes-Optional Redemption.”</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We intend to use the net proceeds from the offering, after deducting the underwriting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commission, fee and expenses entirely for the refinancing of outstanding debt, including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our 3.125% notes due July 15, 2022 ($1.0 billion principal amount outstanding as of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date hereof), our 2.85% notes due January 15, 2023 ($750 million principal amount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outstanding as of the date hereof), NBCUniversal’s 2.875% notes due January 15, 2023</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($1.0 billion principal amount outstanding as of the date hereof), our 2.75% notes due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March 1,</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4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820" w:type="dxa"/>
            <w:vAlign w:val="bottom"/>
            <w:tcBorders>
              <w:top w:val="single" w:sz="8" w:color="auto"/>
              <w:left w:val="single" w:sz="8" w:color="auto"/>
            </w:tcBorders>
          </w:tcPr>
          <w:p>
            <w:pPr>
              <w:spacing w:after="0"/>
              <w:rPr>
                <w:sz w:val="24"/>
                <w:szCs w:val="24"/>
                <w:color w:val="auto"/>
              </w:rPr>
            </w:pPr>
          </w:p>
        </w:tc>
        <w:tc>
          <w:tcPr>
            <w:tcW w:w="820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96"/>
              </w:rPr>
              <w:t>2023 ($1.1 billion principal amount outstanding as of the date hereof), and certain of our</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other debt with near term maturities. Affiliates of certain of the underwriters may be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holders of the 3.125% notes due July 15, 2022, 2.85% notes due January 15, 2023, 2.875%</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notes due January 15, 2023 or 2.75% notes due March 1, 2023, accordingly, may receive a</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portion of the net proceeds from this offering.</w:t>
            </w:r>
          </w:p>
        </w:tc>
      </w:tr>
      <w:tr>
        <w:trPr>
          <w:trHeight w:val="431"/>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418"/>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Notes</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We have the ability to “reopen” a series of these notes and issue additional notes of such</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7"/>
              </w:rPr>
              <w:t>series. Additional notes of such series will be consolidated with and form a single series</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with the notes then outstanding of such series; provided that if such additional notes are not</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5"/>
              </w:rPr>
              <w:t>fungible with the notes of the applicable series offered hereby for U.S. federal income tax</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purposes, such additional notes will have one or more separate CUSIP numbers.</w:t>
            </w:r>
          </w:p>
        </w:tc>
      </w:tr>
      <w:tr>
        <w:trPr>
          <w:trHeight w:val="418"/>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9"/>
              </w:rPr>
              <w:t>Investing in the notes involves certain risks. See “Item 1A-Risk Factors” beginning on</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2"/>
              </w:rPr>
              <w:t>page 20 of our Annual Report on Form 10-K for the year ended December 31, 2019. Please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also read carefully the risk factor “The COVID-19 pandemic could have a material adverse</w:t>
            </w:r>
          </w:p>
        </w:tc>
      </w:tr>
      <w:tr>
        <w:trPr>
          <w:trHeight w:val="216"/>
        </w:trPr>
        <w:tc>
          <w:tcPr>
            <w:tcW w:w="2820" w:type="dxa"/>
            <w:vAlign w:val="bottom"/>
            <w:tcBorders>
              <w:left w:val="single" w:sz="8" w:color="auto"/>
            </w:tcBorders>
          </w:tcPr>
          <w:p>
            <w:pPr>
              <w:spacing w:after="0"/>
              <w:rPr>
                <w:sz w:val="18"/>
                <w:szCs w:val="18"/>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w w:val="94"/>
              </w:rPr>
              <w:t>effect on our businesses and results of operations” on page 35 of our Quarterly Report on</w:t>
            </w:r>
          </w:p>
        </w:tc>
      </w:tr>
      <w:tr>
        <w:trPr>
          <w:trHeight w:val="230"/>
        </w:trPr>
        <w:tc>
          <w:tcPr>
            <w:tcW w:w="2820" w:type="dxa"/>
            <w:vAlign w:val="bottom"/>
            <w:tcBorders>
              <w:left w:val="single" w:sz="8" w:color="auto"/>
            </w:tcBorders>
          </w:tcPr>
          <w:p>
            <w:pPr>
              <w:spacing w:after="0"/>
              <w:rPr>
                <w:sz w:val="20"/>
                <w:szCs w:val="20"/>
                <w:color w:val="auto"/>
              </w:rPr>
            </w:pPr>
          </w:p>
        </w:tc>
        <w:tc>
          <w:tcPr>
            <w:tcW w:w="82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Form 10-Q for the quarter ended March 31, 2020.</w:t>
            </w:r>
          </w:p>
        </w:tc>
      </w:tr>
      <w:tr>
        <w:trPr>
          <w:trHeight w:val="240"/>
        </w:trPr>
        <w:tc>
          <w:tcPr>
            <w:tcW w:w="2820" w:type="dxa"/>
            <w:vAlign w:val="bottom"/>
            <w:tcBorders>
              <w:left w:val="single" w:sz="8" w:color="auto"/>
              <w:bottom w:val="single" w:sz="8" w:color="auto"/>
            </w:tcBorders>
          </w:tcPr>
          <w:p>
            <w:pPr>
              <w:spacing w:after="0"/>
              <w:rPr>
                <w:sz w:val="20"/>
                <w:szCs w:val="20"/>
                <w:color w:val="auto"/>
              </w:rPr>
            </w:pPr>
          </w:p>
        </w:tc>
        <w:tc>
          <w:tcPr>
            <w:tcW w:w="8200" w:type="dxa"/>
            <w:vAlign w:val="bottom"/>
            <w:tcBorders>
              <w:bottom w:val="single" w:sz="8" w:color="auto"/>
              <w:right w:val="single" w:sz="8" w:color="auto"/>
            </w:tcBorders>
          </w:tcPr>
          <w:p>
            <w:pPr>
              <w:spacing w:after="0"/>
              <w:rPr>
                <w:sz w:val="20"/>
                <w:szCs w:val="20"/>
                <w:color w:val="auto"/>
              </w:rPr>
            </w:pPr>
          </w:p>
        </w:tc>
      </w:tr>
      <w:tr>
        <w:trPr>
          <w:trHeight w:val="604"/>
        </w:trPr>
        <w:tc>
          <w:tcPr>
            <w:tcW w:w="2820" w:type="dxa"/>
            <w:vAlign w:val="bottom"/>
          </w:tcPr>
          <w:p>
            <w:pPr>
              <w:spacing w:after="0"/>
              <w:rPr>
                <w:sz w:val="24"/>
                <w:szCs w:val="24"/>
                <w:color w:val="auto"/>
              </w:rPr>
            </w:pPr>
          </w:p>
        </w:tc>
        <w:tc>
          <w:tcPr>
            <w:tcW w:w="8200" w:type="dxa"/>
            <w:vAlign w:val="bottom"/>
          </w:tcPr>
          <w:p>
            <w:pPr>
              <w:ind w:left="25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intend to use the net proceeds from the offering, after deducting the underwriting commission, fee and expenses entirely for the refinancing of outstanding debt, including our 3.125% notes due July 15, 2022 ($1.0 billion principal amount outstanding as of the date hereof), our 2.85% notes due January 15, 2023 ($750 million principal amount outstanding as of the date hereof), NBCUniversal’s 2.875% notes due January 15, 2023 ($1.0 billion principal amount outstanding as of the date hereof), our 2.75% notes due March 1, 2023 ($1.1 billion principal amount outstanding as of the date hereof), and certain of our other debt with near term maturities. Affiliates of certain of the underwriters may be holders of the 3.125% notes due July 15, 2022, 2.85% notes due January 15, 2023, 2.875% notes due January 15, 2023 or 2.75% notes due March 1, 2023, accordingly, may receive a portion of the net proceeds from this offering.</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20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We are offering $1,750,000,000 aggregate principal amount of our 1.500% Notes due 2031, $1,500,000,000 aggregate principal amount of our 2.450% Notes due 2052 and $1,250,000,000 aggregate principal amount of our 2.650% Notes due 2062. The Notes due 2031, the Notes due 2052 and the Notes due 2062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3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80" w:right="340" w:hanging="432"/>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$4,500,000,000 comprised as follows:</w:t>
      </w:r>
    </w:p>
    <w:p>
      <w:pPr>
        <w:spacing w:after="0" w:line="225" w:lineRule="exact"/>
        <w:rPr>
          <w:rFonts w:ascii="Arial" w:cs="Arial" w:eastAsia="Arial" w:hAnsi="Arial"/>
          <w:sz w:val="18"/>
          <w:szCs w:val="18"/>
          <w:color w:val="auto"/>
        </w:rPr>
      </w:pPr>
    </w:p>
    <w:p>
      <w:pPr>
        <w:ind w:left="1420" w:right="60" w:hanging="427"/>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$1,750,000,000 initial aggregate principal amount of 1.500% Notes due 2031, maturing on February 15, 2031, with interest payable semiannually on each February 15 and August 15, beginning February 15, 2021, to holders of record on the preceding February 1 and August 1;</w:t>
      </w:r>
    </w:p>
    <w:p>
      <w:pPr>
        <w:spacing w:after="0" w:line="183" w:lineRule="exact"/>
        <w:rPr>
          <w:rFonts w:ascii="Arial" w:cs="Arial" w:eastAsia="Arial" w:hAnsi="Arial"/>
          <w:sz w:val="18"/>
          <w:szCs w:val="18"/>
          <w:color w:val="auto"/>
        </w:rPr>
      </w:pPr>
    </w:p>
    <w:p>
      <w:pPr>
        <w:jc w:val="both"/>
        <w:ind w:left="1420" w:right="20" w:hanging="427"/>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$1,500,000,000 additional aggregate principal amount of 2.450% Notes due 2052, maturing on August 15, 2052, with interest payable semiannually on each February 15 and August 15, beginning February 15, 2021, to holders of record on the preceding February 1 and August 1;</w:t>
      </w:r>
    </w:p>
    <w:p>
      <w:pPr>
        <w:spacing w:after="0" w:line="183" w:lineRule="exact"/>
        <w:rPr>
          <w:rFonts w:ascii="Arial" w:cs="Arial" w:eastAsia="Arial" w:hAnsi="Arial"/>
          <w:sz w:val="18"/>
          <w:szCs w:val="18"/>
          <w:color w:val="auto"/>
        </w:rPr>
      </w:pPr>
    </w:p>
    <w:p>
      <w:pPr>
        <w:ind w:left="1420" w:right="60" w:hanging="427"/>
        <w:spacing w:after="0" w:line="263"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$1,250,000,000 initial aggregate principal amount of 2.650% Notes due 2062, maturing on August 15, 2062, with interest payable semiannually on each February 15 and August 15, beginning February 15, 2021, to holders of record on the preceding February 1 and August 1; and</w:t>
      </w:r>
    </w:p>
    <w:p>
      <w:pPr>
        <w:spacing w:after="0" w:line="183" w:lineRule="exact"/>
        <w:rPr>
          <w:rFonts w:ascii="Arial" w:cs="Arial" w:eastAsia="Arial" w:hAnsi="Arial"/>
          <w:sz w:val="18"/>
          <w:szCs w:val="18"/>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on the notes will be computed on the basis of a 360-day year consisting of twelve 30-day months.</w:t>
      </w:r>
    </w:p>
    <w:p>
      <w:pPr>
        <w:spacing w:after="0" w:line="198"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Interest on the Notes due 2031, the Notes due 2052 and the Notes due 2062 will accrue from (i) the earlier of August 25, 2020 and the date of original issuance or (ii) from the most recent interest payment date to which interest has been paid, and will be payable semiannually on interest payment dates described for each year.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Price” means:</w:t>
      </w:r>
    </w:p>
    <w:p>
      <w:pPr>
        <w:spacing w:after="0" w:line="185" w:lineRule="exact"/>
        <w:rPr>
          <w:sz w:val="20"/>
          <w:szCs w:val="20"/>
          <w:color w:val="auto"/>
        </w:rPr>
      </w:pPr>
    </w:p>
    <w:p>
      <w:pPr>
        <w:ind w:left="120" w:right="40" w:hanging="4"/>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the Notes due 2031, at any time prior to November 15, 2030 (three (3) months prior to the maturity of the Notes due 2031) (the “2031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2031 Par Call Date, in each case discounted to the redemption date on a semiannual basis (assuming a 360-day year consisting of twelve 30-day months) at the Treasury Rate plus 15 basis points; provided that, if the Notes due 2031 are redeemed on or after the 2031 Par Call Date, the Redemption Price will equal 100% of the principal amount of such notes;</w:t>
      </w:r>
    </w:p>
    <w:p>
      <w:pPr>
        <w:spacing w:after="0" w:line="151" w:lineRule="exact"/>
        <w:rPr>
          <w:rFonts w:ascii="Arial" w:cs="Arial" w:eastAsia="Arial" w:hAnsi="Arial"/>
          <w:sz w:val="18"/>
          <w:szCs w:val="18"/>
          <w:color w:val="auto"/>
        </w:rPr>
      </w:pPr>
    </w:p>
    <w:p>
      <w:pPr>
        <w:ind w:left="120" w:right="20" w:hanging="4"/>
        <w:spacing w:after="0" w:line="255" w:lineRule="auto"/>
        <w:tabs>
          <w:tab w:leader="none" w:pos="51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the Notes due 2052, at any time prior to February 15, 2052 (six (6) months prior to the maturity of the Notes due 2052) (the “2052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2052 Par Call Date, in each case discounted to the redemption date on a semiannual basis (assuming a 360-day year consisting of twelve 30-day months) at the Treasury Rate plus 20 basis points; provided that, if the Notes due 2052 are redeemed on or after the 2052 Par Call Date, the Redemption Price will equal 100% of the principal amount of such notes; and</w:t>
      </w:r>
    </w:p>
    <w:p>
      <w:pPr>
        <w:spacing w:after="0" w:line="165" w:lineRule="exact"/>
        <w:rPr>
          <w:rFonts w:ascii="Arial" w:cs="Arial" w:eastAsia="Arial" w:hAnsi="Arial"/>
          <w:sz w:val="18"/>
          <w:szCs w:val="18"/>
          <w:color w:val="auto"/>
        </w:rPr>
      </w:pPr>
    </w:p>
    <w:p>
      <w:pPr>
        <w:ind w:left="120" w:right="20" w:hanging="4"/>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the Notes due 2062, at any time prior to February 15, 2062 (six (6) months prior to the maturity of the Notes due 2062) (the “2062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2062 Par Call Date, in each case discounted to the redemption date on a semiannual basis (assuming a 360-day year consisting of twelve 30-day months) at the Treasury Rate plus 25 basis points; provided that, if the Notes due 2062 are redeemed on or after the 2062 Par Call Date, the Redemption Price will equal 100% of the principal amount of such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each case, accrued and unpaid interest thereon to the date of redemption.</w:t>
      </w:r>
    </w:p>
    <w:p>
      <w:pPr>
        <w:spacing w:after="0" w:line="18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price for the Comparable Treasury Issue (expressed as a percentage of its principal amount) equal to the Comparable Treasury Price for such redemption date.</w:t>
      </w:r>
    </w:p>
    <w:p>
      <w:pPr>
        <w:spacing w:after="0" w:line="143"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8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“Reference Treasury Dealer” means each of BofA Securities, Inc., Goldman Sachs &amp; Co. LLC, Morgan Stanley &amp; Co.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18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8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51"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5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3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6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8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143" w:lineRule="exact"/>
        <w:rPr>
          <w:sz w:val="20"/>
          <w:szCs w:val="20"/>
          <w:color w:val="auto"/>
        </w:rPr>
      </w:pPr>
    </w:p>
    <w:p>
      <w:pPr>
        <w:ind w:left="120" w:right="480" w:hanging="4"/>
        <w:spacing w:after="0" w:line="277" w:lineRule="auto"/>
        <w:tabs>
          <w:tab w:leader="none" w:pos="510" w:val="left"/>
        </w:tabs>
        <w:numPr>
          <w:ilvl w:val="0"/>
          <w:numId w:val="8"/>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29" w:lineRule="exact"/>
        <w:rPr>
          <w:rFonts w:ascii="Arial" w:cs="Arial" w:eastAsia="Arial" w:hAnsi="Arial"/>
          <w:sz w:val="18"/>
          <w:szCs w:val="18"/>
          <w:color w:val="auto"/>
        </w:rPr>
      </w:pPr>
    </w:p>
    <w:p>
      <w:pPr>
        <w:ind w:left="500" w:hanging="38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9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57"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0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980" w:right="260" w:hanging="432"/>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183"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8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beneficial owners of notes in light of their particular circumstances or to beneficial owners of notes subject to special rules, such as:</w:t>
      </w:r>
    </w:p>
    <w:p>
      <w:pPr>
        <w:spacing w:after="0" w:line="170"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Internal Revenue Code of 1986, as amended (the “Code”).</w:t>
      </w:r>
    </w:p>
    <w:p>
      <w:pPr>
        <w:spacing w:after="0" w:line="130"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a Note</w:t>
      </w:r>
    </w:p>
    <w:p>
      <w:pPr>
        <w:spacing w:after="0" w:line="18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184" w:lineRule="exact"/>
        <w:rPr>
          <w:sz w:val="20"/>
          <w:szCs w:val="20"/>
          <w:color w:val="auto"/>
        </w:rPr>
      </w:pPr>
    </w:p>
    <w:p>
      <w:pPr>
        <w:ind w:left="980" w:right="220" w:hanging="432"/>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146" w:lineRule="exact"/>
        <w:rPr>
          <w:rFonts w:ascii="Arial" w:cs="Arial" w:eastAsia="Arial" w:hAnsi="Arial"/>
          <w:sz w:val="17"/>
          <w:szCs w:val="17"/>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85"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9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8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w:t>
      </w:r>
    </w:p>
    <w:p>
      <w:pPr>
        <w:spacing w:after="0" w:line="16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89"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 Legislation</w:t>
      </w:r>
    </w:p>
    <w:p>
      <w:pPr>
        <w:spacing w:after="0" w:line="18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56"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w:t>
      </w:r>
    </w:p>
    <w:p>
      <w:pPr>
        <w:spacing w:after="0" w:line="12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Notes Due 2031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Notes Due 2052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Notes Due 2062</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To Be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To Be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To Be</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9"/>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192,500,000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165,000,000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137,500,000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192,500,000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165,000,000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137,500,000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126,875,000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90,625,000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126,875,000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108,750,000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90,625,000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126,875,000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90,625,000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Commerz Markets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21,250,000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29,750,000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25,500,000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21,250,000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21,250,000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29,750,000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25,500,000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21,250,000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21,250,000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14,875,000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12,750,000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10,625,000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10,625,000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14,875,000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12,750,000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10,625,000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Blaylock Van, LLC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1,250,000,000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opinions. The underwriters reserve the right to withdraw, cancel or modify offers to the public and to reject orders in whole or in part.</w:t>
      </w:r>
    </w:p>
    <w:p>
      <w:pPr>
        <w:spacing w:after="0" w:line="198"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It is expected that delivery of the notes will be made against payment therefor on or about August 25, 2020, which is the tenth business day following the date hereof (such settlement cycle being referred to as “T+10”). Under Rule 15c6-1 under the Securities Exchange Act of 1934, as amended, trades in the secondary market generally are required to settle in two business days unless the parties to any such trade expressly agree otherwise.</w:t>
      </w:r>
    </w:p>
    <w:p>
      <w:pPr>
        <w:spacing w:after="0" w:line="10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Accordingly, purchasers who wish to trade the notes prior to the second business day preceding the settlement date will be required, by virtue of the fact that the notes initially will settle in T+10, to specify an alternative settlement cycle at the time of any such trade to prevent failed settlement and should consult their own advisors.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public offering price on the cover page of this prospectus supplement, and to dealers at that price less a concession not in excess of 0.250%, 0.450% and 0.500% of the principal amount of the Notes due 2031, the Notes due 2052 and the Notes due 2062, respectively. The underwriters may allow, and the dealers may reallow, a discount not in excess of 0.150%, 0.300% and 0.300% of the principal amount of the Notes due 2031, the Notes due 2052 and the Notes due 2062, respectively, to other dealers. After the initial public offering, the public offering prices, concessions and discounts may be changed.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expenses of the offering, not including the underwriting discount, are estimated to be $2,000,000.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Issue of Notes</w:t>
      </w:r>
    </w:p>
    <w:p>
      <w:pPr>
        <w:spacing w:after="0" w:line="20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0"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3.125% notes due July 15, 2022, 2.85% notes due January 15, 2023, 2.875% notes due January 15, 2023 and 2.75% notes due March 1, 2023, and therefore, certain of the underwriters and/or their respective affiliates may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98"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3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8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w:t>
      </w:r>
    </w:p>
    <w:p>
      <w:pPr>
        <w:spacing w:after="0" w:line="13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5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it has complied with and will comply with all applicable provisions of the FSMA with respect to anything done by it in relation to the notes in, from or otherwise involving the United Kingdom.</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9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160" w:lineRule="exact"/>
        <w:rPr>
          <w:sz w:val="20"/>
          <w:szCs w:val="20"/>
          <w:color w:val="auto"/>
        </w:rPr>
      </w:pPr>
    </w:p>
    <w:p>
      <w:pPr>
        <w:ind w:left="460" w:hanging="34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84" w:lineRule="exact"/>
        <w:rPr>
          <w:rFonts w:ascii="Arial" w:cs="Arial" w:eastAsia="Arial" w:hAnsi="Arial"/>
          <w:sz w:val="18"/>
          <w:szCs w:val="18"/>
          <w:color w:val="auto"/>
        </w:rPr>
      </w:pPr>
    </w:p>
    <w:p>
      <w:pPr>
        <w:ind w:left="520" w:hanging="404"/>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207" w:lineRule="exact"/>
        <w:rPr>
          <w:rFonts w:ascii="Arial" w:cs="Arial" w:eastAsia="Arial" w:hAnsi="Arial"/>
          <w:sz w:val="16"/>
          <w:szCs w:val="16"/>
          <w:color w:val="auto"/>
        </w:rPr>
      </w:pPr>
    </w:p>
    <w:p>
      <w:pPr>
        <w:ind w:left="120" w:right="220" w:hanging="4"/>
        <w:spacing w:after="0" w:line="277"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Whether the notes are subscribed or purchased under Section 275 by a relevant person that is:</w:t>
      </w:r>
    </w:p>
    <w:p>
      <w:pPr>
        <w:spacing w:after="0" w:line="143" w:lineRule="exact"/>
        <w:rPr>
          <w:sz w:val="20"/>
          <w:szCs w:val="20"/>
          <w:color w:val="auto"/>
        </w:rPr>
      </w:pPr>
    </w:p>
    <w:p>
      <w:pPr>
        <w:ind w:left="120" w:right="100" w:hanging="4"/>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120" w:right="60" w:hanging="4"/>
        <w:spacing w:after="0" w:line="259" w:lineRule="auto"/>
        <w:tabs>
          <w:tab w:leader="none" w:pos="5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46" w:lineRule="exact"/>
        <w:rPr>
          <w:sz w:val="20"/>
          <w:szCs w:val="20"/>
          <w:color w:val="auto"/>
        </w:rPr>
      </w:pPr>
    </w:p>
    <w:p>
      <w:pPr>
        <w:ind w:left="120" w:right="160" w:hanging="4"/>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43" w:lineRule="exact"/>
        <w:rPr>
          <w:rFonts w:ascii="Arial" w:cs="Arial" w:eastAsia="Arial" w:hAnsi="Arial"/>
          <w:sz w:val="18"/>
          <w:szCs w:val="18"/>
          <w:color w:val="auto"/>
        </w:rPr>
      </w:pPr>
    </w:p>
    <w:p>
      <w:pPr>
        <w:ind w:left="500" w:hanging="384"/>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500" w:hanging="384"/>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 (1)(c)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9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85"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38" w:lineRule="exact"/>
        <w:rPr>
          <w:sz w:val="20"/>
          <w:szCs w:val="20"/>
          <w:color w:val="auto"/>
        </w:rPr>
      </w:pPr>
    </w:p>
    <w:p>
      <w:pPr>
        <w:ind w:left="500" w:hanging="384"/>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70" w:lineRule="exact"/>
        <w:rPr>
          <w:rFonts w:ascii="Arial" w:cs="Arial" w:eastAsia="Arial" w:hAnsi="Arial"/>
          <w:sz w:val="16"/>
          <w:szCs w:val="16"/>
          <w:color w:val="auto"/>
        </w:rPr>
      </w:pPr>
    </w:p>
    <w:p>
      <w:pPr>
        <w:ind w:left="120" w:right="140" w:hanging="4"/>
        <w:spacing w:after="0" w:line="277" w:lineRule="auto"/>
        <w:tabs>
          <w:tab w:leader="none" w:pos="5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29" w:lineRule="exact"/>
        <w:rPr>
          <w:rFonts w:ascii="Arial" w:cs="Arial" w:eastAsia="Arial" w:hAnsi="Arial"/>
          <w:sz w:val="18"/>
          <w:szCs w:val="18"/>
          <w:color w:val="auto"/>
        </w:rPr>
      </w:pPr>
    </w:p>
    <w:p>
      <w:pPr>
        <w:ind w:left="120" w:right="200" w:hanging="4"/>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120" w:right="40" w:hanging="4"/>
        <w:spacing w:after="0" w:line="269" w:lineRule="auto"/>
        <w:tabs>
          <w:tab w:leader="none" w:pos="3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Vice President, Senior Deputy General Counsel and Assistant Secretary, Francis M. Buono, Esquire, Senior Vice President, Legal Regulatory Affairs and Senior Deputy General Counsel of Comcast Corporation, and by Davis Polk &amp; Wardwell LLP, New York, New York. Cahill Gordon &amp; Reindel LLP, New York, New York, is representing the underwriters.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(for purposes of this paragraph only, “Comcast Corporation”), incorporated herein by reference from Comcast Corporation’s Annual Report on Form 10-K for the year ended December 31, 2019,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herein by reference from NBCUniversal Media, LLC’s Annual Report on Form 10-K for the year ended December 31, 2019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194945</wp:posOffset>
            </wp:positionV>
            <wp:extent cx="1397000" cy="488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120" w:right="440" w:firstLine="440"/>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6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20" w:right="380" w:firstLine="440"/>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40" w:type="dxa"/>
            <w:vAlign w:val="bottom"/>
            <w:vMerge w:val="restart"/>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The Companies</w:t>
              </w:r>
            </w:hyperlink>
          </w:p>
        </w:tc>
        <w:tc>
          <w:tcPr>
            <w:tcW w:w="66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201"/>
        </w:trPr>
        <w:tc>
          <w:tcPr>
            <w:tcW w:w="4040" w:type="dxa"/>
            <w:vAlign w:val="bottom"/>
            <w:vMerge w:val="continue"/>
          </w:tcPr>
          <w:p>
            <w:pPr>
              <w:spacing w:after="0"/>
              <w:rPr>
                <w:sz w:val="17"/>
                <w:szCs w:val="17"/>
                <w:color w:val="auto"/>
              </w:rPr>
            </w:pPr>
          </w:p>
        </w:tc>
        <w:tc>
          <w:tcPr>
            <w:tcW w:w="6600" w:type="dxa"/>
            <w:vAlign w:val="bottom"/>
          </w:tcPr>
          <w:p>
            <w:pPr>
              <w:spacing w:after="0"/>
              <w:rPr>
                <w:sz w:val="17"/>
                <w:szCs w:val="17"/>
                <w:color w:val="auto"/>
              </w:rPr>
            </w:pPr>
          </w:p>
        </w:tc>
        <w:tc>
          <w:tcPr>
            <w:tcW w:w="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Caution Concerning Forward-Looking Statements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Use of Proceeds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Dividend Policy</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Description of Debt Securities and Guarantees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Global Securities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Description of Capital Stock</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Plan of Distribution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Matters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Experts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04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Available Information</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04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Incorporation of Certain Documents by Reference</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120" w:right="60" w:hanging="4"/>
        <w:spacing w:after="0" w:line="255" w:lineRule="auto"/>
        <w:tabs>
          <w:tab w:leader="none" w:pos="3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6" w:lineRule="exact"/>
        <w:rPr>
          <w:rFonts w:ascii="Arial" w:cs="Arial" w:eastAsia="Arial" w:hAnsi="Arial"/>
          <w:sz w:val="18"/>
          <w:szCs w:val="18"/>
          <w:color w:val="auto"/>
        </w:rPr>
      </w:pPr>
    </w:p>
    <w:p>
      <w:pPr>
        <w:ind w:left="1080" w:right="180" w:hanging="424"/>
        <w:spacing w:after="0" w:line="262"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080" w:right="100" w:hanging="424"/>
        <w:spacing w:after="0" w:line="262"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080" w:right="240" w:hanging="424"/>
        <w:spacing w:after="0" w:line="262"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080" w:right="140" w:hanging="424"/>
        <w:spacing w:after="0" w:line="334"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ind w:left="1080" w:right="260" w:hanging="424"/>
        <w:spacing w:after="0" w:line="334" w:lineRule="auto"/>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ind w:left="1080" w:right="180" w:hanging="424"/>
        <w:spacing w:after="0" w:line="262"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hanging="424"/>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80" w:right="22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080" w:right="48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080" w:right="180" w:hanging="424"/>
        <w:spacing w:after="0" w:line="33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080" w:right="54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80" w:right="44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80" w:right="36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80" w:hanging="424"/>
        <w:spacing w:after="0" w:line="33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080" w:right="10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8"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3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80" w:right="20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80" w:right="3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80" w:right="52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120" w:right="160" w:firstLine="436"/>
        <w:spacing w:after="0" w:line="268" w:lineRule="auto"/>
        <w:tabs>
          <w:tab w:leader="none" w:pos="79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36"/>
        <w:spacing w:after="0" w:line="268" w:lineRule="auto"/>
        <w:tabs>
          <w:tab w:leader="none" w:pos="8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120" w:right="80" w:firstLine="436"/>
        <w:spacing w:after="0" w:line="268" w:lineRule="auto"/>
        <w:tabs>
          <w:tab w:leader="none" w:pos="7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120" w:right="380" w:firstLine="436"/>
        <w:spacing w:after="0" w:line="306" w:lineRule="auto"/>
        <w:tabs>
          <w:tab w:leader="none" w:pos="8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6" w:lineRule="exact"/>
        <w:rPr>
          <w:sz w:val="20"/>
          <w:szCs w:val="20"/>
          <w:color w:val="auto"/>
        </w:rPr>
      </w:pPr>
    </w:p>
    <w:p>
      <w:pPr>
        <w:jc w:val="both"/>
        <w:ind w:left="120" w:firstLine="440"/>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120" w:right="180" w:firstLine="440"/>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120" w:hanging="4"/>
        <w:spacing w:after="0" w:line="260"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9" w:lineRule="exact"/>
        <w:rPr>
          <w:sz w:val="20"/>
          <w:szCs w:val="20"/>
          <w:color w:val="auto"/>
        </w:rPr>
      </w:pPr>
    </w:p>
    <w:p>
      <w:pPr>
        <w:ind w:left="120" w:right="240" w:firstLine="440"/>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5"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120" w:right="180" w:firstLine="436"/>
        <w:spacing w:after="0" w:line="259" w:lineRule="auto"/>
        <w:tabs>
          <w:tab w:leader="none" w:pos="7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39" w:lineRule="exact"/>
        <w:rPr>
          <w:rFonts w:ascii="Arial" w:cs="Arial" w:eastAsia="Arial" w:hAnsi="Arial"/>
          <w:sz w:val="18"/>
          <w:szCs w:val="18"/>
          <w:color w:val="auto"/>
        </w:rPr>
      </w:pPr>
    </w:p>
    <w:p>
      <w:pPr>
        <w:ind w:left="120" w:right="40" w:firstLine="436"/>
        <w:spacing w:after="0" w:line="291" w:lineRule="auto"/>
        <w:tabs>
          <w:tab w:leader="none" w:pos="8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19" w:lineRule="exact"/>
        <w:rPr>
          <w:rFonts w:ascii="Arial" w:cs="Arial" w:eastAsia="Arial" w:hAnsi="Arial"/>
          <w:sz w:val="16"/>
          <w:szCs w:val="16"/>
          <w:color w:val="auto"/>
        </w:rPr>
      </w:pPr>
    </w:p>
    <w:p>
      <w:pPr>
        <w:ind w:left="120" w:right="840" w:firstLine="436"/>
        <w:spacing w:after="0" w:line="268" w:lineRule="auto"/>
        <w:tabs>
          <w:tab w:leader="none" w:pos="7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120" w:right="460" w:firstLine="436"/>
        <w:spacing w:after="0" w:line="268" w:lineRule="auto"/>
        <w:tabs>
          <w:tab w:leader="none" w:pos="8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120" w:right="200" w:firstLine="436"/>
        <w:spacing w:after="0" w:line="268" w:lineRule="auto"/>
        <w:tabs>
          <w:tab w:leader="none" w:pos="7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120" w:right="400" w:firstLine="436"/>
        <w:spacing w:after="0" w:line="306"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800" w:hanging="24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120" w:right="140" w:firstLine="436"/>
        <w:spacing w:after="0" w:line="259" w:lineRule="auto"/>
        <w:tabs>
          <w:tab w:leader="none" w:pos="8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39" w:lineRule="exact"/>
        <w:rPr>
          <w:rFonts w:ascii="Arial" w:cs="Arial" w:eastAsia="Arial" w:hAnsi="Arial"/>
          <w:sz w:val="18"/>
          <w:szCs w:val="18"/>
          <w:color w:val="auto"/>
        </w:rPr>
      </w:pPr>
    </w:p>
    <w:p>
      <w:pPr>
        <w:ind w:left="120" w:right="120" w:firstLine="436"/>
        <w:spacing w:after="0" w:line="268" w:lineRule="auto"/>
        <w:tabs>
          <w:tab w:leader="none" w:pos="7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120" w:firstLine="436"/>
        <w:spacing w:after="0" w:line="268" w:lineRule="auto"/>
        <w:tabs>
          <w:tab w:leader="none" w:pos="7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120" w:right="20" w:firstLine="436"/>
        <w:spacing w:after="0" w:line="259" w:lineRule="auto"/>
        <w:tabs>
          <w:tab w:leader="none" w:pos="8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39" w:lineRule="exact"/>
        <w:rPr>
          <w:rFonts w:ascii="Arial" w:cs="Arial" w:eastAsia="Arial" w:hAnsi="Arial"/>
          <w:sz w:val="18"/>
          <w:szCs w:val="18"/>
          <w:color w:val="auto"/>
        </w:rPr>
      </w:pPr>
    </w:p>
    <w:p>
      <w:pPr>
        <w:ind w:left="760" w:hanging="20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36"/>
        <w:spacing w:after="0" w:line="268" w:lineRule="auto"/>
        <w:tabs>
          <w:tab w:leader="none" w:pos="8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800" w:hanging="24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120" w:right="160" w:firstLine="436"/>
        <w:spacing w:after="0" w:line="268" w:lineRule="auto"/>
        <w:tabs>
          <w:tab w:leader="none" w:pos="8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120" w:right="260" w:firstLine="436"/>
        <w:spacing w:after="0" w:line="268" w:lineRule="auto"/>
        <w:tabs>
          <w:tab w:leader="none" w:pos="8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120" w:right="200" w:firstLine="436"/>
        <w:spacing w:after="0" w:line="369" w:lineRule="auto"/>
        <w:tabs>
          <w:tab w:leader="none" w:pos="809" w:val="left"/>
        </w:tabs>
        <w:numPr>
          <w:ilvl w:val="0"/>
          <w:numId w:val="29"/>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3" w:lineRule="exact"/>
        <w:rPr>
          <w:rFonts w:ascii="Arial" w:cs="Arial" w:eastAsia="Arial" w:hAnsi="Arial"/>
          <w:sz w:val="15"/>
          <w:szCs w:val="15"/>
          <w:color w:val="auto"/>
        </w:rPr>
      </w:pPr>
    </w:p>
    <w:p>
      <w:pPr>
        <w:ind w:left="120" w:right="220" w:firstLine="436"/>
        <w:spacing w:after="0" w:line="306"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780" w:hanging="224"/>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120" w:right="980" w:firstLine="440"/>
        <w:spacing w:after="0" w:line="331"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7"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120" w:right="340" w:firstLine="440"/>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120" w:right="120" w:firstLine="440"/>
        <w:spacing w:after="0" w:line="369"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right="100" w:hanging="424"/>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120" w:firstLine="440"/>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140" w:hanging="424"/>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080" w:right="120" w:hanging="424"/>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7" w:lineRule="exact"/>
        <w:rPr>
          <w:sz w:val="20"/>
          <w:szCs w:val="20"/>
          <w:color w:val="auto"/>
        </w:rPr>
      </w:pPr>
    </w:p>
    <w:p>
      <w:pPr>
        <w:ind w:left="120" w:right="400" w:firstLine="440"/>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5" w:lineRule="exact"/>
        <w:rPr>
          <w:sz w:val="20"/>
          <w:szCs w:val="20"/>
          <w:color w:val="auto"/>
        </w:rPr>
      </w:pPr>
    </w:p>
    <w:p>
      <w:pPr>
        <w:ind w:left="1080" w:right="10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8"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080" w:right="12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80" w:right="340" w:hanging="424"/>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20"/>
        <w:spacing w:after="0" w:line="331"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7"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800" w:hanging="24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120" w:right="260" w:firstLine="436"/>
        <w:spacing w:after="0" w:line="298" w:lineRule="auto"/>
        <w:tabs>
          <w:tab w:leader="none" w:pos="7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800" w:hanging="244"/>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00" w:hanging="24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2" w:lineRule="exact"/>
        <w:rPr>
          <w:sz w:val="20"/>
          <w:szCs w:val="20"/>
          <w:color w:val="auto"/>
        </w:rPr>
      </w:pPr>
    </w:p>
    <w:p>
      <w:pPr>
        <w:jc w:val="both"/>
        <w:ind w:left="120" w:right="180" w:firstLine="440"/>
        <w:spacing w:after="0" w:line="369"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5" w:lineRule="exact"/>
        <w:rPr>
          <w:sz w:val="20"/>
          <w:szCs w:val="20"/>
          <w:color w:val="auto"/>
        </w:rPr>
      </w:pPr>
    </w:p>
    <w:p>
      <w:pPr>
        <w:ind w:left="120" w:right="440" w:firstLine="440"/>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24" w:lineRule="exact"/>
        <w:rPr>
          <w:sz w:val="20"/>
          <w:szCs w:val="20"/>
          <w:color w:val="auto"/>
        </w:rPr>
      </w:pPr>
    </w:p>
    <w:p>
      <w:pPr>
        <w:jc w:val="both"/>
        <w:ind w:left="120" w:right="40" w:firstLine="440"/>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080" w:right="540" w:hanging="424"/>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080" w:right="60" w:hanging="424"/>
        <w:spacing w:after="0" w:line="294"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080" w:right="280" w:hanging="424"/>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80" w:hanging="424"/>
        <w:spacing w:after="0" w:line="369"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4"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5"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80" w:right="380" w:hanging="424"/>
        <w:spacing w:after="0" w:line="30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80" w:right="100" w:hanging="424"/>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80" w:right="240" w:hanging="424"/>
        <w:spacing w:after="0" w:line="356"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 w:lineRule="exact"/>
        <w:rPr>
          <w:rFonts w:ascii="Arial" w:cs="Arial" w:eastAsia="Arial" w:hAnsi="Arial"/>
          <w:sz w:val="15"/>
          <w:szCs w:val="15"/>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1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80" w:right="100" w:hanging="424"/>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080" w:right="100" w:hanging="424"/>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1" w:lineRule="exact"/>
        <w:rPr>
          <w:rFonts w:ascii="Arial" w:cs="Arial" w:eastAsia="Arial" w:hAnsi="Arial"/>
          <w:sz w:val="18"/>
          <w:szCs w:val="18"/>
          <w:color w:val="auto"/>
        </w:rPr>
      </w:pPr>
    </w:p>
    <w:p>
      <w:pPr>
        <w:ind w:left="1080" w:right="40" w:hanging="424"/>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5" w:lineRule="exact"/>
        <w:rPr>
          <w:rFonts w:ascii="Arial" w:cs="Arial" w:eastAsia="Arial" w:hAnsi="Arial"/>
          <w:sz w:val="18"/>
          <w:szCs w:val="18"/>
          <w:color w:val="auto"/>
        </w:rPr>
      </w:pPr>
    </w:p>
    <w:p>
      <w:pPr>
        <w:ind w:left="1080" w:right="16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8"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8"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120" w:right="540" w:firstLine="440"/>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80" w:right="260" w:hanging="424"/>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80" w:right="72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120" w:right="360" w:firstLine="440"/>
        <w:spacing w:after="0" w:line="369" w:lineRule="auto"/>
        <w:rPr>
          <w:sz w:val="20"/>
          <w:szCs w:val="20"/>
          <w:color w:val="auto"/>
        </w:rPr>
      </w:pPr>
      <w:r>
        <w:rPr>
          <w:rFonts w:ascii="Arial" w:cs="Arial" w:eastAsia="Arial" w:hAnsi="Arial"/>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19"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15"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120" w:right="140" w:firstLine="440"/>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34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442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6"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4"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2" w:lineRule="exact"/>
        <w:rPr>
          <w:sz w:val="20"/>
          <w:szCs w:val="20"/>
          <w:color w:val="auto"/>
        </w:rPr>
      </w:pPr>
    </w:p>
    <w:p>
      <w:pPr>
        <w:jc w:val="both"/>
        <w:ind w:left="120" w:right="60" w:firstLine="440"/>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7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78">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9">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filed on April 25, 2019 and July 25, 2019, respectively.</w:t>
      </w:r>
    </w:p>
    <w:p>
      <w:pPr>
        <w:spacing w:after="0" w:line="5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80">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2">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83">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80" w:right="66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8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080" w:right="360" w:hanging="424"/>
        <w:spacing w:after="0" w:line="33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85">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7" w:lineRule="exact"/>
        <w:rPr>
          <w:rFonts w:ascii="Arial" w:cs="Arial" w:eastAsia="Arial" w:hAnsi="Arial"/>
          <w:sz w:val="18"/>
          <w:szCs w:val="18"/>
          <w:color w:val="auto"/>
        </w:rPr>
      </w:pPr>
    </w:p>
    <w:p>
      <w:pPr>
        <w:ind w:left="120" w:firstLine="440"/>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205740</wp:posOffset>
            </wp:positionV>
            <wp:extent cx="1397000" cy="488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$1,750,000,000 1.500% Notes due 2031</w:t>
      </w:r>
    </w:p>
    <w:p>
      <w:pPr>
        <w:spacing w:after="0" w:line="179"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$1,500,000,000 2.450% Notes due 2052</w:t>
      </w:r>
    </w:p>
    <w:p>
      <w:pPr>
        <w:spacing w:after="0" w:line="179"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$1,250,000,000 2.650% Notes due 2062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1237615</wp:posOffset>
            </wp:positionV>
            <wp:extent cx="699516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BofA Securities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440690</wp:posOffset>
            </wp:positionV>
            <wp:extent cx="2726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Wells Fargo Securities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Mizuho Securities</w:t>
      </w:r>
    </w:p>
    <w:p>
      <w:pPr>
        <w:spacing w:after="0" w:line="200" w:lineRule="exact"/>
        <w:rPr>
          <w:sz w:val="20"/>
          <w:szCs w:val="20"/>
          <w:color w:val="auto"/>
        </w:rPr>
      </w:pPr>
    </w:p>
    <w:p>
      <w:pPr>
        <w:sectPr>
          <w:pgSz w:w="11900" w:h="16838" w:orient="portrait"/>
          <w:cols w:equalWidth="0" w:num="5">
            <w:col w:w="2340" w:space="720"/>
            <w:col w:w="2060" w:space="140"/>
            <w:col w:w="920" w:space="280"/>
            <w:col w:w="2280" w:space="720"/>
            <w:col w:w="168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August 11, 2020</w:t>
      </w: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3"/>
    </w:lvl>
    <w:lvl w:ilvl="1">
      <w:lvlJc w:val="left"/>
      <w:lvlText w:val="•"/>
      <w:numFmt w:val="bullet"/>
      <w:start w:val="1"/>
    </w:lvl>
  </w:abstractNum>
  <w:abstractNum w:abstractNumId="3">
    <w:nsid w:val="8EDBDAB"/>
    <w:multiLevelType w:val="hybridMultilevel"/>
    <w:lvl w:ilvl="0">
      <w:lvlJc w:val="left"/>
      <w:lvlText w:val="(%1)"/>
      <w:numFmt w:val="decimal"/>
      <w:start w:val="215"/>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lvl w:ilvl="1">
      <w:lvlJc w:val="left"/>
      <w:lvlText w:val="•"/>
      <w:numFmt w:val="bullet"/>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decimal"/>
      <w:start w:val="1"/>
    </w:lvl>
    <w:lvl w:ilvl="1">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3"/>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jpe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jpe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16" Type="http://schemas.openxmlformats.org/officeDocument/2006/relationships/hyperlink" Target="http://www.sec.gov/Archives/edgar/data/902739/000116669120000008/cmcsa-12312019x10k.htm" TargetMode="External"/><Relationship Id="rId17" Type="http://schemas.openxmlformats.org/officeDocument/2006/relationships/hyperlink" Target="http://www.sec.gov/Archives/edgar/data/1166691/000116669120000024/cmcsa-6302020x10q.htm" TargetMode="External"/><Relationship Id="rId18" Type="http://schemas.openxmlformats.org/officeDocument/2006/relationships/hyperlink" Target="http://www.sec.gov/Archives/edgar/data/1166691/000119312520043519/d859188d8k.htm" TargetMode="External"/><Relationship Id="rId19" Type="http://schemas.openxmlformats.org/officeDocument/2006/relationships/hyperlink" Target="http://www.sec.gov/Archives/edgar/data/1166691/000119312520083230/d905896d8k.htm" TargetMode="External"/><Relationship Id="rId20" Type="http://schemas.openxmlformats.org/officeDocument/2006/relationships/hyperlink" Target="http://www.sec.gov/Archives/edgar/data/1166691/000119312520088734/d905110d8k.htm" TargetMode="External"/><Relationship Id="rId21" Type="http://schemas.openxmlformats.org/officeDocument/2006/relationships/hyperlink" Target="http://www.sec.gov/Archives/edgar/data/1166691/000119312520154347/d858193d8k.htm" TargetMode="External"/><Relationship Id="rId22" Type="http://schemas.openxmlformats.org/officeDocument/2006/relationships/hyperlink" Target="http://www.sec.gov/Archives/edgar/data/1166691/000095010320011430/dp130021_8k.htm" TargetMode="External"/><Relationship Id="rId23" Type="http://schemas.openxmlformats.org/officeDocument/2006/relationships/hyperlink" Target="http://www.sec.gov/Archives/edgar/data/1166691/000119312520118504/d781322ddef14a.htm" TargetMode="External"/><Relationship Id="rId77" Type="http://schemas.openxmlformats.org/officeDocument/2006/relationships/hyperlink" Target="http://www.sec.gov/Archives/edgar/data/902739/000116669119000005/cmcsa-12312018x10k.htm" TargetMode="External"/><Relationship Id="rId78" Type="http://schemas.openxmlformats.org/officeDocument/2006/relationships/hyperlink" Target="http://www.sec.gov/Archives/edgar/data/902739/000116669119000010/cmcsa-3312019x10q.htm" TargetMode="External"/><Relationship Id="rId79" Type="http://schemas.openxmlformats.org/officeDocument/2006/relationships/hyperlink" Target="http://www.sec.gov/ix?doc=/Archives/edgar/data/902739/000116669119000015/cmcsa-6302019x10q.htm" TargetMode="External"/><Relationship Id="rId80" Type="http://schemas.openxmlformats.org/officeDocument/2006/relationships/hyperlink" Target="http://www.sec.gov/Archives/edgar/data/902739/000095010319006331/dp106765_8k.htm" TargetMode="External"/><Relationship Id="rId81" Type="http://schemas.openxmlformats.org/officeDocument/2006/relationships/hyperlink" Target="http://www.sec.gov/Archives/edgar/data/1166691/000095010319007912/dp108319_8k.htm" TargetMode="External"/><Relationship Id="rId82" Type="http://schemas.openxmlformats.org/officeDocument/2006/relationships/hyperlink" Target="http://www.sec.gov/Archives/edgar/data/902739/000095010319008213/dp108508_8k.htm" TargetMode="External"/><Relationship Id="rId83" Type="http://schemas.openxmlformats.org/officeDocument/2006/relationships/hyperlink" Target="http://www.sec.gov/ix?doc=/Archives/edgar/data/1166691/000119312519210443/d736987d8ka.htm" TargetMode="External"/><Relationship Id="rId84" Type="http://schemas.openxmlformats.org/officeDocument/2006/relationships/hyperlink" Target="http://www.sec.gov/Archives/edgar/data/1166691/000119312519121456/d696198ddef14a.htm" TargetMode="External"/><Relationship Id="rId85"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2020-08-12T16:28:04Z</dcterms:created>
  <dcterms:modified xsi:type="dcterms:W3CDTF">2020-08-12T16:28:04Z</dcterms:modified>
</cp:coreProperties>
</file>