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5878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58787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SHELL JEFF</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202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02/19/2020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4"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COMCAST CORP</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CMCSA</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76"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22"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4"/>
                <w:szCs w:val="14"/>
                <w:color w:val="auto"/>
              </w:rPr>
              <w:t>(Last)</w:t>
            </w:r>
          </w:p>
        </w:tc>
        <w:tc>
          <w:tcPr>
            <w:tcW w:w="1320" w:type="dxa"/>
            <w:vAlign w:val="bottom"/>
          </w:tcPr>
          <w:p>
            <w:pPr>
              <w:ind w:left="340"/>
              <w:spacing w:after="0"/>
              <w:rPr>
                <w:sz w:val="20"/>
                <w:szCs w:val="20"/>
                <w:color w:val="auto"/>
              </w:rPr>
            </w:pPr>
            <w:r>
              <w:rPr>
                <w:rFonts w:ascii="Arial" w:cs="Arial" w:eastAsia="Arial" w:hAnsi="Arial"/>
                <w:sz w:val="14"/>
                <w:szCs w:val="14"/>
                <w:color w:val="auto"/>
              </w:rPr>
              <w:t>(First)</w:t>
            </w:r>
          </w:p>
        </w:tc>
        <w:tc>
          <w:tcPr>
            <w:tcW w:w="1140" w:type="dxa"/>
            <w:vAlign w:val="bottom"/>
          </w:tcPr>
          <w:p>
            <w:pPr>
              <w:ind w:left="10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2100" w:type="dxa"/>
            <w:vAlign w:val="bottom"/>
            <w:gridSpan w:val="2"/>
          </w:tcPr>
          <w:p>
            <w:pPr>
              <w:ind w:left="20"/>
              <w:spacing w:after="0"/>
              <w:rPr>
                <w:sz w:val="20"/>
                <w:szCs w:val="20"/>
                <w:color w:val="auto"/>
              </w:rPr>
            </w:pPr>
            <w:r>
              <w:rPr>
                <w:rFonts w:ascii="Arial" w:cs="Arial" w:eastAsia="Arial" w:hAnsi="Arial"/>
                <w:sz w:val="18"/>
                <w:szCs w:val="18"/>
                <w:color w:val="0000FF"/>
                <w:w w:val="96"/>
              </w:rPr>
              <w:t>ONE COMCAST CENTER</w:t>
            </w:r>
          </w:p>
        </w:tc>
        <w:tc>
          <w:tcPr>
            <w:tcW w:w="1140" w:type="dxa"/>
            <w:vAlign w:val="bottom"/>
          </w:tcPr>
          <w:p>
            <w:pPr>
              <w:spacing w:after="0"/>
              <w:rPr>
                <w:sz w:val="24"/>
                <w:szCs w:val="24"/>
                <w:color w:val="auto"/>
              </w:rPr>
            </w:pPr>
          </w:p>
        </w:tc>
      </w:tr>
      <w:tr>
        <w:trPr>
          <w:trHeight w:val="212"/>
        </w:trPr>
        <w:tc>
          <w:tcPr>
            <w:tcW w:w="20" w:type="dxa"/>
            <w:vAlign w:val="bottom"/>
          </w:tcPr>
          <w:p>
            <w:pPr>
              <w:spacing w:after="0"/>
              <w:rPr>
                <w:sz w:val="18"/>
                <w:szCs w:val="18"/>
                <w:color w:val="auto"/>
              </w:rPr>
            </w:pPr>
          </w:p>
        </w:tc>
        <w:tc>
          <w:tcPr>
            <w:tcW w:w="780" w:type="dxa"/>
            <w:vAlign w:val="bottom"/>
            <w:tcBorders>
              <w:bottom w:val="single" w:sz="8" w:color="9A9A9A"/>
            </w:tcBorders>
          </w:tcPr>
          <w:p>
            <w:pPr>
              <w:spacing w:after="0"/>
              <w:rPr>
                <w:sz w:val="18"/>
                <w:szCs w:val="18"/>
                <w:color w:val="auto"/>
              </w:rPr>
            </w:pPr>
          </w:p>
        </w:tc>
        <w:tc>
          <w:tcPr>
            <w:tcW w:w="1320" w:type="dxa"/>
            <w:vAlign w:val="bottom"/>
            <w:tcBorders>
              <w:bottom w:val="single" w:sz="8" w:color="9A9A9A"/>
            </w:tcBorders>
          </w:tcPr>
          <w:p>
            <w:pPr>
              <w:spacing w:after="0"/>
              <w:rPr>
                <w:sz w:val="18"/>
                <w:szCs w:val="18"/>
                <w:color w:val="auto"/>
              </w:rPr>
            </w:pPr>
          </w:p>
        </w:tc>
        <w:tc>
          <w:tcPr>
            <w:tcW w:w="1140" w:type="dxa"/>
            <w:vAlign w:val="bottom"/>
            <w:tcBorders>
              <w:bottom w:val="single" w:sz="8" w:color="9A9A9A"/>
            </w:tcBorders>
          </w:tcPr>
          <w:p>
            <w:pPr>
              <w:spacing w:after="0"/>
              <w:rPr>
                <w:sz w:val="18"/>
                <w:szCs w:val="18"/>
                <w:color w:val="auto"/>
              </w:rPr>
            </w:pPr>
          </w:p>
        </w:tc>
      </w:tr>
      <w:tr>
        <w:trPr>
          <w:trHeight w:val="270"/>
        </w:trPr>
        <w:tc>
          <w:tcPr>
            <w:tcW w:w="8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32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2100" w:type="dxa"/>
            <w:vAlign w:val="bottom"/>
            <w:gridSpan w:val="2"/>
          </w:tcPr>
          <w:p>
            <w:pPr>
              <w:ind w:left="20"/>
              <w:spacing w:after="0"/>
              <w:rPr>
                <w:sz w:val="20"/>
                <w:szCs w:val="20"/>
                <w:color w:val="auto"/>
              </w:rPr>
            </w:pPr>
            <w:r>
              <w:rPr>
                <w:rFonts w:ascii="Arial" w:cs="Arial" w:eastAsia="Arial" w:hAnsi="Arial"/>
                <w:sz w:val="18"/>
                <w:szCs w:val="18"/>
                <w:color w:val="0000FF"/>
              </w:rPr>
              <w:t>PHILADELPHIA PA</w:t>
            </w:r>
          </w:p>
        </w:tc>
        <w:tc>
          <w:tcPr>
            <w:tcW w:w="1140" w:type="dxa"/>
            <w:vAlign w:val="bottom"/>
          </w:tcPr>
          <w:p>
            <w:pPr>
              <w:jc w:val="right"/>
              <w:ind w:right="446"/>
              <w:spacing w:after="0"/>
              <w:rPr>
                <w:sz w:val="20"/>
                <w:szCs w:val="20"/>
                <w:color w:val="auto"/>
              </w:rPr>
            </w:pPr>
            <w:r>
              <w:rPr>
                <w:rFonts w:ascii="Arial" w:cs="Arial" w:eastAsia="Arial" w:hAnsi="Arial"/>
                <w:sz w:val="18"/>
                <w:szCs w:val="18"/>
                <w:color w:val="0000FF"/>
              </w:rPr>
              <w:t>19103</w:t>
            </w:r>
          </w:p>
        </w:tc>
      </w:tr>
      <w:tr>
        <w:trPr>
          <w:trHeight w:val="158"/>
        </w:trPr>
        <w:tc>
          <w:tcPr>
            <w:tcW w:w="2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r>
      <w:tr>
        <w:trPr>
          <w:trHeight w:val="310"/>
        </w:trPr>
        <w:tc>
          <w:tcPr>
            <w:tcW w:w="20" w:type="dxa"/>
            <w:vAlign w:val="bottom"/>
          </w:tcPr>
          <w:p>
            <w:pPr>
              <w:spacing w:after="0"/>
              <w:rPr>
                <w:sz w:val="24"/>
                <w:szCs w:val="24"/>
                <w:color w:val="auto"/>
              </w:rPr>
            </w:pPr>
          </w:p>
        </w:tc>
        <w:tc>
          <w:tcPr>
            <w:tcW w:w="780" w:type="dxa"/>
            <w:vAlign w:val="bottom"/>
          </w:tcPr>
          <w:p>
            <w:pPr>
              <w:ind w:left="20"/>
              <w:spacing w:after="0"/>
              <w:rPr>
                <w:sz w:val="20"/>
                <w:szCs w:val="20"/>
                <w:color w:val="auto"/>
              </w:rPr>
            </w:pPr>
            <w:r>
              <w:rPr>
                <w:rFonts w:ascii="Arial" w:cs="Arial" w:eastAsia="Arial" w:hAnsi="Arial"/>
                <w:sz w:val="14"/>
                <w:szCs w:val="14"/>
                <w:color w:val="auto"/>
              </w:rPr>
              <w:t>(City)</w:t>
            </w:r>
          </w:p>
        </w:tc>
        <w:tc>
          <w:tcPr>
            <w:tcW w:w="1320" w:type="dxa"/>
            <w:vAlign w:val="bottom"/>
          </w:tcPr>
          <w:p>
            <w:pPr>
              <w:ind w:left="340"/>
              <w:spacing w:after="0"/>
              <w:rPr>
                <w:sz w:val="20"/>
                <w:szCs w:val="20"/>
                <w:color w:val="auto"/>
              </w:rPr>
            </w:pPr>
            <w:r>
              <w:rPr>
                <w:rFonts w:ascii="Arial" w:cs="Arial" w:eastAsia="Arial" w:hAnsi="Arial"/>
                <w:sz w:val="14"/>
                <w:szCs w:val="14"/>
                <w:color w:val="auto"/>
              </w:rPr>
              <w:t>(State)</w:t>
            </w:r>
          </w:p>
        </w:tc>
        <w:tc>
          <w:tcPr>
            <w:tcW w:w="1140" w:type="dxa"/>
            <w:vAlign w:val="bottom"/>
          </w:tcPr>
          <w:p>
            <w:pPr>
              <w:ind w:left="10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66"/>
        <w:spacing w:after="0"/>
        <w:rPr>
          <w:sz w:val="20"/>
          <w:szCs w:val="20"/>
          <w:color w:val="auto"/>
        </w:rPr>
      </w:pPr>
      <w:r>
        <w:rPr>
          <w:rFonts w:ascii="Arial" w:cs="Arial" w:eastAsia="Arial" w:hAnsi="Arial"/>
          <w:sz w:val="18"/>
          <w:szCs w:val="18"/>
          <w:color w:val="0000FF"/>
        </w:rPr>
        <w:t>CEO - NBCUniversal</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43"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495"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6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760" w:type="dxa"/>
            <w:vAlign w:val="bottom"/>
            <w:gridSpan w:val="2"/>
          </w:tcPr>
          <w:p>
            <w:pPr>
              <w:ind w:left="660"/>
              <w:spacing w:after="0"/>
              <w:rPr>
                <w:sz w:val="20"/>
                <w:szCs w:val="20"/>
                <w:color w:val="auto"/>
              </w:rPr>
            </w:pPr>
            <w:r>
              <w:rPr>
                <w:rFonts w:ascii="Arial" w:cs="Arial" w:eastAsia="Arial" w:hAnsi="Arial"/>
                <w:sz w:val="14"/>
                <w:szCs w:val="14"/>
                <w:b w:val="1"/>
                <w:bCs w:val="1"/>
                <w:color w:val="auto"/>
              </w:rPr>
              <w:t>2. Amount of Securities</w:t>
            </w:r>
          </w:p>
        </w:tc>
        <w:tc>
          <w:tcPr>
            <w:tcW w:w="1120" w:type="dxa"/>
            <w:vAlign w:val="bottom"/>
            <w:gridSpan w:val="2"/>
          </w:tcPr>
          <w:p>
            <w:pPr>
              <w:ind w:left="80"/>
              <w:spacing w:after="0"/>
              <w:rPr>
                <w:sz w:val="20"/>
                <w:szCs w:val="20"/>
                <w:color w:val="auto"/>
              </w:rPr>
            </w:pPr>
            <w:r>
              <w:rPr>
                <w:rFonts w:ascii="Arial" w:cs="Arial" w:eastAsia="Arial" w:hAnsi="Arial"/>
                <w:sz w:val="14"/>
                <w:szCs w:val="14"/>
                <w:b w:val="1"/>
                <w:bCs w:val="1"/>
                <w:color w:val="auto"/>
              </w:rPr>
              <w:t>3. Ownership</w:t>
            </w:r>
          </w:p>
        </w:tc>
        <w:tc>
          <w:tcPr>
            <w:tcW w:w="3100" w:type="dxa"/>
            <w:vAlign w:val="bottom"/>
            <w:gridSpan w:val="4"/>
          </w:tcPr>
          <w:p>
            <w:pPr>
              <w:ind w:left="200"/>
              <w:spacing w:after="0"/>
              <w:rPr>
                <w:sz w:val="20"/>
                <w:szCs w:val="20"/>
                <w:color w:val="auto"/>
              </w:rPr>
            </w:pPr>
            <w:r>
              <w:rPr>
                <w:rFonts w:ascii="Arial" w:cs="Arial" w:eastAsia="Arial" w:hAnsi="Arial"/>
                <w:sz w:val="14"/>
                <w:szCs w:val="14"/>
                <w:b w:val="1"/>
                <w:bCs w:val="1"/>
                <w:color w:val="auto"/>
              </w:rPr>
              <w:t>4. Nature of Indirect 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760" w:type="dxa"/>
            <w:vAlign w:val="bottom"/>
            <w:gridSpan w:val="2"/>
          </w:tcPr>
          <w:p>
            <w:pPr>
              <w:ind w:left="66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1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5"/>
              </w:rPr>
              <w:t>Form: Direct (D)</w:t>
            </w:r>
          </w:p>
        </w:tc>
        <w:tc>
          <w:tcPr>
            <w:tcW w:w="1460" w:type="dxa"/>
            <w:vAlign w:val="bottom"/>
            <w:gridSpan w:val="2"/>
          </w:tcPr>
          <w:p>
            <w:pPr>
              <w:ind w:left="200"/>
              <w:spacing w:after="0" w:line="149" w:lineRule="exact"/>
              <w:rPr>
                <w:sz w:val="20"/>
                <w:szCs w:val="20"/>
                <w:color w:val="auto"/>
              </w:rPr>
            </w:pPr>
            <w:r>
              <w:rPr>
                <w:rFonts w:ascii="Arial" w:cs="Arial" w:eastAsia="Arial" w:hAnsi="Arial"/>
                <w:sz w:val="14"/>
                <w:szCs w:val="14"/>
                <w:b w:val="1"/>
                <w:bCs w:val="1"/>
                <w:color w:val="auto"/>
              </w:rPr>
              <w:t>(Instr. 5)</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1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or Indirect (I)</w:t>
            </w:r>
          </w:p>
        </w:tc>
        <w:tc>
          <w:tcPr>
            <w:tcW w:w="5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4"/>
                <w:szCs w:val="14"/>
                <w:b w:val="1"/>
                <w:bCs w:val="1"/>
                <w:color w:val="auto"/>
              </w:rPr>
              <w:t>(Instr. 5)</w:t>
            </w:r>
          </w:p>
        </w:tc>
        <w:tc>
          <w:tcPr>
            <w:tcW w:w="3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9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Class A Common Stock</w:t>
            </w:r>
          </w:p>
        </w:tc>
        <w:tc>
          <w:tcPr>
            <w:tcW w:w="6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960" w:type="dxa"/>
            <w:vAlign w:val="bottom"/>
          </w:tcPr>
          <w:p>
            <w:pPr>
              <w:ind w:left="440"/>
              <w:spacing w:after="0"/>
              <w:rPr>
                <w:sz w:val="20"/>
                <w:szCs w:val="20"/>
                <w:color w:val="auto"/>
              </w:rPr>
            </w:pPr>
            <w:r>
              <w:rPr>
                <w:rFonts w:ascii="Arial" w:cs="Arial" w:eastAsia="Arial" w:hAnsi="Arial"/>
                <w:sz w:val="18"/>
                <w:szCs w:val="18"/>
                <w:color w:val="0000FF"/>
              </w:rPr>
              <w:t>297,180.971</w:t>
            </w:r>
          </w:p>
        </w:tc>
        <w:tc>
          <w:tcPr>
            <w:tcW w:w="820" w:type="dxa"/>
            <w:vAlign w:val="bottom"/>
          </w:tcPr>
          <w:p>
            <w:pPr>
              <w:ind w:left="560"/>
              <w:spacing w:after="0"/>
              <w:rPr>
                <w:sz w:val="20"/>
                <w:szCs w:val="20"/>
                <w:color w:val="auto"/>
              </w:rPr>
            </w:pPr>
            <w:r>
              <w:rPr>
                <w:rFonts w:ascii="Arial" w:cs="Arial" w:eastAsia="Arial" w:hAnsi="Arial"/>
                <w:sz w:val="18"/>
                <w:szCs w:val="18"/>
                <w:color w:val="0000FF"/>
              </w:rPr>
              <w:t>D</w:t>
            </w:r>
          </w:p>
        </w:tc>
        <w:tc>
          <w:tcPr>
            <w:tcW w:w="3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288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4480" w:type="dxa"/>
            <w:vAlign w:val="bottom"/>
            <w:tcBorders>
              <w:bottom w:val="single" w:sz="8" w:color="2C2C2C"/>
            </w:tcBorders>
            <w:gridSpan w:val="4"/>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16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88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4480" w:type="dxa"/>
            <w:vAlign w:val="bottom"/>
            <w:tcBorders>
              <w:top w:val="single" w:sz="8" w:color="2C2C2C"/>
            </w:tcBorders>
            <w:gridSpan w:val="4"/>
          </w:tcPr>
          <w:p>
            <w:pPr>
              <w:ind w:left="10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30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5420" w:type="dxa"/>
            <w:vAlign w:val="bottom"/>
            <w:gridSpan w:val="6"/>
          </w:tcPr>
          <w:p>
            <w:pPr>
              <w:ind w:left="4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5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2"/>
          </w:tcPr>
          <w:p>
            <w:pPr>
              <w:spacing w:after="0"/>
              <w:rPr>
                <w:sz w:val="4"/>
                <w:szCs w:val="4"/>
                <w:color w:val="auto"/>
              </w:rPr>
            </w:pPr>
          </w:p>
        </w:tc>
        <w:tc>
          <w:tcPr>
            <w:tcW w:w="278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640" w:type="dxa"/>
            <w:vAlign w:val="bottom"/>
          </w:tcPr>
          <w:p>
            <w:pPr>
              <w:spacing w:after="0"/>
              <w:rPr>
                <w:sz w:val="16"/>
                <w:szCs w:val="16"/>
                <w:color w:val="auto"/>
              </w:rPr>
            </w:pPr>
          </w:p>
        </w:tc>
        <w:tc>
          <w:tcPr>
            <w:tcW w:w="1700" w:type="dxa"/>
            <w:vAlign w:val="bottom"/>
            <w:gridSpan w:val="2"/>
          </w:tcPr>
          <w:p>
            <w:pPr>
              <w:ind w:left="80"/>
              <w:spacing w:after="0"/>
              <w:rPr>
                <w:sz w:val="20"/>
                <w:szCs w:val="20"/>
                <w:color w:val="auto"/>
              </w:rPr>
            </w:pPr>
            <w:r>
              <w:rPr>
                <w:rFonts w:ascii="Arial" w:cs="Arial" w:eastAsia="Arial" w:hAnsi="Arial"/>
                <w:sz w:val="14"/>
                <w:szCs w:val="14"/>
                <w:b w:val="1"/>
                <w:bCs w:val="1"/>
                <w:color w:val="auto"/>
              </w:rPr>
              <w:t>2. Date Exercisable and</w:t>
            </w:r>
          </w:p>
        </w:tc>
        <w:tc>
          <w:tcPr>
            <w:tcW w:w="278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30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580" w:type="dxa"/>
            <w:vAlign w:val="bottom"/>
          </w:tcPr>
          <w:p>
            <w:pPr>
              <w:spacing w:after="0"/>
              <w:rPr>
                <w:sz w:val="16"/>
                <w:szCs w:val="16"/>
                <w:color w:val="auto"/>
              </w:rPr>
            </w:pP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4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7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Expiration Date</w:t>
            </w:r>
          </w:p>
        </w:tc>
        <w:tc>
          <w:tcPr>
            <w:tcW w:w="27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7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(Month/Day/Year)</w:t>
            </w:r>
          </w:p>
        </w:tc>
        <w:tc>
          <w:tcPr>
            <w:tcW w:w="19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96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880" w:type="dxa"/>
            <w:vAlign w:val="bottom"/>
            <w:gridSpan w:val="2"/>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640" w:type="dxa"/>
            <w:vAlign w:val="bottom"/>
          </w:tcPr>
          <w:p>
            <w:pPr>
              <w:spacing w:after="0"/>
              <w:rPr>
                <w:sz w:val="4"/>
                <w:szCs w:val="4"/>
                <w:color w:val="auto"/>
              </w:rPr>
            </w:pPr>
          </w:p>
        </w:tc>
        <w:tc>
          <w:tcPr>
            <w:tcW w:w="9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960" w:type="dxa"/>
            <w:vAlign w:val="bottom"/>
          </w:tcPr>
          <w:p>
            <w:pPr>
              <w:spacing w:after="0"/>
              <w:rPr>
                <w:sz w:val="4"/>
                <w:szCs w:val="4"/>
                <w:color w:val="auto"/>
              </w:rPr>
            </w:pPr>
          </w:p>
        </w:tc>
        <w:tc>
          <w:tcPr>
            <w:tcW w:w="82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Amount</w:t>
            </w:r>
          </w:p>
        </w:tc>
        <w:tc>
          <w:tcPr>
            <w:tcW w:w="880" w:type="dxa"/>
            <w:vAlign w:val="bottom"/>
            <w:gridSpan w:val="2"/>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880" w:type="dxa"/>
            <w:vAlign w:val="bottom"/>
            <w:gridSpan w:val="2"/>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820" w:type="dxa"/>
            <w:vAlign w:val="bottom"/>
          </w:tcPr>
          <w:p>
            <w:pPr>
              <w:ind w:left="16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820" w:type="dxa"/>
            <w:vAlign w:val="bottom"/>
          </w:tcPr>
          <w:p>
            <w:pPr>
              <w:ind w:left="160"/>
              <w:spacing w:after="0" w:line="145" w:lineRule="exact"/>
              <w:rPr>
                <w:sz w:val="20"/>
                <w:szCs w:val="20"/>
                <w:color w:val="auto"/>
              </w:rPr>
            </w:pPr>
            <w:r>
              <w:rPr>
                <w:rFonts w:ascii="Arial" w:cs="Arial" w:eastAsia="Arial" w:hAnsi="Arial"/>
                <w:sz w:val="14"/>
                <w:szCs w:val="14"/>
                <w:b w:val="1"/>
                <w:bCs w:val="1"/>
                <w:color w:val="auto"/>
              </w:rPr>
              <w:t>Number</w:t>
            </w: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Expiration</w:t>
            </w:r>
          </w:p>
        </w:tc>
        <w:tc>
          <w:tcPr>
            <w:tcW w:w="1960" w:type="dxa"/>
            <w:vAlign w:val="bottom"/>
          </w:tcPr>
          <w:p>
            <w:pPr>
              <w:spacing w:after="0"/>
              <w:rPr>
                <w:sz w:val="12"/>
                <w:szCs w:val="12"/>
                <w:color w:val="auto"/>
              </w:rPr>
            </w:pPr>
          </w:p>
        </w:tc>
        <w:tc>
          <w:tcPr>
            <w:tcW w:w="820" w:type="dxa"/>
            <w:vAlign w:val="bottom"/>
          </w:tcPr>
          <w:p>
            <w:pPr>
              <w:ind w:left="160"/>
              <w:spacing w:after="0" w:line="149" w:lineRule="exact"/>
              <w:rPr>
                <w:sz w:val="20"/>
                <w:szCs w:val="20"/>
                <w:color w:val="auto"/>
              </w:rPr>
            </w:pPr>
            <w:r>
              <w:rPr>
                <w:rFonts w:ascii="Arial" w:cs="Arial" w:eastAsia="Arial" w:hAnsi="Arial"/>
                <w:sz w:val="14"/>
                <w:szCs w:val="14"/>
                <w:b w:val="1"/>
                <w:bCs w:val="1"/>
                <w:color w:val="auto"/>
              </w:rPr>
              <w:t>of</w:t>
            </w: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00" w:type="dxa"/>
            <w:vAlign w:val="bottom"/>
          </w:tcPr>
          <w:p>
            <w:pPr>
              <w:ind w:left="8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60"/>
              <w:spacing w:after="0"/>
              <w:rPr>
                <w:sz w:val="20"/>
                <w:szCs w:val="20"/>
                <w:color w:val="auto"/>
              </w:rPr>
            </w:pPr>
            <w:r>
              <w:rPr>
                <w:rFonts w:ascii="Arial" w:cs="Arial" w:eastAsia="Arial" w:hAnsi="Arial"/>
                <w:sz w:val="14"/>
                <w:szCs w:val="14"/>
                <w:b w:val="1"/>
                <w:bCs w:val="1"/>
                <w:color w:val="auto"/>
              </w:rPr>
              <w:t>Date</w:t>
            </w:r>
          </w:p>
        </w:tc>
        <w:tc>
          <w:tcPr>
            <w:tcW w:w="196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820" w:type="dxa"/>
            <w:vAlign w:val="bottom"/>
          </w:tcPr>
          <w:p>
            <w:pPr>
              <w:ind w:left="160"/>
              <w:spacing w:after="0"/>
              <w:rPr>
                <w:sz w:val="20"/>
                <w:szCs w:val="20"/>
                <w:color w:val="auto"/>
              </w:rPr>
            </w:pPr>
            <w:r>
              <w:rPr>
                <w:rFonts w:ascii="Arial" w:cs="Arial" w:eastAsia="Arial" w:hAnsi="Arial"/>
                <w:sz w:val="14"/>
                <w:szCs w:val="14"/>
                <w:b w:val="1"/>
                <w:bCs w:val="1"/>
                <w:color w:val="auto"/>
              </w:rPr>
              <w:t>Shares</w:t>
            </w:r>
          </w:p>
        </w:tc>
        <w:tc>
          <w:tcPr>
            <w:tcW w:w="3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9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Option to Purchase</w:t>
            </w:r>
          </w:p>
        </w:tc>
        <w:tc>
          <w:tcPr>
            <w:tcW w:w="1540" w:type="dxa"/>
            <w:vAlign w:val="bottom"/>
            <w:gridSpan w:val="2"/>
          </w:tcPr>
          <w:p>
            <w:pPr>
              <w:jc w:val="right"/>
              <w:ind w:right="309"/>
              <w:spacing w:after="0"/>
              <w:rPr>
                <w:sz w:val="20"/>
                <w:szCs w:val="20"/>
                <w:color w:val="auto"/>
              </w:rPr>
            </w:pPr>
            <w:r>
              <w:rPr>
                <w:rFonts w:ascii="Arial" w:cs="Arial" w:eastAsia="Arial" w:hAnsi="Arial"/>
                <w:sz w:val="11"/>
                <w:szCs w:val="11"/>
                <w:color w:val="008000"/>
              </w:rPr>
              <w:t>(1)</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03/24/2021</w:t>
            </w:r>
          </w:p>
        </w:tc>
        <w:tc>
          <w:tcPr>
            <w:tcW w:w="1960" w:type="dxa"/>
            <w:vAlign w:val="bottom"/>
          </w:tcPr>
          <w:p>
            <w:pPr>
              <w:ind w:left="180"/>
              <w:spacing w:after="0"/>
              <w:rPr>
                <w:sz w:val="20"/>
                <w:szCs w:val="20"/>
                <w:color w:val="auto"/>
              </w:rPr>
            </w:pPr>
            <w:r>
              <w:rPr>
                <w:rFonts w:ascii="Arial" w:cs="Arial" w:eastAsia="Arial" w:hAnsi="Arial"/>
                <w:sz w:val="18"/>
                <w:szCs w:val="18"/>
                <w:color w:val="0000FF"/>
                <w:w w:val="92"/>
              </w:rPr>
              <w:t>Class A Common Stock</w:t>
            </w:r>
          </w:p>
        </w:tc>
        <w:tc>
          <w:tcPr>
            <w:tcW w:w="820" w:type="dxa"/>
            <w:vAlign w:val="bottom"/>
          </w:tcPr>
          <w:p>
            <w:pPr>
              <w:ind w:left="180"/>
              <w:spacing w:after="0"/>
              <w:rPr>
                <w:sz w:val="20"/>
                <w:szCs w:val="20"/>
                <w:color w:val="auto"/>
              </w:rPr>
            </w:pPr>
            <w:r>
              <w:rPr>
                <w:rFonts w:ascii="Arial" w:cs="Arial" w:eastAsia="Arial" w:hAnsi="Arial"/>
                <w:sz w:val="18"/>
                <w:szCs w:val="18"/>
                <w:color w:val="0000FF"/>
                <w:w w:val="95"/>
              </w:rPr>
              <w:t>310,000</w:t>
            </w:r>
          </w:p>
        </w:tc>
        <w:tc>
          <w:tcPr>
            <w:tcW w:w="880" w:type="dxa"/>
            <w:vAlign w:val="bottom"/>
            <w:gridSpan w:val="2"/>
          </w:tcPr>
          <w:p>
            <w:pPr>
              <w:jc w:val="center"/>
              <w:spacing w:after="0"/>
              <w:rPr>
                <w:sz w:val="20"/>
                <w:szCs w:val="20"/>
                <w:color w:val="auto"/>
              </w:rPr>
            </w:pPr>
            <w:r>
              <w:rPr>
                <w:rFonts w:ascii="Arial" w:cs="Arial" w:eastAsia="Arial" w:hAnsi="Arial"/>
                <w:sz w:val="18"/>
                <w:szCs w:val="18"/>
                <w:color w:val="0000FF"/>
                <w:w w:val="88"/>
              </w:rPr>
              <w:t>12.51</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880" w:type="dxa"/>
            <w:vAlign w:val="bottom"/>
            <w:tcBorders>
              <w:bottom w:val="single" w:sz="8" w:color="2C2C2C"/>
            </w:tcBorders>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9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gridSpan w:val="2"/>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Option to Purchase</w:t>
            </w:r>
          </w:p>
        </w:tc>
        <w:tc>
          <w:tcPr>
            <w:tcW w:w="1540" w:type="dxa"/>
            <w:vAlign w:val="bottom"/>
            <w:gridSpan w:val="2"/>
          </w:tcPr>
          <w:p>
            <w:pPr>
              <w:jc w:val="right"/>
              <w:ind w:right="309"/>
              <w:spacing w:after="0"/>
              <w:rPr>
                <w:sz w:val="20"/>
                <w:szCs w:val="20"/>
                <w:color w:val="auto"/>
              </w:rPr>
            </w:pPr>
            <w:r>
              <w:rPr>
                <w:rFonts w:ascii="Arial" w:cs="Arial" w:eastAsia="Arial" w:hAnsi="Arial"/>
                <w:sz w:val="11"/>
                <w:szCs w:val="11"/>
                <w:color w:val="008000"/>
              </w:rPr>
              <w:t>(2)</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12/19/2029</w:t>
            </w:r>
          </w:p>
        </w:tc>
        <w:tc>
          <w:tcPr>
            <w:tcW w:w="1960" w:type="dxa"/>
            <w:vAlign w:val="bottom"/>
          </w:tcPr>
          <w:p>
            <w:pPr>
              <w:ind w:left="180"/>
              <w:spacing w:after="0"/>
              <w:rPr>
                <w:sz w:val="20"/>
                <w:szCs w:val="20"/>
                <w:color w:val="auto"/>
              </w:rPr>
            </w:pPr>
            <w:r>
              <w:rPr>
                <w:rFonts w:ascii="Arial" w:cs="Arial" w:eastAsia="Arial" w:hAnsi="Arial"/>
                <w:sz w:val="18"/>
                <w:szCs w:val="18"/>
                <w:color w:val="0000FF"/>
                <w:w w:val="92"/>
              </w:rPr>
              <w:t>Class A Common Stock</w:t>
            </w:r>
          </w:p>
        </w:tc>
        <w:tc>
          <w:tcPr>
            <w:tcW w:w="820" w:type="dxa"/>
            <w:vAlign w:val="bottom"/>
          </w:tcPr>
          <w:p>
            <w:pPr>
              <w:ind w:left="180"/>
              <w:spacing w:after="0"/>
              <w:rPr>
                <w:sz w:val="20"/>
                <w:szCs w:val="20"/>
                <w:color w:val="auto"/>
              </w:rPr>
            </w:pPr>
            <w:r>
              <w:rPr>
                <w:rFonts w:ascii="Arial" w:cs="Arial" w:eastAsia="Arial" w:hAnsi="Arial"/>
                <w:sz w:val="18"/>
                <w:szCs w:val="18"/>
                <w:color w:val="0000FF"/>
                <w:w w:val="95"/>
              </w:rPr>
              <w:t>303,040</w:t>
            </w:r>
          </w:p>
        </w:tc>
        <w:tc>
          <w:tcPr>
            <w:tcW w:w="880" w:type="dxa"/>
            <w:vAlign w:val="bottom"/>
            <w:gridSpan w:val="2"/>
          </w:tcPr>
          <w:p>
            <w:pPr>
              <w:jc w:val="center"/>
              <w:spacing w:after="0"/>
              <w:rPr>
                <w:sz w:val="20"/>
                <w:szCs w:val="20"/>
                <w:color w:val="auto"/>
              </w:rPr>
            </w:pPr>
            <w:r>
              <w:rPr>
                <w:rFonts w:ascii="Arial" w:cs="Arial" w:eastAsia="Arial" w:hAnsi="Arial"/>
                <w:sz w:val="18"/>
                <w:szCs w:val="18"/>
                <w:color w:val="0000FF"/>
                <w:w w:val="88"/>
              </w:rPr>
              <w:t>44.09</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880" w:type="dxa"/>
            <w:vAlign w:val="bottom"/>
            <w:tcBorders>
              <w:bottom w:val="single" w:sz="8" w:color="2C2C2C"/>
            </w:tcBorders>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9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Borders>
              <w:bottom w:val="single" w:sz="8" w:color="2C2C2C"/>
            </w:tcBorders>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Restricted Stock Units</w:t>
            </w:r>
          </w:p>
        </w:tc>
        <w:tc>
          <w:tcPr>
            <w:tcW w:w="1540" w:type="dxa"/>
            <w:vAlign w:val="bottom"/>
            <w:tcBorders>
              <w:bottom w:val="single" w:sz="8" w:color="2C2C2C"/>
            </w:tcBorders>
            <w:gridSpan w:val="2"/>
          </w:tcPr>
          <w:p>
            <w:pPr>
              <w:jc w:val="right"/>
              <w:ind w:right="309"/>
              <w:spacing w:after="0"/>
              <w:rPr>
                <w:sz w:val="20"/>
                <w:szCs w:val="20"/>
                <w:color w:val="auto"/>
              </w:rPr>
            </w:pPr>
            <w:r>
              <w:rPr>
                <w:rFonts w:ascii="Arial" w:cs="Arial" w:eastAsia="Arial" w:hAnsi="Arial"/>
                <w:sz w:val="11"/>
                <w:szCs w:val="11"/>
                <w:color w:val="008000"/>
              </w:rPr>
              <w:t>(3)</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w w:val="88"/>
              </w:rPr>
              <w:t>(3)</w:t>
            </w:r>
          </w:p>
        </w:tc>
        <w:tc>
          <w:tcPr>
            <w:tcW w:w="196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w w:val="92"/>
              </w:rPr>
              <w:t>Class A Common Stock</w:t>
            </w:r>
          </w:p>
        </w:tc>
        <w:tc>
          <w:tcPr>
            <w:tcW w:w="82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w w:val="95"/>
              </w:rPr>
              <w:t>295,665</w:t>
            </w:r>
          </w:p>
        </w:tc>
        <w:tc>
          <w:tcPr>
            <w:tcW w:w="30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center"/>
              <w:ind w:right="216"/>
              <w:spacing w:after="0" w:line="324" w:lineRule="exact"/>
              <w:rPr>
                <w:sz w:val="20"/>
                <w:szCs w:val="20"/>
                <w:color w:val="auto"/>
              </w:rPr>
            </w:pPr>
            <w:r>
              <w:rPr>
                <w:rFonts w:ascii="Arial" w:cs="Arial" w:eastAsia="Arial" w:hAnsi="Arial"/>
                <w:sz w:val="35"/>
                <w:szCs w:val="35"/>
                <w:color w:val="0000FF"/>
                <w:w w:val="83"/>
                <w:vertAlign w:val="subscript"/>
              </w:rPr>
              <w:t>0</w:t>
            </w:r>
            <w:r>
              <w:rPr>
                <w:rFonts w:ascii="Arial" w:cs="Arial" w:eastAsia="Arial" w:hAnsi="Arial"/>
                <w:sz w:val="11"/>
                <w:szCs w:val="11"/>
                <w:color w:val="008000"/>
                <w:w w:val="83"/>
              </w:rPr>
              <w:t>(4)</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8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6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40" w:right="360" w:firstLine="9"/>
        <w:spacing w:after="0" w:line="239"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The options were granted on March 25, 2011 and become exercisable as follows: 30% becomes exercisable on the 2nd anniversary of the date of grant, an additional 15% on each of the 3rd, 4th and 5th anniversaries of the date of grant; and an additional 5% on each of the 6th, 7th, 8th, 9th and 9.5th anniversaries of the date of grant.</w:t>
      </w:r>
    </w:p>
    <w:p>
      <w:pPr>
        <w:spacing w:after="0" w:line="30" w:lineRule="exact"/>
        <w:rPr>
          <w:rFonts w:ascii="Arial" w:cs="Arial" w:eastAsia="Arial" w:hAnsi="Arial"/>
          <w:sz w:val="14"/>
          <w:szCs w:val="14"/>
          <w:color w:val="008000"/>
        </w:rPr>
      </w:pPr>
    </w:p>
    <w:p>
      <w:pPr>
        <w:ind w:left="40" w:right="160" w:firstLine="9"/>
        <w:spacing w:after="0" w:line="239"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The options were granted on December 20, 2019 and become exercisable as follows: 30% becomes exercisable on the 2nd anniversary of the date of grant; an additional 15% on each of the 3rd, 4th and 5th anniversaries of the date of grant; and an additional 5% on each of the 6th, 7th, 8th, 9th and 9.5th anniversaries of the date of grant.</w:t>
      </w:r>
    </w:p>
    <w:p>
      <w:pPr>
        <w:spacing w:after="0" w:line="30" w:lineRule="exact"/>
        <w:rPr>
          <w:rFonts w:ascii="Arial" w:cs="Arial" w:eastAsia="Arial" w:hAnsi="Arial"/>
          <w:sz w:val="14"/>
          <w:szCs w:val="14"/>
          <w:color w:val="008000"/>
        </w:rPr>
      </w:pPr>
    </w:p>
    <w:p>
      <w:pPr>
        <w:ind w:left="40" w:right="400" w:firstLine="9"/>
        <w:spacing w:after="0" w:line="239"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The restricted stock units vest in installments of 15%, 15%, 15%, 15%, and 40% on the 1st, 2nd 3rd, 4th and 5th anniversaries of the date of the grant. The original dates of the grant are March 2, 2015, March 1, 2016, March 1, 2017, March 1, 2018, March 1, 2019 and December 20, 2019.</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Each restricted stock unit represents a contingent right to receive one share of Class A Common Stock.</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Exhibit 24 - Power of Attorney</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3"/>
          </w:tcPr>
          <w:p>
            <w:pPr>
              <w:spacing w:after="0"/>
              <w:rPr>
                <w:sz w:val="20"/>
                <w:szCs w:val="20"/>
                <w:color w:val="auto"/>
              </w:rPr>
            </w:pPr>
            <w:r>
              <w:rPr>
                <w:rFonts w:ascii="Arial" w:cs="Arial" w:eastAsia="Arial" w:hAnsi="Arial"/>
                <w:sz w:val="18"/>
                <w:szCs w:val="18"/>
                <w:color w:val="0000FF"/>
              </w:rPr>
              <w:t>/s/ Elizabeth Wideman,</w:t>
            </w: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02/25/2020</w:t>
            </w:r>
          </w:p>
        </w:tc>
        <w:tc>
          <w:tcPr>
            <w:tcW w:w="0" w:type="dxa"/>
            <w:vAlign w:val="bottom"/>
          </w:tcPr>
          <w:p>
            <w:pPr>
              <w:spacing w:after="0"/>
              <w:rPr>
                <w:sz w:val="1"/>
                <w:szCs w:val="1"/>
                <w:color w:val="auto"/>
              </w:rPr>
            </w:pPr>
          </w:p>
        </w:tc>
      </w:tr>
      <w:tr>
        <w:trPr>
          <w:trHeight w:val="88"/>
        </w:trPr>
        <w:tc>
          <w:tcPr>
            <w:tcW w:w="1640" w:type="dxa"/>
            <w:vAlign w:val="bottom"/>
            <w:tcBorders>
              <w:top w:val="single" w:sz="8" w:color="auto"/>
            </w:tcBorders>
            <w:gridSpan w:val="2"/>
            <w:vMerge w:val="restart"/>
          </w:tcPr>
          <w:p>
            <w:pPr>
              <w:spacing w:after="0" w:line="196" w:lineRule="exact"/>
              <w:rPr>
                <w:sz w:val="20"/>
                <w:szCs w:val="20"/>
                <w:color w:val="auto"/>
              </w:rPr>
            </w:pPr>
            <w:r>
              <w:rPr>
                <w:rFonts w:ascii="Arial" w:cs="Arial" w:eastAsia="Arial" w:hAnsi="Arial"/>
                <w:sz w:val="18"/>
                <w:szCs w:val="18"/>
                <w:color w:val="0000FF"/>
              </w:rPr>
              <w:t>Attorney-in-fact</w:t>
            </w:r>
          </w:p>
        </w:tc>
        <w:tc>
          <w:tcPr>
            <w:tcW w:w="480" w:type="dxa"/>
            <w:vAlign w:val="bottom"/>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640" w:type="dxa"/>
            <w:vAlign w:val="bottom"/>
            <w:tcBorders>
              <w:top w:val="single" w:sz="8" w:color="auto"/>
            </w:tcBorders>
            <w:gridSpan w:val="2"/>
            <w:vMerge w:val="continue"/>
          </w:tcPr>
          <w:p>
            <w:pPr>
              <w:spacing w:after="0"/>
              <w:rPr>
                <w:sz w:val="7"/>
                <w:szCs w:val="7"/>
                <w:color w:val="auto"/>
              </w:rPr>
            </w:pPr>
          </w:p>
        </w:tc>
        <w:tc>
          <w:tcPr>
            <w:tcW w:w="48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40" w:type="dxa"/>
            <w:vAlign w:val="bottom"/>
            <w:shd w:val="clear" w:color="auto" w:fill="000000"/>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jc w:val="right"/>
        <w:spacing w:after="0"/>
        <w:rPr>
          <w:sz w:val="20"/>
          <w:szCs w:val="20"/>
          <w:color w:val="auto"/>
        </w:rPr>
      </w:pPr>
      <w:r>
        <w:rPr>
          <w:rFonts w:ascii="Arial" w:cs="Arial" w:eastAsia="Arial" w:hAnsi="Arial"/>
          <w:sz w:val="18"/>
          <w:szCs w:val="18"/>
          <w:b w:val="1"/>
          <w:bCs w:val="1"/>
          <w:color w:val="auto"/>
        </w:rPr>
        <w:t>EXHIBIT 24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Know all by these presents, that the undersigned hereby constitutes and appoints each of Thomas J. Reid and Elizabeth Wideman, as the undersigned’s true and lawful attorneys-in-fact to:</w:t>
      </w:r>
    </w:p>
    <w:p>
      <w:pPr>
        <w:spacing w:after="0" w:line="170" w:lineRule="exact"/>
        <w:rPr>
          <w:sz w:val="20"/>
          <w:szCs w:val="20"/>
          <w:color w:val="auto"/>
        </w:rPr>
      </w:pPr>
    </w:p>
    <w:p>
      <w:pPr>
        <w:jc w:val="both"/>
        <w:ind w:firstLine="656"/>
        <w:spacing w:after="0" w:line="264" w:lineRule="auto"/>
        <w:tabs>
          <w:tab w:leader="none" w:pos="1271" w:val="left"/>
        </w:tabs>
        <w:numPr>
          <w:ilvl w:val="0"/>
          <w:numId w:val="6"/>
        </w:numPr>
        <w:rPr>
          <w:rFonts w:ascii="Arial" w:cs="Arial" w:eastAsia="Arial" w:hAnsi="Arial"/>
          <w:sz w:val="18"/>
          <w:szCs w:val="18"/>
          <w:color w:val="auto"/>
        </w:rPr>
      </w:pPr>
      <w:r>
        <w:rPr>
          <w:rFonts w:ascii="Arial" w:cs="Arial" w:eastAsia="Arial" w:hAnsi="Arial"/>
          <w:sz w:val="18"/>
          <w:szCs w:val="18"/>
          <w:color w:val="auto"/>
        </w:rPr>
        <w:t>execute for and on behalf of the undersigned, in the undersigned’s capacity as a reporting person pursuant to Section 16 of the Securities Exchange Act of 1934, as amended (the “Exchange Act”), and the rules thereunder of Comcast Corporation (the “Company”), Forms 3, 4 and 5 in accordance with Section 16(a) of the Exchange Act;</w:t>
      </w:r>
    </w:p>
    <w:p>
      <w:pPr>
        <w:spacing w:after="0" w:line="181" w:lineRule="exact"/>
        <w:rPr>
          <w:rFonts w:ascii="Arial" w:cs="Arial" w:eastAsia="Arial" w:hAnsi="Arial"/>
          <w:sz w:val="18"/>
          <w:szCs w:val="18"/>
          <w:color w:val="auto"/>
        </w:rPr>
      </w:pPr>
    </w:p>
    <w:p>
      <w:pPr>
        <w:ind w:right="20" w:firstLine="656"/>
        <w:spacing w:after="0" w:line="342" w:lineRule="auto"/>
        <w:tabs>
          <w:tab w:leader="none" w:pos="1203" w:val="left"/>
        </w:tabs>
        <w:numPr>
          <w:ilvl w:val="0"/>
          <w:numId w:val="6"/>
        </w:numPr>
        <w:rPr>
          <w:rFonts w:ascii="Arial" w:cs="Arial" w:eastAsia="Arial" w:hAnsi="Arial"/>
          <w:sz w:val="16"/>
          <w:szCs w:val="16"/>
          <w:color w:val="auto"/>
        </w:rPr>
      </w:pPr>
      <w:r>
        <w:rPr>
          <w:rFonts w:ascii="Arial" w:cs="Arial" w:eastAsia="Arial" w:hAnsi="Arial"/>
          <w:sz w:val="16"/>
          <w:szCs w:val="16"/>
          <w:color w:val="auto"/>
        </w:rPr>
        <w:t>do and perform any and all acts for and on behalf of the undersigned which may be necessary or desirable to complete and execute any such Form 3, 4 or 5 and timely file such form with the United States Securities and Exchange Commission and stock exchange or similar authority; and</w:t>
      </w:r>
    </w:p>
    <w:p>
      <w:pPr>
        <w:spacing w:after="0" w:line="123" w:lineRule="exact"/>
        <w:rPr>
          <w:rFonts w:ascii="Arial" w:cs="Arial" w:eastAsia="Arial" w:hAnsi="Arial"/>
          <w:sz w:val="16"/>
          <w:szCs w:val="16"/>
          <w:color w:val="auto"/>
        </w:rPr>
      </w:pPr>
    </w:p>
    <w:p>
      <w:pPr>
        <w:jc w:val="both"/>
        <w:ind w:firstLine="656"/>
        <w:spacing w:after="0" w:line="259" w:lineRule="auto"/>
        <w:tabs>
          <w:tab w:leader="none" w:pos="1202" w:val="left"/>
        </w:tabs>
        <w:numPr>
          <w:ilvl w:val="0"/>
          <w:numId w:val="6"/>
        </w:numPr>
        <w:rPr>
          <w:rFonts w:ascii="Arial" w:cs="Arial" w:eastAsia="Arial" w:hAnsi="Arial"/>
          <w:sz w:val="18"/>
          <w:szCs w:val="18"/>
          <w:color w:val="auto"/>
        </w:rPr>
      </w:pPr>
      <w:r>
        <w:rPr>
          <w:rFonts w:ascii="Arial" w:cs="Arial" w:eastAsia="Arial" w:hAnsi="Arial"/>
          <w:sz w:val="18"/>
          <w:szCs w:val="18"/>
          <w:color w:val="auto"/>
        </w:rPr>
        <w:t>take any other action of any type whatsoever in connection with the foregoing which, in the opinion of any of such attorneys-in-fact, may be of benefit to, in the best interest of, or legally required by, the undersigned, it being understood that the documents executed by any of such attorneys-in-fact on behalf of the undersigned pursuant to this Power of Attorney shall be in such form and shall contain such terms and conditions as any of such attorneys-in-fact may approve in the discretion of any of such attorneys-in-fact.</w:t>
      </w:r>
    </w:p>
    <w:p>
      <w:pPr>
        <w:spacing w:after="0" w:line="187"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any of such attorneys-in-fact, or the substitute or substitutes of any of such attorneys-in-fact,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spacing w:after="0" w:line="16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 This Power of Attorney supersedes all other powers of attorney previously executed by the undersigned in respect of the subject matter described herein.</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undersigned has caused this Power of Attorney to be executed as of this 13</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day of February, 2020.</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Signature: </w:t>
      </w:r>
      <w:r>
        <w:rPr>
          <w:rFonts w:ascii="Arial" w:cs="Arial" w:eastAsia="Arial" w:hAnsi="Arial"/>
          <w:sz w:val="18"/>
          <w:szCs w:val="18"/>
          <w:u w:val="single" w:color="auto"/>
          <w:color w:val="auto"/>
        </w:rPr>
        <w:t>/s/ Jeff Shell</w:t>
      </w:r>
    </w:p>
    <w:p>
      <w:pPr>
        <w:spacing w:after="0" w:line="22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u w:val="single" w:color="auto"/>
          <w:color w:val="auto"/>
        </w:rPr>
        <w:t>Jeff Shell</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247485" TargetMode="External"/><Relationship Id="rId12" Type="http://schemas.openxmlformats.org/officeDocument/2006/relationships/hyperlink" Target="http://www.sec.gov/cgi-bin/browse-edgar?action=getcompany&amp;CIK=0001166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2020-02-26T15:51:04Z</dcterms:created>
  <dcterms:modified xsi:type="dcterms:W3CDTF">2020-02-26T15:51:04Z</dcterms:modified>
</cp:coreProperties>
</file>