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7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FORM 8-K</w:t>
      </w:r>
    </w:p>
    <w:p>
      <w:pPr>
        <w:spacing w:after="0" w:line="342"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CURRENT REPORT</w:t>
      </w:r>
    </w:p>
    <w:p>
      <w:pPr>
        <w:spacing w:after="0" w:line="200" w:lineRule="exact"/>
        <w:rPr>
          <w:sz w:val="24"/>
          <w:szCs w:val="24"/>
          <w:color w:val="auto"/>
        </w:rPr>
      </w:pPr>
    </w:p>
    <w:p>
      <w:pPr>
        <w:spacing w:after="0" w:line="309" w:lineRule="exact"/>
        <w:rPr>
          <w:sz w:val="24"/>
          <w:szCs w:val="24"/>
          <w:color w:val="auto"/>
        </w:rPr>
      </w:pPr>
    </w:p>
    <w:p>
      <w:pPr>
        <w:ind w:left="1840"/>
        <w:spacing w:after="0"/>
        <w:rPr>
          <w:sz w:val="20"/>
          <w:szCs w:val="20"/>
          <w:color w:val="auto"/>
        </w:rPr>
      </w:pPr>
      <w:r>
        <w:rPr>
          <w:rFonts w:ascii="Courier New" w:cs="Courier New" w:eastAsia="Courier New" w:hAnsi="Courier New"/>
          <w:sz w:val="14"/>
          <w:szCs w:val="14"/>
          <w:color w:val="auto"/>
        </w:rPr>
        <w:t>PURSUANT TO SECTION 13 OR 15(d) of the</w:t>
      </w:r>
    </w:p>
    <w:p>
      <w:pPr>
        <w:spacing w:after="0" w:line="8" w:lineRule="exact"/>
        <w:rPr>
          <w:sz w:val="24"/>
          <w:szCs w:val="24"/>
          <w:color w:val="auto"/>
        </w:rPr>
      </w:pPr>
    </w:p>
    <w:p>
      <w:pPr>
        <w:ind w:left="2180"/>
        <w:spacing w:after="0"/>
        <w:rPr>
          <w:sz w:val="20"/>
          <w:szCs w:val="20"/>
          <w:color w:val="auto"/>
        </w:rPr>
      </w:pPr>
      <w:r>
        <w:rPr>
          <w:rFonts w:ascii="Courier New" w:cs="Courier New" w:eastAsia="Courier New" w:hAnsi="Courier New"/>
          <w:sz w:val="14"/>
          <w:szCs w:val="14"/>
          <w:color w:val="auto"/>
        </w:rPr>
        <w:t>SECURITIES EXCHANGE ACT OF 1934</w:t>
      </w:r>
    </w:p>
    <w:p>
      <w:pPr>
        <w:spacing w:after="0" w:line="200" w:lineRule="exact"/>
        <w:rPr>
          <w:sz w:val="24"/>
          <w:szCs w:val="24"/>
          <w:color w:val="auto"/>
        </w:rPr>
      </w:pPr>
    </w:p>
    <w:p>
      <w:pPr>
        <w:spacing w:after="0" w:line="309"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Date of Report (Date of earliest event reported): May 8, 2003</w:t>
      </w:r>
    </w:p>
    <w:p>
      <w:pPr>
        <w:spacing w:after="0" w:line="200" w:lineRule="exact"/>
        <w:rPr>
          <w:sz w:val="24"/>
          <w:szCs w:val="24"/>
          <w:color w:val="auto"/>
        </w:rPr>
      </w:pPr>
    </w:p>
    <w:p>
      <w:pPr>
        <w:spacing w:after="0" w:line="30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COMCAST CORPORATION</w:t>
      </w:r>
    </w:p>
    <w:p>
      <w:pPr>
        <w:spacing w:after="0" w:line="8"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30" w:right="1440" w:bottom="1440" w:gutter="0" w:footer="0" w:header="0"/>
        </w:sectPr>
      </w:pPr>
    </w:p>
    <w:p>
      <w:pPr>
        <w:spacing w:after="0" w:line="342"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Pennsylvania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jurisdiction of</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000-50093</w:t>
      </w:r>
    </w:p>
    <w:p>
      <w:pPr>
        <w:spacing w:after="0" w:line="8"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number)</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27-0000798</w:t>
      </w:r>
    </w:p>
    <w:p>
      <w:pPr>
        <w:spacing w:after="0" w:line="8" w:lineRule="exact"/>
        <w:rPr>
          <w:sz w:val="24"/>
          <w:szCs w:val="24"/>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8" w:lineRule="exact"/>
        <w:rPr>
          <w:sz w:val="24"/>
          <w:szCs w:val="24"/>
          <w:color w:val="auto"/>
        </w:rPr>
      </w:pPr>
    </w:p>
    <w:p>
      <w:pPr>
        <w:sectPr>
          <w:pgSz w:w="11900" w:h="16838" w:orient="portrait"/>
          <w:cols w:equalWidth="0" w:num="3">
            <w:col w:w="2060" w:space="720"/>
            <w:col w:w="1660" w:space="680"/>
            <w:col w:w="5119"/>
          </w:cols>
          <w:pgMar w:left="220" w:top="23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incorporation)</w:t>
      </w:r>
    </w:p>
    <w:p>
      <w:pPr>
        <w:spacing w:after="0" w:line="200" w:lineRule="exact"/>
        <w:rPr>
          <w:sz w:val="24"/>
          <w:szCs w:val="24"/>
          <w:color w:val="auto"/>
        </w:rPr>
      </w:pPr>
    </w:p>
    <w:p>
      <w:pPr>
        <w:spacing w:after="0" w:line="309" w:lineRule="exact"/>
        <w:rPr>
          <w:sz w:val="24"/>
          <w:szCs w:val="24"/>
          <w:color w:val="auto"/>
        </w:rPr>
      </w:pPr>
    </w:p>
    <w:p>
      <w:pPr>
        <w:ind w:left="1140"/>
        <w:spacing w:after="0"/>
        <w:tabs>
          <w:tab w:leader="none" w:pos="5020" w:val="left"/>
        </w:tabs>
        <w:rPr>
          <w:sz w:val="20"/>
          <w:szCs w:val="20"/>
          <w:color w:val="auto"/>
        </w:rPr>
      </w:pPr>
      <w:r>
        <w:rPr>
          <w:rFonts w:ascii="Courier New" w:cs="Courier New" w:eastAsia="Courier New" w:hAnsi="Courier New"/>
          <w:sz w:val="14"/>
          <w:szCs w:val="14"/>
          <w:color w:val="auto"/>
        </w:rPr>
        <w:t>1500 Market Street, Philadelphia, PA</w:t>
      </w:r>
      <w:r>
        <w:rPr>
          <w:sz w:val="20"/>
          <w:szCs w:val="20"/>
          <w:color w:val="auto"/>
        </w:rPr>
        <w:tab/>
      </w:r>
      <w:r>
        <w:rPr>
          <w:rFonts w:ascii="Courier New" w:cs="Courier New" w:eastAsia="Courier New" w:hAnsi="Courier New"/>
          <w:sz w:val="14"/>
          <w:szCs w:val="14"/>
          <w:color w:val="auto"/>
        </w:rPr>
        <w:t>19102-2148</w:t>
      </w:r>
    </w:p>
    <w:p>
      <w:pPr>
        <w:spacing w:after="0" w:line="8"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1060"/>
        <w:spacing w:after="0"/>
        <w:tabs>
          <w:tab w:leader="none" w:pos="5020" w:val="left"/>
        </w:tabs>
        <w:rPr>
          <w:sz w:val="20"/>
          <w:szCs w:val="20"/>
          <w:color w:val="auto"/>
        </w:rPr>
      </w:pPr>
      <w:r>
        <w:rPr>
          <w:rFonts w:ascii="Courier New" w:cs="Courier New" w:eastAsia="Courier New" w:hAnsi="Courier New"/>
          <w:sz w:val="14"/>
          <w:szCs w:val="14"/>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right"/>
        <w:ind w:left="700" w:right="3899"/>
        <w:spacing w:after="0" w:line="258" w:lineRule="auto"/>
        <w:rPr>
          <w:sz w:val="20"/>
          <w:szCs w:val="20"/>
          <w:color w:val="auto"/>
        </w:rPr>
      </w:pPr>
      <w:r>
        <w:rPr>
          <w:rFonts w:ascii="Courier New" w:cs="Courier New" w:eastAsia="Courier New" w:hAnsi="Courier New"/>
          <w:sz w:val="14"/>
          <w:szCs w:val="14"/>
          <w:color w:val="auto"/>
        </w:rPr>
        <w:t>Registrant's telephone number, including area code (215) 665-1700 --------------</w:t>
      </w:r>
    </w:p>
    <w:p>
      <w:pPr>
        <w:sectPr>
          <w:pgSz w:w="11900" w:h="16838" w:orient="portrait"/>
          <w:cols w:equalWidth="0" w:num="1">
            <w:col w:w="10239"/>
          </w:cols>
          <w:pgMar w:left="220" w:top="230"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Item 7(c). Exhibits</w:t>
      </w:r>
    </w:p>
    <w:p>
      <w:pPr>
        <w:spacing w:after="0" w:line="175"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Exhibit 99.1</w:t>
      </w:r>
      <w:r>
        <w:rPr>
          <w:sz w:val="20"/>
          <w:szCs w:val="20"/>
          <w:color w:val="auto"/>
        </w:rPr>
        <w:tab/>
      </w:r>
      <w:r>
        <w:rPr>
          <w:rFonts w:ascii="Courier New" w:cs="Courier New" w:eastAsia="Courier New" w:hAnsi="Courier New"/>
          <w:sz w:val="14"/>
          <w:szCs w:val="14"/>
          <w:color w:val="auto"/>
        </w:rPr>
        <w:t>Comcast Corporation press release dated May 8, 2003.</w:t>
      </w:r>
    </w:p>
    <w:p>
      <w:pPr>
        <w:spacing w:after="0" w:line="200" w:lineRule="exact"/>
        <w:rPr>
          <w:sz w:val="24"/>
          <w:szCs w:val="24"/>
          <w:color w:val="auto"/>
        </w:rPr>
      </w:pPr>
    </w:p>
    <w:p>
      <w:pPr>
        <w:spacing w:after="0" w:line="309"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9.</w:t>
        <w:tab/>
        <w:t>Regulation FD Disclosure</w:t>
      </w:r>
    </w:p>
    <w:p>
      <w:pPr>
        <w:spacing w:after="0" w:line="175" w:lineRule="exact"/>
        <w:rPr>
          <w:sz w:val="24"/>
          <w:szCs w:val="24"/>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The following information is furnished pursuant to Item 9, "Regulation FD Disclosure," and Item 12, "Results of Operations and Financial Condition."</w:t>
      </w:r>
    </w:p>
    <w:p>
      <w:pPr>
        <w:spacing w:after="0" w:line="160" w:lineRule="exact"/>
        <w:rPr>
          <w:sz w:val="24"/>
          <w:szCs w:val="24"/>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On May 8, 2003, Comcast Corporation ("Comcast") issued a press release reporting the results of its operations for the three months ended March 31, 2003. The press release is attached hereto as Exhibit 99.1. Comcast does not intend for this Item 9 or Exhibit 99.1 to be treated as "filed" under the Securities Exchange Act of 1934, as amended, or incorporated by reference into its filings under the Securities Act of 1933, as amended.</w:t>
      </w:r>
    </w:p>
    <w:p>
      <w:pPr>
        <w:sectPr>
          <w:pgSz w:w="11900" w:h="16838" w:orient="portrait"/>
          <w:cols w:equalWidth="0" w:num="1">
            <w:col w:w="10239"/>
          </w:cols>
          <w:pgMar w:left="220" w:top="230" w:right="1440" w:bottom="1440" w:gutter="0" w:footer="0" w:header="0"/>
          <w:type w:val="continuous"/>
        </w:sectPr>
      </w:pPr>
    </w:p>
    <w:bookmarkStart w:id="1" w:name="page2"/>
    <w:bookmarkEnd w:id="1"/>
    <w:p>
      <w:pPr>
        <w:ind w:left="3040"/>
        <w:spacing w:after="0"/>
        <w:rPr>
          <w:sz w:val="20"/>
          <w:szCs w:val="20"/>
          <w:color w:val="auto"/>
        </w:rPr>
      </w:pPr>
      <w:r>
        <w:rPr>
          <w:rFonts w:ascii="Courier New" w:cs="Courier New" w:eastAsia="Courier New" w:hAnsi="Courier New"/>
          <w:sz w:val="14"/>
          <w:szCs w:val="14"/>
          <w:color w:val="auto"/>
        </w:rPr>
        <w:t>SIGNATURES</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39"/>
          </w:cols>
          <w:pgMar w:left="220" w:top="620" w:right="1440" w:bottom="1440" w:gutter="0" w:footer="0" w:header="0"/>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9, 2003</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175" w:lineRule="exact"/>
        <w:rPr>
          <w:sz w:val="20"/>
          <w:szCs w:val="20"/>
          <w:color w:val="auto"/>
        </w:rPr>
      </w:pPr>
    </w:p>
    <w:p>
      <w:pPr>
        <w:sectPr>
          <w:pgSz w:w="11900" w:h="16838" w:orient="portrait"/>
          <w:cols w:equalWidth="0" w:num="3">
            <w:col w:w="520" w:space="180"/>
            <w:col w:w="2500" w:space="720"/>
            <w:col w:w="6319"/>
          </w:cols>
          <w:pgMar w:left="220" w:top="620" w:right="1440" w:bottom="1440" w:gutter="0" w:footer="0" w:header="0"/>
          <w:type w:val="continuous"/>
        </w:sectPr>
      </w:pPr>
    </w:p>
    <w:p>
      <w:pPr>
        <w:ind w:left="3920"/>
        <w:spacing w:after="0"/>
        <w:rPr>
          <w:sz w:val="20"/>
          <w:szCs w:val="20"/>
          <w:color w:val="auto"/>
        </w:rPr>
      </w:pPr>
      <w:r>
        <w:rPr>
          <w:rFonts w:ascii="Courier New" w:cs="Courier New" w:eastAsia="Courier New" w:hAnsi="Courier New"/>
          <w:sz w:val="14"/>
          <w:szCs w:val="14"/>
          <w:color w:val="auto"/>
        </w:rPr>
        <w:t>By: /s/ Lawrence J. Salva</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Lawrence J. Salva</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Senior Vice President and</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Controller</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(Principal Accounting Officer)</w:t>
      </w:r>
    </w:p>
    <w:p>
      <w:pPr>
        <w:sectPr>
          <w:pgSz w:w="11900" w:h="16838" w:orient="portrait"/>
          <w:cols w:equalWidth="0" w:num="1">
            <w:col w:w="10239"/>
          </w:cols>
          <w:pgMar w:left="220" w:top="620" w:right="1440" w:bottom="1440" w:gutter="0" w:footer="0" w:header="0"/>
          <w:type w:val="continuous"/>
        </w:sectPr>
      </w:pPr>
    </w:p>
    <w:bookmarkStart w:id="2" w:name="page3"/>
    <w:bookmarkEnd w:id="2"/>
    <w:p>
      <w:pPr>
        <w:spacing w:after="0" w:line="7"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4"/>
          <w:szCs w:val="14"/>
          <w:color w:val="auto"/>
        </w:rPr>
        <w:t>[COMCAST logo omitted]</w:t>
      </w:r>
      <w:r>
        <w:rPr>
          <w:sz w:val="20"/>
          <w:szCs w:val="20"/>
          <w:color w:val="auto"/>
        </w:rPr>
        <w:tab/>
      </w:r>
      <w:r>
        <w:rPr>
          <w:rFonts w:ascii="Courier New" w:cs="Courier New" w:eastAsia="Courier New" w:hAnsi="Courier New"/>
          <w:sz w:val="14"/>
          <w:szCs w:val="14"/>
          <w:color w:val="auto"/>
        </w:rPr>
        <w:t>PRESS RELEASE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gridSpan w:val="2"/>
          </w:tcPr>
          <w:p>
            <w:pPr>
              <w:spacing w:after="0"/>
              <w:rPr>
                <w:sz w:val="20"/>
                <w:szCs w:val="20"/>
                <w:color w:val="auto"/>
              </w:rPr>
            </w:pPr>
            <w:r>
              <w:rPr>
                <w:rFonts w:ascii="Courier New" w:cs="Courier New" w:eastAsia="Courier New" w:hAnsi="Courier New"/>
                <w:sz w:val="14"/>
                <w:szCs w:val="14"/>
                <w:color w:val="auto"/>
              </w:rPr>
              <w:t>Contact:</w:t>
            </w:r>
          </w:p>
        </w:tc>
        <w:tc>
          <w:tcPr>
            <w:tcW w:w="3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16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1620" w:type="dxa"/>
            <w:vAlign w:val="bottom"/>
            <w:gridSpan w:val="2"/>
          </w:tcPr>
          <w:p>
            <w:pPr>
              <w:spacing w:after="0"/>
              <w:rPr>
                <w:sz w:val="20"/>
                <w:szCs w:val="20"/>
                <w:color w:val="auto"/>
              </w:rPr>
            </w:pPr>
            <w:r>
              <w:rPr>
                <w:rFonts w:ascii="Courier New" w:cs="Courier New" w:eastAsia="Courier New" w:hAnsi="Courier New"/>
                <w:sz w:val="14"/>
                <w:szCs w:val="14"/>
                <w:color w:val="auto"/>
              </w:rPr>
              <w:t>Marlene S. Dooner,</w:t>
            </w:r>
          </w:p>
        </w:tc>
        <w:tc>
          <w:tcPr>
            <w:tcW w:w="3120" w:type="dxa"/>
            <w:vAlign w:val="bottom"/>
          </w:tcPr>
          <w:p>
            <w:pPr>
              <w:ind w:left="40"/>
              <w:spacing w:after="0"/>
              <w:rPr>
                <w:sz w:val="20"/>
                <w:szCs w:val="20"/>
                <w:color w:val="auto"/>
              </w:rPr>
            </w:pPr>
            <w:r>
              <w:rPr>
                <w:rFonts w:ascii="Courier New" w:cs="Courier New" w:eastAsia="Courier New" w:hAnsi="Courier New"/>
                <w:sz w:val="14"/>
                <w:szCs w:val="14"/>
                <w:color w:val="auto"/>
              </w:rPr>
              <w:t>Vice President, Investor Relations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981-7392</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Leslie</w:t>
            </w:r>
          </w:p>
        </w:tc>
        <w:tc>
          <w:tcPr>
            <w:tcW w:w="4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 Arena, Director, Investor Relations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981-8511</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Daniel</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J. Goodwin,</w:t>
            </w:r>
          </w:p>
        </w:tc>
        <w:tc>
          <w:tcPr>
            <w:tcW w:w="3120" w:type="dxa"/>
            <w:vAlign w:val="bottom"/>
          </w:tcPr>
          <w:p>
            <w:pPr>
              <w:ind w:left="40"/>
              <w:spacing w:after="0"/>
              <w:rPr>
                <w:sz w:val="20"/>
                <w:szCs w:val="20"/>
                <w:color w:val="auto"/>
              </w:rPr>
            </w:pPr>
            <w:r>
              <w:rPr>
                <w:rFonts w:ascii="Courier New" w:cs="Courier New" w:eastAsia="Courier New" w:hAnsi="Courier New"/>
                <w:sz w:val="14"/>
                <w:szCs w:val="14"/>
                <w:color w:val="auto"/>
              </w:rPr>
              <w:t>Director, Investor Relations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981-7518</w:t>
            </w:r>
          </w:p>
        </w:tc>
      </w:tr>
    </w:tbl>
    <w:p>
      <w:pPr>
        <w:spacing w:after="0" w:line="33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COMCAST REPORTS FIRST QUARTER 2003 RESULTS</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Consolidated Revenue Increased to $5.52 billion and</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EBITDA Increased to $1.64 billion</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Operating Income Increased 12.4% to $473 million</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COMCAST CABLE DELIVERS MEANINGFUL SUBSCRIBER ADDITIONS</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Total Basic Cable Subscribers Increased by 56,900</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High-Speed Internet Subscribers Increased By 417,000 to Exceed 4 Million</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COMCAST INCREASES 2003 GUIDANCE FOR BASIC CABLE AND HIGH-SPEED</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INTERNET SUBSCRIBERS AND REAFFIRMS ALL OTHER 2003 GUIDANCE</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TURNAROUND OF NEWLY ACQUIRED SYSTEMS BEGINS TO YIELD</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SUBSTANTIAL RESULTS</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Pro Forma Cable Revenue Increased 10.0% and Pro Forma Cable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EBITDA Increased 35.8%</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Pro Forma Cable Operating Income Increased to $341 million</w:t>
      </w:r>
    </w:p>
    <w:p>
      <w:pPr>
        <w:spacing w:after="0" w:line="175"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Philadelphia, PA - May 8, 2003...Comcast Corporation (Nasdaq: CMCSA, CMCSK) today reported results for the quarter ended March 31, 2003. Comcast will discuss first quarter results on a conference call and webcast today at 10:30 AM Eastern Time. A live broadcast of the conference call will be available on the investor relations websites at www.cmcsa.com and www.cmcsk.com.</w:t>
      </w:r>
    </w:p>
    <w:p>
      <w:pPr>
        <w:spacing w:after="0" w:line="162"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Brian L. Roberts, president and CEO of Comcast Corporation said, "We delivered terrific results this quarter and remain confident that 2003 will be an outstanding year for Comcast. The solid results for the first 4 months of integration of our newly acquired cable systems strengthen the foundation for continued momentum."</w:t>
      </w:r>
    </w:p>
    <w:p>
      <w:pPr>
        <w:spacing w:after="0" w:line="162"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"Stemming cable subscriber losses in the newly acquired cable systems is a critical step to a successful integration," said Roberts. "We added nearly 57,000 basic cable subscribers this quarter, a tremendous accomplishment. As a result, we are increasing our guidance for basic cable subscriber additions for 2003. We now expect to add 75,000 to 100,000 basic cable subscribers, a significant improvement from our previous expectation of flat subscriber growth. As we refocus on video, accelerate the rebuild of the newly acquired cable systems and</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287"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continue to work across a range of integration initiatives our results are very encouraging. More work remains but I am confident that we can successfully deliver on our plans."</w:t>
      </w:r>
    </w:p>
    <w:p>
      <w:pPr>
        <w:spacing w:after="0" w:line="162"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Mr. Roberts continued, "We continue to experience strong demand for our high-speed Internet service. With 417,000 net additions in the quarter, we reached more than 4 million subscribers by quarter-end. As a result, we are increasing our guidance for high-speed Internet service additions for 2003. We now expect to add 1.6 million high-speed Internet subscribers, a 33% increase above the net additions reported in 2002 and up from previous guidance of 1.3 to 1.4 million additions, to finish 2003 with 5.2 million high-speed Internet subscribers. We continue to be very optimistic about the outlook for cable modem service."</w:t>
      </w:r>
    </w:p>
    <w:p>
      <w:pPr>
        <w:spacing w:after="0" w:line="332"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"During the first quarter, we completed the Time Warner Entertainment restructuring that provided us more than $2 billion in cash for immediate debt reduction. At closing, we also received $1.5 billion of AOL equity securities and a 21% interest in Time Warner's cable business, providing additional strength to our balance sheet. Throughout 2003 we will continue to identify opportunities to further decrease our debt and increase liquidity in order to solidify our investment grade ratings."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 Results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Comcast Cable results for the quarter ended March 31, 2003 are presented on a pro forma basis. Pro forma results adjust only for acquisitions and are presented as if the acquisition of AT&amp;T Broadband completed in November 2002 was effective on January 1, 2002. Please refer to Table 8 "Non-GAAP and Other Financial Measures."</w:t>
      </w:r>
    </w:p>
    <w:p>
      <w:pPr>
        <w:spacing w:after="0" w:line="330"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Pro forma Comcast Cable revenue for the quarter ended March 31, 2003 was $4.231 billion, representing a 10.0% increase from the $3.844 billion in the first quarter of 2002. Pro forma operating income before depreciation and amortization (EBITDA) for the quarter was $1.421 billion, an increase of 35.8% over the $1.046 billion for the same period of 2002. Pro forma results include $88 million of acquisition and employee termination related costs incurred by AT&amp;T</w:t>
      </w:r>
    </w:p>
    <w:p>
      <w:pPr>
        <w:sectPr>
          <w:pgSz w:w="11900" w:h="16845" w:orient="portrait"/>
          <w:cols w:equalWidth="0" w:num="1">
            <w:col w:w="10239"/>
          </w:cols>
          <w:pgMar w:left="220" w:top="141" w:right="1440" w:bottom="0" w:gutter="0" w:footer="0" w:header="0"/>
        </w:sectPr>
      </w:pPr>
    </w:p>
    <w:bookmarkStart w:id="3" w:name="page4"/>
    <w:bookmarkEnd w:id="3"/>
    <w:p>
      <w:pPr>
        <w:jc w:val="both"/>
        <w:ind w:right="3279"/>
        <w:spacing w:after="0" w:line="252" w:lineRule="auto"/>
        <w:rPr>
          <w:sz w:val="20"/>
          <w:szCs w:val="20"/>
          <w:color w:val="auto"/>
        </w:rPr>
      </w:pPr>
      <w:r>
        <w:rPr>
          <w:rFonts w:ascii="Courier New" w:cs="Courier New" w:eastAsia="Courier New" w:hAnsi="Courier New"/>
          <w:sz w:val="14"/>
          <w:szCs w:val="14"/>
          <w:color w:val="auto"/>
        </w:rPr>
        <w:t>Broadband in the first quarter of 2002. Excluding these costs, cable EBITDA grew 25.3% over the $1.134 billion adjusted 2002 EBITDA figure. EBITDA margins were</w:t>
      </w:r>
    </w:p>
    <w:p>
      <w:pPr>
        <w:spacing w:after="0" w:line="1"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33.6% for the first quarter of 2003 compared with 27.2% for the same period in 2002 as overhead reductions and other cost cutting measures took effect. Pro forma cable operating income was $341 million in the current quarter compared to a pro forma operating loss of $6 million in the first quarter of 2002.</w:t>
      </w:r>
    </w:p>
    <w:p>
      <w:pPr>
        <w:spacing w:after="0" w:line="163"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Pro forma cable video revenues increased 5.4% in the first quarter of 2003 compared with the prior year quarter reflecting continuing growth in Digital Cable subscriptions and basic cable rate increases, offset by subscriber losses in the newly acquired cable systems during 2002. Pro forma high-speed Internet service revenue for the first quarter of 2003 increased 57.5% over the prior year quarter to $492 million, as a result of a 52.3% increase in the customer base and a 4.3% increase in average revenue per subscriber. Pro forma cable phone revenue totaled $224 million, a 27.9% increase from the first quarter of 2002, reflecting higher customer levels compared to the prior year and a 1.4% decline in average revenue per subscriber. Pro forma advertising revenue increased 8.3% over the prior year quarter to $235 million, reflecting growth of 13.9% in the historical Comcast systems as a result of the continued success of regional interconnects in these markets and 4.9% growth in the newly acquired systems.</w:t>
      </w:r>
    </w:p>
    <w:p>
      <w:pPr>
        <w:spacing w:after="0" w:line="330"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In the first quarter of 2003 Comcast Cable added 56,900 basic cable subscribers, a dramatic improvement over the combined loss of 139,000 subscribers in 2002. The increase reflects growth in Comcast's historical cable systems of 14,300 basic subscribers, and the addition of 42,600 basic subscribers in the newly acquired cable systems. The trailing twelve-month</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41" w:right="1440" w:bottom="1440" w:gutter="0" w:footer="0" w:header="0"/>
        </w:sectPr>
      </w:pPr>
    </w:p>
    <w:bookmarkStart w:id="4" w:name="page5"/>
    <w:bookmarkEnd w:id="4"/>
    <w:p>
      <w:pPr>
        <w:jc w:val="both"/>
        <w:ind w:right="3279"/>
        <w:spacing w:after="0" w:line="253" w:lineRule="auto"/>
        <w:rPr>
          <w:sz w:val="20"/>
          <w:szCs w:val="20"/>
          <w:color w:val="auto"/>
        </w:rPr>
      </w:pPr>
      <w:r>
        <w:rPr>
          <w:rFonts w:ascii="Courier New" w:cs="Courier New" w:eastAsia="Courier New" w:hAnsi="Courier New"/>
          <w:sz w:val="14"/>
          <w:szCs w:val="14"/>
          <w:color w:val="auto"/>
        </w:rPr>
        <w:t>growth rate of 0.5% in Comcast's historical systems reflects the negative impact of military personnel relocations principally in our Savannah and Nashville systems as a result of recent deployment of troops from these markets. Comcast Cable expects to regain these subscribers as military personnel return home. Basic subscriber gains of nearly 43,000 in the newly acquired systems represent a marked turnaround from the first quarter of 2002 when those systems lost 179,800 subscribers.</w:t>
      </w:r>
    </w:p>
    <w:p>
      <w:pPr>
        <w:spacing w:after="0" w:line="16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Comcast Cable added 168,500 Digital Cable subscribers to end the first quarter with 6.787 million Digital Cable subscribers, a pro forma increase of 23.4% over the same prior year period, representing a penetration rate of nearly 32%. Digital Cable subscriber additions slowed reflecting the impact of digital repackaging and re-pricing in the newly acquired cable systems as well as a planned slowdown in marketing as the Company prepares to expand its robust On-Demand offering across many more markets. The Company expects that, over time, repackaging and re-pricing will result in significant improvement in the profitability of the Digital Cable offering in the newly acquired systems. The Company reaffirms its previous guidance for Digital Cable subscriber additions of between 950,000 and 1 million in 2003.</w:t>
      </w:r>
    </w:p>
    <w:p>
      <w:pPr>
        <w:spacing w:after="0" w:line="164"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Comcast Cable continued to enhance its Digital Cable offering as it expanded the availability of video-on-demand (VOD) and high-definition television (HDTV). VOD is now available to 11 million subscribers and HDTV is now available to more than 9 million subscribers.</w:t>
      </w:r>
    </w:p>
    <w:p>
      <w:pPr>
        <w:spacing w:after="0" w:line="163"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Comcast Cable added 417,000 high-speed Internet customers to finish the first quarter with more than 4 million subscribers, representing a penetration rate of 13%. During the quarter Comcast Cable added high-speed Internet subscribers at an average weekly rate of over 32,000 new subscribers, nearly double the weekly average a year ago and up nearly 14% sequentially. More than 79% of the homes in Comcast's footprint, or 31.1 million homes, now have access to high-speed Internet service. This represents the addition of over 1.0 million homes to the service's footprint during the first quarter. As stated above, the Company is increasing its guidance for high-speed Internet customer additions to 1.6 million in 2003 up from previous guidance of 1.3 to 1.4 million additions. The Company expects to end the year with 5.2 million high-speed Internet customers.</w:t>
      </w:r>
    </w:p>
    <w:p>
      <w:pPr>
        <w:spacing w:after="0" w:line="164"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Capital expenditures totaled $953 million as Comcast Cable upgraded over 12,200 miles of plant to end the quarter with more than 86% of its footprint upgraded to provide two-way digital and high-speed Internet services. The newly acquired systems are now nearly 80% upgraded to deliver two-way digital cable and high-speed Internet service, up from 73% at December 31, 2002. The Company expects to comfortably meet its target of upgrading approximately 46,000 miles of cable plant this year at a total cost of approximately $1.3 billion with 94% of the total cable plant upgraded to provide two-way digital and high-speed Internet services.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Commerce: QVC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QVC's consolidated revenues for the quarter ended March 31, 2003 were $1.062 billion, a 7.5% increase from the $988 million reported in the first quarter of 2002. Consolidated EBITDA for the quarter was $211 million, an increase of 9.8% over the $192 million reported in the prior year quarter. Consolidated operating income was $180 million, a 9.1% increase over operating income of $165 million in the first quarter of 2002.</w:t>
      </w:r>
    </w:p>
    <w:p>
      <w:pPr>
        <w:spacing w:after="0" w:line="16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QVC's international operations contributed significantly to the growth in QVC's consolidated results for the first quarter of 2003. International revenue grew over 50% to $214 million for the quarter while international EBITDA grew nearly five fold from $4 million in the first quarter of 2002 to $18 million for the first quarter of 2003. QVC's domestic revenue of $848 million was flat when compared to the first quarter of 2002, reflecting weakness in the domestic economy and</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5" w:name="page6"/>
    <w:bookmarkEnd w:id="5"/>
    <w:p>
      <w:pPr>
        <w:jc w:val="both"/>
        <w:ind w:right="3279"/>
        <w:spacing w:after="0" w:line="255" w:lineRule="auto"/>
        <w:rPr>
          <w:sz w:val="20"/>
          <w:szCs w:val="20"/>
          <w:color w:val="auto"/>
        </w:rPr>
      </w:pPr>
      <w:r>
        <w:rPr>
          <w:rFonts w:ascii="Courier New" w:cs="Courier New" w:eastAsia="Courier New" w:hAnsi="Courier New"/>
          <w:sz w:val="14"/>
          <w:szCs w:val="14"/>
          <w:color w:val="auto"/>
        </w:rPr>
        <w:t>the retail sector in particular. QVC's domestic EBITDA grew 2.6% to $193 million for the quarter as a result of continued operating efficiencies, driving domestic EBITDA margin to 22.8% from 22.2%.</w:t>
      </w:r>
    </w:p>
    <w:p>
      <w:pPr>
        <w:spacing w:after="0" w:line="162"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Mr. Roberts said, "QVC continues to demonstrate its global leadership position in electronic retailing. Despite a weak domestic retail environment, QVC's international businesses powered the quarter's results, proving once again the strength of its global business model."</w:t>
      </w:r>
    </w:p>
    <w:p>
      <w:pPr>
        <w:spacing w:after="0" w:line="163"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On March 3, 2003, Liberty Media Corporation exercised its exit rights related to QVC. Pursuant to the agreement between Comcast and Liberty, the parties have begun the independent appraisal process outlined in the partnership contract.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Content and Other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Content and Other includes the Company's content businesses, corporate</w:t>
      </w:r>
    </w:p>
    <w:p>
      <w:pPr>
        <w:spacing w:after="0" w:line="8"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overhead and eliminations. Content businesses include E! Networks (E! Entertainment and Style), Comcast-Spectacor, The Golf Channel, Outdoor Life Network, and G4.</w:t>
      </w:r>
    </w:p>
    <w:p>
      <w:pPr>
        <w:spacing w:after="0" w:line="162"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Comcast's content and other businesses reported first quarter 2003 revenue of $224 million, a 12.6% increase over the first quarter of 2002, principally the result of increases in distribution across all the cable channels. Content and other EBITDA declined 60% to $6 million, due primarily to a decline in EBITDA at Comcast-Spectacor ($11 million) reflecting increased player compensation and fewer events at the arenas, continuing investments in new networks and an increase in corporate overhead from $20 million to $39 million. E! Networks and The Golf Channel each reported double digit growth in revenue and EBITDA growth above 30%.</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Results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The Company's consolidated results include all acquisitions as of the dates of their closing. The Company acquired AT&amp;T Broadband in November 2002 adding over 13 million cable subscribers to its customer base. Results of operations from 314,000 cable subscribers sold to Bresnan Communications on March 20, 2003 are not included in operating results for any periods. All per share amounts are reported on a diluted basis.</w:t>
      </w:r>
    </w:p>
    <w:p>
      <w:pPr>
        <w:spacing w:after="0" w:line="16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For the three months ended March 31, 2003, the Company reported consolidated revenues of $5.518 billion, as compared to $2.667 billion reported in the first quarter of 2002 while consolidated EBITDA more than doubled to $1.638 billion from the $808 million reported in the first quarter of 2002. Increases in revenue, EBITDA, depreciation and amortization and interest expense primarily reflect the acquisition of AT&amp;T Broadband in November 2002. For the three months ended March 31, 2003, the Company reported operating income of $473 million, a 12.4% increase over the $421 million in operating income in the first quarter of 2002. The Company reported a consolidated net loss of $297 million or $0.13 per share as compared to a net loss of $89 million or $0.09 per share in the same period of the prior year. Please refer to the "Reconciliation of Net Income (Loss) to Free Cash Flow" in Table 8 at the end of this release for further details regarding non-operating items.</w:t>
      </w:r>
    </w:p>
    <w:p>
      <w:pPr>
        <w:spacing w:after="0" w:line="163"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Pro forma consolidated results are presented as if the acquisition of AT&amp;T Broadband was effective on January 1, 2002. For the first quarter of 2003, the Company reported pro forma consolidated revenues of $5.517 billion, a 9.7% increase from the $5.031 billion in the first quarter of 2002. Pro forma consolidated EBITDA for the first quarter of 2003 was $1.638 billion, a 30.8% increase from the $1.253 billion in the prior year quarter. Included in the first quarter of 2002 is $88 million of acquisition and employee termination related costs. Excluding these costs, pro forma EBITDA grew 22.1% over the $1.341 billion adjusted 2002 pro forma EBITDA</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6" w:name="page7"/>
    <w:bookmarkEnd w:id="6"/>
    <w:p>
      <w:pPr>
        <w:jc w:val="both"/>
        <w:ind w:right="3279"/>
        <w:spacing w:after="0" w:line="258" w:lineRule="auto"/>
        <w:rPr>
          <w:sz w:val="20"/>
          <w:szCs w:val="20"/>
          <w:color w:val="auto"/>
        </w:rPr>
      </w:pPr>
      <w:r>
        <w:rPr>
          <w:rFonts w:ascii="Courier New" w:cs="Courier New" w:eastAsia="Courier New" w:hAnsi="Courier New"/>
          <w:sz w:val="14"/>
          <w:szCs w:val="14"/>
          <w:color w:val="auto"/>
        </w:rPr>
        <w:t>figure. Pro forma consolidated operating income was $473 million, as compared to $107 million in the first quarter of 2002.</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Sheet and Liquidity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The Company made significant progress during the first quarter in further strengthening its balance sheet and liquidity position. At March 31, 2003, the Company's total debt was $32.910 billion, including $5.679 billion of exchangeable notes collateralized by equity securities that the Company owns. Debt excluding exchangeables was $27.231 billion. The Company reduced total debt by $2.0 billion from December 31, 2002 through the use of cash proceeds from the TWE restructuring. During the first quarter, the Company completely repaid the bridge facility put in place to fund the acquisition of AT&amp;T Broadband through the issuance of $3 billion of long-term debt and asset sales including the $2.1 billion of cash proceeds received as part of the Time Warner Entertainment restructuring.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Guidance 2003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The Company is increasing its guidance for basic cable subscriber additions and for high-speed Internet additions for 2003. Comcast now expects to add 75,000 to 100,000 basic cable subscribers, a meaningful improvement from previous guidance of flat subscriber growth. The Company now expects to add 1.6 million high-speed Internet subscribers in 2003 versus previous guidance of 1.3 to 1.4 million additions, to finish 2003 with 5.2 million high-speed Internet subscribers. The Company reaffirms all other guidance for 2003 for its cable, QVC and content businesses.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This press release contains forward-looking statements. Readers are cautioned that such forward-looking statements involve risks and uncertainties that could significantly affect actual results from those expressed in any such forward-looking statements. Readers are directed to Comcast's Annual Report on Form 10-K for a description of such risks and uncertainties.</w:t>
      </w:r>
    </w:p>
    <w:p>
      <w:pPr>
        <w:spacing w:after="0" w:line="162"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Comcast Corporation will host a conference call with the financial community today May 8, 2003 at 10:30 a.m. Eastern Time (ET).</w:t>
      </w:r>
    </w:p>
    <w:p>
      <w:pPr>
        <w:spacing w:after="0" w:line="160"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The conference call and accompanying slides will be available on the Company's Investor Relations website at www.cmcsk.com. A recording of the call will be available on the Investor Relations website starting at 12:30 p.m. ET on May 8, 2003.</w:t>
      </w:r>
    </w:p>
    <w:p>
      <w:pPr>
        <w:spacing w:after="0" w:line="163"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Those parties interested in participating via telephone should dial (847) 413-3237. A telephone replay will begin immediately following the call until May 9, 2003 at midnight ET. To access the rebroadcast, please dial (630) 652-3000 and enter passcode number 7018562.</w:t>
      </w:r>
    </w:p>
    <w:p>
      <w:pPr>
        <w:spacing w:after="0" w:line="163"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To automatically receive Comcast financial news by email, please visit www.cmcsk.com and subscribe to e-mail Alerts.</w:t>
      </w:r>
    </w:p>
    <w:p>
      <w:pPr>
        <w:spacing w:after="0" w:line="160"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Comcast Corporation (www.comcast.com) is principally involved in the development, management and operation of broadband cable networks, and in the provision of electronic commerce and programming content. The Company is the largest cable company in the United States, serving over 21 million cable subscribers. The Company's commerce and content businesses include majority ownership of QVC, Comcast Spectacor, Comcast SportsNet, E! Entertainment Television, Style, The Golf Channel, Outdoor Life Network and G4. Comcast Class A common stock and Class A Special common stock trade on The NASDAQ Stock Market under the symbols CMCSA and CMCSK,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7" w:name="page8"/>
    <w:bookmarkEnd w:id="7"/>
    <w:p>
      <w:pPr>
        <w:ind w:left="4000"/>
        <w:spacing w:after="0"/>
        <w:rPr>
          <w:sz w:val="20"/>
          <w:szCs w:val="20"/>
          <w:color w:val="auto"/>
        </w:rPr>
      </w:pPr>
      <w:r>
        <w:rPr>
          <w:rFonts w:ascii="Courier New" w:cs="Courier New" w:eastAsia="Courier New" w:hAnsi="Courier New"/>
          <w:sz w:val="14"/>
          <w:szCs w:val="14"/>
          <w:color w:val="auto"/>
        </w:rPr>
        <w:t>[COMCAST LOGO]</w:t>
      </w:r>
    </w:p>
    <w:p>
      <w:pPr>
        <w:spacing w:after="0" w:line="175"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4"/>
          <w:szCs w:val="14"/>
          <w:color w:val="auto"/>
        </w:rPr>
        <w:t>TABLE 1</w:t>
      </w:r>
    </w:p>
    <w:p>
      <w:pPr>
        <w:spacing w:after="0" w:line="8" w:lineRule="exact"/>
        <w:rPr>
          <w:sz w:val="20"/>
          <w:szCs w:val="20"/>
          <w:color w:val="auto"/>
        </w:rPr>
      </w:pPr>
    </w:p>
    <w:p>
      <w:pPr>
        <w:jc w:val="center"/>
        <w:ind w:right="1019"/>
        <w:spacing w:after="0"/>
        <w:rPr>
          <w:sz w:val="20"/>
          <w:szCs w:val="20"/>
          <w:color w:val="auto"/>
        </w:rPr>
      </w:pPr>
      <w:r>
        <w:rPr>
          <w:rFonts w:ascii="Courier New" w:cs="Courier New" w:eastAsia="Courier New" w:hAnsi="Courier New"/>
          <w:sz w:val="14"/>
          <w:szCs w:val="14"/>
          <w:color w:val="auto"/>
        </w:rPr>
        <w:t>Condensed Consolidated Statement of Operations (Unaudited)</w:t>
      </w:r>
    </w:p>
    <w:p>
      <w:pPr>
        <w:spacing w:after="0" w:line="8" w:lineRule="exact"/>
        <w:rPr>
          <w:sz w:val="20"/>
          <w:szCs w:val="20"/>
          <w:color w:val="auto"/>
        </w:rPr>
      </w:pPr>
    </w:p>
    <w:p>
      <w:pPr>
        <w:jc w:val="center"/>
        <w:ind w:right="1019"/>
        <w:spacing w:after="0"/>
        <w:rPr>
          <w:sz w:val="20"/>
          <w:szCs w:val="20"/>
          <w:color w:val="auto"/>
        </w:rPr>
      </w:pPr>
      <w:r>
        <w:rPr>
          <w:rFonts w:ascii="Courier New" w:cs="Courier New" w:eastAsia="Courier New" w:hAnsi="Courier New"/>
          <w:sz w:val="14"/>
          <w:szCs w:val="14"/>
          <w:color w:val="auto"/>
        </w:rPr>
        <w:t>(dollars in millions, except per share data)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26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Three Months Ended</w:t>
            </w:r>
          </w:p>
        </w:tc>
      </w:tr>
      <w:tr>
        <w:trPr>
          <w:trHeight w:val="167"/>
        </w:trPr>
        <w:tc>
          <w:tcPr>
            <w:tcW w:w="6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March 31,</w:t>
            </w:r>
          </w:p>
        </w:tc>
      </w:tr>
      <w:tr>
        <w:trPr>
          <w:trHeight w:val="167"/>
        </w:trPr>
        <w:tc>
          <w:tcPr>
            <w:tcW w:w="65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2003</w:t>
            </w:r>
          </w:p>
        </w:tc>
        <w:tc>
          <w:tcPr>
            <w:tcW w:w="1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2002</w:t>
            </w:r>
          </w:p>
        </w:tc>
      </w:tr>
      <w:tr>
        <w:trPr>
          <w:trHeight w:val="167"/>
        </w:trPr>
        <w:tc>
          <w:tcPr>
            <w:tcW w:w="652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520" w:type="dxa"/>
            <w:vAlign w:val="bottom"/>
          </w:tcPr>
          <w:p>
            <w:pPr>
              <w:spacing w:after="0"/>
              <w:rPr>
                <w:sz w:val="20"/>
                <w:szCs w:val="20"/>
                <w:color w:val="auto"/>
              </w:rPr>
            </w:pPr>
            <w:r>
              <w:rPr>
                <w:rFonts w:ascii="Courier New" w:cs="Courier New" w:eastAsia="Courier New" w:hAnsi="Courier New"/>
                <w:sz w:val="14"/>
                <w:szCs w:val="14"/>
                <w:color w:val="auto"/>
              </w:rPr>
              <w:t>Service revenues</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$ 4,456</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$ 1,679</w:t>
            </w:r>
          </w:p>
        </w:tc>
      </w:tr>
      <w:tr>
        <w:trPr>
          <w:trHeight w:val="167"/>
        </w:trPr>
        <w:tc>
          <w:tcPr>
            <w:tcW w:w="6520" w:type="dxa"/>
            <w:vAlign w:val="bottom"/>
          </w:tcPr>
          <w:p>
            <w:pPr>
              <w:spacing w:after="0"/>
              <w:rPr>
                <w:sz w:val="20"/>
                <w:szCs w:val="20"/>
                <w:color w:val="auto"/>
              </w:rPr>
            </w:pPr>
            <w:r>
              <w:rPr>
                <w:rFonts w:ascii="Courier New" w:cs="Courier New" w:eastAsia="Courier New" w:hAnsi="Courier New"/>
                <w:sz w:val="14"/>
                <w:szCs w:val="14"/>
                <w:color w:val="auto"/>
              </w:rPr>
              <w:t>Net sales from electronic retailing</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1,062</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988</w:t>
            </w:r>
          </w:p>
        </w:tc>
      </w:tr>
      <w:tr>
        <w:trPr>
          <w:trHeight w:val="167"/>
        </w:trPr>
        <w:tc>
          <w:tcPr>
            <w:tcW w:w="652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52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5,518</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2,667</w:t>
            </w:r>
          </w:p>
        </w:tc>
      </w:tr>
      <w:tr>
        <w:trPr>
          <w:trHeight w:val="334"/>
        </w:trPr>
        <w:tc>
          <w:tcPr>
            <w:tcW w:w="6520" w:type="dxa"/>
            <w:vAlign w:val="bottom"/>
          </w:tcPr>
          <w:p>
            <w:pPr>
              <w:spacing w:after="0"/>
              <w:rPr>
                <w:sz w:val="20"/>
                <w:szCs w:val="20"/>
                <w:color w:val="auto"/>
              </w:rPr>
            </w:pPr>
            <w:r>
              <w:rPr>
                <w:rFonts w:ascii="Courier New" w:cs="Courier New" w:eastAsia="Courier New" w:hAnsi="Courier New"/>
                <w:sz w:val="14"/>
                <w:szCs w:val="14"/>
                <w:color w:val="auto"/>
              </w:rPr>
              <w:t>Cost of goods sold from electronic retailing</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673</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629</w:t>
            </w:r>
          </w:p>
        </w:tc>
      </w:tr>
      <w:tr>
        <w:trPr>
          <w:trHeight w:val="167"/>
        </w:trPr>
        <w:tc>
          <w:tcPr>
            <w:tcW w:w="6520" w:type="dxa"/>
            <w:vAlign w:val="bottom"/>
          </w:tcPr>
          <w:p>
            <w:pPr>
              <w:spacing w:after="0"/>
              <w:rPr>
                <w:sz w:val="20"/>
                <w:szCs w:val="20"/>
                <w:color w:val="auto"/>
              </w:rPr>
            </w:pPr>
            <w:r>
              <w:rPr>
                <w:rFonts w:ascii="Courier New" w:cs="Courier New" w:eastAsia="Courier New" w:hAnsi="Courier New"/>
                <w:sz w:val="14"/>
                <w:szCs w:val="14"/>
                <w:color w:val="auto"/>
              </w:rPr>
              <w:t>Operating, selling, general and administrative expenses</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3,207</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1,230</w:t>
            </w:r>
          </w:p>
        </w:tc>
      </w:tr>
      <w:tr>
        <w:trPr>
          <w:trHeight w:val="167"/>
        </w:trPr>
        <w:tc>
          <w:tcPr>
            <w:tcW w:w="652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520" w:type="dxa"/>
            <w:vAlign w:val="bottom"/>
          </w:tcPr>
          <w:p>
            <w:pPr>
              <w:spacing w:after="0"/>
              <w:rPr>
                <w:sz w:val="20"/>
                <w:szCs w:val="20"/>
                <w:color w:val="auto"/>
              </w:rPr>
            </w:pPr>
            <w:r>
              <w:rPr>
                <w:rFonts w:ascii="Courier New" w:cs="Courier New" w:eastAsia="Courier New" w:hAnsi="Courier New"/>
                <w:sz w:val="14"/>
                <w:szCs w:val="14"/>
                <w:color w:val="auto"/>
              </w:rPr>
              <w:t>Operating income before depreciation and amortization</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1,638</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808</w:t>
            </w:r>
          </w:p>
        </w:tc>
      </w:tr>
      <w:tr>
        <w:trPr>
          <w:trHeight w:val="334"/>
        </w:trPr>
        <w:tc>
          <w:tcPr>
            <w:tcW w:w="65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1,165</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387</w:t>
            </w:r>
          </w:p>
        </w:tc>
      </w:tr>
      <w:tr>
        <w:trPr>
          <w:trHeight w:val="167"/>
        </w:trPr>
        <w:tc>
          <w:tcPr>
            <w:tcW w:w="652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52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473</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421</w:t>
            </w:r>
          </w:p>
        </w:tc>
      </w:tr>
      <w:tr>
        <w:trPr>
          <w:trHeight w:val="334"/>
        </w:trPr>
        <w:tc>
          <w:tcPr>
            <w:tcW w:w="65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(525)</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(187)</w:t>
            </w:r>
          </w:p>
        </w:tc>
      </w:tr>
      <w:tr>
        <w:trPr>
          <w:trHeight w:val="167"/>
        </w:trPr>
        <w:tc>
          <w:tcPr>
            <w:tcW w:w="6520" w:type="dxa"/>
            <w:vAlign w:val="bottom"/>
          </w:tcPr>
          <w:p>
            <w:pPr>
              <w:spacing w:after="0"/>
              <w:rPr>
                <w:sz w:val="20"/>
                <w:szCs w:val="20"/>
                <w:color w:val="auto"/>
              </w:rPr>
            </w:pPr>
            <w:r>
              <w:rPr>
                <w:rFonts w:ascii="Courier New" w:cs="Courier New" w:eastAsia="Courier New" w:hAnsi="Courier New"/>
                <w:sz w:val="14"/>
                <w:szCs w:val="14"/>
                <w:color w:val="auto"/>
              </w:rPr>
              <w:t>Investment loss, net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(230)</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(248)</w:t>
            </w:r>
          </w:p>
        </w:tc>
      </w:tr>
      <w:tr>
        <w:trPr>
          <w:trHeight w:val="167"/>
        </w:trPr>
        <w:tc>
          <w:tcPr>
            <w:tcW w:w="6520" w:type="dxa"/>
            <w:vAlign w:val="bottom"/>
          </w:tcPr>
          <w:p>
            <w:pPr>
              <w:spacing w:after="0"/>
              <w:rPr>
                <w:sz w:val="20"/>
                <w:szCs w:val="20"/>
                <w:color w:val="auto"/>
              </w:rPr>
            </w:pPr>
            <w:r>
              <w:rPr>
                <w:rFonts w:ascii="Courier New" w:cs="Courier New" w:eastAsia="Courier New" w:hAnsi="Courier New"/>
                <w:sz w:val="14"/>
                <w:szCs w:val="14"/>
                <w:color w:val="auto"/>
              </w:rPr>
              <w:t>Other, net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7"/>
        </w:trPr>
        <w:tc>
          <w:tcPr>
            <w:tcW w:w="652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5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(757)</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(463)</w:t>
            </w:r>
          </w:p>
        </w:tc>
      </w:tr>
      <w:tr>
        <w:trPr>
          <w:trHeight w:val="167"/>
        </w:trPr>
        <w:tc>
          <w:tcPr>
            <w:tcW w:w="652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520" w:type="dxa"/>
            <w:vAlign w:val="bottom"/>
          </w:tcPr>
          <w:p>
            <w:pPr>
              <w:spacing w:after="0"/>
              <w:rPr>
                <w:sz w:val="20"/>
                <w:szCs w:val="20"/>
                <w:color w:val="auto"/>
              </w:rPr>
            </w:pPr>
            <w:r>
              <w:rPr>
                <w:rFonts w:ascii="Courier New" w:cs="Courier New" w:eastAsia="Courier New" w:hAnsi="Courier New"/>
                <w:sz w:val="14"/>
                <w:szCs w:val="14"/>
                <w:color w:val="auto"/>
              </w:rPr>
              <w:t>Loss before income taxes and minority interest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(284)</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334"/>
        </w:trPr>
        <w:tc>
          <w:tcPr>
            <w:tcW w:w="6520" w:type="dxa"/>
            <w:vAlign w:val="bottom"/>
          </w:tcPr>
          <w:p>
            <w:pPr>
              <w:spacing w:after="0"/>
              <w:rPr>
                <w:sz w:val="20"/>
                <w:szCs w:val="20"/>
                <w:color w:val="auto"/>
              </w:rPr>
            </w:pPr>
            <w:r>
              <w:rPr>
                <w:rFonts w:ascii="Courier New" w:cs="Courier New" w:eastAsia="Courier New" w:hAnsi="Courier New"/>
                <w:sz w:val="14"/>
                <w:szCs w:val="14"/>
                <w:color w:val="auto"/>
              </w:rPr>
              <w:t>Income tax benefit (expense)</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652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7"/>
        </w:trPr>
        <w:tc>
          <w:tcPr>
            <w:tcW w:w="652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52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($297)</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($89)</w:t>
            </w:r>
          </w:p>
        </w:tc>
      </w:tr>
      <w:tr>
        <w:trPr>
          <w:trHeight w:val="167"/>
        </w:trPr>
        <w:tc>
          <w:tcPr>
            <w:tcW w:w="652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6520" w:type="dxa"/>
            <w:vAlign w:val="bottom"/>
          </w:tcPr>
          <w:p>
            <w:pPr>
              <w:spacing w:after="0"/>
              <w:rPr>
                <w:sz w:val="20"/>
                <w:szCs w:val="20"/>
                <w:color w:val="auto"/>
              </w:rPr>
            </w:pPr>
            <w:r>
              <w:rPr>
                <w:rFonts w:ascii="Courier New" w:cs="Courier New" w:eastAsia="Courier New" w:hAnsi="Courier New"/>
                <w:sz w:val="14"/>
                <w:szCs w:val="14"/>
                <w:color w:val="auto"/>
              </w:rPr>
              <w:t>Basic net loss per common share</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($ 0.13)</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($ 0.09)</w:t>
            </w:r>
          </w:p>
        </w:tc>
      </w:tr>
      <w:tr>
        <w:trPr>
          <w:trHeight w:val="167"/>
        </w:trPr>
        <w:tc>
          <w:tcPr>
            <w:tcW w:w="652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520" w:type="dxa"/>
            <w:vAlign w:val="bottom"/>
          </w:tcPr>
          <w:p>
            <w:pPr>
              <w:spacing w:after="0"/>
              <w:rPr>
                <w:sz w:val="20"/>
                <w:szCs w:val="20"/>
                <w:color w:val="auto"/>
              </w:rPr>
            </w:pPr>
            <w:r>
              <w:rPr>
                <w:rFonts w:ascii="Courier New" w:cs="Courier New" w:eastAsia="Courier New" w:hAnsi="Courier New"/>
                <w:sz w:val="14"/>
                <w:szCs w:val="14"/>
                <w:color w:val="auto"/>
              </w:rPr>
              <w:t>Diluted net loss per common share</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($ 0.13)</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($ 0.09)</w:t>
            </w:r>
          </w:p>
        </w:tc>
      </w:tr>
      <w:tr>
        <w:trPr>
          <w:trHeight w:val="167"/>
        </w:trPr>
        <w:tc>
          <w:tcPr>
            <w:tcW w:w="652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520" w:type="dxa"/>
            <w:vAlign w:val="bottom"/>
          </w:tcPr>
          <w:p>
            <w:pPr>
              <w:spacing w:after="0"/>
              <w:rPr>
                <w:sz w:val="20"/>
                <w:szCs w:val="20"/>
                <w:color w:val="auto"/>
              </w:rPr>
            </w:pPr>
            <w:r>
              <w:rPr>
                <w:rFonts w:ascii="Courier New" w:cs="Courier New" w:eastAsia="Courier New" w:hAnsi="Courier New"/>
                <w:sz w:val="14"/>
                <w:szCs w:val="14"/>
                <w:color w:val="auto"/>
              </w:rPr>
              <w:t>Basic and Diluted weighted average number of common shares outstanding</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2,255</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951</w:t>
            </w:r>
          </w:p>
        </w:tc>
      </w:tr>
      <w:tr>
        <w:trPr>
          <w:trHeight w:val="167"/>
        </w:trPr>
        <w:tc>
          <w:tcPr>
            <w:tcW w:w="652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8"/>
        </w:trPr>
        <w:tc>
          <w:tcPr>
            <w:tcW w:w="6520" w:type="dxa"/>
            <w:vAlign w:val="bottom"/>
          </w:tcPr>
          <w:p>
            <w:pPr>
              <w:ind w:left="4080"/>
              <w:spacing w:after="0"/>
              <w:rPr>
                <w:sz w:val="20"/>
                <w:szCs w:val="20"/>
                <w:color w:val="auto"/>
              </w:rPr>
            </w:pPr>
            <w:r>
              <w:rPr>
                <w:rFonts w:ascii="Courier New" w:cs="Courier New" w:eastAsia="Courier New" w:hAnsi="Courier New"/>
                <w:sz w:val="14"/>
                <w:szCs w:val="14"/>
                <w:color w:val="auto"/>
              </w:rPr>
              <w:t>6</w:t>
            </w: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0239"/>
          </w:cols>
          <w:pgMar w:left="220" w:top="1288" w:right="1440" w:bottom="1440" w:gutter="0" w:footer="0" w:header="0"/>
        </w:sectPr>
      </w:pPr>
    </w:p>
    <w:bookmarkStart w:id="8" w:name="page9"/>
    <w:bookmarkEnd w:id="8"/>
    <w:p>
      <w:pPr>
        <w:ind w:left="4340"/>
        <w:spacing w:after="0"/>
        <w:rPr>
          <w:sz w:val="20"/>
          <w:szCs w:val="20"/>
          <w:color w:val="auto"/>
        </w:rPr>
      </w:pPr>
      <w:r>
        <w:rPr>
          <w:rFonts w:ascii="Courier New" w:cs="Courier New" w:eastAsia="Courier New" w:hAnsi="Courier New"/>
          <w:sz w:val="14"/>
          <w:szCs w:val="14"/>
          <w:color w:val="auto"/>
        </w:rPr>
        <w:t>[COMCAST LOGO]</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20" w:type="dxa"/>
            <w:vAlign w:val="bottom"/>
          </w:tcPr>
          <w:p>
            <w:pPr>
              <w:ind w:left="4600"/>
              <w:spacing w:after="0"/>
              <w:rPr>
                <w:sz w:val="20"/>
                <w:szCs w:val="20"/>
                <w:color w:val="auto"/>
              </w:rPr>
            </w:pPr>
            <w:r>
              <w:rPr>
                <w:rFonts w:ascii="Courier New" w:cs="Courier New" w:eastAsia="Courier New" w:hAnsi="Courier New"/>
                <w:sz w:val="14"/>
                <w:szCs w:val="14"/>
                <w:color w:val="auto"/>
              </w:rPr>
              <w:t>TABLE 2</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1"/>
        </w:trPr>
        <w:tc>
          <w:tcPr>
            <w:tcW w:w="7220" w:type="dxa"/>
            <w:vAlign w:val="bottom"/>
          </w:tcPr>
          <w:p>
            <w:pPr>
              <w:ind w:left="2880"/>
              <w:spacing w:after="0"/>
              <w:rPr>
                <w:sz w:val="20"/>
                <w:szCs w:val="20"/>
                <w:color w:val="auto"/>
              </w:rPr>
            </w:pPr>
            <w:r>
              <w:rPr>
                <w:rFonts w:ascii="Courier New" w:cs="Courier New" w:eastAsia="Courier New" w:hAnsi="Courier New"/>
                <w:sz w:val="14"/>
                <w:szCs w:val="14"/>
                <w:color w:val="auto"/>
              </w:rPr>
              <w:t>Condensed Consolidated Balance Sheet (Unaudited)</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7"/>
        </w:trPr>
        <w:tc>
          <w:tcPr>
            <w:tcW w:w="7220" w:type="dxa"/>
            <w:vAlign w:val="bottom"/>
          </w:tcPr>
          <w:p>
            <w:pPr>
              <w:ind w:left="4000"/>
              <w:spacing w:after="0"/>
              <w:rPr>
                <w:sz w:val="20"/>
                <w:szCs w:val="20"/>
                <w:color w:val="auto"/>
              </w:rPr>
            </w:pPr>
            <w:r>
              <w:rPr>
                <w:rFonts w:ascii="Courier New" w:cs="Courier New" w:eastAsia="Courier New" w:hAnsi="Courier New"/>
                <w:sz w:val="14"/>
                <w:szCs w:val="14"/>
                <w:color w:val="auto"/>
              </w:rPr>
              <w:t>(dollars in millions)</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1"/>
        </w:trPr>
        <w:tc>
          <w:tcPr>
            <w:tcW w:w="7220" w:type="dxa"/>
            <w:vAlign w:val="bottom"/>
          </w:tcPr>
          <w:p>
            <w:pPr>
              <w:spacing w:after="0"/>
              <w:rPr>
                <w:sz w:val="24"/>
                <w:szCs w:val="24"/>
                <w:color w:val="auto"/>
              </w:rPr>
            </w:pPr>
          </w:p>
        </w:tc>
        <w:tc>
          <w:tcPr>
            <w:tcW w:w="13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March 31,</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7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5"/>
              </w:rPr>
              <w:t>2003</w:t>
            </w:r>
          </w:p>
        </w:tc>
        <w:tc>
          <w:tcPr>
            <w:tcW w:w="600" w:type="dxa"/>
            <w:vAlign w:val="bottom"/>
          </w:tcPr>
          <w:p>
            <w:pPr>
              <w:spacing w:after="0"/>
              <w:rPr>
                <w:sz w:val="14"/>
                <w:szCs w:val="14"/>
                <w:color w:val="auto"/>
              </w:rPr>
            </w:pPr>
          </w:p>
        </w:tc>
        <w:tc>
          <w:tcPr>
            <w:tcW w:w="8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2002</w:t>
            </w:r>
          </w:p>
        </w:tc>
      </w:tr>
      <w:tr>
        <w:trPr>
          <w:trHeight w:val="167"/>
        </w:trPr>
        <w:tc>
          <w:tcPr>
            <w:tcW w:w="7220" w:type="dxa"/>
            <w:vAlign w:val="bottom"/>
          </w:tcPr>
          <w:p>
            <w:pPr>
              <w:spacing w:after="0"/>
              <w:rPr>
                <w:sz w:val="14"/>
                <w:szCs w:val="14"/>
                <w:color w:val="auto"/>
              </w:rPr>
            </w:pPr>
          </w:p>
        </w:tc>
        <w:tc>
          <w:tcPr>
            <w:tcW w:w="13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08"/>
              <w:spacing w:after="0"/>
              <w:rPr>
                <w:sz w:val="20"/>
                <w:szCs w:val="20"/>
                <w:color w:val="auto"/>
              </w:rPr>
            </w:pPr>
            <w:r>
              <w:rPr>
                <w:rFonts w:ascii="Courier New" w:cs="Courier New" w:eastAsia="Courier New" w:hAnsi="Courier New"/>
                <w:sz w:val="14"/>
                <w:szCs w:val="14"/>
                <w:color w:val="auto"/>
              </w:rPr>
              <w:t>--------</w:t>
            </w:r>
          </w:p>
        </w:tc>
      </w:tr>
      <w:tr>
        <w:trPr>
          <w:trHeight w:val="167"/>
        </w:trPr>
        <w:tc>
          <w:tcPr>
            <w:tcW w:w="72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4"/>
        </w:trPr>
        <w:tc>
          <w:tcPr>
            <w:tcW w:w="7220" w:type="dxa"/>
            <w:vAlign w:val="bottom"/>
          </w:tcPr>
          <w:p>
            <w:pPr>
              <w:ind w:left="440"/>
              <w:spacing w:after="0"/>
              <w:rPr>
                <w:sz w:val="20"/>
                <w:szCs w:val="20"/>
                <w:color w:val="auto"/>
              </w:rPr>
            </w:pPr>
            <w:r>
              <w:rPr>
                <w:rFonts w:ascii="Courier New" w:cs="Courier New" w:eastAsia="Courier New" w:hAnsi="Courier New"/>
                <w:sz w:val="14"/>
                <w:szCs w:val="14"/>
                <w:color w:val="auto"/>
              </w:rPr>
              <w:t>CURRENT ASSETS</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7"/>
        </w:trPr>
        <w:tc>
          <w:tcPr>
            <w:tcW w:w="7220" w:type="dxa"/>
            <w:vAlign w:val="bottom"/>
          </w:tcPr>
          <w:p>
            <w:pPr>
              <w:ind w:left="1060"/>
              <w:spacing w:after="0"/>
              <w:rPr>
                <w:sz w:val="20"/>
                <w:szCs w:val="20"/>
                <w:color w:val="auto"/>
              </w:rPr>
            </w:pPr>
            <w:r>
              <w:rPr>
                <w:rFonts w:ascii="Courier New" w:cs="Courier New" w:eastAsia="Courier New" w:hAnsi="Courier New"/>
                <w:sz w:val="14"/>
                <w:szCs w:val="14"/>
                <w:color w:val="auto"/>
              </w:rPr>
              <w:t>Cash and cash equivalents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1,024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781</w:t>
            </w:r>
          </w:p>
        </w:tc>
      </w:tr>
      <w:tr>
        <w:trPr>
          <w:trHeight w:val="167"/>
        </w:trPr>
        <w:tc>
          <w:tcPr>
            <w:tcW w:w="7220" w:type="dxa"/>
            <w:vAlign w:val="bottom"/>
          </w:tcPr>
          <w:p>
            <w:pPr>
              <w:ind w:left="1060"/>
              <w:spacing w:after="0"/>
              <w:rPr>
                <w:sz w:val="20"/>
                <w:szCs w:val="20"/>
                <w:color w:val="auto"/>
              </w:rPr>
            </w:pPr>
            <w:r>
              <w:rPr>
                <w:rFonts w:ascii="Courier New" w:cs="Courier New" w:eastAsia="Courier New" w:hAnsi="Courier New"/>
                <w:sz w:val="14"/>
                <w:szCs w:val="14"/>
                <w:color w:val="auto"/>
              </w:rPr>
              <w:t>Other current assets</w:t>
            </w:r>
          </w:p>
        </w:tc>
        <w:tc>
          <w:tcPr>
            <w:tcW w:w="3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5,464</w:t>
            </w:r>
          </w:p>
        </w:tc>
        <w:tc>
          <w:tcPr>
            <w:tcW w:w="600" w:type="dxa"/>
            <w:vAlign w:val="bottom"/>
          </w:tcPr>
          <w:p>
            <w:pPr>
              <w:spacing w:after="0"/>
              <w:rPr>
                <w:sz w:val="14"/>
                <w:szCs w:val="14"/>
                <w:color w:val="auto"/>
              </w:rPr>
            </w:pPr>
          </w:p>
        </w:tc>
        <w:tc>
          <w:tcPr>
            <w:tcW w:w="84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6,295</w:t>
            </w:r>
          </w:p>
        </w:tc>
      </w:tr>
      <w:tr>
        <w:trPr>
          <w:trHeight w:val="167"/>
        </w:trPr>
        <w:tc>
          <w:tcPr>
            <w:tcW w:w="7220" w:type="dxa"/>
            <w:vAlign w:val="bottom"/>
          </w:tcPr>
          <w:p>
            <w:pPr>
              <w:spacing w:after="0"/>
              <w:rPr>
                <w:sz w:val="14"/>
                <w:szCs w:val="14"/>
                <w:color w:val="auto"/>
              </w:rPr>
            </w:pPr>
          </w:p>
        </w:tc>
        <w:tc>
          <w:tcPr>
            <w:tcW w:w="13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08"/>
              <w:spacing w:after="0"/>
              <w:rPr>
                <w:sz w:val="20"/>
                <w:szCs w:val="20"/>
                <w:color w:val="auto"/>
              </w:rPr>
            </w:pPr>
            <w:r>
              <w:rPr>
                <w:rFonts w:ascii="Courier New" w:cs="Courier New" w:eastAsia="Courier New" w:hAnsi="Courier New"/>
                <w:sz w:val="14"/>
                <w:szCs w:val="14"/>
                <w:color w:val="auto"/>
              </w:rPr>
              <w:t>--------</w:t>
            </w:r>
          </w:p>
        </w:tc>
      </w:tr>
      <w:tr>
        <w:trPr>
          <w:trHeight w:val="334"/>
        </w:trPr>
        <w:tc>
          <w:tcPr>
            <w:tcW w:w="7220" w:type="dxa"/>
            <w:vAlign w:val="bottom"/>
          </w:tcPr>
          <w:p>
            <w:pPr>
              <w:ind w:left="1480"/>
              <w:spacing w:after="0"/>
              <w:rPr>
                <w:sz w:val="20"/>
                <w:szCs w:val="20"/>
                <w:color w:val="auto"/>
              </w:rPr>
            </w:pPr>
            <w:r>
              <w:rPr>
                <w:rFonts w:ascii="Courier New" w:cs="Courier New" w:eastAsia="Courier New" w:hAnsi="Courier New"/>
                <w:sz w:val="14"/>
                <w:szCs w:val="14"/>
                <w:color w:val="auto"/>
              </w:rPr>
              <w:t>Total current assets</w:t>
            </w:r>
          </w:p>
        </w:tc>
        <w:tc>
          <w:tcPr>
            <w:tcW w:w="340" w:type="dxa"/>
            <w:vAlign w:val="bottom"/>
          </w:tcPr>
          <w:p>
            <w:pPr>
              <w:spacing w:after="0"/>
              <w:rPr>
                <w:sz w:val="24"/>
                <w:szCs w:val="2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6,488</w:t>
            </w:r>
          </w:p>
        </w:tc>
        <w:tc>
          <w:tcPr>
            <w:tcW w:w="600" w:type="dxa"/>
            <w:vAlign w:val="bottom"/>
          </w:tcPr>
          <w:p>
            <w:pPr>
              <w:spacing w:after="0"/>
              <w:rPr>
                <w:sz w:val="24"/>
                <w:szCs w:val="24"/>
                <w:color w:val="auto"/>
              </w:rPr>
            </w:pPr>
          </w:p>
        </w:tc>
        <w:tc>
          <w:tcPr>
            <w:tcW w:w="84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7,076</w:t>
            </w:r>
          </w:p>
        </w:tc>
      </w:tr>
      <w:tr>
        <w:trPr>
          <w:trHeight w:val="167"/>
        </w:trPr>
        <w:tc>
          <w:tcPr>
            <w:tcW w:w="7220" w:type="dxa"/>
            <w:vAlign w:val="bottom"/>
          </w:tcPr>
          <w:p>
            <w:pPr>
              <w:spacing w:after="0"/>
              <w:rPr>
                <w:sz w:val="14"/>
                <w:szCs w:val="14"/>
                <w:color w:val="auto"/>
              </w:rPr>
            </w:pPr>
          </w:p>
        </w:tc>
        <w:tc>
          <w:tcPr>
            <w:tcW w:w="13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08"/>
              <w:spacing w:after="0"/>
              <w:rPr>
                <w:sz w:val="20"/>
                <w:szCs w:val="20"/>
                <w:color w:val="auto"/>
              </w:rPr>
            </w:pPr>
            <w:r>
              <w:rPr>
                <w:rFonts w:ascii="Courier New" w:cs="Courier New" w:eastAsia="Courier New" w:hAnsi="Courier New"/>
                <w:sz w:val="14"/>
                <w:szCs w:val="14"/>
                <w:color w:val="auto"/>
              </w:rPr>
              <w:t>--------</w:t>
            </w:r>
          </w:p>
        </w:tc>
      </w:tr>
      <w:tr>
        <w:trPr>
          <w:trHeight w:val="334"/>
        </w:trPr>
        <w:tc>
          <w:tcPr>
            <w:tcW w:w="7220" w:type="dxa"/>
            <w:vAlign w:val="bottom"/>
          </w:tcPr>
          <w:p>
            <w:pPr>
              <w:ind w:left="440"/>
              <w:spacing w:after="0"/>
              <w:rPr>
                <w:sz w:val="20"/>
                <w:szCs w:val="20"/>
                <w:color w:val="auto"/>
              </w:rPr>
            </w:pPr>
            <w:r>
              <w:rPr>
                <w:rFonts w:ascii="Courier New" w:cs="Courier New" w:eastAsia="Courier New" w:hAnsi="Courier New"/>
                <w:sz w:val="14"/>
                <w:szCs w:val="14"/>
                <w:color w:val="auto"/>
              </w:rPr>
              <w:t>INVESTMENTS</w:t>
            </w:r>
          </w:p>
        </w:tc>
        <w:tc>
          <w:tcPr>
            <w:tcW w:w="340" w:type="dxa"/>
            <w:vAlign w:val="bottom"/>
          </w:tcPr>
          <w:p>
            <w:pPr>
              <w:spacing w:after="0"/>
              <w:rPr>
                <w:sz w:val="24"/>
                <w:szCs w:val="2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13,188</w:t>
            </w:r>
          </w:p>
        </w:tc>
        <w:tc>
          <w:tcPr>
            <w:tcW w:w="600" w:type="dxa"/>
            <w:vAlign w:val="bottom"/>
          </w:tcPr>
          <w:p>
            <w:pPr>
              <w:spacing w:after="0"/>
              <w:rPr>
                <w:sz w:val="24"/>
                <w:szCs w:val="24"/>
                <w:color w:val="auto"/>
              </w:rPr>
            </w:pPr>
          </w:p>
        </w:tc>
        <w:tc>
          <w:tcPr>
            <w:tcW w:w="84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15,207</w:t>
            </w:r>
          </w:p>
        </w:tc>
      </w:tr>
      <w:tr>
        <w:trPr>
          <w:trHeight w:val="334"/>
        </w:trPr>
        <w:tc>
          <w:tcPr>
            <w:tcW w:w="7220" w:type="dxa"/>
            <w:vAlign w:val="bottom"/>
          </w:tcPr>
          <w:p>
            <w:pPr>
              <w:ind w:left="440"/>
              <w:spacing w:after="0"/>
              <w:rPr>
                <w:sz w:val="20"/>
                <w:szCs w:val="20"/>
                <w:color w:val="auto"/>
              </w:rPr>
            </w:pPr>
            <w:r>
              <w:rPr>
                <w:rFonts w:ascii="Courier New" w:cs="Courier New" w:eastAsia="Courier New" w:hAnsi="Courier New"/>
                <w:sz w:val="14"/>
                <w:szCs w:val="14"/>
                <w:color w:val="auto"/>
              </w:rPr>
              <w:t>OTHER NONCURRENT ASSETS - including property and</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7"/>
        </w:trPr>
        <w:tc>
          <w:tcPr>
            <w:tcW w:w="7220" w:type="dxa"/>
            <w:vAlign w:val="bottom"/>
          </w:tcPr>
          <w:p>
            <w:pPr>
              <w:ind w:left="440"/>
              <w:spacing w:after="0"/>
              <w:rPr>
                <w:sz w:val="20"/>
                <w:szCs w:val="20"/>
                <w:color w:val="auto"/>
              </w:rPr>
            </w:pPr>
            <w:r>
              <w:rPr>
                <w:rFonts w:ascii="Courier New" w:cs="Courier New" w:eastAsia="Courier New" w:hAnsi="Courier New"/>
                <w:sz w:val="14"/>
                <w:szCs w:val="14"/>
                <w:color w:val="auto"/>
              </w:rPr>
              <w:t>equipment, and intangible assets</w:t>
            </w:r>
          </w:p>
        </w:tc>
        <w:tc>
          <w:tcPr>
            <w:tcW w:w="3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90,336</w:t>
            </w:r>
          </w:p>
        </w:tc>
        <w:tc>
          <w:tcPr>
            <w:tcW w:w="600" w:type="dxa"/>
            <w:vAlign w:val="bottom"/>
          </w:tcPr>
          <w:p>
            <w:pPr>
              <w:spacing w:after="0"/>
              <w:rPr>
                <w:sz w:val="14"/>
                <w:szCs w:val="14"/>
                <w:color w:val="auto"/>
              </w:rPr>
            </w:pPr>
          </w:p>
        </w:tc>
        <w:tc>
          <w:tcPr>
            <w:tcW w:w="84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90,822</w:t>
            </w:r>
          </w:p>
        </w:tc>
      </w:tr>
      <w:tr>
        <w:trPr>
          <w:trHeight w:val="167"/>
        </w:trPr>
        <w:tc>
          <w:tcPr>
            <w:tcW w:w="7220" w:type="dxa"/>
            <w:vAlign w:val="bottom"/>
          </w:tcPr>
          <w:p>
            <w:pPr>
              <w:spacing w:after="0"/>
              <w:rPr>
                <w:sz w:val="14"/>
                <w:szCs w:val="14"/>
                <w:color w:val="auto"/>
              </w:rPr>
            </w:pPr>
          </w:p>
        </w:tc>
        <w:tc>
          <w:tcPr>
            <w:tcW w:w="13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08"/>
              <w:spacing w:after="0"/>
              <w:rPr>
                <w:sz w:val="20"/>
                <w:szCs w:val="20"/>
                <w:color w:val="auto"/>
              </w:rPr>
            </w:pPr>
            <w:r>
              <w:rPr>
                <w:rFonts w:ascii="Courier New" w:cs="Courier New" w:eastAsia="Courier New" w:hAnsi="Courier New"/>
                <w:sz w:val="14"/>
                <w:szCs w:val="14"/>
                <w:color w:val="auto"/>
              </w:rPr>
              <w:t>--------</w:t>
            </w:r>
          </w:p>
        </w:tc>
      </w:tr>
      <w:tr>
        <w:trPr>
          <w:trHeight w:val="334"/>
        </w:trPr>
        <w:tc>
          <w:tcPr>
            <w:tcW w:w="7220" w:type="dxa"/>
            <w:vAlign w:val="bottom"/>
          </w:tcPr>
          <w:p>
            <w:pPr>
              <w:spacing w:after="0"/>
              <w:rPr>
                <w:sz w:val="24"/>
                <w:szCs w:val="24"/>
                <w:color w:val="auto"/>
              </w:rPr>
            </w:pPr>
          </w:p>
        </w:tc>
        <w:tc>
          <w:tcPr>
            <w:tcW w:w="13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$110,012</w:t>
            </w:r>
          </w:p>
        </w:tc>
        <w:tc>
          <w:tcPr>
            <w:tcW w:w="1440" w:type="dxa"/>
            <w:vAlign w:val="bottom"/>
            <w:gridSpan w:val="2"/>
          </w:tcPr>
          <w:p>
            <w:pPr>
              <w:jc w:val="right"/>
              <w:ind w:right="208"/>
              <w:spacing w:after="0"/>
              <w:rPr>
                <w:sz w:val="20"/>
                <w:szCs w:val="20"/>
                <w:color w:val="auto"/>
              </w:rPr>
            </w:pPr>
            <w:r>
              <w:rPr>
                <w:rFonts w:ascii="Courier New" w:cs="Courier New" w:eastAsia="Courier New" w:hAnsi="Courier New"/>
                <w:sz w:val="14"/>
                <w:szCs w:val="14"/>
                <w:color w:val="auto"/>
              </w:rPr>
              <w:t>$113,105</w:t>
            </w:r>
          </w:p>
        </w:tc>
      </w:tr>
      <w:tr>
        <w:trPr>
          <w:trHeight w:val="167"/>
        </w:trPr>
        <w:tc>
          <w:tcPr>
            <w:tcW w:w="7220" w:type="dxa"/>
            <w:vAlign w:val="bottom"/>
          </w:tcPr>
          <w:p>
            <w:pPr>
              <w:spacing w:after="0"/>
              <w:rPr>
                <w:sz w:val="14"/>
                <w:szCs w:val="14"/>
                <w:color w:val="auto"/>
              </w:rPr>
            </w:pPr>
          </w:p>
        </w:tc>
        <w:tc>
          <w:tcPr>
            <w:tcW w:w="13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08"/>
              <w:spacing w:after="0"/>
              <w:rPr>
                <w:sz w:val="20"/>
                <w:szCs w:val="20"/>
                <w:color w:val="auto"/>
              </w:rPr>
            </w:pPr>
            <w:r>
              <w:rPr>
                <w:rFonts w:ascii="Courier New" w:cs="Courier New" w:eastAsia="Courier New" w:hAnsi="Courier New"/>
                <w:sz w:val="14"/>
                <w:szCs w:val="14"/>
                <w:color w:val="auto"/>
              </w:rPr>
              <w:t>========</w:t>
            </w:r>
          </w:p>
        </w:tc>
      </w:tr>
      <w:tr>
        <w:trPr>
          <w:trHeight w:val="334"/>
        </w:trPr>
        <w:tc>
          <w:tcPr>
            <w:tcW w:w="722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4"/>
        </w:trPr>
        <w:tc>
          <w:tcPr>
            <w:tcW w:w="7220" w:type="dxa"/>
            <w:vAlign w:val="bottom"/>
          </w:tcPr>
          <w:p>
            <w:pPr>
              <w:ind w:left="440"/>
              <w:spacing w:after="0"/>
              <w:rPr>
                <w:sz w:val="20"/>
                <w:szCs w:val="20"/>
                <w:color w:val="auto"/>
              </w:rPr>
            </w:pPr>
            <w:r>
              <w:rPr>
                <w:rFonts w:ascii="Courier New" w:cs="Courier New" w:eastAsia="Courier New" w:hAnsi="Courier New"/>
                <w:sz w:val="14"/>
                <w:szCs w:val="14"/>
                <w:color w:val="auto"/>
              </w:rPr>
              <w:t>CURRENT LIABILITIES</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7"/>
        </w:trPr>
        <w:tc>
          <w:tcPr>
            <w:tcW w:w="7220" w:type="dxa"/>
            <w:vAlign w:val="bottom"/>
          </w:tcPr>
          <w:p>
            <w:pPr>
              <w:ind w:left="1060"/>
              <w:spacing w:after="0"/>
              <w:rPr>
                <w:sz w:val="20"/>
                <w:szCs w:val="20"/>
                <w:color w:val="auto"/>
              </w:rPr>
            </w:pPr>
            <w:r>
              <w:rPr>
                <w:rFonts w:ascii="Courier New" w:cs="Courier New" w:eastAsia="Courier New" w:hAnsi="Courier New"/>
                <w:sz w:val="14"/>
                <w:szCs w:val="14"/>
                <w:color w:val="auto"/>
              </w:rPr>
              <w:t>Accounts payable, accrued expenses and other current liabilities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7,594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8,430</w:t>
            </w:r>
          </w:p>
        </w:tc>
      </w:tr>
      <w:tr>
        <w:trPr>
          <w:trHeight w:val="167"/>
        </w:trPr>
        <w:tc>
          <w:tcPr>
            <w:tcW w:w="7220" w:type="dxa"/>
            <w:vAlign w:val="bottom"/>
          </w:tcPr>
          <w:p>
            <w:pPr>
              <w:ind w:left="1060"/>
              <w:spacing w:after="0"/>
              <w:rPr>
                <w:sz w:val="20"/>
                <w:szCs w:val="20"/>
                <w:color w:val="auto"/>
              </w:rPr>
            </w:pPr>
            <w:r>
              <w:rPr>
                <w:rFonts w:ascii="Courier New" w:cs="Courier New" w:eastAsia="Courier New" w:hAnsi="Courier New"/>
                <w:sz w:val="14"/>
                <w:szCs w:val="14"/>
                <w:color w:val="auto"/>
              </w:rPr>
              <w:t>Short-term debt and current portion of long-term debt</w:t>
            </w:r>
          </w:p>
        </w:tc>
        <w:tc>
          <w:tcPr>
            <w:tcW w:w="3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2,652</w:t>
            </w:r>
          </w:p>
        </w:tc>
        <w:tc>
          <w:tcPr>
            <w:tcW w:w="600" w:type="dxa"/>
            <w:vAlign w:val="bottom"/>
          </w:tcPr>
          <w:p>
            <w:pPr>
              <w:spacing w:after="0"/>
              <w:rPr>
                <w:sz w:val="14"/>
                <w:szCs w:val="14"/>
                <w:color w:val="auto"/>
              </w:rPr>
            </w:pPr>
          </w:p>
        </w:tc>
        <w:tc>
          <w:tcPr>
            <w:tcW w:w="84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6,953</w:t>
            </w:r>
          </w:p>
        </w:tc>
      </w:tr>
      <w:tr>
        <w:trPr>
          <w:trHeight w:val="167"/>
        </w:trPr>
        <w:tc>
          <w:tcPr>
            <w:tcW w:w="7220" w:type="dxa"/>
            <w:vAlign w:val="bottom"/>
          </w:tcPr>
          <w:p>
            <w:pPr>
              <w:spacing w:after="0"/>
              <w:rPr>
                <w:sz w:val="14"/>
                <w:szCs w:val="14"/>
                <w:color w:val="auto"/>
              </w:rPr>
            </w:pPr>
          </w:p>
        </w:tc>
        <w:tc>
          <w:tcPr>
            <w:tcW w:w="13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08"/>
              <w:spacing w:after="0"/>
              <w:rPr>
                <w:sz w:val="20"/>
                <w:szCs w:val="20"/>
                <w:color w:val="auto"/>
              </w:rPr>
            </w:pPr>
            <w:r>
              <w:rPr>
                <w:rFonts w:ascii="Courier New" w:cs="Courier New" w:eastAsia="Courier New" w:hAnsi="Courier New"/>
                <w:sz w:val="14"/>
                <w:szCs w:val="14"/>
                <w:color w:val="auto"/>
              </w:rPr>
              <w:t>--------</w:t>
            </w:r>
          </w:p>
        </w:tc>
      </w:tr>
      <w:tr>
        <w:trPr>
          <w:trHeight w:val="167"/>
        </w:trPr>
        <w:tc>
          <w:tcPr>
            <w:tcW w:w="7220" w:type="dxa"/>
            <w:vAlign w:val="bottom"/>
          </w:tcPr>
          <w:p>
            <w:pPr>
              <w:ind w:left="1480"/>
              <w:spacing w:after="0"/>
              <w:rPr>
                <w:sz w:val="20"/>
                <w:szCs w:val="20"/>
                <w:color w:val="auto"/>
              </w:rPr>
            </w:pPr>
            <w:r>
              <w:rPr>
                <w:rFonts w:ascii="Courier New" w:cs="Courier New" w:eastAsia="Courier New" w:hAnsi="Courier New"/>
                <w:sz w:val="14"/>
                <w:szCs w:val="14"/>
                <w:color w:val="auto"/>
              </w:rPr>
              <w:t>Total current liabilities</w:t>
            </w:r>
          </w:p>
        </w:tc>
        <w:tc>
          <w:tcPr>
            <w:tcW w:w="3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10,246</w:t>
            </w:r>
          </w:p>
        </w:tc>
        <w:tc>
          <w:tcPr>
            <w:tcW w:w="600" w:type="dxa"/>
            <w:vAlign w:val="bottom"/>
          </w:tcPr>
          <w:p>
            <w:pPr>
              <w:spacing w:after="0"/>
              <w:rPr>
                <w:sz w:val="14"/>
                <w:szCs w:val="14"/>
                <w:color w:val="auto"/>
              </w:rPr>
            </w:pPr>
          </w:p>
        </w:tc>
        <w:tc>
          <w:tcPr>
            <w:tcW w:w="84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15,383</w:t>
            </w:r>
          </w:p>
        </w:tc>
      </w:tr>
      <w:tr>
        <w:trPr>
          <w:trHeight w:val="167"/>
        </w:trPr>
        <w:tc>
          <w:tcPr>
            <w:tcW w:w="7220" w:type="dxa"/>
            <w:vAlign w:val="bottom"/>
          </w:tcPr>
          <w:p>
            <w:pPr>
              <w:spacing w:after="0"/>
              <w:rPr>
                <w:sz w:val="14"/>
                <w:szCs w:val="14"/>
                <w:color w:val="auto"/>
              </w:rPr>
            </w:pPr>
          </w:p>
        </w:tc>
        <w:tc>
          <w:tcPr>
            <w:tcW w:w="13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08"/>
              <w:spacing w:after="0"/>
              <w:rPr>
                <w:sz w:val="20"/>
                <w:szCs w:val="20"/>
                <w:color w:val="auto"/>
              </w:rPr>
            </w:pPr>
            <w:r>
              <w:rPr>
                <w:rFonts w:ascii="Courier New" w:cs="Courier New" w:eastAsia="Courier New" w:hAnsi="Courier New"/>
                <w:sz w:val="14"/>
                <w:szCs w:val="14"/>
                <w:color w:val="auto"/>
              </w:rPr>
              <w:t>--------</w:t>
            </w:r>
          </w:p>
        </w:tc>
      </w:tr>
      <w:tr>
        <w:trPr>
          <w:trHeight w:val="334"/>
        </w:trPr>
        <w:tc>
          <w:tcPr>
            <w:tcW w:w="7220" w:type="dxa"/>
            <w:vAlign w:val="bottom"/>
          </w:tcPr>
          <w:p>
            <w:pPr>
              <w:ind w:left="440"/>
              <w:spacing w:after="0"/>
              <w:rPr>
                <w:sz w:val="20"/>
                <w:szCs w:val="20"/>
                <w:color w:val="auto"/>
              </w:rPr>
            </w:pPr>
            <w:r>
              <w:rPr>
                <w:rFonts w:ascii="Courier New" w:cs="Courier New" w:eastAsia="Courier New" w:hAnsi="Courier New"/>
                <w:sz w:val="14"/>
                <w:szCs w:val="14"/>
                <w:color w:val="auto"/>
              </w:rPr>
              <w:t>LONG-TERM DEBT, less current portion</w:t>
            </w:r>
          </w:p>
        </w:tc>
        <w:tc>
          <w:tcPr>
            <w:tcW w:w="340" w:type="dxa"/>
            <w:vAlign w:val="bottom"/>
          </w:tcPr>
          <w:p>
            <w:pPr>
              <w:spacing w:after="0"/>
              <w:rPr>
                <w:sz w:val="24"/>
                <w:szCs w:val="2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30,258</w:t>
            </w:r>
          </w:p>
        </w:tc>
        <w:tc>
          <w:tcPr>
            <w:tcW w:w="600" w:type="dxa"/>
            <w:vAlign w:val="bottom"/>
          </w:tcPr>
          <w:p>
            <w:pPr>
              <w:spacing w:after="0"/>
              <w:rPr>
                <w:sz w:val="24"/>
                <w:szCs w:val="24"/>
                <w:color w:val="auto"/>
              </w:rPr>
            </w:pPr>
          </w:p>
        </w:tc>
        <w:tc>
          <w:tcPr>
            <w:tcW w:w="84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27,957</w:t>
            </w:r>
          </w:p>
        </w:tc>
      </w:tr>
      <w:tr>
        <w:trPr>
          <w:trHeight w:val="334"/>
        </w:trPr>
        <w:tc>
          <w:tcPr>
            <w:tcW w:w="7220" w:type="dxa"/>
            <w:vAlign w:val="bottom"/>
          </w:tcPr>
          <w:p>
            <w:pPr>
              <w:ind w:left="440"/>
              <w:spacing w:after="0"/>
              <w:rPr>
                <w:sz w:val="20"/>
                <w:szCs w:val="20"/>
                <w:color w:val="auto"/>
              </w:rPr>
            </w:pPr>
            <w:r>
              <w:rPr>
                <w:rFonts w:ascii="Courier New" w:cs="Courier New" w:eastAsia="Courier New" w:hAnsi="Courier New"/>
                <w:sz w:val="14"/>
                <w:szCs w:val="14"/>
                <w:color w:val="auto"/>
              </w:rPr>
              <w:t>OTHER NONCURRENT LIABILITIES &amp; MINORITY INTEREST</w:t>
            </w:r>
          </w:p>
        </w:tc>
        <w:tc>
          <w:tcPr>
            <w:tcW w:w="340" w:type="dxa"/>
            <w:vAlign w:val="bottom"/>
          </w:tcPr>
          <w:p>
            <w:pPr>
              <w:spacing w:after="0"/>
              <w:rPr>
                <w:sz w:val="24"/>
                <w:szCs w:val="2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31,454</w:t>
            </w:r>
          </w:p>
        </w:tc>
        <w:tc>
          <w:tcPr>
            <w:tcW w:w="600" w:type="dxa"/>
            <w:vAlign w:val="bottom"/>
          </w:tcPr>
          <w:p>
            <w:pPr>
              <w:spacing w:after="0"/>
              <w:rPr>
                <w:sz w:val="24"/>
                <w:szCs w:val="24"/>
                <w:color w:val="auto"/>
              </w:rPr>
            </w:pPr>
          </w:p>
        </w:tc>
        <w:tc>
          <w:tcPr>
            <w:tcW w:w="84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31,436</w:t>
            </w:r>
          </w:p>
        </w:tc>
      </w:tr>
      <w:tr>
        <w:trPr>
          <w:trHeight w:val="334"/>
        </w:trPr>
        <w:tc>
          <w:tcPr>
            <w:tcW w:w="7220" w:type="dxa"/>
            <w:vAlign w:val="bottom"/>
          </w:tcPr>
          <w:p>
            <w:pPr>
              <w:ind w:left="440"/>
              <w:spacing w:after="0"/>
              <w:rPr>
                <w:sz w:val="20"/>
                <w:szCs w:val="20"/>
                <w:color w:val="auto"/>
              </w:rPr>
            </w:pPr>
            <w:r>
              <w:rPr>
                <w:rFonts w:ascii="Courier New" w:cs="Courier New" w:eastAsia="Courier New" w:hAnsi="Courier New"/>
                <w:sz w:val="14"/>
                <w:szCs w:val="14"/>
                <w:color w:val="auto"/>
              </w:rPr>
              <w:t>STOCKHOLDERS' EQUITY</w:t>
            </w:r>
          </w:p>
        </w:tc>
        <w:tc>
          <w:tcPr>
            <w:tcW w:w="340" w:type="dxa"/>
            <w:vAlign w:val="bottom"/>
          </w:tcPr>
          <w:p>
            <w:pPr>
              <w:spacing w:after="0"/>
              <w:rPr>
                <w:sz w:val="24"/>
                <w:szCs w:val="2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38,054</w:t>
            </w:r>
          </w:p>
        </w:tc>
        <w:tc>
          <w:tcPr>
            <w:tcW w:w="600" w:type="dxa"/>
            <w:vAlign w:val="bottom"/>
          </w:tcPr>
          <w:p>
            <w:pPr>
              <w:spacing w:after="0"/>
              <w:rPr>
                <w:sz w:val="24"/>
                <w:szCs w:val="24"/>
                <w:color w:val="auto"/>
              </w:rPr>
            </w:pPr>
          </w:p>
        </w:tc>
        <w:tc>
          <w:tcPr>
            <w:tcW w:w="84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38,329</w:t>
            </w:r>
          </w:p>
        </w:tc>
      </w:tr>
      <w:tr>
        <w:trPr>
          <w:trHeight w:val="167"/>
        </w:trPr>
        <w:tc>
          <w:tcPr>
            <w:tcW w:w="7220" w:type="dxa"/>
            <w:vAlign w:val="bottom"/>
          </w:tcPr>
          <w:p>
            <w:pPr>
              <w:spacing w:after="0"/>
              <w:rPr>
                <w:sz w:val="14"/>
                <w:szCs w:val="14"/>
                <w:color w:val="auto"/>
              </w:rPr>
            </w:pPr>
          </w:p>
        </w:tc>
        <w:tc>
          <w:tcPr>
            <w:tcW w:w="13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08"/>
              <w:spacing w:after="0"/>
              <w:rPr>
                <w:sz w:val="20"/>
                <w:szCs w:val="20"/>
                <w:color w:val="auto"/>
              </w:rPr>
            </w:pPr>
            <w:r>
              <w:rPr>
                <w:rFonts w:ascii="Courier New" w:cs="Courier New" w:eastAsia="Courier New" w:hAnsi="Courier New"/>
                <w:sz w:val="14"/>
                <w:szCs w:val="14"/>
                <w:color w:val="auto"/>
              </w:rPr>
              <w:t>--------</w:t>
            </w:r>
          </w:p>
        </w:tc>
      </w:tr>
      <w:tr>
        <w:trPr>
          <w:trHeight w:val="334"/>
        </w:trPr>
        <w:tc>
          <w:tcPr>
            <w:tcW w:w="7220" w:type="dxa"/>
            <w:vAlign w:val="bottom"/>
          </w:tcPr>
          <w:p>
            <w:pPr>
              <w:spacing w:after="0"/>
              <w:rPr>
                <w:sz w:val="24"/>
                <w:szCs w:val="24"/>
                <w:color w:val="auto"/>
              </w:rPr>
            </w:pPr>
          </w:p>
        </w:tc>
        <w:tc>
          <w:tcPr>
            <w:tcW w:w="13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$110,012</w:t>
            </w:r>
          </w:p>
        </w:tc>
        <w:tc>
          <w:tcPr>
            <w:tcW w:w="1440" w:type="dxa"/>
            <w:vAlign w:val="bottom"/>
            <w:gridSpan w:val="2"/>
          </w:tcPr>
          <w:p>
            <w:pPr>
              <w:jc w:val="right"/>
              <w:ind w:right="208"/>
              <w:spacing w:after="0"/>
              <w:rPr>
                <w:sz w:val="20"/>
                <w:szCs w:val="20"/>
                <w:color w:val="auto"/>
              </w:rPr>
            </w:pPr>
            <w:r>
              <w:rPr>
                <w:rFonts w:ascii="Courier New" w:cs="Courier New" w:eastAsia="Courier New" w:hAnsi="Courier New"/>
                <w:sz w:val="14"/>
                <w:szCs w:val="14"/>
                <w:color w:val="auto"/>
              </w:rPr>
              <w:t>$113,105</w:t>
            </w:r>
          </w:p>
        </w:tc>
      </w:tr>
      <w:tr>
        <w:trPr>
          <w:trHeight w:val="167"/>
        </w:trPr>
        <w:tc>
          <w:tcPr>
            <w:tcW w:w="7220" w:type="dxa"/>
            <w:vAlign w:val="bottom"/>
          </w:tcPr>
          <w:p>
            <w:pPr>
              <w:spacing w:after="0"/>
              <w:rPr>
                <w:sz w:val="14"/>
                <w:szCs w:val="14"/>
                <w:color w:val="auto"/>
              </w:rPr>
            </w:pPr>
          </w:p>
        </w:tc>
        <w:tc>
          <w:tcPr>
            <w:tcW w:w="13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Note:</w:t>
      </w:r>
    </w:p>
    <w:p>
      <w:pPr>
        <w:spacing w:after="0" w:line="8" w:lineRule="exact"/>
        <w:rPr>
          <w:sz w:val="20"/>
          <w:szCs w:val="20"/>
          <w:color w:val="auto"/>
        </w:rPr>
      </w:pPr>
    </w:p>
    <w:p>
      <w:pPr>
        <w:ind w:left="1060"/>
        <w:spacing w:after="0" w:line="254" w:lineRule="auto"/>
        <w:rPr>
          <w:sz w:val="20"/>
          <w:szCs w:val="20"/>
          <w:color w:val="auto"/>
        </w:rPr>
      </w:pPr>
      <w:r>
        <w:rPr>
          <w:rFonts w:ascii="Courier New" w:cs="Courier New" w:eastAsia="Courier New" w:hAnsi="Courier New"/>
          <w:sz w:val="14"/>
          <w:szCs w:val="14"/>
          <w:color w:val="auto"/>
        </w:rPr>
        <w:t>The value of certain assets and liabilities in the November 2002 AT&amp;T Broadband acquisition are based on preliminary valuations and are subject to adjustment as additional information is obtained, including reports from valuation specialists and information related to the cost of terminating or meeting contractual obligations.</w:t>
      </w:r>
    </w:p>
    <w:p>
      <w:pPr>
        <w:spacing w:after="0" w:line="200" w:lineRule="exact"/>
        <w:rPr>
          <w:sz w:val="20"/>
          <w:szCs w:val="20"/>
          <w:color w:val="auto"/>
        </w:rPr>
      </w:pPr>
    </w:p>
    <w:p>
      <w:pPr>
        <w:spacing w:after="0" w:line="297"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420"/>
          </w:cols>
          <w:pgMar w:left="220" w:top="453" w:right="1259" w:bottom="1440" w:gutter="0" w:footer="0" w:header="0"/>
        </w:sectPr>
      </w:pPr>
    </w:p>
    <w:bookmarkStart w:id="9" w:name="page10"/>
    <w:bookmarkEnd w:id="9"/>
    <w:p>
      <w:pPr>
        <w:ind w:left="3560"/>
        <w:spacing w:after="0"/>
        <w:rPr>
          <w:sz w:val="20"/>
          <w:szCs w:val="20"/>
          <w:color w:val="auto"/>
        </w:rPr>
      </w:pPr>
      <w:r>
        <w:rPr>
          <w:rFonts w:ascii="Courier New" w:cs="Courier New" w:eastAsia="Courier New" w:hAnsi="Courier New"/>
          <w:sz w:val="14"/>
          <w:szCs w:val="14"/>
          <w:color w:val="auto"/>
        </w:rPr>
        <w:t>[COMCAST LOGO]</w:t>
      </w:r>
    </w:p>
    <w:p>
      <w:pPr>
        <w:spacing w:after="0" w:line="17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4"/>
          <w:szCs w:val="14"/>
          <w:color w:val="auto"/>
        </w:rPr>
        <w:t>TABLE 3</w:t>
      </w:r>
    </w:p>
    <w:p>
      <w:pPr>
        <w:spacing w:after="0" w:line="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4"/>
          <w:szCs w:val="14"/>
          <w:color w:val="auto"/>
        </w:rPr>
        <w:t>Condensed Consolidated Statement of Cash Flows (Unaudited)</w:t>
      </w:r>
    </w:p>
    <w:p>
      <w:pPr>
        <w:spacing w:after="0" w:line="8"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4"/>
          <w:szCs w:val="14"/>
          <w:color w:val="auto"/>
        </w:rPr>
        <w:t>(dollars in millions)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27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Three Months Ended</w:t>
            </w:r>
          </w:p>
        </w:tc>
      </w:tr>
      <w:tr>
        <w:trPr>
          <w:trHeight w:val="167"/>
        </w:trPr>
        <w:tc>
          <w:tcPr>
            <w:tcW w:w="5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March 31,</w:t>
            </w:r>
          </w:p>
        </w:tc>
        <w:tc>
          <w:tcPr>
            <w:tcW w:w="560" w:type="dxa"/>
            <w:vAlign w:val="bottom"/>
          </w:tcPr>
          <w:p>
            <w:pPr>
              <w:spacing w:after="0"/>
              <w:rPr>
                <w:sz w:val="14"/>
                <w:szCs w:val="14"/>
                <w:color w:val="auto"/>
              </w:rPr>
            </w:pPr>
          </w:p>
        </w:tc>
      </w:tr>
      <w:tr>
        <w:trPr>
          <w:trHeight w:val="167"/>
        </w:trPr>
        <w:tc>
          <w:tcPr>
            <w:tcW w:w="556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2003</w:t>
            </w:r>
          </w:p>
        </w:tc>
        <w:tc>
          <w:tcPr>
            <w:tcW w:w="920" w:type="dxa"/>
            <w:vAlign w:val="bottom"/>
          </w:tcPr>
          <w:p>
            <w:pPr>
              <w:spacing w:after="0"/>
              <w:rPr>
                <w:sz w:val="14"/>
                <w:szCs w:val="14"/>
                <w:color w:val="auto"/>
              </w:rPr>
            </w:pP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2002</w:t>
            </w:r>
          </w:p>
        </w:tc>
      </w:tr>
      <w:tr>
        <w:trPr>
          <w:trHeight w:val="167"/>
        </w:trPr>
        <w:tc>
          <w:tcPr>
            <w:tcW w:w="556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56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800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519</w:t>
            </w:r>
          </w:p>
        </w:tc>
      </w:tr>
      <w:tr>
        <w:trPr>
          <w:trHeight w:val="167"/>
        </w:trPr>
        <w:tc>
          <w:tcPr>
            <w:tcW w:w="556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556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Proceeds from borrowings</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3,900</w:t>
            </w:r>
          </w:p>
        </w:tc>
        <w:tc>
          <w:tcPr>
            <w:tcW w:w="92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520</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Retirements and repayments of debt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(6,079)</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(451)</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Other, net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c>
          <w:tcPr>
            <w:tcW w:w="92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w:t>
            </w:r>
          </w:p>
        </w:tc>
      </w:tr>
      <w:tr>
        <w:trPr>
          <w:trHeight w:val="167"/>
        </w:trPr>
        <w:tc>
          <w:tcPr>
            <w:tcW w:w="556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560" w:type="dxa"/>
            <w:vAlign w:val="bottom"/>
          </w:tcPr>
          <w:p>
            <w:pPr>
              <w:spacing w:after="0"/>
              <w:rPr>
                <w:sz w:val="20"/>
                <w:szCs w:val="20"/>
                <w:color w:val="auto"/>
              </w:rPr>
            </w:pPr>
            <w:r>
              <w:rPr>
                <w:rFonts w:ascii="Courier New" w:cs="Courier New" w:eastAsia="Courier New" w:hAnsi="Courier New"/>
                <w:sz w:val="14"/>
                <w:szCs w:val="14"/>
                <w:color w:val="auto"/>
              </w:rPr>
              <w:t>Net cash (used in) provided by financing activities</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(2,195)</w:t>
            </w:r>
          </w:p>
        </w:tc>
        <w:tc>
          <w:tcPr>
            <w:tcW w:w="92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w:t>
            </w:r>
          </w:p>
        </w:tc>
      </w:tr>
      <w:tr>
        <w:trPr>
          <w:trHeight w:val="167"/>
        </w:trPr>
        <w:tc>
          <w:tcPr>
            <w:tcW w:w="556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556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(971)</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(399)</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Proceeds from restructuring of TWE investment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2,100</w:t>
            </w:r>
          </w:p>
        </w:tc>
        <w:tc>
          <w:tcPr>
            <w:tcW w:w="92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Proceeds from sales of investments and assets held for sale</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668</w:t>
            </w:r>
          </w:p>
        </w:tc>
        <w:tc>
          <w:tcPr>
            <w:tcW w:w="92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Other, net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7"/>
        </w:trPr>
        <w:tc>
          <w:tcPr>
            <w:tcW w:w="556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56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investing activities</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1,638</w:t>
            </w:r>
          </w:p>
        </w:tc>
        <w:tc>
          <w:tcPr>
            <w:tcW w:w="9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(457)</w:t>
            </w:r>
          </w:p>
        </w:tc>
      </w:tr>
      <w:tr>
        <w:trPr>
          <w:trHeight w:val="167"/>
        </w:trPr>
        <w:tc>
          <w:tcPr>
            <w:tcW w:w="556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560" w:type="dxa"/>
            <w:vAlign w:val="bottom"/>
          </w:tcPr>
          <w:p>
            <w:pPr>
              <w:spacing w:after="0"/>
              <w:rPr>
                <w:sz w:val="20"/>
                <w:szCs w:val="20"/>
                <w:color w:val="auto"/>
              </w:rPr>
            </w:pPr>
            <w:r>
              <w:rPr>
                <w:rFonts w:ascii="Courier New" w:cs="Courier New" w:eastAsia="Courier New" w:hAnsi="Courier New"/>
                <w:sz w:val="14"/>
                <w:szCs w:val="14"/>
                <w:color w:val="auto"/>
              </w:rPr>
              <w:t>INCREASE IN CASH AND CASH EQUIVALENTS</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243</w:t>
            </w:r>
          </w:p>
        </w:tc>
        <w:tc>
          <w:tcPr>
            <w:tcW w:w="92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193</w:t>
            </w:r>
          </w:p>
        </w:tc>
      </w:tr>
      <w:tr>
        <w:trPr>
          <w:trHeight w:val="334"/>
        </w:trPr>
        <w:tc>
          <w:tcPr>
            <w:tcW w:w="5560" w:type="dxa"/>
            <w:vAlign w:val="bottom"/>
          </w:tcPr>
          <w:p>
            <w:pPr>
              <w:spacing w:after="0"/>
              <w:rPr>
                <w:sz w:val="20"/>
                <w:szCs w:val="20"/>
                <w:color w:val="auto"/>
              </w:rPr>
            </w:pPr>
            <w:r>
              <w:rPr>
                <w:rFonts w:ascii="Courier New" w:cs="Courier New" w:eastAsia="Courier New" w:hAnsi="Courier New"/>
                <w:sz w:val="14"/>
                <w:szCs w:val="14"/>
                <w:color w:val="auto"/>
              </w:rPr>
              <w:t>CASH AND CASH EQUIVALENTS, beginning of period</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781</w:t>
            </w:r>
          </w:p>
        </w:tc>
        <w:tc>
          <w:tcPr>
            <w:tcW w:w="92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350</w:t>
            </w:r>
          </w:p>
        </w:tc>
      </w:tr>
      <w:tr>
        <w:trPr>
          <w:trHeight w:val="167"/>
        </w:trPr>
        <w:tc>
          <w:tcPr>
            <w:tcW w:w="556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560" w:type="dxa"/>
            <w:vAlign w:val="bottom"/>
          </w:tcPr>
          <w:p>
            <w:pPr>
              <w:spacing w:after="0"/>
              <w:rPr>
                <w:sz w:val="20"/>
                <w:szCs w:val="20"/>
                <w:color w:val="auto"/>
              </w:rPr>
            </w:pPr>
            <w:r>
              <w:rPr>
                <w:rFonts w:ascii="Courier New" w:cs="Courier New" w:eastAsia="Courier New" w:hAnsi="Courier New"/>
                <w:sz w:val="14"/>
                <w:szCs w:val="14"/>
                <w:color w:val="auto"/>
              </w:rPr>
              <w:t>CASH AND CASH EQUIVALENTS, end of period</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$ 1,024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543</w:t>
            </w:r>
          </w:p>
        </w:tc>
      </w:tr>
      <w:tr>
        <w:trPr>
          <w:trHeight w:val="167"/>
        </w:trPr>
        <w:tc>
          <w:tcPr>
            <w:tcW w:w="556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835"/>
        </w:trPr>
        <w:tc>
          <w:tcPr>
            <w:tcW w:w="5560" w:type="dxa"/>
            <w:vAlign w:val="bottom"/>
          </w:tcPr>
          <w:p>
            <w:pPr>
              <w:ind w:left="4080"/>
              <w:spacing w:after="0"/>
              <w:rPr>
                <w:sz w:val="20"/>
                <w:szCs w:val="20"/>
                <w:color w:val="auto"/>
              </w:rPr>
            </w:pPr>
            <w:r>
              <w:rPr>
                <w:rFonts w:ascii="Courier New" w:cs="Courier New" w:eastAsia="Courier New" w:hAnsi="Courier New"/>
                <w:sz w:val="14"/>
                <w:szCs w:val="14"/>
                <w:color w:val="auto"/>
              </w:rPr>
              <w:t>8</w:t>
            </w: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10" w:name="page11"/>
    <w:bookmarkEnd w:id="10"/>
    <w:p>
      <w:pPr>
        <w:jc w:val="center"/>
        <w:ind w:right="-99"/>
        <w:spacing w:after="0"/>
        <w:rPr>
          <w:sz w:val="20"/>
          <w:szCs w:val="20"/>
          <w:color w:val="auto"/>
        </w:rPr>
      </w:pPr>
      <w:r>
        <w:rPr>
          <w:rFonts w:ascii="Courier New" w:cs="Courier New" w:eastAsia="Courier New" w:hAnsi="Courier New"/>
          <w:sz w:val="14"/>
          <w:szCs w:val="14"/>
          <w:color w:val="auto"/>
        </w:rPr>
        <w:t>[COMCAST LOGO]</w:t>
      </w:r>
    </w:p>
    <w:p>
      <w:pPr>
        <w:spacing w:after="0" w:line="17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TABLE 4</w:t>
      </w:r>
    </w:p>
    <w:p>
      <w:pPr>
        <w:spacing w:after="0" w:line="8"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Pro Forma Financial Data by Business Segment (Unaudited) (1)</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(dollars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8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w:t>
            </w:r>
          </w:p>
        </w:tc>
        <w:tc>
          <w:tcPr>
            <w:tcW w:w="22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(4)</w:t>
            </w:r>
          </w:p>
        </w:tc>
        <w:tc>
          <w:tcPr>
            <w:tcW w:w="920" w:type="dxa"/>
            <w:vAlign w:val="bottom"/>
          </w:tcPr>
          <w:p>
            <w:pPr>
              <w:spacing w:after="0"/>
              <w:rPr>
                <w:sz w:val="14"/>
                <w:szCs w:val="14"/>
                <w:color w:val="auto"/>
              </w:rPr>
            </w:pPr>
          </w:p>
        </w:tc>
      </w:tr>
      <w:tr>
        <w:trPr>
          <w:trHeight w:val="167"/>
        </w:trPr>
        <w:tc>
          <w:tcPr>
            <w:tcW w:w="3700" w:type="dxa"/>
            <w:vAlign w:val="bottom"/>
          </w:tcPr>
          <w:p>
            <w:pPr>
              <w:spacing w:after="0"/>
              <w:rPr>
                <w:sz w:val="14"/>
                <w:szCs w:val="14"/>
                <w:color w:val="auto"/>
              </w:rPr>
            </w:pPr>
          </w:p>
        </w:tc>
        <w:tc>
          <w:tcPr>
            <w:tcW w:w="18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Cable</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Commerce</w:t>
            </w:r>
          </w:p>
        </w:tc>
        <w:tc>
          <w:tcPr>
            <w:tcW w:w="2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Content and Other</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3700" w:type="dxa"/>
            <w:vAlign w:val="bottom"/>
          </w:tcPr>
          <w:p>
            <w:pPr>
              <w:spacing w:after="0"/>
              <w:rPr>
                <w:sz w:val="14"/>
                <w:szCs w:val="14"/>
                <w:color w:val="auto"/>
              </w:rPr>
            </w:pP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3700" w:type="dxa"/>
            <w:vAlign w:val="bottom"/>
          </w:tcPr>
          <w:p>
            <w:pPr>
              <w:spacing w:after="0"/>
              <w:rPr>
                <w:sz w:val="20"/>
                <w:szCs w:val="20"/>
                <w:color w:val="auto"/>
              </w:rPr>
            </w:pPr>
            <w:r>
              <w:rPr>
                <w:rFonts w:ascii="Courier New" w:cs="Courier New" w:eastAsia="Courier New" w:hAnsi="Courier New"/>
                <w:sz w:val="14"/>
                <w:szCs w:val="14"/>
                <w:color w:val="auto"/>
              </w:rPr>
              <w:t>Three Months Ended March 31, 2003</w:t>
            </w:r>
          </w:p>
        </w:tc>
        <w:tc>
          <w:tcPr>
            <w:tcW w:w="1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$4,231</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$1,062</w:t>
            </w:r>
          </w:p>
        </w:tc>
        <w:tc>
          <w:tcPr>
            <w:tcW w:w="22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$224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$5,517</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$1,421</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$211</w:t>
            </w:r>
          </w:p>
        </w:tc>
        <w:tc>
          <w:tcPr>
            <w:tcW w:w="22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$1,638</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$341</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w:t>
            </w:r>
          </w:p>
        </w:tc>
        <w:tc>
          <w:tcPr>
            <w:tcW w:w="22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$473</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EBITDA Margin</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33.6%</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w:t>
            </w:r>
          </w:p>
        </w:tc>
        <w:tc>
          <w:tcPr>
            <w:tcW w:w="22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NM</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29.7%</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Capital Expenditures (7)</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$953</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w:t>
            </w:r>
          </w:p>
        </w:tc>
        <w:tc>
          <w:tcPr>
            <w:tcW w:w="22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$971</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Three Months Ended March 31, 2002</w:t>
            </w:r>
          </w:p>
        </w:tc>
        <w:tc>
          <w:tcPr>
            <w:tcW w:w="1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$3,844</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$988</w:t>
            </w:r>
          </w:p>
        </w:tc>
        <w:tc>
          <w:tcPr>
            <w:tcW w:w="22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$5,031</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EBITDA (5)</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$1,046</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$192</w:t>
            </w:r>
          </w:p>
        </w:tc>
        <w:tc>
          <w:tcPr>
            <w:tcW w:w="22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$1,253</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$165</w:t>
            </w:r>
          </w:p>
        </w:tc>
        <w:tc>
          <w:tcPr>
            <w:tcW w:w="22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$107</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EBITDA Margin (5)</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27.2%</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19.4%</w:t>
            </w:r>
          </w:p>
        </w:tc>
        <w:tc>
          <w:tcPr>
            <w:tcW w:w="22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NM</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24.9%</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Capital Expenditures (6)</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$1,097</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w:t>
            </w:r>
          </w:p>
        </w:tc>
        <w:tc>
          <w:tcPr>
            <w:tcW w:w="22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$1,138</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40" w:hanging="431"/>
        <w:spacing w:after="0" w:line="258"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Non-GAAP and Other Financial Measures in Table 8. Historical financial data by business segment, as required under generally accepted accounting principles, is available in the Company's quarterly report on Form 10-Q.</w:t>
      </w:r>
    </w:p>
    <w:p>
      <w:pPr>
        <w:spacing w:after="0" w:line="159" w:lineRule="exact"/>
        <w:rPr>
          <w:rFonts w:ascii="Courier New" w:cs="Courier New" w:eastAsia="Courier New" w:hAnsi="Courier New"/>
          <w:sz w:val="14"/>
          <w:szCs w:val="14"/>
          <w:color w:val="auto"/>
        </w:rPr>
      </w:pPr>
    </w:p>
    <w:p>
      <w:pPr>
        <w:jc w:val="both"/>
        <w:ind w:left="440" w:hanging="431"/>
        <w:spacing w:after="0" w:line="254"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financial data includes the results of AT&amp;T Broadband acquired in November 2002 (newly acquired systems). Pro forma financial data excludes the results of the 314,000 cable subscribers sold to Bresnan Communications in March 2003 and excludes the results of the net reduction of 16,000 subscribers associated with the cable system exchange with Insight Communications in February 2003.</w:t>
      </w:r>
    </w:p>
    <w:p>
      <w:pPr>
        <w:spacing w:after="0" w:line="163" w:lineRule="exact"/>
        <w:rPr>
          <w:rFonts w:ascii="Courier New" w:cs="Courier New" w:eastAsia="Courier New" w:hAnsi="Courier New"/>
          <w:sz w:val="14"/>
          <w:szCs w:val="14"/>
          <w:color w:val="auto"/>
        </w:rPr>
      </w:pPr>
    </w:p>
    <w:p>
      <w:pPr>
        <w:ind w:left="440" w:hanging="431"/>
        <w:spacing w:after="0" w:line="258"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financial data excludes the results of QVC's infomercial operations in Mexico which were sold in February 2003.</w:t>
      </w:r>
    </w:p>
    <w:p>
      <w:pPr>
        <w:spacing w:after="0" w:line="159" w:lineRule="exact"/>
        <w:rPr>
          <w:rFonts w:ascii="Courier New" w:cs="Courier New" w:eastAsia="Courier New" w:hAnsi="Courier New"/>
          <w:sz w:val="14"/>
          <w:szCs w:val="14"/>
          <w:color w:val="auto"/>
        </w:rPr>
      </w:pPr>
    </w:p>
    <w:p>
      <w:pPr>
        <w:jc w:val="both"/>
        <w:ind w:left="440" w:hanging="431"/>
        <w:spacing w:after="0" w:line="254"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Content and Other includes segments not meeting quantitative guidelines for reporting, including our content and business communications operations, and corporate expenses. It also includes elimination entries related to the segments presented. Content includes E! Networks (E! Entertainment and Style), Comcast-Spectacor, The Golf Channel, Outdoor Life Network and G4. Revenues and EBITDA of our content businesses for the three months ended March 31, 2003 and 2002 were as follows:</w:t>
      </w:r>
    </w:p>
    <w:p>
      <w:pPr>
        <w:spacing w:after="0" w:line="162"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r>
      <w:tr>
        <w:trPr>
          <w:trHeight w:val="167"/>
        </w:trPr>
        <w:tc>
          <w:tcPr>
            <w:tcW w:w="5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gridSpan w:val="2"/>
          </w:tcPr>
          <w:p>
            <w:pPr>
              <w:spacing w:after="0"/>
              <w:rPr>
                <w:sz w:val="20"/>
                <w:szCs w:val="20"/>
                <w:color w:val="auto"/>
              </w:rPr>
            </w:pPr>
            <w:r>
              <w:rPr>
                <w:rFonts w:ascii="Courier New" w:cs="Courier New" w:eastAsia="Courier New" w:hAnsi="Courier New"/>
                <w:sz w:val="14"/>
                <w:szCs w:val="14"/>
                <w:color w:val="auto"/>
              </w:rPr>
              <w:t>Revenue</w:t>
            </w:r>
          </w:p>
        </w:tc>
        <w:tc>
          <w:tcPr>
            <w:tcW w:w="2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$242</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w:t>
            </w:r>
          </w:p>
        </w:tc>
      </w:tr>
      <w:tr>
        <w:trPr>
          <w:trHeight w:val="167"/>
        </w:trPr>
        <w:tc>
          <w:tcPr>
            <w:tcW w:w="56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2140" w:type="dxa"/>
            <w:vAlign w:val="bottom"/>
          </w:tcPr>
          <w:p>
            <w:pPr>
              <w:spacing w:after="0"/>
              <w:rPr>
                <w:sz w:val="14"/>
                <w:szCs w:val="14"/>
                <w:color w:val="auto"/>
              </w:rPr>
            </w:pPr>
          </w:p>
        </w:tc>
        <w:tc>
          <w:tcPr>
            <w:tcW w:w="2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w:t>
            </w:r>
          </w:p>
        </w:tc>
      </w:tr>
      <w:tr>
        <w:trPr>
          <w:trHeight w:val="167"/>
        </w:trPr>
        <w:tc>
          <w:tcPr>
            <w:tcW w:w="56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2140" w:type="dxa"/>
            <w:vAlign w:val="bottom"/>
          </w:tcPr>
          <w:p>
            <w:pPr>
              <w:ind w:left="60"/>
              <w:spacing w:after="0"/>
              <w:rPr>
                <w:sz w:val="20"/>
                <w:szCs w:val="20"/>
                <w:color w:val="auto"/>
              </w:rPr>
            </w:pPr>
            <w:r>
              <w:rPr>
                <w:rFonts w:ascii="Courier New" w:cs="Courier New" w:eastAsia="Courier New" w:hAnsi="Courier New"/>
                <w:sz w:val="14"/>
                <w:szCs w:val="14"/>
                <w:color w:val="auto"/>
              </w:rPr>
              <w:t>Margin</w:t>
            </w:r>
          </w:p>
        </w:tc>
        <w:tc>
          <w:tcPr>
            <w:tcW w:w="26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25.5%</w:t>
            </w:r>
          </w:p>
        </w:tc>
      </w:tr>
    </w:tbl>
    <w:p>
      <w:pPr>
        <w:spacing w:after="0" w:line="338" w:lineRule="exact"/>
        <w:rPr>
          <w:sz w:val="20"/>
          <w:szCs w:val="20"/>
          <w:color w:val="auto"/>
        </w:rPr>
      </w:pPr>
    </w:p>
    <w:p>
      <w:pPr>
        <w:ind w:left="440" w:hanging="431"/>
        <w:spacing w:after="0" w:line="258"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for the three months ended March 31, 2002 are acquisition &amp; employee termination related costs of $88 million incurred by AT&amp;T Broadband prior to the acquisition of AT&amp;T Broadband by Comcast.</w:t>
      </w:r>
    </w:p>
    <w:p>
      <w:pPr>
        <w:spacing w:after="0" w:line="159"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newly acquired systems, includes capital expenditures made since January 1, 2002.</w:t>
      </w:r>
    </w:p>
    <w:p>
      <w:pPr>
        <w:spacing w:after="0" w:line="175"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Cable segment's capital expenditures are comprised of the following categories:</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Recurring</w:t>
            </w:r>
          </w:p>
        </w:tc>
      </w:tr>
      <w:tr>
        <w:trPr>
          <w:trHeight w:val="167"/>
        </w:trPr>
        <w:tc>
          <w:tcPr>
            <w:tcW w:w="3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Capital</w:t>
            </w:r>
          </w:p>
        </w:tc>
      </w:tr>
      <w:tr>
        <w:trPr>
          <w:trHeight w:val="167"/>
        </w:trPr>
        <w:tc>
          <w:tcPr>
            <w:tcW w:w="348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1Q03</w:t>
            </w:r>
          </w:p>
        </w:tc>
        <w:tc>
          <w:tcPr>
            <w:tcW w:w="130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Percentage*</w:t>
            </w:r>
          </w:p>
        </w:tc>
      </w:tr>
      <w:tr>
        <w:trPr>
          <w:trHeight w:val="167"/>
        </w:trPr>
        <w:tc>
          <w:tcPr>
            <w:tcW w:w="348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Customer Premise Equipment (CPE)</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$386</w:t>
            </w:r>
          </w:p>
        </w:tc>
        <w:tc>
          <w:tcPr>
            <w:tcW w:w="1300" w:type="dxa"/>
            <w:vAlign w:val="bottom"/>
          </w:tcPr>
          <w:p>
            <w:pPr>
              <w:ind w:left="620"/>
              <w:spacing w:after="0"/>
              <w:rPr>
                <w:sz w:val="20"/>
                <w:szCs w:val="20"/>
                <w:color w:val="auto"/>
              </w:rPr>
            </w:pPr>
            <w:r>
              <w:rPr>
                <w:rFonts w:ascii="Courier New" w:cs="Courier New" w:eastAsia="Courier New" w:hAnsi="Courier New"/>
                <w:sz w:val="14"/>
                <w:szCs w:val="14"/>
                <w:color w:val="auto"/>
              </w:rPr>
              <w:t>15%-25%</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Scalable Infrastructure</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w:t>
            </w:r>
          </w:p>
        </w:tc>
        <w:tc>
          <w:tcPr>
            <w:tcW w:w="1300" w:type="dxa"/>
            <w:vAlign w:val="bottom"/>
          </w:tcPr>
          <w:p>
            <w:pPr>
              <w:ind w:left="620"/>
              <w:spacing w:after="0"/>
              <w:rPr>
                <w:sz w:val="20"/>
                <w:szCs w:val="20"/>
                <w:color w:val="auto"/>
              </w:rPr>
            </w:pPr>
            <w:r>
              <w:rPr>
                <w:rFonts w:ascii="Courier New" w:cs="Courier New" w:eastAsia="Courier New" w:hAnsi="Courier New"/>
                <w:sz w:val="14"/>
                <w:szCs w:val="14"/>
                <w:color w:val="auto"/>
              </w:rPr>
              <w:t>2%-10%</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Line Extensions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Upgrade/Rebuild</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342</w:t>
            </w:r>
          </w:p>
        </w:tc>
        <w:tc>
          <w:tcPr>
            <w:tcW w:w="1300" w:type="dxa"/>
            <w:vAlign w:val="bottom"/>
          </w:tcPr>
          <w:p>
            <w:pPr>
              <w:ind w:left="620"/>
              <w:spacing w:after="0"/>
              <w:rPr>
                <w:sz w:val="20"/>
                <w:szCs w:val="20"/>
                <w:color w:val="auto"/>
              </w:rPr>
            </w:pPr>
            <w:r>
              <w:rPr>
                <w:rFonts w:ascii="Courier New" w:cs="Courier New" w:eastAsia="Courier New" w:hAnsi="Courier New"/>
                <w:sz w:val="14"/>
                <w:szCs w:val="14"/>
                <w:color w:val="auto"/>
              </w:rPr>
              <w:t>20%-30%</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Support Capital</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48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$953</w:t>
            </w:r>
          </w:p>
        </w:tc>
        <w:tc>
          <w:tcPr>
            <w:tcW w:w="1300" w:type="dxa"/>
            <w:vAlign w:val="bottom"/>
          </w:tcPr>
          <w:p>
            <w:pPr>
              <w:spacing w:after="0"/>
              <w:rPr>
                <w:sz w:val="14"/>
                <w:szCs w:val="14"/>
                <w:color w:val="auto"/>
              </w:rPr>
            </w:pPr>
          </w:p>
        </w:tc>
      </w:tr>
      <w:tr>
        <w:trPr>
          <w:trHeight w:val="167"/>
        </w:trPr>
        <w:tc>
          <w:tcPr>
            <w:tcW w:w="348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r>
    </w:tbl>
    <w:p>
      <w:pPr>
        <w:spacing w:after="0" w:line="171" w:lineRule="exact"/>
        <w:rPr>
          <w:sz w:val="20"/>
          <w:szCs w:val="20"/>
          <w:color w:val="auto"/>
        </w:rPr>
      </w:pPr>
    </w:p>
    <w:p>
      <w:pPr>
        <w:jc w:val="both"/>
        <w:ind w:left="440"/>
        <w:spacing w:after="0" w:line="253" w:lineRule="auto"/>
        <w:rPr>
          <w:sz w:val="20"/>
          <w:szCs w:val="20"/>
          <w:color w:val="auto"/>
        </w:rPr>
      </w:pPr>
      <w:r>
        <w:rPr>
          <w:rFonts w:ascii="Courier New" w:cs="Courier New" w:eastAsia="Courier New" w:hAnsi="Courier New"/>
          <w:sz w:val="14"/>
          <w:szCs w:val="14"/>
          <w:color w:val="auto"/>
        </w:rPr>
        <w:t>CPE includes costs incurred at the customer residence to secure new customers, revenue units and additional bandwidth revenues (e.g. digital converters). Scalable infrastructure includes costs, not CPE or network related, to secure growth of new customers, revenue units and additional bandwidth revenues or provide service enhancements (e.g. headend equipment). Line extensions include network costs associated with entering new service areas (e.g. fiber/coaxial cable). Upgrade/rebuild includes costs to enhance or replace existing fiber/coaxial cable networks, including recurring betterments. Support capital includes costs associated with the replacement or enhancement of non-network assets due to obsolescence and wear out (e.g. non-network equipment, land, buildings and vehicles).</w:t>
      </w:r>
    </w:p>
    <w:p>
      <w:pPr>
        <w:spacing w:after="0" w:line="165" w:lineRule="exact"/>
        <w:rPr>
          <w:sz w:val="20"/>
          <w:szCs w:val="20"/>
          <w:color w:val="auto"/>
        </w:rPr>
      </w:pPr>
    </w:p>
    <w:p>
      <w:pPr>
        <w:ind w:left="880" w:hanging="437"/>
        <w:spacing w:after="0"/>
        <w:tabs>
          <w:tab w:leader="none" w:pos="8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an estimate of the recurring capital expenditures for each of the above components.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75" w:lineRule="exact"/>
        <w:rPr>
          <w:rFonts w:ascii="Courier New" w:cs="Courier New" w:eastAsia="Courier New" w:hAnsi="Courier New"/>
          <w:sz w:val="14"/>
          <w:szCs w:val="14"/>
          <w:color w:val="auto"/>
        </w:rPr>
      </w:pPr>
    </w:p>
    <w:p>
      <w:pPr>
        <w:ind w:left="5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w:t>
      </w:r>
    </w:p>
    <w:p>
      <w:pPr>
        <w:sectPr>
          <w:pgSz w:w="11900" w:h="16838" w:orient="portrait"/>
          <w:cols w:equalWidth="0" w:num="1">
            <w:col w:w="10340"/>
          </w:cols>
          <w:pgMar w:left="220" w:top="1121" w:right="1339" w:bottom="473"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[COMCAST LOGO]</w:t>
            </w:r>
          </w:p>
        </w:tc>
        <w:tc>
          <w:tcPr>
            <w:tcW w:w="8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4"/>
        </w:trPr>
        <w:tc>
          <w:tcPr>
            <w:tcW w:w="4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TABLE 5</w:t>
            </w:r>
          </w:p>
        </w:tc>
        <w:tc>
          <w:tcPr>
            <w:tcW w:w="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8600" w:type="dxa"/>
            <w:vAlign w:val="bottom"/>
            <w:gridSpan w:val="5"/>
          </w:tcPr>
          <w:p>
            <w:pPr>
              <w:jc w:val="right"/>
              <w:ind w:right="748"/>
              <w:spacing w:after="0"/>
              <w:rPr>
                <w:sz w:val="20"/>
                <w:szCs w:val="20"/>
                <w:color w:val="auto"/>
              </w:rPr>
            </w:pPr>
            <w:r>
              <w:rPr>
                <w:rFonts w:ascii="Courier New" w:cs="Courier New" w:eastAsia="Courier New" w:hAnsi="Courier New"/>
                <w:sz w:val="14"/>
                <w:szCs w:val="14"/>
                <w:color w:val="auto"/>
              </w:rPr>
              <w:t>Pro Forma Data - Cable Segment Components (Unaudited) (1)(2)</w:t>
            </w:r>
          </w:p>
        </w:tc>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8600" w:type="dxa"/>
            <w:vAlign w:val="bottom"/>
            <w:gridSpan w:val="5"/>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8600" w:type="dxa"/>
            <w:vAlign w:val="bottom"/>
            <w:gridSpan w:val="5"/>
          </w:tcPr>
          <w:p>
            <w:pPr>
              <w:jc w:val="right"/>
              <w:ind w:right="228"/>
              <w:spacing w:after="0"/>
              <w:rPr>
                <w:sz w:val="20"/>
                <w:szCs w:val="20"/>
                <w:color w:val="auto"/>
              </w:rPr>
            </w:pPr>
            <w:r>
              <w:rPr>
                <w:rFonts w:ascii="Courier New" w:cs="Courier New" w:eastAsia="Courier New" w:hAnsi="Courier New"/>
                <w:sz w:val="14"/>
                <w:szCs w:val="14"/>
                <w:color w:val="auto"/>
              </w:rPr>
              <w:t>(dollars in millions, except average revenue per basic subscriber data)</w:t>
            </w:r>
          </w:p>
        </w:tc>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4"/>
        </w:trPr>
        <w:tc>
          <w:tcPr>
            <w:tcW w:w="4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Historical</w:t>
            </w:r>
          </w:p>
        </w:tc>
        <w:tc>
          <w:tcPr>
            <w:tcW w:w="260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Newly Acquired</w:t>
            </w: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Systems (3)</w:t>
            </w:r>
          </w:p>
        </w:tc>
        <w:tc>
          <w:tcPr>
            <w:tcW w:w="820" w:type="dxa"/>
            <w:vAlign w:val="bottom"/>
          </w:tcPr>
          <w:p>
            <w:pPr>
              <w:spacing w:after="0"/>
              <w:rPr>
                <w:sz w:val="14"/>
                <w:szCs w:val="14"/>
                <w:color w:val="auto"/>
              </w:rPr>
            </w:pPr>
          </w:p>
        </w:tc>
        <w:tc>
          <w:tcPr>
            <w:tcW w:w="17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Systems (3)</w:t>
            </w:r>
          </w:p>
        </w:tc>
        <w:tc>
          <w:tcPr>
            <w:tcW w:w="860" w:type="dxa"/>
            <w:vAlign w:val="bottom"/>
          </w:tcPr>
          <w:p>
            <w:pPr>
              <w:spacing w:after="0"/>
              <w:rPr>
                <w:sz w:val="14"/>
                <w:szCs w:val="14"/>
                <w:color w:val="auto"/>
              </w:rPr>
            </w:pPr>
          </w:p>
        </w:tc>
        <w:tc>
          <w:tcPr>
            <w:tcW w:w="136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4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6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6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Three Months Ended March 31</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2003</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2002</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2003</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2002</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2003</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2002</w:t>
            </w:r>
          </w:p>
        </w:tc>
      </w:tr>
      <w:tr>
        <w:trPr>
          <w:trHeight w:val="167"/>
        </w:trPr>
        <w:tc>
          <w:tcPr>
            <w:tcW w:w="480" w:type="dxa"/>
            <w:vAlign w:val="bottom"/>
          </w:tcPr>
          <w:p>
            <w:pPr>
              <w:spacing w:after="0"/>
              <w:rPr>
                <w:sz w:val="14"/>
                <w:szCs w:val="14"/>
                <w:color w:val="auto"/>
              </w:rPr>
            </w:pPr>
          </w:p>
        </w:tc>
        <w:tc>
          <w:tcPr>
            <w:tcW w:w="3400" w:type="dxa"/>
            <w:vAlign w:val="bottom"/>
          </w:tcPr>
          <w:p>
            <w:pPr>
              <w:jc w:val="right"/>
              <w:ind w:right="14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Revenues:</w:t>
            </w:r>
          </w:p>
        </w:tc>
        <w:tc>
          <w:tcPr>
            <w:tcW w:w="8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4"/>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Video (4)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$1,230</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$1,149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$1,752</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$1,678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$2,982</w:t>
            </w:r>
          </w:p>
        </w:tc>
        <w:tc>
          <w:tcPr>
            <w:tcW w:w="1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$2,827</w:t>
            </w:r>
          </w:p>
        </w:tc>
      </w:tr>
      <w:tr>
        <w:trPr>
          <w:trHeight w:val="167"/>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High-Speed Internet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204</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288</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492</w:t>
            </w:r>
          </w:p>
        </w:tc>
        <w:tc>
          <w:tcPr>
            <w:tcW w:w="1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312</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Phone</w:t>
            </w:r>
          </w:p>
        </w:tc>
        <w:tc>
          <w:tcPr>
            <w:tcW w:w="34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224</w:t>
            </w:r>
          </w:p>
        </w:tc>
        <w:tc>
          <w:tcPr>
            <w:tcW w:w="1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175</w:t>
            </w:r>
          </w:p>
        </w:tc>
      </w:tr>
      <w:tr>
        <w:trPr>
          <w:trHeight w:val="167"/>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Advertising</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235</w:t>
            </w:r>
          </w:p>
        </w:tc>
        <w:tc>
          <w:tcPr>
            <w:tcW w:w="1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217</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400" w:type="dxa"/>
            <w:vAlign w:val="bottom"/>
          </w:tcPr>
          <w:p>
            <w:pPr>
              <w:jc w:val="right"/>
              <w:ind w:right="3008"/>
              <w:spacing w:after="0"/>
              <w:rPr>
                <w:sz w:val="20"/>
                <w:szCs w:val="20"/>
                <w:color w:val="auto"/>
              </w:rPr>
            </w:pPr>
            <w:r>
              <w:rPr>
                <w:rFonts w:ascii="Courier New" w:cs="Courier New" w:eastAsia="Courier New" w:hAnsi="Courier New"/>
                <w:sz w:val="14"/>
                <w:szCs w:val="14"/>
                <w:color w:val="auto"/>
              </w:rPr>
              <w:t>(5)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147</w:t>
            </w:r>
          </w:p>
        </w:tc>
        <w:tc>
          <w:tcPr>
            <w:tcW w:w="1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165</w:t>
            </w:r>
          </w:p>
        </w:tc>
      </w:tr>
      <w:tr>
        <w:trPr>
          <w:trHeight w:val="167"/>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Franchise Fees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151</w:t>
            </w:r>
          </w:p>
        </w:tc>
        <w:tc>
          <w:tcPr>
            <w:tcW w:w="1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148</w:t>
            </w:r>
          </w:p>
        </w:tc>
      </w:tr>
      <w:tr>
        <w:trPr>
          <w:trHeight w:val="167"/>
        </w:trPr>
        <w:tc>
          <w:tcPr>
            <w:tcW w:w="4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6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6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Total Revenues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$1,645</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$1,469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$2,586</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$2,375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$4,231</w:t>
            </w:r>
          </w:p>
        </w:tc>
        <w:tc>
          <w:tcPr>
            <w:tcW w:w="1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$3,844</w:t>
            </w:r>
          </w:p>
        </w:tc>
      </w:tr>
      <w:tr>
        <w:trPr>
          <w:trHeight w:val="167"/>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Average Total Revenue per Basic Subscriber</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$64.16</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$57.64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$67.51</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$60.24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$66.15</w:t>
            </w:r>
          </w:p>
        </w:tc>
        <w:tc>
          <w:tcPr>
            <w:tcW w:w="1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$59.08</w:t>
            </w:r>
          </w:p>
        </w:tc>
      </w:tr>
      <w:tr>
        <w:trPr>
          <w:trHeight w:val="334"/>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EBITDA (6)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$675</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$597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$746</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$1,421</w:t>
            </w:r>
          </w:p>
        </w:tc>
        <w:tc>
          <w:tcPr>
            <w:tcW w:w="1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$1,046</w:t>
            </w:r>
          </w:p>
        </w:tc>
      </w:tr>
      <w:tr>
        <w:trPr>
          <w:trHeight w:val="167"/>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 (Loss)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$376</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$341</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7"/>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EBITDA Margin (6)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41.0%</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33.6%</w:t>
            </w:r>
          </w:p>
        </w:tc>
        <w:tc>
          <w:tcPr>
            <w:tcW w:w="1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27.2%</w:t>
            </w:r>
          </w:p>
        </w:tc>
      </w:tr>
      <w:tr>
        <w:trPr>
          <w:trHeight w:val="167"/>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Capital Expenditures (7)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$335</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$618</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$739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$953</w:t>
            </w:r>
          </w:p>
        </w:tc>
        <w:tc>
          <w:tcPr>
            <w:tcW w:w="1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$1,097</w:t>
            </w:r>
          </w:p>
        </w:tc>
      </w:tr>
      <w:tr>
        <w:trPr>
          <w:trHeight w:val="167"/>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EBITDA, Net of Capital Expenditures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$340</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$468</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440" w:hanging="431"/>
        <w:spacing w:after="0"/>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Non-GAAP and Other Financial Measures in Table 8.</w:t>
      </w:r>
    </w:p>
    <w:p>
      <w:pPr>
        <w:spacing w:after="0" w:line="175" w:lineRule="exact"/>
        <w:rPr>
          <w:rFonts w:ascii="Courier New" w:cs="Courier New" w:eastAsia="Courier New" w:hAnsi="Courier New"/>
          <w:sz w:val="14"/>
          <w:szCs w:val="14"/>
          <w:color w:val="auto"/>
        </w:rPr>
      </w:pPr>
    </w:p>
    <w:p>
      <w:pPr>
        <w:jc w:val="both"/>
        <w:ind w:left="440" w:right="1200" w:hanging="431"/>
        <w:spacing w:after="0" w:line="254"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financial data includes the results of AT&amp;T Broadband acquired in November 2002 (newly acquired systems). Pro forma financial data excludes the results of the 314,000 cable subscribers sold to Bresnan Communications in March 2003 and excludes the results of the net reduction of 16,000 subscribers associated with the cable system exchange with Insight Communications in February 2003.</w:t>
      </w:r>
    </w:p>
    <w:p>
      <w:pPr>
        <w:spacing w:after="0" w:line="163" w:lineRule="exact"/>
        <w:rPr>
          <w:rFonts w:ascii="Courier New" w:cs="Courier New" w:eastAsia="Courier New" w:hAnsi="Courier New"/>
          <w:sz w:val="14"/>
          <w:szCs w:val="14"/>
          <w:color w:val="auto"/>
        </w:rPr>
      </w:pPr>
    </w:p>
    <w:p>
      <w:pPr>
        <w:ind w:left="440" w:right="1200" w:hanging="431"/>
        <w:spacing w:after="0" w:line="258"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Historical systems represent those cable businesses operated by the Company prior to the acquisition of AT&amp;T Broadband. The newly acquired systems represent those cable businesses acquired from AT&amp;T.</w:t>
      </w:r>
    </w:p>
    <w:p>
      <w:pPr>
        <w:spacing w:after="0" w:line="159"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Video revenues consist of our basic, expanded basic, premium, pay-per-view, equipment and digital services.</w:t>
      </w:r>
    </w:p>
    <w:p>
      <w:pPr>
        <w:spacing w:after="0" w:line="175" w:lineRule="exact"/>
        <w:rPr>
          <w:rFonts w:ascii="Courier New" w:cs="Courier New" w:eastAsia="Courier New" w:hAnsi="Courier New"/>
          <w:sz w:val="14"/>
          <w:szCs w:val="14"/>
          <w:color w:val="auto"/>
        </w:rPr>
      </w:pPr>
    </w:p>
    <w:p>
      <w:pPr>
        <w:ind w:left="440" w:right="1200" w:hanging="431"/>
        <w:spacing w:after="0" w:line="258"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revenues include installation revenues, guide revenues, commissions from electronic retailing, other product offerings and revenues of our digital media center and regional sports programming networks.</w:t>
      </w:r>
    </w:p>
    <w:p>
      <w:pPr>
        <w:spacing w:after="0" w:line="159" w:lineRule="exact"/>
        <w:rPr>
          <w:rFonts w:ascii="Courier New" w:cs="Courier New" w:eastAsia="Courier New" w:hAnsi="Courier New"/>
          <w:sz w:val="14"/>
          <w:szCs w:val="14"/>
          <w:color w:val="auto"/>
        </w:rPr>
      </w:pPr>
    </w:p>
    <w:p>
      <w:pPr>
        <w:ind w:left="440" w:right="1200" w:hanging="431"/>
        <w:spacing w:after="0" w:line="258"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for the three months ended March 31, 2002 are acquisition &amp; employee termination related costs of $88 million incurred by AT&amp;T Broadband prior to the acquisition of AT&amp;T Broadband by Comcast.</w:t>
      </w:r>
    </w:p>
    <w:p>
      <w:pPr>
        <w:spacing w:after="0" w:line="159"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newly acquired systems, includes capital expenditures made since January 1, 2002.</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1540"/>
          </w:cols>
          <w:pgMar w:left="220" w:top="954" w:right="139" w:bottom="1440" w:gutter="0" w:footer="0" w:header="0"/>
        </w:sectPr>
      </w:pPr>
    </w:p>
    <w:bookmarkStart w:id="12" w:name="page13"/>
    <w:bookmarkEnd w:id="12"/>
    <w:p>
      <w:pPr>
        <w:jc w:val="center"/>
        <w:ind w:right="60"/>
        <w:spacing w:after="0"/>
        <w:rPr>
          <w:sz w:val="20"/>
          <w:szCs w:val="20"/>
          <w:color w:val="auto"/>
        </w:rPr>
      </w:pPr>
      <w:r>
        <w:rPr>
          <w:rFonts w:ascii="Courier New" w:cs="Courier New" w:eastAsia="Courier New" w:hAnsi="Courier New"/>
          <w:sz w:val="14"/>
          <w:szCs w:val="14"/>
          <w:color w:val="auto"/>
        </w:rPr>
        <w:t>[COMCAST LOGO]</w:t>
      </w:r>
    </w:p>
    <w:p>
      <w:pPr>
        <w:spacing w:after="0" w:line="175"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4"/>
          <w:szCs w:val="14"/>
          <w:color w:val="auto"/>
        </w:rPr>
        <w:t>TABLE 6</w:t>
      </w:r>
    </w:p>
    <w:p>
      <w:pPr>
        <w:spacing w:after="0" w:line="8"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Pro Forma Data - Cable Segment (Unaudited) (1) (2)</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40" w:type="dxa"/>
            <w:vAlign w:val="bottom"/>
            <w:gridSpan w:val="3"/>
          </w:tcPr>
          <w:p>
            <w:pPr>
              <w:jc w:val="right"/>
              <w:ind w:right="308"/>
              <w:spacing w:after="0"/>
              <w:rPr>
                <w:sz w:val="20"/>
                <w:szCs w:val="20"/>
                <w:color w:val="auto"/>
              </w:rPr>
            </w:pPr>
            <w:r>
              <w:rPr>
                <w:rFonts w:ascii="Courier New" w:cs="Courier New" w:eastAsia="Courier New" w:hAnsi="Courier New"/>
                <w:sz w:val="14"/>
                <w:szCs w:val="14"/>
                <w:color w:val="auto"/>
              </w:rPr>
              <w:t>Historical Systems (3)</w:t>
            </w:r>
          </w:p>
        </w:tc>
        <w:tc>
          <w:tcPr>
            <w:tcW w:w="3220" w:type="dxa"/>
            <w:vAlign w:val="bottom"/>
            <w:gridSpan w:val="3"/>
          </w:tcPr>
          <w:p>
            <w:pPr>
              <w:jc w:val="right"/>
              <w:ind w:right="408"/>
              <w:spacing w:after="0"/>
              <w:rPr>
                <w:sz w:val="20"/>
                <w:szCs w:val="20"/>
                <w:color w:val="auto"/>
              </w:rPr>
            </w:pPr>
            <w:r>
              <w:rPr>
                <w:rFonts w:ascii="Courier New" w:cs="Courier New" w:eastAsia="Courier New" w:hAnsi="Courier New"/>
                <w:sz w:val="14"/>
                <w:szCs w:val="14"/>
                <w:color w:val="auto"/>
              </w:rPr>
              <w:t>Newly Acquired Systems (3)</w:t>
            </w:r>
          </w:p>
        </w:tc>
        <w:tc>
          <w:tcPr>
            <w:tcW w:w="10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w:t>
            </w:r>
          </w:p>
        </w:tc>
        <w:tc>
          <w:tcPr>
            <w:tcW w:w="860" w:type="dxa"/>
            <w:vAlign w:val="bottom"/>
          </w:tcPr>
          <w:p>
            <w:pPr>
              <w:spacing w:after="0"/>
              <w:rPr>
                <w:sz w:val="14"/>
                <w:szCs w:val="14"/>
                <w:color w:val="auto"/>
              </w:rPr>
            </w:pPr>
          </w:p>
        </w:tc>
      </w:tr>
      <w:tr>
        <w:trPr>
          <w:trHeight w:val="167"/>
        </w:trPr>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3220" w:type="dxa"/>
            <w:vAlign w:val="bottom"/>
            <w:gridSpan w:val="3"/>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167"/>
        </w:trPr>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1Q03</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4Q02</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1Q02</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1Q03</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4Q02</w:t>
            </w:r>
          </w:p>
        </w:tc>
        <w:tc>
          <w:tcPr>
            <w:tcW w:w="11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1Q02</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1Q03</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4Q02</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1Q02</w:t>
            </w:r>
          </w:p>
        </w:tc>
      </w:tr>
      <w:tr>
        <w:trPr>
          <w:trHeight w:val="167"/>
        </w:trPr>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Cable</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2400" w:type="dxa"/>
            <w:vAlign w:val="bottom"/>
            <w:gridSpan w:val="5"/>
          </w:tcPr>
          <w:p>
            <w:pPr>
              <w:spacing w:after="0"/>
              <w:rPr>
                <w:sz w:val="20"/>
                <w:szCs w:val="20"/>
                <w:color w:val="auto"/>
              </w:rPr>
            </w:pPr>
            <w:r>
              <w:rPr>
                <w:rFonts w:ascii="Courier New" w:cs="Courier New" w:eastAsia="Courier New" w:hAnsi="Courier New"/>
                <w:sz w:val="14"/>
                <w:szCs w:val="14"/>
                <w:color w:val="auto"/>
              </w:rPr>
              <w:t>Homes Passed (000's)</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14,270.0</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14,188.4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13,986.1</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25,042.1</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24,926.8</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24,375.7</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39,312.1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39,115.2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38,361.8</w:t>
            </w:r>
          </w:p>
        </w:tc>
      </w:tr>
      <w:tr>
        <w:trPr>
          <w:trHeight w:val="167"/>
        </w:trPr>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Subscribers</w:t>
            </w:r>
          </w:p>
        </w:tc>
        <w:tc>
          <w:tcPr>
            <w:tcW w:w="600" w:type="dxa"/>
            <w:vAlign w:val="bottom"/>
            <w:gridSpan w:val="2"/>
          </w:tcPr>
          <w:p>
            <w:pPr>
              <w:spacing w:after="0"/>
              <w:rPr>
                <w:sz w:val="20"/>
                <w:szCs w:val="20"/>
                <w:color w:val="auto"/>
              </w:rPr>
            </w:pPr>
            <w:r>
              <w:rPr>
                <w:rFonts w:ascii="Courier New" w:cs="Courier New" w:eastAsia="Courier New" w:hAnsi="Courier New"/>
                <w:sz w:val="14"/>
                <w:szCs w:val="14"/>
                <w:color w:val="auto"/>
                <w:w w:val="98"/>
              </w:rPr>
              <w:t>(000's)</w:t>
            </w:r>
          </w:p>
        </w:tc>
        <w:tc>
          <w:tcPr>
            <w:tcW w:w="7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8,553.7</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8,539.4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8,511.7</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12,792.4</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12,749.8</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13,053.3</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21,346.1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21,289.2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21,565.0</w:t>
            </w:r>
          </w:p>
        </w:tc>
      </w:tr>
      <w:tr>
        <w:trPr>
          <w:trHeight w:val="167"/>
        </w:trPr>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Penetration</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59.9%</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60.9%</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51.1%</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51.1%</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53.6%</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56.2%</w:t>
            </w:r>
          </w:p>
        </w:tc>
      </w:tr>
      <w:tr>
        <w:trPr>
          <w:trHeight w:val="167"/>
        </w:trPr>
        <w:tc>
          <w:tcPr>
            <w:tcW w:w="2400" w:type="dxa"/>
            <w:vAlign w:val="bottom"/>
            <w:gridSpan w:val="5"/>
          </w:tcPr>
          <w:p>
            <w:pPr>
              <w:spacing w:after="0"/>
              <w:rPr>
                <w:sz w:val="20"/>
                <w:szCs w:val="20"/>
                <w:color w:val="auto"/>
              </w:rPr>
            </w:pPr>
            <w:r>
              <w:rPr>
                <w:rFonts w:ascii="Courier New" w:cs="Courier New" w:eastAsia="Courier New" w:hAnsi="Courier New"/>
                <w:sz w:val="14"/>
                <w:szCs w:val="14"/>
                <w:color w:val="auto"/>
              </w:rPr>
              <w:t>Quarterly Net Subscriber</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10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Additions</w:t>
            </w:r>
          </w:p>
        </w:tc>
        <w:tc>
          <w:tcPr>
            <w:tcW w:w="80" w:type="dxa"/>
            <w:vAlign w:val="bottom"/>
          </w:tcPr>
          <w:p>
            <w:pPr>
              <w:spacing w:after="0"/>
              <w:rPr>
                <w:sz w:val="14"/>
                <w:szCs w:val="14"/>
                <w:color w:val="auto"/>
              </w:rPr>
            </w:pPr>
          </w:p>
        </w:tc>
        <w:tc>
          <w:tcPr>
            <w:tcW w:w="126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w w:val="98"/>
              </w:rPr>
              <w:t>(000's)</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40.7</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42.6</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(49.8)</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(179.8)</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56.9</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(139.1)</w:t>
            </w:r>
          </w:p>
        </w:tc>
      </w:tr>
      <w:tr>
        <w:trPr>
          <w:trHeight w:val="334"/>
        </w:trPr>
        <w:tc>
          <w:tcPr>
            <w:tcW w:w="1140" w:type="dxa"/>
            <w:vAlign w:val="bottom"/>
            <w:gridSpan w:val="3"/>
          </w:tcPr>
          <w:p>
            <w:pPr>
              <w:spacing w:after="0"/>
              <w:rPr>
                <w:sz w:val="20"/>
                <w:szCs w:val="20"/>
                <w:color w:val="auto"/>
              </w:rPr>
            </w:pPr>
            <w:r>
              <w:rPr>
                <w:rFonts w:ascii="Courier New" w:cs="Courier New" w:eastAsia="Courier New" w:hAnsi="Courier New"/>
                <w:sz w:val="14"/>
                <w:szCs w:val="14"/>
                <w:color w:val="auto"/>
              </w:rPr>
              <w:t>Digital Cable</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1660" w:type="dxa"/>
            <w:vAlign w:val="bottom"/>
            <w:gridSpan w:val="4"/>
          </w:tcPr>
          <w:p>
            <w:pPr>
              <w:spacing w:after="0"/>
              <w:rPr>
                <w:sz w:val="20"/>
                <w:szCs w:val="20"/>
                <w:color w:val="auto"/>
              </w:rPr>
            </w:pPr>
            <w:r>
              <w:rPr>
                <w:rFonts w:ascii="Courier New" w:cs="Courier New" w:eastAsia="Courier New" w:hAnsi="Courier New"/>
                <w:sz w:val="14"/>
                <w:szCs w:val="14"/>
                <w:color w:val="auto"/>
              </w:rPr>
              <w:t>"Digital Ready"</w:t>
            </w: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11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Subscribers</w:t>
            </w:r>
          </w:p>
        </w:tc>
        <w:tc>
          <w:tcPr>
            <w:tcW w:w="12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(000's)</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8,553.7</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8,539.4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8,400.2</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12,792.4</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12,749.8</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13,053.3</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21,346.1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21,289.2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21,453.5</w:t>
            </w:r>
          </w:p>
        </w:tc>
      </w:tr>
      <w:tr>
        <w:trPr>
          <w:trHeight w:val="167"/>
        </w:trPr>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Subscribers</w:t>
            </w:r>
          </w:p>
        </w:tc>
        <w:tc>
          <w:tcPr>
            <w:tcW w:w="600" w:type="dxa"/>
            <w:vAlign w:val="bottom"/>
            <w:gridSpan w:val="2"/>
          </w:tcPr>
          <w:p>
            <w:pPr>
              <w:spacing w:after="0"/>
              <w:rPr>
                <w:sz w:val="20"/>
                <w:szCs w:val="20"/>
                <w:color w:val="auto"/>
              </w:rPr>
            </w:pPr>
            <w:r>
              <w:rPr>
                <w:rFonts w:ascii="Courier New" w:cs="Courier New" w:eastAsia="Courier New" w:hAnsi="Courier New"/>
                <w:sz w:val="14"/>
                <w:szCs w:val="14"/>
                <w:color w:val="auto"/>
                <w:w w:val="98"/>
              </w:rPr>
              <w:t>(000's)</w:t>
            </w:r>
          </w:p>
        </w:tc>
        <w:tc>
          <w:tcPr>
            <w:tcW w:w="7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2,321.8</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2,245.4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1,855.5</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4,465.4</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4,373.3</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3,642.5</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6,787.2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6,618.7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5,498.0</w:t>
            </w:r>
          </w:p>
        </w:tc>
      </w:tr>
      <w:tr>
        <w:trPr>
          <w:trHeight w:val="167"/>
        </w:trPr>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Penetration</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27.1%</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26.3%</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22.1%</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34.9%</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34.3%</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27.9%</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w:t>
            </w:r>
          </w:p>
        </w:tc>
      </w:tr>
      <w:tr>
        <w:trPr>
          <w:trHeight w:val="167"/>
        </w:trPr>
        <w:tc>
          <w:tcPr>
            <w:tcW w:w="2400" w:type="dxa"/>
            <w:vAlign w:val="bottom"/>
            <w:gridSpan w:val="5"/>
          </w:tcPr>
          <w:p>
            <w:pPr>
              <w:spacing w:after="0"/>
              <w:rPr>
                <w:sz w:val="20"/>
                <w:szCs w:val="20"/>
                <w:color w:val="auto"/>
              </w:rPr>
            </w:pPr>
            <w:r>
              <w:rPr>
                <w:rFonts w:ascii="Courier New" w:cs="Courier New" w:eastAsia="Courier New" w:hAnsi="Courier New"/>
                <w:sz w:val="14"/>
                <w:szCs w:val="14"/>
                <w:color w:val="auto"/>
              </w:rPr>
              <w:t>Quarterly Net Subscriber</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10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Additions</w:t>
            </w:r>
          </w:p>
        </w:tc>
        <w:tc>
          <w:tcPr>
            <w:tcW w:w="80" w:type="dxa"/>
            <w:vAlign w:val="bottom"/>
          </w:tcPr>
          <w:p>
            <w:pPr>
              <w:spacing w:after="0"/>
              <w:rPr>
                <w:sz w:val="14"/>
                <w:szCs w:val="14"/>
                <w:color w:val="auto"/>
              </w:rPr>
            </w:pPr>
          </w:p>
        </w:tc>
        <w:tc>
          <w:tcPr>
            <w:tcW w:w="126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w w:val="98"/>
              </w:rPr>
              <w:t>(000's)</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76.4</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114.7</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92.1</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254.4</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251.7</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168.5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387.3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366.4</w:t>
            </w:r>
          </w:p>
        </w:tc>
      </w:tr>
      <w:tr>
        <w:trPr>
          <w:trHeight w:val="167"/>
        </w:trPr>
        <w:tc>
          <w:tcPr>
            <w:tcW w:w="2400" w:type="dxa"/>
            <w:vAlign w:val="bottom"/>
            <w:gridSpan w:val="5"/>
          </w:tcPr>
          <w:p>
            <w:pPr>
              <w:spacing w:after="0"/>
              <w:rPr>
                <w:sz w:val="20"/>
                <w:szCs w:val="20"/>
                <w:color w:val="auto"/>
              </w:rPr>
            </w:pPr>
            <w:r>
              <w:rPr>
                <w:rFonts w:ascii="Courier New" w:cs="Courier New" w:eastAsia="Courier New" w:hAnsi="Courier New"/>
                <w:sz w:val="14"/>
                <w:szCs w:val="14"/>
                <w:color w:val="auto"/>
              </w:rPr>
              <w:t>Monthly Average Revenue</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16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per Subscriber</w:t>
            </w:r>
          </w:p>
        </w:tc>
        <w:tc>
          <w:tcPr>
            <w:tcW w:w="7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$15.42</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$15.00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$14.66</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$14.73</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$14.21</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$14.28</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$14.40</w:t>
            </w:r>
          </w:p>
        </w:tc>
      </w:tr>
      <w:tr>
        <w:trPr>
          <w:trHeight w:val="334"/>
        </w:trPr>
        <w:tc>
          <w:tcPr>
            <w:tcW w:w="1660" w:type="dxa"/>
            <w:vAlign w:val="bottom"/>
            <w:gridSpan w:val="4"/>
          </w:tcPr>
          <w:p>
            <w:pPr>
              <w:spacing w:after="0"/>
              <w:rPr>
                <w:sz w:val="20"/>
                <w:szCs w:val="20"/>
                <w:color w:val="auto"/>
              </w:rPr>
            </w:pPr>
            <w:r>
              <w:rPr>
                <w:rFonts w:ascii="Courier New" w:cs="Courier New" w:eastAsia="Courier New" w:hAnsi="Courier New"/>
                <w:sz w:val="14"/>
                <w:szCs w:val="14"/>
                <w:color w:val="auto"/>
              </w:rPr>
              <w:t>High-Speed Internet</w:t>
            </w: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1660" w:type="dxa"/>
            <w:vAlign w:val="bottom"/>
            <w:gridSpan w:val="4"/>
          </w:tcPr>
          <w:p>
            <w:pPr>
              <w:spacing w:after="0"/>
              <w:rPr>
                <w:sz w:val="20"/>
                <w:szCs w:val="20"/>
                <w:color w:val="auto"/>
              </w:rPr>
            </w:pPr>
            <w:r>
              <w:rPr>
                <w:rFonts w:ascii="Courier New" w:cs="Courier New" w:eastAsia="Courier New" w:hAnsi="Courier New"/>
                <w:sz w:val="14"/>
                <w:szCs w:val="14"/>
                <w:color w:val="auto"/>
              </w:rPr>
              <w:t>"Available" Homes</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(000's)</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13,026.2</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12,611.3</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11,299.0</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18,080.7</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17,460.5</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15,278.0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31,106.9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30,071.8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26,577.0</w:t>
            </w:r>
          </w:p>
        </w:tc>
      </w:tr>
      <w:tr>
        <w:trPr>
          <w:trHeight w:val="167"/>
        </w:trPr>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Subscribers</w:t>
            </w:r>
          </w:p>
        </w:tc>
        <w:tc>
          <w:tcPr>
            <w:tcW w:w="600" w:type="dxa"/>
            <w:vAlign w:val="bottom"/>
            <w:gridSpan w:val="2"/>
          </w:tcPr>
          <w:p>
            <w:pPr>
              <w:spacing w:after="0"/>
              <w:rPr>
                <w:sz w:val="20"/>
                <w:szCs w:val="20"/>
                <w:color w:val="auto"/>
              </w:rPr>
            </w:pPr>
            <w:r>
              <w:rPr>
                <w:rFonts w:ascii="Courier New" w:cs="Courier New" w:eastAsia="Courier New" w:hAnsi="Courier New"/>
                <w:sz w:val="14"/>
                <w:szCs w:val="14"/>
                <w:color w:val="auto"/>
                <w:w w:val="98"/>
              </w:rPr>
              <w:t>(000's)</w:t>
            </w:r>
          </w:p>
        </w:tc>
        <w:tc>
          <w:tcPr>
            <w:tcW w:w="7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1,718.1</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1,525.9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1,040.5</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2,319.2</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2,094.4</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1,609.7</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4,037.3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3,620.3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2,650.2</w:t>
            </w:r>
          </w:p>
        </w:tc>
      </w:tr>
      <w:tr>
        <w:trPr>
          <w:trHeight w:val="167"/>
        </w:trPr>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Penetration</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12.0%</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2400" w:type="dxa"/>
            <w:vAlign w:val="bottom"/>
            <w:gridSpan w:val="5"/>
          </w:tcPr>
          <w:p>
            <w:pPr>
              <w:spacing w:after="0"/>
              <w:rPr>
                <w:sz w:val="20"/>
                <w:szCs w:val="20"/>
                <w:color w:val="auto"/>
              </w:rPr>
            </w:pPr>
            <w:r>
              <w:rPr>
                <w:rFonts w:ascii="Courier New" w:cs="Courier New" w:eastAsia="Courier New" w:hAnsi="Courier New"/>
                <w:sz w:val="14"/>
                <w:szCs w:val="14"/>
                <w:color w:val="auto"/>
              </w:rPr>
              <w:t>Quarterly Net Subscriber</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10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Additions</w:t>
            </w:r>
          </w:p>
        </w:tc>
        <w:tc>
          <w:tcPr>
            <w:tcW w:w="80" w:type="dxa"/>
            <w:vAlign w:val="bottom"/>
          </w:tcPr>
          <w:p>
            <w:pPr>
              <w:spacing w:after="0"/>
              <w:rPr>
                <w:sz w:val="14"/>
                <w:szCs w:val="14"/>
                <w:color w:val="auto"/>
              </w:rPr>
            </w:pPr>
          </w:p>
        </w:tc>
        <w:tc>
          <w:tcPr>
            <w:tcW w:w="126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w w:val="98"/>
              </w:rPr>
              <w:t>(000's)</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192.2</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187.2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92.4</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224.8</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179.8</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136.6</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417.0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367.0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229.0</w:t>
            </w:r>
          </w:p>
        </w:tc>
      </w:tr>
      <w:tr>
        <w:trPr>
          <w:trHeight w:val="167"/>
        </w:trPr>
        <w:tc>
          <w:tcPr>
            <w:tcW w:w="2400" w:type="dxa"/>
            <w:vAlign w:val="bottom"/>
            <w:gridSpan w:val="5"/>
          </w:tcPr>
          <w:p>
            <w:pPr>
              <w:spacing w:after="0"/>
              <w:rPr>
                <w:sz w:val="20"/>
                <w:szCs w:val="20"/>
                <w:color w:val="auto"/>
              </w:rPr>
            </w:pPr>
            <w:r>
              <w:rPr>
                <w:rFonts w:ascii="Courier New" w:cs="Courier New" w:eastAsia="Courier New" w:hAnsi="Courier New"/>
                <w:sz w:val="14"/>
                <w:szCs w:val="14"/>
                <w:color w:val="auto"/>
              </w:rPr>
              <w:t>Monthly Average Revenue</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16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per Subscriber</w:t>
            </w:r>
          </w:p>
        </w:tc>
        <w:tc>
          <w:tcPr>
            <w:tcW w:w="7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$41.97</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$40.78</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$39.97</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$43.44</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$43.09</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$41.74</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$42.82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$42.13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$41.05</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Phone</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1660" w:type="dxa"/>
            <w:vAlign w:val="bottom"/>
            <w:gridSpan w:val="4"/>
          </w:tcPr>
          <w:p>
            <w:pPr>
              <w:spacing w:after="0"/>
              <w:rPr>
                <w:sz w:val="20"/>
                <w:szCs w:val="20"/>
                <w:color w:val="auto"/>
              </w:rPr>
            </w:pPr>
            <w:r>
              <w:rPr>
                <w:rFonts w:ascii="Courier New" w:cs="Courier New" w:eastAsia="Courier New" w:hAnsi="Courier New"/>
                <w:sz w:val="14"/>
                <w:szCs w:val="14"/>
                <w:color w:val="auto"/>
              </w:rPr>
              <w:t>"Available" Homes</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(000's)</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320.9</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273.8</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251.1</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8,674.2</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8,438.4</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7,125.0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8,995.1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8,712.2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7,376.1</w:t>
            </w:r>
          </w:p>
        </w:tc>
      </w:tr>
      <w:tr>
        <w:trPr>
          <w:trHeight w:val="167"/>
        </w:trPr>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Subscribers</w:t>
            </w:r>
          </w:p>
        </w:tc>
        <w:tc>
          <w:tcPr>
            <w:tcW w:w="600" w:type="dxa"/>
            <w:vAlign w:val="bottom"/>
            <w:gridSpan w:val="2"/>
          </w:tcPr>
          <w:p>
            <w:pPr>
              <w:spacing w:after="0"/>
              <w:rPr>
                <w:sz w:val="20"/>
                <w:szCs w:val="20"/>
                <w:color w:val="auto"/>
              </w:rPr>
            </w:pPr>
            <w:r>
              <w:rPr>
                <w:rFonts w:ascii="Courier New" w:cs="Courier New" w:eastAsia="Courier New" w:hAnsi="Courier New"/>
                <w:sz w:val="14"/>
                <w:szCs w:val="14"/>
                <w:color w:val="auto"/>
                <w:w w:val="98"/>
              </w:rPr>
              <w:t>(000's)</w:t>
            </w:r>
          </w:p>
        </w:tc>
        <w:tc>
          <w:tcPr>
            <w:tcW w:w="7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38.0</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41.8</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1,380.8</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1,398.9</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1,114.9</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1,418.8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1,438.4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1,156.7</w:t>
            </w:r>
          </w:p>
        </w:tc>
      </w:tr>
      <w:tr>
        <w:trPr>
          <w:trHeight w:val="167"/>
        </w:trPr>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Penetration</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16.6%</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15.9%</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16.6%</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15.6%</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w:t>
            </w:r>
          </w:p>
        </w:tc>
      </w:tr>
      <w:tr>
        <w:trPr>
          <w:trHeight w:val="167"/>
        </w:trPr>
        <w:tc>
          <w:tcPr>
            <w:tcW w:w="2400" w:type="dxa"/>
            <w:vAlign w:val="bottom"/>
            <w:gridSpan w:val="5"/>
          </w:tcPr>
          <w:p>
            <w:pPr>
              <w:spacing w:after="0"/>
              <w:rPr>
                <w:sz w:val="20"/>
                <w:szCs w:val="20"/>
                <w:color w:val="auto"/>
              </w:rPr>
            </w:pPr>
            <w:r>
              <w:rPr>
                <w:rFonts w:ascii="Courier New" w:cs="Courier New" w:eastAsia="Courier New" w:hAnsi="Courier New"/>
                <w:sz w:val="14"/>
                <w:szCs w:val="14"/>
                <w:color w:val="auto"/>
              </w:rPr>
              <w:t>Quarterly Net Subscriber</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10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Additions</w:t>
            </w:r>
          </w:p>
        </w:tc>
        <w:tc>
          <w:tcPr>
            <w:tcW w:w="80" w:type="dxa"/>
            <w:vAlign w:val="bottom"/>
          </w:tcPr>
          <w:p>
            <w:pPr>
              <w:spacing w:after="0"/>
              <w:rPr>
                <w:sz w:val="14"/>
                <w:szCs w:val="14"/>
                <w:color w:val="auto"/>
              </w:rPr>
            </w:pPr>
          </w:p>
        </w:tc>
        <w:tc>
          <w:tcPr>
            <w:tcW w:w="126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w w:val="98"/>
              </w:rPr>
              <w:t>(000's)</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(18.1)</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76.0</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111.4</w:t>
            </w:r>
          </w:p>
        </w:tc>
      </w:tr>
      <w:tr>
        <w:trPr>
          <w:trHeight w:val="167"/>
        </w:trPr>
        <w:tc>
          <w:tcPr>
            <w:tcW w:w="2400" w:type="dxa"/>
            <w:vAlign w:val="bottom"/>
            <w:gridSpan w:val="5"/>
          </w:tcPr>
          <w:p>
            <w:pPr>
              <w:spacing w:after="0"/>
              <w:rPr>
                <w:sz w:val="20"/>
                <w:szCs w:val="20"/>
                <w:color w:val="auto"/>
              </w:rPr>
            </w:pPr>
            <w:r>
              <w:rPr>
                <w:rFonts w:ascii="Courier New" w:cs="Courier New" w:eastAsia="Courier New" w:hAnsi="Courier New"/>
                <w:sz w:val="14"/>
                <w:szCs w:val="14"/>
                <w:color w:val="auto"/>
              </w:rPr>
              <w:t>Monthly Average Revenue</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16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per Subscriber</w:t>
            </w:r>
          </w:p>
        </w:tc>
        <w:tc>
          <w:tcPr>
            <w:tcW w:w="7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$50.18</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$55.61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$45.52</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$52.35</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$53.33</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$53.32</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$52.29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$53.40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$53.03</w:t>
            </w:r>
          </w:p>
        </w:tc>
      </w:tr>
      <w:tr>
        <w:trPr>
          <w:trHeight w:val="334"/>
        </w:trPr>
        <w:tc>
          <w:tcPr>
            <w:tcW w:w="2400" w:type="dxa"/>
            <w:vAlign w:val="bottom"/>
            <w:gridSpan w:val="5"/>
          </w:tcPr>
          <w:p>
            <w:pPr>
              <w:spacing w:after="0"/>
              <w:rPr>
                <w:sz w:val="20"/>
                <w:szCs w:val="20"/>
                <w:color w:val="auto"/>
              </w:rPr>
            </w:pPr>
            <w:r>
              <w:rPr>
                <w:rFonts w:ascii="Courier New" w:cs="Courier New" w:eastAsia="Courier New" w:hAnsi="Courier New"/>
                <w:sz w:val="14"/>
                <w:szCs w:val="14"/>
                <w:color w:val="auto"/>
              </w:rPr>
              <w:t>Total Revenue Generating</w:t>
            </w: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Units</w:t>
            </w:r>
          </w:p>
        </w:tc>
        <w:tc>
          <w:tcPr>
            <w:tcW w:w="1660" w:type="dxa"/>
            <w:vAlign w:val="bottom"/>
            <w:gridSpan w:val="4"/>
          </w:tcPr>
          <w:p>
            <w:pPr>
              <w:jc w:val="right"/>
              <w:ind w:right="588"/>
              <w:spacing w:after="0"/>
              <w:rPr>
                <w:sz w:val="20"/>
                <w:szCs w:val="20"/>
                <w:color w:val="auto"/>
              </w:rPr>
            </w:pPr>
            <w:r>
              <w:rPr>
                <w:rFonts w:ascii="Courier New" w:cs="Courier New" w:eastAsia="Courier New" w:hAnsi="Courier New"/>
                <w:sz w:val="14"/>
                <w:szCs w:val="14"/>
                <w:color w:val="auto"/>
              </w:rPr>
              <w:t>(000's) (4)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12,631.6</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12,350.2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11,449.5</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20,957.8</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20,616.4</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19,420.4</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33,589.4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32,966.6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30,869.9</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Supplemental Information - Pro Forma Historical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ind w:left="100"/>
              <w:spacing w:after="0"/>
              <w:rPr>
                <w:sz w:val="20"/>
                <w:szCs w:val="20"/>
                <w:color w:val="auto"/>
              </w:rPr>
            </w:pPr>
            <w:r>
              <w:rPr>
                <w:rFonts w:ascii="Courier New" w:cs="Courier New" w:eastAsia="Courier New" w:hAnsi="Courier New"/>
                <w:sz w:val="14"/>
                <w:szCs w:val="14"/>
                <w:color w:val="auto"/>
              </w:rPr>
              <w:t>(dollars in millions)</w:t>
            </w: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835"/>
        </w:trPr>
        <w:tc>
          <w:tcPr>
            <w:tcW w:w="478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1Q03</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4Q02</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3Q02</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2Q02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1Q02</w:t>
            </w:r>
          </w:p>
        </w:tc>
      </w:tr>
      <w:tr>
        <w:trPr>
          <w:trHeight w:val="167"/>
        </w:trPr>
        <w:tc>
          <w:tcPr>
            <w:tcW w:w="4780" w:type="dxa"/>
            <w:vAlign w:val="bottom"/>
          </w:tcPr>
          <w:p>
            <w:pPr>
              <w:spacing w:after="0"/>
              <w:rPr>
                <w:sz w:val="14"/>
                <w:szCs w:val="14"/>
                <w:color w:val="auto"/>
              </w:rPr>
            </w:pP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Historical Systems</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$ 1,645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$ 1,601</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$ 1,548</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$ 1,541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$ 1,469</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Newly Acquired Systems</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2,586</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2,548</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2,487</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2,468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2,375</w:t>
            </w:r>
          </w:p>
        </w:tc>
      </w:tr>
      <w:tr>
        <w:trPr>
          <w:trHeight w:val="167"/>
        </w:trPr>
        <w:tc>
          <w:tcPr>
            <w:tcW w:w="4780" w:type="dxa"/>
            <w:vAlign w:val="bottom"/>
          </w:tcPr>
          <w:p>
            <w:pPr>
              <w:spacing w:after="0"/>
              <w:rPr>
                <w:sz w:val="14"/>
                <w:szCs w:val="14"/>
                <w:color w:val="auto"/>
              </w:rPr>
            </w:pPr>
          </w:p>
        </w:tc>
        <w:tc>
          <w:tcPr>
            <w:tcW w:w="61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$ 4,231</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$ 4,149</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$ 4,035</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$ 4,009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$ 3,844</w:t>
            </w:r>
          </w:p>
        </w:tc>
      </w:tr>
      <w:tr>
        <w:trPr>
          <w:trHeight w:val="334"/>
        </w:trPr>
        <w:tc>
          <w:tcPr>
            <w:tcW w:w="478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Historical Systems</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$ 675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$ 645</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$ 647</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$ 653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$ 597</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Newly Acquired Systems</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746</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403</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551</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524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449</w:t>
            </w:r>
          </w:p>
        </w:tc>
      </w:tr>
      <w:tr>
        <w:trPr>
          <w:trHeight w:val="167"/>
        </w:trPr>
        <w:tc>
          <w:tcPr>
            <w:tcW w:w="4780" w:type="dxa"/>
            <w:vAlign w:val="bottom"/>
          </w:tcPr>
          <w:p>
            <w:pPr>
              <w:spacing w:after="0"/>
              <w:rPr>
                <w:sz w:val="14"/>
                <w:szCs w:val="14"/>
                <w:color w:val="auto"/>
              </w:rPr>
            </w:pPr>
          </w:p>
        </w:tc>
        <w:tc>
          <w:tcPr>
            <w:tcW w:w="61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EBITDA (5)</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$ 1,421</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$ 1,048</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$ 1,198</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$ 1,177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$ 1,046</w:t>
            </w:r>
          </w:p>
        </w:tc>
      </w:tr>
      <w:tr>
        <w:trPr>
          <w:trHeight w:val="334"/>
        </w:trPr>
        <w:tc>
          <w:tcPr>
            <w:tcW w:w="4780" w:type="dxa"/>
            <w:vAlign w:val="bottom"/>
          </w:tcPr>
          <w:p>
            <w:pPr>
              <w:spacing w:after="0"/>
              <w:rPr>
                <w:sz w:val="20"/>
                <w:szCs w:val="20"/>
                <w:color w:val="auto"/>
              </w:rPr>
            </w:pPr>
            <w:r>
              <w:rPr>
                <w:rFonts w:ascii="Courier New" w:cs="Courier New" w:eastAsia="Courier New" w:hAnsi="Courier New"/>
                <w:sz w:val="14"/>
                <w:szCs w:val="14"/>
                <w:color w:val="auto"/>
              </w:rPr>
              <w:t>Acquisition &amp; employee termination related costs</w:t>
            </w:r>
          </w:p>
        </w:tc>
        <w:tc>
          <w:tcPr>
            <w:tcW w:w="1480" w:type="dxa"/>
            <w:vAlign w:val="bottom"/>
          </w:tcPr>
          <w:p>
            <w:pPr>
              <w:spacing w:after="0"/>
              <w:rPr>
                <w:sz w:val="24"/>
                <w:szCs w:val="2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130</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107</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r>
      <w:tr>
        <w:trPr>
          <w:trHeight w:val="167"/>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included in EBITDA (5)</w:t>
            </w: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Adjusted EBITDA</w:t>
            </w:r>
          </w:p>
        </w:tc>
        <w:tc>
          <w:tcPr>
            <w:tcW w:w="14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$ 1,178</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$ 1,305</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$ 1,277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$ 1,134</w:t>
            </w:r>
          </w:p>
        </w:tc>
      </w:tr>
      <w:tr>
        <w:trPr>
          <w:trHeight w:val="167"/>
        </w:trPr>
        <w:tc>
          <w:tcPr>
            <w:tcW w:w="4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0" w:hanging="431"/>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Non-GAAP and Other Financial Measures in Table 8.</w:t>
      </w:r>
    </w:p>
    <w:p>
      <w:pPr>
        <w:spacing w:after="0" w:line="175" w:lineRule="exact"/>
        <w:rPr>
          <w:rFonts w:ascii="Courier New" w:cs="Courier New" w:eastAsia="Courier New" w:hAnsi="Courier New"/>
          <w:sz w:val="14"/>
          <w:szCs w:val="14"/>
          <w:color w:val="auto"/>
        </w:rPr>
      </w:pPr>
    </w:p>
    <w:p>
      <w:pPr>
        <w:jc w:val="both"/>
        <w:ind w:left="440" w:right="80" w:hanging="431"/>
        <w:spacing w:after="0" w:line="254"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financial data includes the results of AT&amp;T Broadband acquired in November 2002 (newly acquired systems). Pro forma financial data excludes the results of the 314,000 cable subscribers sold to Bresnan Communications in March 2003 and excludes the results of the net reduction of 16,000 subscribers associated with the cable system exchange with Insight Communications in February 2003.</w:t>
      </w:r>
    </w:p>
    <w:p>
      <w:pPr>
        <w:spacing w:after="0" w:line="330" w:lineRule="exact"/>
        <w:rPr>
          <w:rFonts w:ascii="Courier New" w:cs="Courier New" w:eastAsia="Courier New" w:hAnsi="Courier New"/>
          <w:sz w:val="14"/>
          <w:szCs w:val="14"/>
          <w:color w:val="auto"/>
        </w:rPr>
      </w:pPr>
    </w:p>
    <w:p>
      <w:pPr>
        <w:ind w:left="440" w:right="80" w:hanging="431"/>
        <w:spacing w:after="0" w:line="258"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Historical systems represent those cable businesses operated by the Company prior to the acquisition of AT&amp;T Broadband. The newly acquired systems represent those cable businesses acquired from AT&amp;T.</w:t>
      </w:r>
    </w:p>
    <w:p>
      <w:pPr>
        <w:sectPr>
          <w:pgSz w:w="11900" w:h="16838" w:orient="portrait"/>
          <w:cols w:equalWidth="0" w:num="1">
            <w:col w:w="11540"/>
          </w:cols>
          <w:pgMar w:left="220" w:top="954" w:right="139" w:bottom="0" w:gutter="0" w:footer="0" w:header="0"/>
        </w:sectPr>
      </w:pPr>
    </w:p>
    <w:bookmarkStart w:id="13" w:name="page14"/>
    <w:bookmarkEnd w:id="13"/>
    <w:p>
      <w:pPr>
        <w:ind w:left="431" w:hanging="431"/>
        <w:spacing w:after="0" w:line="258" w:lineRule="auto"/>
        <w:tabs>
          <w:tab w:leader="none" w:pos="431"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total of all primary analog video, digital video, high-speed Internet and phone customers, but excluding additional outlets.</w:t>
      </w:r>
    </w:p>
    <w:p>
      <w:pPr>
        <w:spacing w:after="0" w:line="159" w:lineRule="exact"/>
        <w:rPr>
          <w:rFonts w:ascii="Courier New" w:cs="Courier New" w:eastAsia="Courier New" w:hAnsi="Courier New"/>
          <w:sz w:val="14"/>
          <w:szCs w:val="14"/>
          <w:color w:val="auto"/>
        </w:rPr>
      </w:pPr>
    </w:p>
    <w:p>
      <w:pPr>
        <w:ind w:left="431" w:hanging="431"/>
        <w:spacing w:after="0" w:line="258" w:lineRule="auto"/>
        <w:tabs>
          <w:tab w:leader="none" w:pos="431"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for the four quarters ended December 31, 2002 are acquisition &amp; employee termination related costs incurred by AT&amp;T Broadband prior to the acquisition of AT&amp;T Broadband by Comcast.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1451"/>
          </w:cols>
          <w:pgMar w:left="229" w:top="141" w:right="219" w:bottom="1440" w:gutter="0" w:footer="0" w:header="0"/>
        </w:sectPr>
      </w:pPr>
    </w:p>
    <w:bookmarkStart w:id="14" w:name="page15"/>
    <w:bookmarkEnd w:id="14"/>
    <w:p>
      <w:pPr>
        <w:jc w:val="center"/>
        <w:ind w:right="-20"/>
        <w:spacing w:after="0"/>
        <w:rPr>
          <w:sz w:val="20"/>
          <w:szCs w:val="20"/>
          <w:color w:val="auto"/>
        </w:rPr>
      </w:pPr>
      <w:r>
        <w:rPr>
          <w:rFonts w:ascii="Courier New" w:cs="Courier New" w:eastAsia="Courier New" w:hAnsi="Courier New"/>
          <w:sz w:val="14"/>
          <w:szCs w:val="14"/>
          <w:color w:val="auto"/>
        </w:rPr>
        <w:t>[COMCAST LOGO]</w:t>
      </w:r>
    </w:p>
    <w:p>
      <w:pPr>
        <w:spacing w:after="0" w:line="175"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4"/>
          <w:szCs w:val="14"/>
          <w:color w:val="auto"/>
        </w:rPr>
        <w:t>TABLE 7</w:t>
      </w:r>
    </w:p>
    <w:p>
      <w:pPr>
        <w:spacing w:after="0" w:line="8"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4"/>
          <w:szCs w:val="14"/>
          <w:color w:val="auto"/>
        </w:rPr>
        <w:t>Pro Forma Data - Commerce Segment (QVC) (Unaudited) (1)</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4"/>
          <w:szCs w:val="14"/>
          <w:color w:val="auto"/>
        </w:rPr>
        <w:t>(dollars and homes in millions)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Domestic (2)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Germany</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UK</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Japan</w:t>
            </w:r>
          </w:p>
        </w:tc>
        <w:tc>
          <w:tcPr>
            <w:tcW w:w="86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4180" w:type="dxa"/>
            <w:vAlign w:val="bottom"/>
          </w:tcPr>
          <w:p>
            <w:pPr>
              <w:spacing w:after="0"/>
              <w:rPr>
                <w:sz w:val="14"/>
                <w:szCs w:val="14"/>
                <w:color w:val="auto"/>
              </w:rPr>
            </w:pP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w:t>
            </w:r>
          </w:p>
        </w:tc>
      </w:tr>
      <w:tr>
        <w:trPr>
          <w:trHeight w:val="334"/>
        </w:trPr>
        <w:tc>
          <w:tcPr>
            <w:tcW w:w="4180" w:type="dxa"/>
            <w:vAlign w:val="bottom"/>
          </w:tcPr>
          <w:p>
            <w:pPr>
              <w:spacing w:after="0"/>
              <w:rPr>
                <w:sz w:val="20"/>
                <w:szCs w:val="20"/>
                <w:color w:val="auto"/>
              </w:rPr>
            </w:pPr>
            <w:r>
              <w:rPr>
                <w:rFonts w:ascii="Courier New" w:cs="Courier New" w:eastAsia="Courier New" w:hAnsi="Courier New"/>
                <w:sz w:val="14"/>
                <w:szCs w:val="14"/>
                <w:color w:val="auto"/>
              </w:rPr>
              <w:t>Three Months Ended March 31, 2003</w:t>
            </w: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$848</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$79</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$1,062</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37.1%</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32.5%</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36.8%</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36.6%</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$193</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$170</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EBITDA Margin</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22.8%</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9.0%</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Average Homes (3)</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75.7</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26.0</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11.5</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6.7</w:t>
            </w:r>
          </w:p>
        </w:tc>
        <w:tc>
          <w:tcPr>
            <w:tcW w:w="8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N/A</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Revenue per Average Home (in local currency)</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$11.16</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[EURO]3.44</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[POUND]4.29</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Y722.50</w:t>
            </w:r>
          </w:p>
        </w:tc>
        <w:tc>
          <w:tcPr>
            <w:tcW w:w="8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N/A</w:t>
            </w:r>
          </w:p>
        </w:tc>
      </w:tr>
      <w:tr>
        <w:trPr>
          <w:trHeight w:val="501"/>
        </w:trPr>
        <w:tc>
          <w:tcPr>
            <w:tcW w:w="4180" w:type="dxa"/>
            <w:vAlign w:val="bottom"/>
          </w:tcPr>
          <w:p>
            <w:pPr>
              <w:spacing w:after="0"/>
              <w:rPr>
                <w:sz w:val="20"/>
                <w:szCs w:val="20"/>
                <w:color w:val="auto"/>
              </w:rPr>
            </w:pPr>
            <w:r>
              <w:rPr>
                <w:rFonts w:ascii="Courier New" w:cs="Courier New" w:eastAsia="Courier New" w:hAnsi="Courier New"/>
                <w:sz w:val="14"/>
                <w:szCs w:val="14"/>
                <w:color w:val="auto"/>
              </w:rPr>
              <w:t>Three Months Ended March 31, 2002</w:t>
            </w: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$848</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$68</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$988</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36.9%</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31.1%</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35.2%</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36.4%</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$188</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EBITDA Margin</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22.2%</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8.5%</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Average Homes (3)</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73.5</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24.2</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9.6</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w:t>
            </w:r>
          </w:p>
        </w:tc>
        <w:tc>
          <w:tcPr>
            <w:tcW w:w="8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N/A</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Revenue per Average Home (in local currency)</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$11.46</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[EURO]2.84</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[POUND]4.82</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Y410.60</w:t>
            </w:r>
          </w:p>
        </w:tc>
        <w:tc>
          <w:tcPr>
            <w:tcW w:w="8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N/A</w:t>
            </w:r>
          </w:p>
        </w:tc>
      </w:tr>
    </w:tbl>
    <w:p>
      <w:pPr>
        <w:spacing w:after="0" w:line="338" w:lineRule="exact"/>
        <w:rPr>
          <w:sz w:val="20"/>
          <w:szCs w:val="20"/>
          <w:color w:val="auto"/>
        </w:rPr>
      </w:pPr>
    </w:p>
    <w:p>
      <w:pPr>
        <w:ind w:left="440" w:right="3279" w:hanging="431"/>
        <w:spacing w:after="0" w:line="258"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excludes the results of QVC's infomercial operations in Mexico which were sold in February 2003.</w:t>
      </w:r>
    </w:p>
    <w:p>
      <w:pPr>
        <w:spacing w:after="0" w:line="159"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Domestic includes the U.S. channel, infomercial business and QVC.com.</w:t>
      </w:r>
    </w:p>
    <w:p>
      <w:pPr>
        <w:spacing w:after="0" w:line="175" w:lineRule="exact"/>
        <w:rPr>
          <w:rFonts w:ascii="Courier New" w:cs="Courier New" w:eastAsia="Courier New" w:hAnsi="Courier New"/>
          <w:sz w:val="14"/>
          <w:szCs w:val="14"/>
          <w:color w:val="auto"/>
        </w:rPr>
      </w:pPr>
    </w:p>
    <w:p>
      <w:pPr>
        <w:jc w:val="both"/>
        <w:ind w:left="440" w:right="3279" w:hanging="431"/>
        <w:spacing w:after="0" w:line="255"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 that while QVC has the potential to serve this many homes in Germany, it is estimated that approximately 50% of the serviced homes are programmed to receive the QVC channel.</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954" w:right="1440" w:bottom="1440" w:gutter="0" w:footer="0" w:header="0"/>
        </w:sectPr>
      </w:pPr>
    </w:p>
    <w:bookmarkStart w:id="15" w:name="page16"/>
    <w:bookmarkEnd w:id="15"/>
    <w:p>
      <w:pPr>
        <w:ind w:left="2880"/>
        <w:spacing w:after="0"/>
        <w:rPr>
          <w:sz w:val="20"/>
          <w:szCs w:val="20"/>
          <w:color w:val="auto"/>
        </w:rPr>
      </w:pPr>
      <w:r>
        <w:rPr>
          <w:rFonts w:ascii="Courier New" w:cs="Courier New" w:eastAsia="Courier New" w:hAnsi="Courier New"/>
          <w:sz w:val="14"/>
          <w:szCs w:val="14"/>
          <w:color w:val="auto"/>
        </w:rPr>
        <w:t>[COMCAST LOGO]</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TABLE 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Non-GAAP and Other Financial Measures</w:t>
      </w:r>
    </w:p>
    <w:p>
      <w:pPr>
        <w:spacing w:after="0" w:line="175"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EBITDA is the primary basis used by our management to measure the operational strength and performance of our businesses. Management uses Free Cash Flow as an additional performance measure and as an indicator of our ability to pay debt and make strategic investments. We use Debt Excluding Exchangeables as a measure of debt that will require cash from future operations or financings. We also adjust certain historical data on a pro forma basis following significant acquisitions or dispositions to enhance comparability.</w:t>
      </w:r>
    </w:p>
    <w:p>
      <w:pPr>
        <w:spacing w:after="0" w:line="165" w:lineRule="exact"/>
        <w:rPr>
          <w:sz w:val="20"/>
          <w:szCs w:val="20"/>
          <w:color w:val="auto"/>
        </w:rPr>
      </w:pPr>
    </w:p>
    <w:p>
      <w:pPr>
        <w:jc w:val="both"/>
        <w:ind w:right="3279"/>
        <w:spacing w:after="0" w:line="252" w:lineRule="auto"/>
        <w:rPr>
          <w:sz w:val="20"/>
          <w:szCs w:val="20"/>
          <w:color w:val="auto"/>
        </w:rPr>
      </w:pPr>
      <w:r>
        <w:rPr>
          <w:rFonts w:ascii="Courier New" w:cs="Courier New" w:eastAsia="Courier New" w:hAnsi="Courier New"/>
          <w:sz w:val="14"/>
          <w:szCs w:val="14"/>
          <w:color w:val="auto"/>
        </w:rPr>
        <w:t>EBITDA is the measure of profit or loss our management uses to evaluate performance of all of our operating segments and operating units within all of our segments. EBITDA is defined as operating income before depreciation and amortization and impairment charges, if any, related to fixed and intangible assets.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EBITDA is frequently used as one of the bases for comparing our operating performance with other companies in our industries, although our measure of EBITDA may not be directly comparable to similarly titled measures of other companies. Because we use EBITDA as a measure of our segment profit or loss, we reconcile it to operating income, the most directly comparable financial measure calculated and presented in accordance with Generally Accepted Accounting Principles (GAAP), in the business segment footnote of our quarterly and annual financial statements. Therefore, we believe our measure of EBITDA is not a "non-GAAP financial measure" as contemplated by Regulation G adopted by the Securities and Exchange Commission.</w:t>
      </w:r>
    </w:p>
    <w:p>
      <w:pPr>
        <w:spacing w:after="0" w:line="340"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Free Cash Flow is defined as EBITDA less net interest, cash paid for taxes, and capital expenditures. As such, it is unaffected by fluctuations in working capital levels from period to period. It can also be computed as cash provided by operating activities less capital expenditures adjusted for the change in operating assets and liabilities, net of acquisitions. We believe Free Cash Flow is a non-GAAP financial measure as contemplated by Regulation G.</w:t>
      </w:r>
    </w:p>
    <w:p>
      <w:pPr>
        <w:spacing w:after="0" w:line="165" w:lineRule="exact"/>
        <w:rPr>
          <w:sz w:val="20"/>
          <w:szCs w:val="20"/>
          <w:color w:val="auto"/>
        </w:rPr>
      </w:pPr>
    </w:p>
    <w:p>
      <w:pPr>
        <w:jc w:val="both"/>
        <w:ind w:right="3279"/>
        <w:spacing w:after="0" w:line="254" w:lineRule="auto"/>
        <w:rPr>
          <w:sz w:val="20"/>
          <w:szCs w:val="20"/>
          <w:color w:val="auto"/>
        </w:rPr>
      </w:pPr>
      <w:r>
        <w:rPr>
          <w:rFonts w:ascii="Courier New" w:cs="Courier New" w:eastAsia="Courier New" w:hAnsi="Courier New"/>
          <w:sz w:val="14"/>
          <w:szCs w:val="14"/>
          <w:color w:val="auto"/>
        </w:rPr>
        <w:t>Debt Excluding Exchangeables refers to the aggregate amount of our consolidated debt and capital lease obligations less the amount of notes that are collateralized by securities that we own. We believe Debt Excluding Exchangeables is a non-GAAP financial measure as contemplated by Regulation G.</w:t>
      </w:r>
    </w:p>
    <w:p>
      <w:pPr>
        <w:spacing w:after="0" w:line="163"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Pro Forma data is used by management to evaluate performance when significant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164" w:lineRule="exact"/>
        <w:rPr>
          <w:sz w:val="20"/>
          <w:szCs w:val="20"/>
          <w:color w:val="auto"/>
        </w:rPr>
      </w:pPr>
    </w:p>
    <w:p>
      <w:pPr>
        <w:jc w:val="both"/>
        <w:ind w:right="3279"/>
        <w:spacing w:after="0" w:line="253" w:lineRule="auto"/>
        <w:rPr>
          <w:sz w:val="20"/>
          <w:szCs w:val="20"/>
          <w:color w:val="auto"/>
        </w:rPr>
      </w:pPr>
      <w:r>
        <w:rPr>
          <w:rFonts w:ascii="Courier New" w:cs="Courier New" w:eastAsia="Courier New" w:hAnsi="Courier New"/>
          <w:sz w:val="14"/>
          <w:szCs w:val="14"/>
          <w:color w:val="auto"/>
        </w:rPr>
        <w:t>EBITDA and Free Cash Flow should not be considered as substitutes for operating income (loss), net income (loss), net cash provided by operating activities or other measures of performance or liquidity reported in accordance with GAAP. Debt Excluding Exchangeables should not be considered as a substitute for Total Debt. Additionally, in the opinion of management, our pro forma data is not necessarily indicative of future results or what results would have been had the acquired businesses been operated by us after the assumed earlier date.</w:t>
      </w:r>
    </w:p>
    <w:p>
      <w:pPr>
        <w:spacing w:after="0" w:line="165"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Quantitative reconciliations of Free Cash Flow and Debt Excluding Exchangeables and, although not required by Regulation G, of EBITDA and our pro forma data follows.</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453"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00" w:type="dxa"/>
            <w:vAlign w:val="bottom"/>
          </w:tcPr>
          <w:p>
            <w:pPr>
              <w:ind w:left="80"/>
              <w:spacing w:after="0"/>
              <w:rPr>
                <w:sz w:val="20"/>
                <w:szCs w:val="20"/>
                <w:color w:val="auto"/>
              </w:rPr>
            </w:pPr>
            <w:r>
              <w:rPr>
                <w:rFonts w:ascii="Courier New" w:cs="Courier New" w:eastAsia="Courier New" w:hAnsi="Courier New"/>
                <w:sz w:val="14"/>
                <w:szCs w:val="14"/>
                <w:color w:val="auto"/>
              </w:rPr>
              <w:t>[COMCAST LOGO]</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4"/>
        </w:trPr>
        <w:tc>
          <w:tcPr>
            <w:tcW w:w="3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TABLE 8 continued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7"/>
        </w:trPr>
        <w:tc>
          <w:tcPr>
            <w:tcW w:w="10560" w:type="dxa"/>
            <w:vAlign w:val="bottom"/>
            <w:gridSpan w:val="8"/>
          </w:tcPr>
          <w:p>
            <w:pPr>
              <w:jc w:val="right"/>
              <w:ind w:right="1288"/>
              <w:spacing w:after="0"/>
              <w:rPr>
                <w:sz w:val="20"/>
                <w:szCs w:val="20"/>
                <w:color w:val="auto"/>
              </w:rPr>
            </w:pPr>
            <w:r>
              <w:rPr>
                <w:rFonts w:ascii="Courier New" w:cs="Courier New" w:eastAsia="Courier New" w:hAnsi="Courier New"/>
                <w:sz w:val="14"/>
                <w:szCs w:val="14"/>
                <w:color w:val="auto"/>
              </w:rPr>
              <w:t>Reconciliations of Historical and Pro Forma Data by Business Segment (Unaudited)</w:t>
            </w:r>
          </w:p>
        </w:tc>
        <w:tc>
          <w:tcPr>
            <w:tcW w:w="980" w:type="dxa"/>
            <w:vAlign w:val="bottom"/>
          </w:tcPr>
          <w:p>
            <w:pPr>
              <w:spacing w:after="0"/>
              <w:rPr>
                <w:sz w:val="14"/>
                <w:szCs w:val="14"/>
                <w:color w:val="auto"/>
              </w:rPr>
            </w:pPr>
          </w:p>
        </w:tc>
      </w:tr>
      <w:tr>
        <w:trPr>
          <w:trHeight w:val="167"/>
        </w:trPr>
        <w:tc>
          <w:tcPr>
            <w:tcW w:w="3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(dollars in millions)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4"/>
        </w:trPr>
        <w:tc>
          <w:tcPr>
            <w:tcW w:w="3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00" w:type="dxa"/>
            <w:vAlign w:val="bottom"/>
          </w:tcPr>
          <w:p>
            <w:pPr>
              <w:ind w:left="80"/>
              <w:spacing w:after="0"/>
              <w:rPr>
                <w:sz w:val="20"/>
                <w:szCs w:val="20"/>
                <w:color w:val="auto"/>
              </w:rPr>
            </w:pPr>
            <w:r>
              <w:rPr>
                <w:rFonts w:ascii="Courier New" w:cs="Courier New" w:eastAsia="Courier New" w:hAnsi="Courier New"/>
                <w:sz w:val="14"/>
                <w:szCs w:val="14"/>
                <w:color w:val="auto"/>
              </w:rPr>
              <w:t>Historical</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7"/>
        </w:trPr>
        <w:tc>
          <w:tcPr>
            <w:tcW w:w="3180" w:type="dxa"/>
            <w:vAlign w:val="bottom"/>
          </w:tcPr>
          <w:p>
            <w:pPr>
              <w:spacing w:after="0"/>
              <w:rPr>
                <w:sz w:val="14"/>
                <w:szCs w:val="14"/>
                <w:color w:val="auto"/>
              </w:rPr>
            </w:pPr>
          </w:p>
        </w:tc>
        <w:tc>
          <w:tcPr>
            <w:tcW w:w="4680" w:type="dxa"/>
            <w:vAlign w:val="bottom"/>
            <w:gridSpan w:val="5"/>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3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700" w:type="dxa"/>
            <w:vAlign w:val="bottom"/>
            <w:gridSpan w:val="2"/>
          </w:tcPr>
          <w:p>
            <w:pPr>
              <w:jc w:val="right"/>
              <w:ind w:right="768"/>
              <w:spacing w:after="0"/>
              <w:rPr>
                <w:sz w:val="20"/>
                <w:szCs w:val="20"/>
                <w:color w:val="auto"/>
              </w:rPr>
            </w:pPr>
            <w:r>
              <w:rPr>
                <w:rFonts w:ascii="Courier New" w:cs="Courier New" w:eastAsia="Courier New" w:hAnsi="Courier New"/>
                <w:sz w:val="14"/>
                <w:szCs w:val="14"/>
                <w:color w:val="auto"/>
              </w:rPr>
              <w:t>Adjustments (1)</w:t>
            </w:r>
          </w:p>
        </w:tc>
        <w:tc>
          <w:tcPr>
            <w:tcW w:w="980" w:type="dxa"/>
            <w:vAlign w:val="bottom"/>
          </w:tcPr>
          <w:p>
            <w:pPr>
              <w:spacing w:after="0"/>
              <w:rPr>
                <w:sz w:val="14"/>
                <w:szCs w:val="14"/>
                <w:color w:val="auto"/>
              </w:rPr>
            </w:pPr>
          </w:p>
        </w:tc>
      </w:tr>
      <w:tr>
        <w:trPr>
          <w:trHeight w:val="167"/>
        </w:trPr>
        <w:tc>
          <w:tcPr>
            <w:tcW w:w="3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7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r>
      <w:tr>
        <w:trPr>
          <w:trHeight w:val="167"/>
        </w:trPr>
        <w:tc>
          <w:tcPr>
            <w:tcW w:w="31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Cable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Commerce</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Content and Other</w:t>
            </w:r>
          </w:p>
        </w:tc>
        <w:tc>
          <w:tcPr>
            <w:tcW w:w="12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Total</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Cable</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Content and Other</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Pro forma</w:t>
            </w:r>
          </w:p>
        </w:tc>
      </w:tr>
      <w:tr>
        <w:trPr>
          <w:trHeight w:val="167"/>
        </w:trPr>
        <w:tc>
          <w:tcPr>
            <w:tcW w:w="31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3180" w:type="dxa"/>
            <w:vAlign w:val="bottom"/>
          </w:tcPr>
          <w:p>
            <w:pPr>
              <w:spacing w:after="0"/>
              <w:rPr>
                <w:sz w:val="20"/>
                <w:szCs w:val="20"/>
                <w:color w:val="auto"/>
              </w:rPr>
            </w:pPr>
            <w:r>
              <w:rPr>
                <w:rFonts w:ascii="Courier New" w:cs="Courier New" w:eastAsia="Courier New" w:hAnsi="Courier New"/>
                <w:sz w:val="14"/>
                <w:szCs w:val="14"/>
                <w:color w:val="auto"/>
              </w:rPr>
              <w:t>Three Months Ended March 31, 2003</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$4,232</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$1,062</w:t>
            </w:r>
          </w:p>
        </w:tc>
        <w:tc>
          <w:tcPr>
            <w:tcW w:w="1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w:t>
            </w:r>
          </w:p>
        </w:tc>
        <w:tc>
          <w:tcPr>
            <w:tcW w:w="12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$5,518</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$5,517</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Operating expenses (excluding</w:t>
            </w: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3180" w:type="dxa"/>
            <w:vAlign w:val="bottom"/>
          </w:tcPr>
          <w:p>
            <w:pPr>
              <w:ind w:left="440"/>
              <w:spacing w:after="0"/>
              <w:rPr>
                <w:sz w:val="20"/>
                <w:szCs w:val="20"/>
                <w:color w:val="auto"/>
              </w:rPr>
            </w:pPr>
            <w:r>
              <w:rPr>
                <w:rFonts w:ascii="Courier New" w:cs="Courier New" w:eastAsia="Courier New" w:hAnsi="Courier New"/>
                <w:sz w:val="14"/>
                <w:szCs w:val="14"/>
                <w:color w:val="auto"/>
              </w:rPr>
              <w:t>depreciation &amp; amortization)</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2,811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851</w:t>
            </w:r>
          </w:p>
        </w:tc>
        <w:tc>
          <w:tcPr>
            <w:tcW w:w="1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218</w:t>
            </w:r>
          </w:p>
        </w:tc>
        <w:tc>
          <w:tcPr>
            <w:tcW w:w="12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3,880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3,879</w:t>
            </w:r>
          </w:p>
        </w:tc>
      </w:tr>
      <w:tr>
        <w:trPr>
          <w:trHeight w:val="167"/>
        </w:trPr>
        <w:tc>
          <w:tcPr>
            <w:tcW w:w="318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w:t>
            </w:r>
          </w:p>
        </w:tc>
        <w:tc>
          <w:tcPr>
            <w:tcW w:w="1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w:t>
            </w:r>
          </w:p>
        </w:tc>
        <w:tc>
          <w:tcPr>
            <w:tcW w:w="12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$1,638</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$1,638</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c>
          <w:tcPr>
            <w:tcW w:w="1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w:t>
            </w:r>
          </w:p>
        </w:tc>
        <w:tc>
          <w:tcPr>
            <w:tcW w:w="12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1,165</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1,165</w:t>
            </w:r>
          </w:p>
        </w:tc>
      </w:tr>
      <w:tr>
        <w:trPr>
          <w:trHeight w:val="167"/>
        </w:trPr>
        <w:tc>
          <w:tcPr>
            <w:tcW w:w="318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w:t>
            </w:r>
          </w:p>
        </w:tc>
        <w:tc>
          <w:tcPr>
            <w:tcW w:w="1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w:t>
            </w:r>
          </w:p>
        </w:tc>
        <w:tc>
          <w:tcPr>
            <w:tcW w:w="12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$473</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$473</w:t>
            </w:r>
          </w:p>
        </w:tc>
      </w:tr>
      <w:tr>
        <w:trPr>
          <w:trHeight w:val="167"/>
        </w:trPr>
        <w:tc>
          <w:tcPr>
            <w:tcW w:w="318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$953</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c>
          <w:tcPr>
            <w:tcW w:w="1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12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$971</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$971</w:t>
            </w:r>
          </w:p>
        </w:tc>
      </w:tr>
      <w:tr>
        <w:trPr>
          <w:trHeight w:val="167"/>
        </w:trPr>
        <w:tc>
          <w:tcPr>
            <w:tcW w:w="318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3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00" w:type="dxa"/>
            <w:vAlign w:val="bottom"/>
            <w:gridSpan w:val="2"/>
          </w:tcPr>
          <w:p>
            <w:pPr>
              <w:jc w:val="right"/>
              <w:ind w:right="768"/>
              <w:spacing w:after="0"/>
              <w:rPr>
                <w:sz w:val="20"/>
                <w:szCs w:val="20"/>
                <w:color w:val="auto"/>
              </w:rPr>
            </w:pPr>
            <w:r>
              <w:rPr>
                <w:rFonts w:ascii="Courier New" w:cs="Courier New" w:eastAsia="Courier New" w:hAnsi="Courier New"/>
                <w:sz w:val="14"/>
                <w:szCs w:val="14"/>
                <w:color w:val="auto"/>
              </w:rPr>
              <w:t>Adjustments (1)</w:t>
            </w:r>
          </w:p>
        </w:tc>
        <w:tc>
          <w:tcPr>
            <w:tcW w:w="980" w:type="dxa"/>
            <w:vAlign w:val="bottom"/>
          </w:tcPr>
          <w:p>
            <w:pPr>
              <w:spacing w:after="0"/>
              <w:rPr>
                <w:sz w:val="24"/>
                <w:szCs w:val="24"/>
                <w:color w:val="auto"/>
              </w:rPr>
            </w:pPr>
          </w:p>
        </w:tc>
      </w:tr>
      <w:tr>
        <w:trPr>
          <w:trHeight w:val="167"/>
        </w:trPr>
        <w:tc>
          <w:tcPr>
            <w:tcW w:w="3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7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Three Months Ended March 31, 2002</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Cable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Commerce</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Content and Other</w:t>
            </w:r>
          </w:p>
        </w:tc>
        <w:tc>
          <w:tcPr>
            <w:tcW w:w="12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Total</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Cable</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Content and Other</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Pro forma</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$988</w:t>
            </w:r>
          </w:p>
        </w:tc>
        <w:tc>
          <w:tcPr>
            <w:tcW w:w="1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$210</w:t>
            </w:r>
          </w:p>
        </w:tc>
        <w:tc>
          <w:tcPr>
            <w:tcW w:w="12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$2,667</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$2,375</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$5,031</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Operating expenses (excluding</w:t>
            </w: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3180" w:type="dxa"/>
            <w:vAlign w:val="bottom"/>
          </w:tcPr>
          <w:p>
            <w:pPr>
              <w:ind w:left="440"/>
              <w:spacing w:after="0"/>
              <w:rPr>
                <w:sz w:val="20"/>
                <w:szCs w:val="20"/>
                <w:color w:val="auto"/>
              </w:rPr>
            </w:pPr>
            <w:r>
              <w:rPr>
                <w:rFonts w:ascii="Courier New" w:cs="Courier New" w:eastAsia="Courier New" w:hAnsi="Courier New"/>
                <w:sz w:val="14"/>
                <w:szCs w:val="14"/>
                <w:color w:val="auto"/>
              </w:rPr>
              <w:t>depreciation &amp; amortization)</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872</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796</w:t>
            </w:r>
          </w:p>
        </w:tc>
        <w:tc>
          <w:tcPr>
            <w:tcW w:w="1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191</w:t>
            </w:r>
          </w:p>
        </w:tc>
        <w:tc>
          <w:tcPr>
            <w:tcW w:w="12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1,859</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1,926</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3,778</w:t>
            </w:r>
          </w:p>
        </w:tc>
      </w:tr>
      <w:tr>
        <w:trPr>
          <w:trHeight w:val="167"/>
        </w:trPr>
        <w:tc>
          <w:tcPr>
            <w:tcW w:w="318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$597</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w:t>
            </w:r>
          </w:p>
        </w:tc>
        <w:tc>
          <w:tcPr>
            <w:tcW w:w="1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w:t>
            </w:r>
          </w:p>
        </w:tc>
        <w:tc>
          <w:tcPr>
            <w:tcW w:w="12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$808</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$449</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$1,253</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293</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c>
          <w:tcPr>
            <w:tcW w:w="1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w:t>
            </w:r>
          </w:p>
        </w:tc>
        <w:tc>
          <w:tcPr>
            <w:tcW w:w="12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387</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759</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1,146</w:t>
            </w:r>
          </w:p>
        </w:tc>
      </w:tr>
      <w:tr>
        <w:trPr>
          <w:trHeight w:val="167"/>
        </w:trPr>
        <w:tc>
          <w:tcPr>
            <w:tcW w:w="318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$304</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w:t>
            </w:r>
          </w:p>
        </w:tc>
        <w:tc>
          <w:tcPr>
            <w:tcW w:w="1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w:t>
            </w:r>
          </w:p>
        </w:tc>
        <w:tc>
          <w:tcPr>
            <w:tcW w:w="12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$421</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($310)</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w:t>
            </w:r>
          </w:p>
        </w:tc>
      </w:tr>
      <w:tr>
        <w:trPr>
          <w:trHeight w:val="167"/>
        </w:trPr>
        <w:tc>
          <w:tcPr>
            <w:tcW w:w="318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$358</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1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w:t>
            </w:r>
          </w:p>
        </w:tc>
        <w:tc>
          <w:tcPr>
            <w:tcW w:w="12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$399</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$739</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$1,138</w:t>
            </w:r>
          </w:p>
        </w:tc>
      </w:tr>
      <w:tr>
        <w:trPr>
          <w:trHeight w:val="167"/>
        </w:trPr>
        <w:tc>
          <w:tcPr>
            <w:tcW w:w="318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580"/>
        <w:spacing w:after="0"/>
        <w:rPr>
          <w:sz w:val="20"/>
          <w:szCs w:val="20"/>
          <w:color w:val="auto"/>
        </w:rPr>
      </w:pPr>
      <w:r>
        <w:rPr>
          <w:rFonts w:ascii="Courier New" w:cs="Courier New" w:eastAsia="Courier New" w:hAnsi="Courier New"/>
          <w:sz w:val="14"/>
          <w:szCs w:val="14"/>
          <w:color w:val="auto"/>
        </w:rPr>
        <w:t>Reconciliation of Total Debt to Debt Excluding Exchangeables (Unaudited)</w:t>
      </w:r>
    </w:p>
    <w:p>
      <w:pPr>
        <w:spacing w:after="0" w:line="8" w:lineRule="exact"/>
        <w:rPr>
          <w:sz w:val="20"/>
          <w:szCs w:val="20"/>
          <w:color w:val="auto"/>
        </w:rPr>
      </w:pPr>
    </w:p>
    <w:p>
      <w:pPr>
        <w:jc w:val="center"/>
        <w:ind w:right="4500"/>
        <w:spacing w:after="0"/>
        <w:rPr>
          <w:sz w:val="20"/>
          <w:szCs w:val="20"/>
          <w:color w:val="auto"/>
        </w:rPr>
      </w:pPr>
      <w:r>
        <w:rPr>
          <w:rFonts w:ascii="Courier New" w:cs="Courier New" w:eastAsia="Courier New" w:hAnsi="Courier New"/>
          <w:sz w:val="14"/>
          <w:szCs w:val="14"/>
          <w:color w:val="auto"/>
        </w:rPr>
        <w:t>(dollars in millions)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20"/>
                <w:szCs w:val="20"/>
                <w:color w:val="auto"/>
              </w:rPr>
            </w:pPr>
            <w:r>
              <w:rPr>
                <w:rFonts w:ascii="Courier New" w:cs="Courier New" w:eastAsia="Courier New" w:hAnsi="Courier New"/>
                <w:sz w:val="14"/>
                <w:szCs w:val="14"/>
                <w:color w:val="auto"/>
              </w:rPr>
              <w:t>As of March 31, 2003</w:t>
            </w:r>
          </w:p>
        </w:tc>
        <w:tc>
          <w:tcPr>
            <w:tcW w:w="1420" w:type="dxa"/>
            <w:vAlign w:val="bottom"/>
          </w:tcPr>
          <w:p>
            <w:pPr>
              <w:spacing w:after="0"/>
              <w:rPr>
                <w:sz w:val="14"/>
                <w:szCs w:val="14"/>
                <w:color w:val="auto"/>
              </w:rPr>
            </w:pP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spacing w:after="0"/>
              <w:rPr>
                <w:sz w:val="14"/>
                <w:szCs w:val="14"/>
                <w:color w:val="auto"/>
              </w:rPr>
            </w:pP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Current portion of long-term debt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$2,652</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30,258</w:t>
            </w:r>
          </w:p>
        </w:tc>
      </w:tr>
      <w:tr>
        <w:trPr>
          <w:trHeight w:val="167"/>
        </w:trPr>
        <w:tc>
          <w:tcPr>
            <w:tcW w:w="37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Total Debt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$32,910</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Exchangeable debt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5,679</w:t>
            </w:r>
          </w:p>
        </w:tc>
      </w:tr>
      <w:tr>
        <w:trPr>
          <w:trHeight w:val="167"/>
        </w:trPr>
        <w:tc>
          <w:tcPr>
            <w:tcW w:w="37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Debt excluding exchangeables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$27,231</w:t>
            </w:r>
          </w:p>
        </w:tc>
      </w:tr>
      <w:tr>
        <w:trPr>
          <w:trHeight w:val="167"/>
        </w:trPr>
        <w:tc>
          <w:tcPr>
            <w:tcW w:w="37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jc w:val="both"/>
        <w:ind w:left="440" w:right="4580" w:hanging="431"/>
        <w:spacing w:after="0" w:line="254"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data is only adjusted for timing of the acquisitions (or dispositions) and for acquisitions does not include adjustments for costs related to integration activities, cost savings or synergies that have been or may be achieved by the combined businesses.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1540"/>
          </w:cols>
          <w:pgMar w:left="220" w:top="954" w:right="139" w:bottom="1440" w:gutter="0" w:footer="0" w:header="0"/>
        </w:sectPr>
      </w:pPr>
    </w:p>
    <w:bookmarkStart w:id="17" w:name="page18"/>
    <w:bookmarkEnd w:id="17"/>
    <w:p>
      <w:pPr>
        <w:jc w:val="center"/>
        <w:spacing w:after="0"/>
        <w:rPr>
          <w:sz w:val="20"/>
          <w:szCs w:val="20"/>
          <w:color w:val="auto"/>
        </w:rPr>
      </w:pPr>
      <w:r>
        <w:rPr>
          <w:rFonts w:ascii="Courier New" w:cs="Courier New" w:eastAsia="Courier New" w:hAnsi="Courier New"/>
          <w:sz w:val="14"/>
          <w:szCs w:val="14"/>
          <w:color w:val="auto"/>
        </w:rPr>
        <w:t>[COMCAST LOGO]</w:t>
      </w:r>
    </w:p>
    <w:p>
      <w:pPr>
        <w:spacing w:after="0" w:line="17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TABLE 8 continued</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Reconciliations of Cable Segment Historical and Pro Forma Data (Unaudited)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ind w:left="4600"/>
              <w:spacing w:after="0"/>
              <w:rPr>
                <w:sz w:val="20"/>
                <w:szCs w:val="20"/>
                <w:color w:val="auto"/>
              </w:rPr>
            </w:pPr>
            <w:r>
              <w:rPr>
                <w:rFonts w:ascii="Courier New" w:cs="Courier New" w:eastAsia="Courier New" w:hAnsi="Courier New"/>
                <w:sz w:val="14"/>
                <w:szCs w:val="14"/>
                <w:color w:val="auto"/>
              </w:rPr>
              <w:t>(dollars in millions)</w:t>
            </w:r>
          </w:p>
        </w:tc>
        <w:tc>
          <w:tcPr>
            <w:tcW w:w="13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835"/>
        </w:trPr>
        <w:tc>
          <w:tcPr>
            <w:tcW w:w="6520" w:type="dxa"/>
            <w:vAlign w:val="bottom"/>
          </w:tcPr>
          <w:p>
            <w:pPr>
              <w:spacing w:after="0"/>
              <w:rPr>
                <w:sz w:val="20"/>
                <w:szCs w:val="20"/>
                <w:color w:val="auto"/>
              </w:rPr>
            </w:pPr>
            <w:r>
              <w:rPr>
                <w:rFonts w:ascii="Courier New" w:cs="Courier New" w:eastAsia="Courier New" w:hAnsi="Courier New"/>
                <w:sz w:val="14"/>
                <w:szCs w:val="14"/>
                <w:color w:val="auto"/>
              </w:rPr>
              <w:t>Three Months Ended December 31, 2002</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Historical</w:t>
            </w:r>
          </w:p>
        </w:tc>
        <w:tc>
          <w:tcPr>
            <w:tcW w:w="2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Adjustments (1)</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Pro forma</w:t>
            </w:r>
          </w:p>
        </w:tc>
      </w:tr>
      <w:tr>
        <w:trPr>
          <w:trHeight w:val="167"/>
        </w:trPr>
        <w:tc>
          <w:tcPr>
            <w:tcW w:w="6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5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$2,792</w:t>
            </w:r>
          </w:p>
        </w:tc>
        <w:tc>
          <w:tcPr>
            <w:tcW w:w="20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$1,357</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$4,149</w:t>
            </w:r>
          </w:p>
        </w:tc>
      </w:tr>
      <w:tr>
        <w:trPr>
          <w:trHeight w:val="167"/>
        </w:trPr>
        <w:tc>
          <w:tcPr>
            <w:tcW w:w="6520" w:type="dxa"/>
            <w:vAlign w:val="bottom"/>
          </w:tcPr>
          <w:p>
            <w:pPr>
              <w:spacing w:after="0"/>
              <w:rPr>
                <w:sz w:val="20"/>
                <w:szCs w:val="20"/>
                <w:color w:val="auto"/>
              </w:rPr>
            </w:pPr>
            <w:r>
              <w:rPr>
                <w:rFonts w:ascii="Courier New" w:cs="Courier New" w:eastAsia="Courier New" w:hAnsi="Courier New"/>
                <w:sz w:val="14"/>
                <w:szCs w:val="14"/>
                <w:color w:val="auto"/>
              </w:rPr>
              <w:t>Operating expenses (excluding depreciation &amp; amortization)</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1,890</w:t>
            </w:r>
          </w:p>
        </w:tc>
        <w:tc>
          <w:tcPr>
            <w:tcW w:w="20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1,211</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3,101</w:t>
            </w:r>
          </w:p>
        </w:tc>
      </w:tr>
      <w:tr>
        <w:trPr>
          <w:trHeight w:val="167"/>
        </w:trPr>
        <w:tc>
          <w:tcPr>
            <w:tcW w:w="652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52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902</w:t>
            </w:r>
          </w:p>
        </w:tc>
        <w:tc>
          <w:tcPr>
            <w:tcW w:w="20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146</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1,048</w:t>
            </w:r>
          </w:p>
        </w:tc>
      </w:tr>
      <w:tr>
        <w:trPr>
          <w:trHeight w:val="167"/>
        </w:trPr>
        <w:tc>
          <w:tcPr>
            <w:tcW w:w="65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770</w:t>
            </w:r>
          </w:p>
        </w:tc>
        <w:tc>
          <w:tcPr>
            <w:tcW w:w="20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421</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1,191</w:t>
            </w:r>
          </w:p>
        </w:tc>
      </w:tr>
      <w:tr>
        <w:trPr>
          <w:trHeight w:val="167"/>
        </w:trPr>
        <w:tc>
          <w:tcPr>
            <w:tcW w:w="652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52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$132</w:t>
            </w:r>
          </w:p>
        </w:tc>
        <w:tc>
          <w:tcPr>
            <w:tcW w:w="20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($275)</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w:t>
            </w:r>
          </w:p>
        </w:tc>
      </w:tr>
      <w:tr>
        <w:trPr>
          <w:trHeight w:val="167"/>
        </w:trPr>
        <w:tc>
          <w:tcPr>
            <w:tcW w:w="652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668"/>
        </w:trPr>
        <w:tc>
          <w:tcPr>
            <w:tcW w:w="6520" w:type="dxa"/>
            <w:vAlign w:val="bottom"/>
          </w:tcPr>
          <w:p>
            <w:pPr>
              <w:spacing w:after="0"/>
              <w:rPr>
                <w:sz w:val="20"/>
                <w:szCs w:val="20"/>
                <w:color w:val="auto"/>
              </w:rPr>
            </w:pPr>
            <w:r>
              <w:rPr>
                <w:rFonts w:ascii="Courier New" w:cs="Courier New" w:eastAsia="Courier New" w:hAnsi="Courier New"/>
                <w:sz w:val="14"/>
                <w:szCs w:val="14"/>
                <w:color w:val="auto"/>
              </w:rPr>
              <w:t>Three Months Ended September 30, 2002</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Historical</w:t>
            </w:r>
          </w:p>
        </w:tc>
        <w:tc>
          <w:tcPr>
            <w:tcW w:w="2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Adjustments (1)</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Pro forma</w:t>
            </w:r>
          </w:p>
        </w:tc>
      </w:tr>
      <w:tr>
        <w:trPr>
          <w:trHeight w:val="167"/>
        </w:trPr>
        <w:tc>
          <w:tcPr>
            <w:tcW w:w="6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5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$1,548</w:t>
            </w:r>
          </w:p>
        </w:tc>
        <w:tc>
          <w:tcPr>
            <w:tcW w:w="20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$2,487</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$4,035</w:t>
            </w:r>
          </w:p>
        </w:tc>
      </w:tr>
      <w:tr>
        <w:trPr>
          <w:trHeight w:val="167"/>
        </w:trPr>
        <w:tc>
          <w:tcPr>
            <w:tcW w:w="6520" w:type="dxa"/>
            <w:vAlign w:val="bottom"/>
          </w:tcPr>
          <w:p>
            <w:pPr>
              <w:spacing w:after="0"/>
              <w:rPr>
                <w:sz w:val="20"/>
                <w:szCs w:val="20"/>
                <w:color w:val="auto"/>
              </w:rPr>
            </w:pPr>
            <w:r>
              <w:rPr>
                <w:rFonts w:ascii="Courier New" w:cs="Courier New" w:eastAsia="Courier New" w:hAnsi="Courier New"/>
                <w:sz w:val="14"/>
                <w:szCs w:val="14"/>
                <w:color w:val="auto"/>
              </w:rPr>
              <w:t>Operating expenses (excluding depreciation &amp; amortization)</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901</w:t>
            </w:r>
          </w:p>
        </w:tc>
        <w:tc>
          <w:tcPr>
            <w:tcW w:w="20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1,936</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2,837</w:t>
            </w:r>
          </w:p>
        </w:tc>
      </w:tr>
      <w:tr>
        <w:trPr>
          <w:trHeight w:val="167"/>
        </w:trPr>
        <w:tc>
          <w:tcPr>
            <w:tcW w:w="652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52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647</w:t>
            </w:r>
          </w:p>
        </w:tc>
        <w:tc>
          <w:tcPr>
            <w:tcW w:w="20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551</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1,198</w:t>
            </w:r>
          </w:p>
        </w:tc>
      </w:tr>
      <w:tr>
        <w:trPr>
          <w:trHeight w:val="167"/>
        </w:trPr>
        <w:tc>
          <w:tcPr>
            <w:tcW w:w="65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309</w:t>
            </w:r>
          </w:p>
        </w:tc>
        <w:tc>
          <w:tcPr>
            <w:tcW w:w="20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777</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1,086</w:t>
            </w:r>
          </w:p>
        </w:tc>
      </w:tr>
      <w:tr>
        <w:trPr>
          <w:trHeight w:val="167"/>
        </w:trPr>
        <w:tc>
          <w:tcPr>
            <w:tcW w:w="652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52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$338</w:t>
            </w:r>
          </w:p>
        </w:tc>
        <w:tc>
          <w:tcPr>
            <w:tcW w:w="20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($226)</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w:t>
            </w:r>
          </w:p>
        </w:tc>
      </w:tr>
      <w:tr>
        <w:trPr>
          <w:trHeight w:val="167"/>
        </w:trPr>
        <w:tc>
          <w:tcPr>
            <w:tcW w:w="652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835"/>
        </w:trPr>
        <w:tc>
          <w:tcPr>
            <w:tcW w:w="6520" w:type="dxa"/>
            <w:vAlign w:val="bottom"/>
          </w:tcPr>
          <w:p>
            <w:pPr>
              <w:spacing w:after="0"/>
              <w:rPr>
                <w:sz w:val="20"/>
                <w:szCs w:val="20"/>
                <w:color w:val="auto"/>
              </w:rPr>
            </w:pPr>
            <w:r>
              <w:rPr>
                <w:rFonts w:ascii="Courier New" w:cs="Courier New" w:eastAsia="Courier New" w:hAnsi="Courier New"/>
                <w:sz w:val="14"/>
                <w:szCs w:val="14"/>
                <w:color w:val="auto"/>
              </w:rPr>
              <w:t>Three Months Ended June 30, 2002</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Historical</w:t>
            </w:r>
          </w:p>
        </w:tc>
        <w:tc>
          <w:tcPr>
            <w:tcW w:w="2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Adjustments (1)</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Pro forma</w:t>
            </w:r>
          </w:p>
        </w:tc>
      </w:tr>
      <w:tr>
        <w:trPr>
          <w:trHeight w:val="167"/>
        </w:trPr>
        <w:tc>
          <w:tcPr>
            <w:tcW w:w="6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5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$1,541</w:t>
            </w:r>
          </w:p>
        </w:tc>
        <w:tc>
          <w:tcPr>
            <w:tcW w:w="20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$2,468</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$4,009</w:t>
            </w:r>
          </w:p>
        </w:tc>
      </w:tr>
      <w:tr>
        <w:trPr>
          <w:trHeight w:val="167"/>
        </w:trPr>
        <w:tc>
          <w:tcPr>
            <w:tcW w:w="6520" w:type="dxa"/>
            <w:vAlign w:val="bottom"/>
          </w:tcPr>
          <w:p>
            <w:pPr>
              <w:spacing w:after="0"/>
              <w:rPr>
                <w:sz w:val="20"/>
                <w:szCs w:val="20"/>
                <w:color w:val="auto"/>
              </w:rPr>
            </w:pPr>
            <w:r>
              <w:rPr>
                <w:rFonts w:ascii="Courier New" w:cs="Courier New" w:eastAsia="Courier New" w:hAnsi="Courier New"/>
                <w:sz w:val="14"/>
                <w:szCs w:val="14"/>
                <w:color w:val="auto"/>
              </w:rPr>
              <w:t>Operating expenses (excluding depreciation &amp; amortization)</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888</w:t>
            </w:r>
          </w:p>
        </w:tc>
        <w:tc>
          <w:tcPr>
            <w:tcW w:w="20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1,944</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2,832</w:t>
            </w:r>
          </w:p>
        </w:tc>
      </w:tr>
      <w:tr>
        <w:trPr>
          <w:trHeight w:val="167"/>
        </w:trPr>
        <w:tc>
          <w:tcPr>
            <w:tcW w:w="652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52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653</w:t>
            </w:r>
          </w:p>
        </w:tc>
        <w:tc>
          <w:tcPr>
            <w:tcW w:w="20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524</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1,177</w:t>
            </w:r>
          </w:p>
        </w:tc>
      </w:tr>
      <w:tr>
        <w:trPr>
          <w:trHeight w:val="167"/>
        </w:trPr>
        <w:tc>
          <w:tcPr>
            <w:tcW w:w="65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298</w:t>
            </w:r>
          </w:p>
        </w:tc>
        <w:tc>
          <w:tcPr>
            <w:tcW w:w="20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785</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1,083</w:t>
            </w:r>
          </w:p>
        </w:tc>
      </w:tr>
      <w:tr>
        <w:trPr>
          <w:trHeight w:val="167"/>
        </w:trPr>
        <w:tc>
          <w:tcPr>
            <w:tcW w:w="6520" w:type="dxa"/>
            <w:vAlign w:val="bottom"/>
          </w:tcPr>
          <w:p>
            <w:pPr>
              <w:spacing w:after="0"/>
              <w:rPr>
                <w:sz w:val="20"/>
                <w:szCs w:val="20"/>
                <w:color w:val="auto"/>
              </w:rPr>
            </w:pPr>
            <w:r>
              <w:rPr>
                <w:rFonts w:ascii="Courier New" w:cs="Courier New" w:eastAsia="Courier New" w:hAnsi="Courier New"/>
                <w:sz w:val="14"/>
                <w:szCs w:val="14"/>
                <w:color w:val="auto"/>
              </w:rPr>
              <w:t>Impairment charge</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16,525</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16,525</w:t>
            </w:r>
          </w:p>
        </w:tc>
      </w:tr>
      <w:tr>
        <w:trPr>
          <w:trHeight w:val="167"/>
        </w:trPr>
        <w:tc>
          <w:tcPr>
            <w:tcW w:w="652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52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$355</w:t>
            </w:r>
          </w:p>
        </w:tc>
        <w:tc>
          <w:tcPr>
            <w:tcW w:w="20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($16,786)</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($16,431)</w:t>
            </w:r>
          </w:p>
        </w:tc>
      </w:tr>
      <w:tr>
        <w:trPr>
          <w:trHeight w:val="167"/>
        </w:trPr>
        <w:tc>
          <w:tcPr>
            <w:tcW w:w="652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440" w:right="80" w:hanging="431"/>
        <w:spacing w:after="0" w:line="255"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data is only adjusted for timing of the acquisitions (or dispositions) and for acquisitions does not include adjustments for costs related to integration activities, cost savings or synergies that have been or may be achieved by the combined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1120"/>
          </w:cols>
          <w:pgMar w:left="220" w:top="954" w:right="559" w:bottom="1440" w:gutter="0" w:footer="0" w:header="0"/>
        </w:sectPr>
      </w:pPr>
    </w:p>
    <w:bookmarkStart w:id="18" w:name="page19"/>
    <w:bookmarkEnd w:id="18"/>
    <w:p>
      <w:pPr>
        <w:jc w:val="center"/>
        <w:ind w:right="260"/>
        <w:spacing w:after="0"/>
        <w:rPr>
          <w:sz w:val="20"/>
          <w:szCs w:val="20"/>
          <w:color w:val="auto"/>
        </w:rPr>
      </w:pPr>
      <w:r>
        <w:rPr>
          <w:rFonts w:ascii="Courier New" w:cs="Courier New" w:eastAsia="Courier New" w:hAnsi="Courier New"/>
          <w:sz w:val="14"/>
          <w:szCs w:val="14"/>
          <w:color w:val="auto"/>
        </w:rPr>
        <w:t>[COMCAST LOGO]</w:t>
      </w:r>
    </w:p>
    <w:p>
      <w:pPr>
        <w:spacing w:after="0" w:line="175"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4"/>
          <w:szCs w:val="14"/>
          <w:color w:val="auto"/>
        </w:rPr>
        <w:t>TABLE 8 continued</w:t>
      </w:r>
    </w:p>
    <w:p>
      <w:pPr>
        <w:spacing w:after="0" w:line="8"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4"/>
          <w:szCs w:val="14"/>
          <w:color w:val="auto"/>
        </w:rPr>
        <w:t>Reconciliation of Net Income (Loss) to Free Cash Flow (Unaudited)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20" w:type="dxa"/>
            <w:vAlign w:val="bottom"/>
            <w:gridSpan w:val="3"/>
          </w:tcPr>
          <w:p>
            <w:pPr>
              <w:jc w:val="right"/>
              <w:ind w:right="968"/>
              <w:spacing w:after="0"/>
              <w:rPr>
                <w:sz w:val="20"/>
                <w:szCs w:val="20"/>
                <w:color w:val="auto"/>
              </w:rPr>
            </w:pPr>
            <w:r>
              <w:rPr>
                <w:rFonts w:ascii="Courier New" w:cs="Courier New" w:eastAsia="Courier New" w:hAnsi="Courier New"/>
                <w:sz w:val="14"/>
                <w:szCs w:val="14"/>
                <w:color w:val="auto"/>
              </w:rPr>
              <w:t>(dollars in millions, except per share data)</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501"/>
        </w:trPr>
        <w:tc>
          <w:tcPr>
            <w:tcW w:w="5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40" w:type="dxa"/>
            <w:vAlign w:val="bottom"/>
            <w:gridSpan w:val="3"/>
          </w:tcPr>
          <w:p>
            <w:pPr>
              <w:jc w:val="right"/>
              <w:ind w:right="1048"/>
              <w:spacing w:after="0"/>
              <w:rPr>
                <w:sz w:val="20"/>
                <w:szCs w:val="20"/>
                <w:color w:val="auto"/>
              </w:rPr>
            </w:pPr>
            <w:r>
              <w:rPr>
                <w:rFonts w:ascii="Courier New" w:cs="Courier New" w:eastAsia="Courier New" w:hAnsi="Courier New"/>
                <w:sz w:val="14"/>
                <w:szCs w:val="14"/>
                <w:color w:val="auto"/>
              </w:rPr>
              <w:t>Three Months Ended</w:t>
            </w:r>
          </w:p>
        </w:tc>
      </w:tr>
      <w:tr>
        <w:trPr>
          <w:trHeight w:val="167"/>
        </w:trPr>
        <w:tc>
          <w:tcPr>
            <w:tcW w:w="5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31,</w:t>
            </w:r>
          </w:p>
        </w:tc>
        <w:tc>
          <w:tcPr>
            <w:tcW w:w="1300" w:type="dxa"/>
            <w:vAlign w:val="bottom"/>
          </w:tcPr>
          <w:p>
            <w:pPr>
              <w:spacing w:after="0"/>
              <w:rPr>
                <w:sz w:val="14"/>
                <w:szCs w:val="14"/>
                <w:color w:val="auto"/>
              </w:rPr>
            </w:pPr>
          </w:p>
        </w:tc>
      </w:tr>
      <w:tr>
        <w:trPr>
          <w:trHeight w:val="167"/>
        </w:trPr>
        <w:tc>
          <w:tcPr>
            <w:tcW w:w="5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2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2003</w:t>
            </w:r>
          </w:p>
        </w:tc>
        <w:tc>
          <w:tcPr>
            <w:tcW w:w="112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2002</w:t>
            </w:r>
          </w:p>
        </w:tc>
      </w:tr>
      <w:tr>
        <w:trPr>
          <w:trHeight w:val="167"/>
        </w:trPr>
        <w:tc>
          <w:tcPr>
            <w:tcW w:w="5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2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57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per share (3)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per share (3)</w:t>
            </w:r>
          </w:p>
        </w:tc>
      </w:tr>
      <w:tr>
        <w:trPr>
          <w:trHeight w:val="167"/>
        </w:trPr>
        <w:tc>
          <w:tcPr>
            <w:tcW w:w="5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740" w:type="dxa"/>
            <w:vAlign w:val="bottom"/>
          </w:tcPr>
          <w:p>
            <w:pPr>
              <w:spacing w:after="0"/>
              <w:rPr>
                <w:sz w:val="20"/>
                <w:szCs w:val="20"/>
                <w:color w:val="auto"/>
              </w:rPr>
            </w:pPr>
            <w:r>
              <w:rPr>
                <w:rFonts w:ascii="Courier New" w:cs="Courier New" w:eastAsia="Courier New" w:hAnsi="Courier New"/>
                <w:sz w:val="14"/>
                <w:szCs w:val="14"/>
                <w:color w:val="auto"/>
              </w:rPr>
              <w:t>Net Income (Loss) as reported</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($297)</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($0.09)</w:t>
            </w:r>
          </w:p>
        </w:tc>
      </w:tr>
      <w:tr>
        <w:trPr>
          <w:trHeight w:val="167"/>
        </w:trPr>
        <w:tc>
          <w:tcPr>
            <w:tcW w:w="5740" w:type="dxa"/>
            <w:vAlign w:val="bottom"/>
          </w:tcPr>
          <w:p>
            <w:pPr>
              <w:ind w:left="180"/>
              <w:spacing w:after="0"/>
              <w:rPr>
                <w:sz w:val="20"/>
                <w:szCs w:val="20"/>
                <w:color w:val="auto"/>
              </w:rPr>
            </w:pPr>
            <w:r>
              <w:rPr>
                <w:rFonts w:ascii="Courier New" w:cs="Courier New" w:eastAsia="Courier New" w:hAnsi="Courier New"/>
                <w:sz w:val="14"/>
                <w:szCs w:val="14"/>
                <w:color w:val="auto"/>
              </w:rPr>
              <w:t>Non-operating items, net of tax (1)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204</w:t>
            </w:r>
          </w:p>
        </w:tc>
        <w:tc>
          <w:tcPr>
            <w:tcW w:w="1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0.09</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208</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0.22</w:t>
            </w:r>
          </w:p>
        </w:tc>
      </w:tr>
      <w:tr>
        <w:trPr>
          <w:trHeight w:val="167"/>
        </w:trPr>
        <w:tc>
          <w:tcPr>
            <w:tcW w:w="57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5740" w:type="dxa"/>
            <w:vAlign w:val="bottom"/>
          </w:tcPr>
          <w:p>
            <w:pPr>
              <w:spacing w:after="0"/>
              <w:rPr>
                <w:sz w:val="20"/>
                <w:szCs w:val="20"/>
                <w:color w:val="auto"/>
              </w:rPr>
            </w:pPr>
            <w:r>
              <w:rPr>
                <w:rFonts w:ascii="Courier New" w:cs="Courier New" w:eastAsia="Courier New" w:hAnsi="Courier New"/>
                <w:sz w:val="14"/>
                <w:szCs w:val="14"/>
                <w:color w:val="auto"/>
              </w:rPr>
              <w:t>Net Income (Loss) as adjusted</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0.13</w:t>
            </w:r>
          </w:p>
        </w:tc>
      </w:tr>
      <w:tr>
        <w:trPr>
          <w:trHeight w:val="334"/>
        </w:trPr>
        <w:tc>
          <w:tcPr>
            <w:tcW w:w="5740" w:type="dxa"/>
            <w:vAlign w:val="bottom"/>
          </w:tcPr>
          <w:p>
            <w:pPr>
              <w:spacing w:after="0"/>
              <w:rPr>
                <w:sz w:val="20"/>
                <w:szCs w:val="20"/>
                <w:color w:val="auto"/>
              </w:rPr>
            </w:pPr>
            <w:r>
              <w:rPr>
                <w:rFonts w:ascii="Courier New" w:cs="Courier New" w:eastAsia="Courier New" w:hAnsi="Courier New"/>
                <w:sz w:val="14"/>
                <w:szCs w:val="14"/>
                <w:color w:val="auto"/>
              </w:rPr>
              <w:t>Items to reconcile net income (loss) as adjusted to EBITDA:</w:t>
            </w:r>
          </w:p>
        </w:tc>
        <w:tc>
          <w:tcPr>
            <w:tcW w:w="9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5740" w:type="dxa"/>
            <w:vAlign w:val="bottom"/>
          </w:tcPr>
          <w:p>
            <w:pPr>
              <w:ind w:left="180"/>
              <w:spacing w:after="0"/>
              <w:rPr>
                <w:sz w:val="20"/>
                <w:szCs w:val="20"/>
                <w:color w:val="auto"/>
              </w:rPr>
            </w:pPr>
            <w:r>
              <w:rPr>
                <w:rFonts w:ascii="Courier New" w:cs="Courier New" w:eastAsia="Courier New" w:hAnsi="Courier New"/>
                <w:sz w:val="14"/>
                <w:szCs w:val="14"/>
                <w:color w:val="auto"/>
              </w:rPr>
              <w:t>Depreciation &amp; amortization</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1,165</w:t>
            </w:r>
          </w:p>
        </w:tc>
        <w:tc>
          <w:tcPr>
            <w:tcW w:w="1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0.52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387</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0.41</w:t>
            </w:r>
          </w:p>
        </w:tc>
      </w:tr>
      <w:tr>
        <w:trPr>
          <w:trHeight w:val="167"/>
        </w:trPr>
        <w:tc>
          <w:tcPr>
            <w:tcW w:w="574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525</w:t>
            </w:r>
          </w:p>
        </w:tc>
        <w:tc>
          <w:tcPr>
            <w:tcW w:w="1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0.20</w:t>
            </w:r>
          </w:p>
        </w:tc>
      </w:tr>
      <w:tr>
        <w:trPr>
          <w:trHeight w:val="167"/>
        </w:trPr>
        <w:tc>
          <w:tcPr>
            <w:tcW w:w="5740" w:type="dxa"/>
            <w:vAlign w:val="bottom"/>
          </w:tcPr>
          <w:p>
            <w:pPr>
              <w:ind w:left="180"/>
              <w:spacing w:after="0"/>
              <w:rPr>
                <w:sz w:val="20"/>
                <w:szCs w:val="20"/>
                <w:color w:val="auto"/>
              </w:rPr>
            </w:pPr>
            <w:r>
              <w:rPr>
                <w:rFonts w:ascii="Courier New" w:cs="Courier New" w:eastAsia="Courier New" w:hAnsi="Courier New"/>
                <w:sz w:val="14"/>
                <w:szCs w:val="14"/>
                <w:color w:val="auto"/>
              </w:rPr>
              <w:t>Income tax expense</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w:t>
            </w:r>
          </w:p>
        </w:tc>
        <w:tc>
          <w:tcPr>
            <w:tcW w:w="1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0.02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0.11</w:t>
            </w:r>
          </w:p>
        </w:tc>
      </w:tr>
      <w:tr>
        <w:trPr>
          <w:trHeight w:val="167"/>
        </w:trPr>
        <w:tc>
          <w:tcPr>
            <w:tcW w:w="57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574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$1,638</w:t>
            </w:r>
          </w:p>
        </w:tc>
        <w:tc>
          <w:tcPr>
            <w:tcW w:w="1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$0.73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$808</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$0.85</w:t>
            </w:r>
          </w:p>
        </w:tc>
      </w:tr>
      <w:tr>
        <w:trPr>
          <w:trHeight w:val="167"/>
        </w:trPr>
        <w:tc>
          <w:tcPr>
            <w:tcW w:w="57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5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20" w:type="dxa"/>
            <w:vAlign w:val="bottom"/>
          </w:tcPr>
          <w:p>
            <w:pPr>
              <w:jc w:val="right"/>
              <w:ind w:right="1408"/>
              <w:spacing w:after="0"/>
              <w:rPr>
                <w:sz w:val="20"/>
                <w:szCs w:val="20"/>
                <w:color w:val="auto"/>
              </w:rPr>
            </w:pPr>
            <w:r>
              <w:rPr>
                <w:rFonts w:ascii="Courier New" w:cs="Courier New" w:eastAsia="Courier New" w:hAnsi="Courier New"/>
                <w:sz w:val="14"/>
                <w:szCs w:val="14"/>
                <w:color w:val="auto"/>
                <w:w w:val="95"/>
              </w:rPr>
              <w:t>2003</w:t>
            </w:r>
          </w:p>
        </w:tc>
        <w:tc>
          <w:tcPr>
            <w:tcW w:w="1120" w:type="dxa"/>
            <w:vAlign w:val="bottom"/>
          </w:tcPr>
          <w:p>
            <w:pPr>
              <w:spacing w:after="0"/>
              <w:rPr>
                <w:sz w:val="24"/>
                <w:szCs w:val="2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2002</w:t>
            </w:r>
          </w:p>
        </w:tc>
      </w:tr>
      <w:tr>
        <w:trPr>
          <w:trHeight w:val="167"/>
        </w:trPr>
        <w:tc>
          <w:tcPr>
            <w:tcW w:w="5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20" w:type="dxa"/>
            <w:vAlign w:val="bottom"/>
          </w:tcPr>
          <w:p>
            <w:pPr>
              <w:jc w:val="right"/>
              <w:ind w:right="1408"/>
              <w:spacing w:after="0"/>
              <w:rPr>
                <w:sz w:val="20"/>
                <w:szCs w:val="20"/>
                <w:color w:val="auto"/>
              </w:rPr>
            </w:pPr>
            <w:r>
              <w:rPr>
                <w:rFonts w:ascii="Courier New" w:cs="Courier New" w:eastAsia="Courier New" w:hAnsi="Courier New"/>
                <w:sz w:val="14"/>
                <w:szCs w:val="14"/>
                <w:color w:val="auto"/>
                <w:w w:val="95"/>
              </w:rPr>
              <w:t>----</w:t>
            </w:r>
          </w:p>
        </w:tc>
        <w:tc>
          <w:tcPr>
            <w:tcW w:w="112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334"/>
        </w:trPr>
        <w:tc>
          <w:tcPr>
            <w:tcW w:w="574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$1,638</w:t>
            </w:r>
          </w:p>
        </w:tc>
        <w:tc>
          <w:tcPr>
            <w:tcW w:w="1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$1,638</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$808</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$808</w:t>
            </w:r>
          </w:p>
        </w:tc>
      </w:tr>
      <w:tr>
        <w:trPr>
          <w:trHeight w:val="167"/>
        </w:trPr>
        <w:tc>
          <w:tcPr>
            <w:tcW w:w="5740" w:type="dxa"/>
            <w:vAlign w:val="bottom"/>
          </w:tcPr>
          <w:p>
            <w:pPr>
              <w:spacing w:after="0"/>
              <w:rPr>
                <w:sz w:val="20"/>
                <w:szCs w:val="20"/>
                <w:color w:val="auto"/>
              </w:rPr>
            </w:pPr>
            <w:r>
              <w:rPr>
                <w:rFonts w:ascii="Courier New" w:cs="Courier New" w:eastAsia="Courier New" w:hAnsi="Courier New"/>
                <w:sz w:val="14"/>
                <w:szCs w:val="14"/>
                <w:color w:val="auto"/>
              </w:rPr>
              <w:t>Less:</w:t>
            </w:r>
          </w:p>
        </w:tc>
        <w:tc>
          <w:tcPr>
            <w:tcW w:w="9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740" w:type="dxa"/>
            <w:vAlign w:val="bottom"/>
          </w:tcPr>
          <w:p>
            <w:pPr>
              <w:ind w:left="180"/>
              <w:spacing w:after="0"/>
              <w:rPr>
                <w:sz w:val="20"/>
                <w:szCs w:val="20"/>
                <w:color w:val="auto"/>
              </w:rPr>
            </w:pPr>
            <w:r>
              <w:rPr>
                <w:rFonts w:ascii="Courier New" w:cs="Courier New" w:eastAsia="Courier New" w:hAnsi="Courier New"/>
                <w:sz w:val="14"/>
                <w:szCs w:val="14"/>
                <w:color w:val="auto"/>
              </w:rPr>
              <w:t>Interest, net (2)</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(540)</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w:t>
            </w:r>
          </w:p>
        </w:tc>
      </w:tr>
      <w:tr>
        <w:trPr>
          <w:trHeight w:val="167"/>
        </w:trPr>
        <w:tc>
          <w:tcPr>
            <w:tcW w:w="5740" w:type="dxa"/>
            <w:vAlign w:val="bottom"/>
          </w:tcPr>
          <w:p>
            <w:pPr>
              <w:ind w:left="180"/>
              <w:spacing w:after="0"/>
              <w:rPr>
                <w:sz w:val="20"/>
                <w:szCs w:val="20"/>
                <w:color w:val="auto"/>
              </w:rPr>
            </w:pPr>
            <w:r>
              <w:rPr>
                <w:rFonts w:ascii="Courier New" w:cs="Courier New" w:eastAsia="Courier New" w:hAnsi="Courier New"/>
                <w:sz w:val="14"/>
                <w:szCs w:val="14"/>
                <w:color w:val="auto"/>
              </w:rPr>
              <w:t>Cash Paid for Income Taxes</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r>
      <w:tr>
        <w:trPr>
          <w:trHeight w:val="167"/>
        </w:trPr>
        <w:tc>
          <w:tcPr>
            <w:tcW w:w="5740" w:type="dxa"/>
            <w:vAlign w:val="bottom"/>
          </w:tcPr>
          <w:p>
            <w:pPr>
              <w:ind w:left="180"/>
              <w:spacing w:after="0"/>
              <w:rPr>
                <w:sz w:val="20"/>
                <w:szCs w:val="20"/>
                <w:color w:val="auto"/>
              </w:rPr>
            </w:pPr>
            <w:r>
              <w:rPr>
                <w:rFonts w:ascii="Courier New" w:cs="Courier New" w:eastAsia="Courier New" w:hAnsi="Courier New"/>
                <w:sz w:val="14"/>
                <w:szCs w:val="14"/>
                <w:color w:val="auto"/>
              </w:rPr>
              <w:t>Change in Operating Assets &amp; Liabilities, net of acquisitions</w:t>
            </w:r>
          </w:p>
        </w:tc>
        <w:tc>
          <w:tcPr>
            <w:tcW w:w="960" w:type="dxa"/>
            <w:vAlign w:val="bottom"/>
          </w:tcPr>
          <w:p>
            <w:pPr>
              <w:spacing w:after="0"/>
              <w:rPr>
                <w:sz w:val="14"/>
                <w:szCs w:val="14"/>
                <w:color w:val="auto"/>
              </w:rPr>
            </w:pP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(257)</w:t>
            </w:r>
          </w:p>
        </w:tc>
        <w:tc>
          <w:tcPr>
            <w:tcW w:w="1120" w:type="dxa"/>
            <w:vAlign w:val="bottom"/>
          </w:tcPr>
          <w:p>
            <w:pPr>
              <w:spacing w:after="0"/>
              <w:rPr>
                <w:sz w:val="14"/>
                <w:szCs w:val="14"/>
                <w:color w:val="auto"/>
              </w:rPr>
            </w:pP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w:t>
            </w:r>
          </w:p>
        </w:tc>
      </w:tr>
      <w:tr>
        <w:trPr>
          <w:trHeight w:val="167"/>
        </w:trPr>
        <w:tc>
          <w:tcPr>
            <w:tcW w:w="5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5740" w:type="dxa"/>
            <w:vAlign w:val="bottom"/>
          </w:tcPr>
          <w:p>
            <w:pPr>
              <w:spacing w:after="0"/>
              <w:rPr>
                <w:sz w:val="20"/>
                <w:szCs w:val="20"/>
                <w:color w:val="auto"/>
              </w:rPr>
            </w:pPr>
            <w:r>
              <w:rPr>
                <w:rFonts w:ascii="Courier New" w:cs="Courier New" w:eastAsia="Courier New" w:hAnsi="Courier New"/>
                <w:sz w:val="14"/>
                <w:szCs w:val="14"/>
                <w:color w:val="auto"/>
              </w:rPr>
              <w:t>Cash Flow from Operating Activities</w:t>
            </w:r>
          </w:p>
        </w:tc>
        <w:tc>
          <w:tcPr>
            <w:tcW w:w="960" w:type="dxa"/>
            <w:vAlign w:val="bottom"/>
          </w:tcPr>
          <w:p>
            <w:pPr>
              <w:spacing w:after="0"/>
              <w:rPr>
                <w:sz w:val="14"/>
                <w:szCs w:val="14"/>
                <w:color w:val="auto"/>
              </w:rPr>
            </w:pPr>
          </w:p>
        </w:tc>
        <w:tc>
          <w:tcPr>
            <w:tcW w:w="1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$800</w:t>
            </w:r>
          </w:p>
        </w:tc>
        <w:tc>
          <w:tcPr>
            <w:tcW w:w="112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$519</w:t>
            </w:r>
          </w:p>
        </w:tc>
      </w:tr>
      <w:tr>
        <w:trPr>
          <w:trHeight w:val="167"/>
        </w:trPr>
        <w:tc>
          <w:tcPr>
            <w:tcW w:w="5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Less:  Capital Expenditures</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(971)</w:t>
            </w:r>
          </w:p>
        </w:tc>
        <w:tc>
          <w:tcPr>
            <w:tcW w:w="182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(399)</w:t>
            </w:r>
          </w:p>
        </w:tc>
        <w:tc>
          <w:tcPr>
            <w:tcW w:w="1300" w:type="dxa"/>
            <w:vAlign w:val="bottom"/>
          </w:tcPr>
          <w:p>
            <w:pPr>
              <w:spacing w:after="0"/>
              <w:rPr>
                <w:sz w:val="14"/>
                <w:szCs w:val="14"/>
                <w:color w:val="auto"/>
              </w:rPr>
            </w:pPr>
          </w:p>
        </w:tc>
      </w:tr>
      <w:tr>
        <w:trPr>
          <w:trHeight w:val="167"/>
        </w:trPr>
        <w:tc>
          <w:tcPr>
            <w:tcW w:w="57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r>
      <w:tr>
        <w:trPr>
          <w:trHeight w:val="167"/>
        </w:trPr>
        <w:tc>
          <w:tcPr>
            <w:tcW w:w="5740" w:type="dxa"/>
            <w:vAlign w:val="bottom"/>
          </w:tcPr>
          <w:p>
            <w:pPr>
              <w:spacing w:after="0"/>
              <w:rPr>
                <w:sz w:val="20"/>
                <w:szCs w:val="20"/>
                <w:color w:val="auto"/>
              </w:rPr>
            </w:pPr>
            <w:r>
              <w:rPr>
                <w:rFonts w:ascii="Courier New" w:cs="Courier New" w:eastAsia="Courier New" w:hAnsi="Courier New"/>
                <w:sz w:val="14"/>
                <w:szCs w:val="14"/>
                <w:color w:val="auto"/>
              </w:rPr>
              <w:t>Free Cash Flow</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w:t>
            </w:r>
          </w:p>
        </w:tc>
        <w:tc>
          <w:tcPr>
            <w:tcW w:w="18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$208</w:t>
            </w:r>
          </w:p>
        </w:tc>
        <w:tc>
          <w:tcPr>
            <w:tcW w:w="1300" w:type="dxa"/>
            <w:vAlign w:val="bottom"/>
          </w:tcPr>
          <w:p>
            <w:pPr>
              <w:spacing w:after="0"/>
              <w:rPr>
                <w:sz w:val="14"/>
                <w:szCs w:val="14"/>
                <w:color w:val="auto"/>
              </w:rPr>
            </w:pPr>
          </w:p>
        </w:tc>
      </w:tr>
      <w:tr>
        <w:trPr>
          <w:trHeight w:val="167"/>
        </w:trPr>
        <w:tc>
          <w:tcPr>
            <w:tcW w:w="57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w:t>
            </w:r>
          </w:p>
        </w:tc>
        <w:tc>
          <w:tcPr>
            <w:tcW w:w="5520" w:type="dxa"/>
            <w:vAlign w:val="bottom"/>
          </w:tcPr>
          <w:p>
            <w:pPr>
              <w:ind w:left="220"/>
              <w:spacing w:after="0"/>
              <w:rPr>
                <w:sz w:val="20"/>
                <w:szCs w:val="20"/>
                <w:color w:val="auto"/>
              </w:rPr>
            </w:pPr>
            <w:r>
              <w:rPr>
                <w:rFonts w:ascii="Courier New" w:cs="Courier New" w:eastAsia="Courier New" w:hAnsi="Courier New"/>
                <w:sz w:val="14"/>
                <w:szCs w:val="14"/>
                <w:color w:val="auto"/>
              </w:rPr>
              <w:t>Detail of non-operating items:</w:t>
            </w:r>
          </w:p>
        </w:tc>
        <w:tc>
          <w:tcPr>
            <w:tcW w:w="10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7"/>
        </w:trPr>
        <w:tc>
          <w:tcPr>
            <w:tcW w:w="40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per share (3)</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per share (3)</w:t>
            </w:r>
          </w:p>
        </w:tc>
      </w:tr>
      <w:tr>
        <w:trPr>
          <w:trHeight w:val="167"/>
        </w:trPr>
        <w:tc>
          <w:tcPr>
            <w:tcW w:w="40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0" w:type="dxa"/>
            <w:vAlign w:val="bottom"/>
          </w:tcPr>
          <w:p>
            <w:pPr>
              <w:spacing w:after="0"/>
              <w:rPr>
                <w:sz w:val="14"/>
                <w:szCs w:val="14"/>
                <w:color w:val="auto"/>
              </w:rPr>
            </w:pPr>
          </w:p>
        </w:tc>
        <w:tc>
          <w:tcPr>
            <w:tcW w:w="5520" w:type="dxa"/>
            <w:vAlign w:val="bottom"/>
          </w:tcPr>
          <w:p>
            <w:pPr>
              <w:ind w:left="120"/>
              <w:spacing w:after="0"/>
              <w:rPr>
                <w:sz w:val="20"/>
                <w:szCs w:val="20"/>
                <w:color w:val="auto"/>
              </w:rPr>
            </w:pPr>
            <w:r>
              <w:rPr>
                <w:rFonts w:ascii="Courier New" w:cs="Courier New" w:eastAsia="Courier New" w:hAnsi="Courier New"/>
                <w:sz w:val="14"/>
                <w:szCs w:val="14"/>
                <w:color w:val="auto"/>
              </w:rPr>
              <w:t>Investment (income) expense  - mark to market adjustments on</w:t>
            </w:r>
          </w:p>
        </w:tc>
        <w:tc>
          <w:tcPr>
            <w:tcW w:w="10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7"/>
        </w:trPr>
        <w:tc>
          <w:tcPr>
            <w:tcW w:w="400" w:type="dxa"/>
            <w:vAlign w:val="bottom"/>
          </w:tcPr>
          <w:p>
            <w:pPr>
              <w:spacing w:after="0"/>
              <w:rPr>
                <w:sz w:val="14"/>
                <w:szCs w:val="14"/>
                <w:color w:val="auto"/>
              </w:rPr>
            </w:pPr>
          </w:p>
        </w:tc>
        <w:tc>
          <w:tcPr>
            <w:tcW w:w="5520" w:type="dxa"/>
            <w:vAlign w:val="bottom"/>
          </w:tcPr>
          <w:p>
            <w:pPr>
              <w:ind w:left="480"/>
              <w:spacing w:after="0"/>
              <w:rPr>
                <w:sz w:val="20"/>
                <w:szCs w:val="20"/>
                <w:color w:val="auto"/>
              </w:rPr>
            </w:pPr>
            <w:r>
              <w:rPr>
                <w:rFonts w:ascii="Courier New" w:cs="Courier New" w:eastAsia="Courier New" w:hAnsi="Courier New"/>
                <w:sz w:val="14"/>
                <w:szCs w:val="14"/>
                <w:color w:val="auto"/>
              </w:rPr>
              <w:t>trading securities, derivatives and hedged items, net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$230</w:t>
            </w:r>
          </w:p>
        </w:tc>
        <w:tc>
          <w:tcPr>
            <w:tcW w:w="17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$0.10</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$244</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$0.26</w:t>
            </w:r>
          </w:p>
        </w:tc>
      </w:tr>
      <w:tr>
        <w:trPr>
          <w:trHeight w:val="167"/>
        </w:trPr>
        <w:tc>
          <w:tcPr>
            <w:tcW w:w="400" w:type="dxa"/>
            <w:vAlign w:val="bottom"/>
          </w:tcPr>
          <w:p>
            <w:pPr>
              <w:spacing w:after="0"/>
              <w:rPr>
                <w:sz w:val="14"/>
                <w:szCs w:val="14"/>
                <w:color w:val="auto"/>
              </w:rPr>
            </w:pPr>
          </w:p>
        </w:tc>
        <w:tc>
          <w:tcPr>
            <w:tcW w:w="5520" w:type="dxa"/>
            <w:vAlign w:val="bottom"/>
          </w:tcPr>
          <w:p>
            <w:pPr>
              <w:ind w:left="120"/>
              <w:spacing w:after="0"/>
              <w:rPr>
                <w:sz w:val="20"/>
                <w:szCs w:val="20"/>
                <w:color w:val="auto"/>
              </w:rPr>
            </w:pPr>
            <w:r>
              <w:rPr>
                <w:rFonts w:ascii="Courier New" w:cs="Courier New" w:eastAsia="Courier New" w:hAnsi="Courier New"/>
                <w:sz w:val="14"/>
                <w:szCs w:val="14"/>
                <w:color w:val="auto"/>
              </w:rPr>
              <w:t>Investment expense - investment impairment losses (4)</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w:t>
            </w:r>
          </w:p>
        </w:tc>
        <w:tc>
          <w:tcPr>
            <w:tcW w:w="17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0.02</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0.01</w:t>
            </w:r>
          </w:p>
        </w:tc>
      </w:tr>
      <w:tr>
        <w:trPr>
          <w:trHeight w:val="167"/>
        </w:trPr>
        <w:tc>
          <w:tcPr>
            <w:tcW w:w="400" w:type="dxa"/>
            <w:vAlign w:val="bottom"/>
          </w:tcPr>
          <w:p>
            <w:pPr>
              <w:spacing w:after="0"/>
              <w:rPr>
                <w:sz w:val="14"/>
                <w:szCs w:val="14"/>
                <w:color w:val="auto"/>
              </w:rPr>
            </w:pPr>
          </w:p>
        </w:tc>
        <w:tc>
          <w:tcPr>
            <w:tcW w:w="5520" w:type="dxa"/>
            <w:vAlign w:val="bottom"/>
          </w:tcPr>
          <w:p>
            <w:pPr>
              <w:ind w:left="120"/>
              <w:spacing w:after="0"/>
              <w:rPr>
                <w:sz w:val="20"/>
                <w:szCs w:val="20"/>
                <w:color w:val="auto"/>
              </w:rPr>
            </w:pPr>
            <w:r>
              <w:rPr>
                <w:rFonts w:ascii="Courier New" w:cs="Courier New" w:eastAsia="Courier New" w:hAnsi="Courier New"/>
                <w:sz w:val="14"/>
                <w:szCs w:val="14"/>
                <w:color w:val="auto"/>
              </w:rPr>
              <w:t>All other, net (5)</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w:t>
            </w:r>
          </w:p>
        </w:tc>
        <w:tc>
          <w:tcPr>
            <w:tcW w:w="17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0.02</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0.07</w:t>
            </w:r>
          </w:p>
        </w:tc>
      </w:tr>
      <w:tr>
        <w:trPr>
          <w:trHeight w:val="167"/>
        </w:trPr>
        <w:tc>
          <w:tcPr>
            <w:tcW w:w="40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0" w:type="dxa"/>
            <w:vAlign w:val="bottom"/>
          </w:tcPr>
          <w:p>
            <w:pPr>
              <w:spacing w:after="0"/>
              <w:rPr>
                <w:sz w:val="14"/>
                <w:szCs w:val="14"/>
                <w:color w:val="auto"/>
              </w:rPr>
            </w:pPr>
          </w:p>
        </w:tc>
        <w:tc>
          <w:tcPr>
            <w:tcW w:w="5520" w:type="dxa"/>
            <w:vAlign w:val="bottom"/>
          </w:tcPr>
          <w:p>
            <w:pPr>
              <w:ind w:left="300"/>
              <w:spacing w:after="0"/>
              <w:rPr>
                <w:sz w:val="20"/>
                <w:szCs w:val="20"/>
                <w:color w:val="auto"/>
              </w:rPr>
            </w:pPr>
            <w:r>
              <w:rPr>
                <w:rFonts w:ascii="Courier New" w:cs="Courier New" w:eastAsia="Courier New" w:hAnsi="Courier New"/>
                <w:sz w:val="14"/>
                <w:szCs w:val="14"/>
                <w:color w:val="auto"/>
              </w:rPr>
              <w:t>Total non-operating items</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313</w:t>
            </w:r>
          </w:p>
        </w:tc>
        <w:tc>
          <w:tcPr>
            <w:tcW w:w="17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0.14</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320</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0.34</w:t>
            </w:r>
          </w:p>
        </w:tc>
      </w:tr>
      <w:tr>
        <w:trPr>
          <w:trHeight w:val="167"/>
        </w:trPr>
        <w:tc>
          <w:tcPr>
            <w:tcW w:w="400" w:type="dxa"/>
            <w:vAlign w:val="bottom"/>
          </w:tcPr>
          <w:p>
            <w:pPr>
              <w:spacing w:after="0"/>
              <w:rPr>
                <w:sz w:val="14"/>
                <w:szCs w:val="14"/>
                <w:color w:val="auto"/>
              </w:rPr>
            </w:pPr>
          </w:p>
        </w:tc>
        <w:tc>
          <w:tcPr>
            <w:tcW w:w="5520" w:type="dxa"/>
            <w:vAlign w:val="bottom"/>
          </w:tcPr>
          <w:p>
            <w:pPr>
              <w:ind w:left="120"/>
              <w:spacing w:after="0"/>
              <w:rPr>
                <w:sz w:val="20"/>
                <w:szCs w:val="20"/>
                <w:color w:val="auto"/>
              </w:rPr>
            </w:pPr>
            <w:r>
              <w:rPr>
                <w:rFonts w:ascii="Courier New" w:cs="Courier New" w:eastAsia="Courier New" w:hAnsi="Courier New"/>
                <w:sz w:val="14"/>
                <w:szCs w:val="14"/>
                <w:color w:val="auto"/>
              </w:rPr>
              <w:t>Tax effect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(109)</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(0.05)</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(0.12)</w:t>
            </w:r>
          </w:p>
        </w:tc>
      </w:tr>
      <w:tr>
        <w:trPr>
          <w:trHeight w:val="167"/>
        </w:trPr>
        <w:tc>
          <w:tcPr>
            <w:tcW w:w="40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0" w:type="dxa"/>
            <w:vAlign w:val="bottom"/>
          </w:tcPr>
          <w:p>
            <w:pPr>
              <w:spacing w:after="0"/>
              <w:rPr>
                <w:sz w:val="14"/>
                <w:szCs w:val="14"/>
                <w:color w:val="auto"/>
              </w:rPr>
            </w:pPr>
          </w:p>
        </w:tc>
        <w:tc>
          <w:tcPr>
            <w:tcW w:w="5520" w:type="dxa"/>
            <w:vAlign w:val="bottom"/>
          </w:tcPr>
          <w:p>
            <w:pPr>
              <w:ind w:left="120"/>
              <w:spacing w:after="0"/>
              <w:rPr>
                <w:sz w:val="20"/>
                <w:szCs w:val="20"/>
                <w:color w:val="auto"/>
              </w:rPr>
            </w:pPr>
            <w:r>
              <w:rPr>
                <w:rFonts w:ascii="Courier New" w:cs="Courier New" w:eastAsia="Courier New" w:hAnsi="Courier New"/>
                <w:sz w:val="14"/>
                <w:szCs w:val="14"/>
                <w:color w:val="auto"/>
              </w:rPr>
              <w:t>Non-operating items, net of tax</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$204</w:t>
            </w:r>
          </w:p>
        </w:tc>
        <w:tc>
          <w:tcPr>
            <w:tcW w:w="17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$0.09</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$208</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$0.22</w:t>
            </w:r>
          </w:p>
        </w:tc>
      </w:tr>
      <w:tr>
        <w:trPr>
          <w:trHeight w:val="167"/>
        </w:trPr>
        <w:tc>
          <w:tcPr>
            <w:tcW w:w="40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hanging="431"/>
        <w:spacing w:after="0"/>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interest expense net of interest income and excludes non-cash interest.</w:t>
      </w:r>
    </w:p>
    <w:p>
      <w:pPr>
        <w:spacing w:after="0" w:line="342" w:lineRule="exact"/>
        <w:rPr>
          <w:rFonts w:ascii="Courier New" w:cs="Courier New" w:eastAsia="Courier New" w:hAnsi="Courier New"/>
          <w:sz w:val="14"/>
          <w:szCs w:val="14"/>
          <w:color w:val="auto"/>
        </w:rPr>
      </w:pPr>
    </w:p>
    <w:p>
      <w:pPr>
        <w:ind w:right="1120" w:firstLine="9"/>
        <w:spacing w:after="0" w:line="258" w:lineRule="auto"/>
        <w:tabs>
          <w:tab w:leader="none" w:pos="43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Diluted weighted average shares outstanding for the three months ended March 31, 2003 and 2002 were 2.255 billion and 951 million, respectively.</w:t>
      </w:r>
    </w:p>
    <w:p>
      <w:pPr>
        <w:spacing w:after="0" w:line="159" w:lineRule="exact"/>
        <w:rPr>
          <w:rFonts w:ascii="Courier New" w:cs="Courier New" w:eastAsia="Courier New" w:hAnsi="Courier New"/>
          <w:sz w:val="14"/>
          <w:szCs w:val="14"/>
          <w:color w:val="auto"/>
        </w:rPr>
      </w:pPr>
    </w:p>
    <w:p>
      <w:pPr>
        <w:ind w:right="1300" w:firstLine="9"/>
        <w:spacing w:after="0" w:line="258" w:lineRule="auto"/>
        <w:tabs>
          <w:tab w:leader="none" w:pos="43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record losses on our investments for which we have determined that a decline in value of the investment was considered other than temporary.</w:t>
      </w:r>
    </w:p>
    <w:p>
      <w:pPr>
        <w:spacing w:after="0" w:line="159" w:lineRule="exact"/>
        <w:rPr>
          <w:rFonts w:ascii="Courier New" w:cs="Courier New" w:eastAsia="Courier New" w:hAnsi="Courier New"/>
          <w:sz w:val="14"/>
          <w:szCs w:val="14"/>
          <w:color w:val="auto"/>
        </w:rPr>
      </w:pPr>
    </w:p>
    <w:p>
      <w:pPr>
        <w:ind w:right="1560" w:firstLine="9"/>
        <w:spacing w:after="0" w:line="258" w:lineRule="auto"/>
        <w:tabs>
          <w:tab w:leader="none" w:pos="43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investment, interest and dividend income, equity in net (income) losses of affiliates, other income (expense) and minority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4"/>
          <w:szCs w:val="14"/>
          <w:color w:val="auto"/>
        </w:rPr>
        <w:t>16</w:t>
      </w:r>
    </w:p>
    <w:sectPr>
      <w:pgSz w:w="11900" w:h="16838" w:orient="portrait"/>
      <w:cols w:equalWidth="0" w:num="1">
        <w:col w:w="11380"/>
      </w:cols>
      <w:pgMar w:left="220" w:top="95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5"/>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4"/>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2019-12-15T07:22:30Z</dcterms:created>
  <dcterms:modified xsi:type="dcterms:W3CDTF">2019-12-15T07:22:30Z</dcterms:modified>
</cp:coreProperties>
</file>