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20" w:right="4000" w:hanging="4012"/>
        <w:spacing w:after="0" w:line="411" w:lineRule="auto"/>
        <w:tabs>
          <w:tab w:leader="none" w:pos="45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2012</w:t>
      </w:r>
    </w:p>
    <w:p>
      <w:pPr>
        <w:spacing w:after="0" w:line="20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333-174175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NBCUniversal Media, LLC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480" w:type="dxa"/>
        <w:tblCellMar>
          <w:top w:w="0" w:type="dxa"/>
          <w:left w:w="0" w:type="dxa"/>
          <w:bottom w:w="0" w:type="dxa"/>
          <w:right w:w="0" w:type="dxa"/>
        </w:tblCellMar>
      </w:tblP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6"/>
              </w:rPr>
              <w:t>DELAWARE</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14-1682529</w:t>
            </w:r>
          </w:p>
        </w:tc>
      </w:tr>
      <w:tr>
        <w:trPr>
          <w:trHeight w:val="216"/>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(State or other jurisdiction of</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0"/>
              </w:rPr>
              <w:t>(I.R.S. Employer</w:t>
            </w:r>
          </w:p>
        </w:tc>
      </w:tr>
      <w:tr>
        <w:trPr>
          <w:trHeight w:val="222"/>
        </w:trPr>
        <w:tc>
          <w:tcPr>
            <w:tcW w:w="4660" w:type="dxa"/>
            <w:vAlign w:val="bottom"/>
          </w:tcPr>
          <w:p>
            <w:pPr>
              <w:jc w:val="center"/>
              <w:ind w:right="1812"/>
              <w:spacing w:after="0"/>
              <w:rPr>
                <w:sz w:val="20"/>
                <w:szCs w:val="20"/>
                <w:color w:val="auto"/>
              </w:rPr>
            </w:pPr>
            <w:r>
              <w:rPr>
                <w:rFonts w:ascii="Arial" w:cs="Arial" w:eastAsia="Arial" w:hAnsi="Arial"/>
                <w:sz w:val="18"/>
                <w:szCs w:val="18"/>
                <w:color w:val="auto"/>
                <w:w w:val="90"/>
              </w:rPr>
              <w:t>incorporation or organization)</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94"/>
              </w:rPr>
              <w:t>Identification No.)</w:t>
            </w:r>
          </w:p>
        </w:tc>
      </w:tr>
      <w:tr>
        <w:trPr>
          <w:trHeight w:val="420"/>
        </w:trPr>
        <w:tc>
          <w:tcPr>
            <w:tcW w:w="4660" w:type="dxa"/>
            <w:vAlign w:val="bottom"/>
          </w:tcPr>
          <w:p>
            <w:pPr>
              <w:jc w:val="center"/>
              <w:ind w:right="1792"/>
              <w:spacing w:after="0"/>
              <w:rPr>
                <w:sz w:val="20"/>
                <w:szCs w:val="20"/>
                <w:color w:val="auto"/>
              </w:rPr>
            </w:pPr>
            <w:r>
              <w:rPr>
                <w:rFonts w:ascii="Arial" w:cs="Arial" w:eastAsia="Arial" w:hAnsi="Arial"/>
                <w:sz w:val="18"/>
                <w:szCs w:val="18"/>
                <w:b w:val="1"/>
                <w:bCs w:val="1"/>
                <w:color w:val="auto"/>
                <w:w w:val="88"/>
              </w:rPr>
              <w:t>30 Rockefeller Plaza,</w:t>
            </w:r>
          </w:p>
        </w:tc>
        <w:tc>
          <w:tcPr>
            <w:tcW w:w="3200" w:type="dxa"/>
            <w:vAlign w:val="bottom"/>
          </w:tcPr>
          <w:p>
            <w:pPr>
              <w:spacing w:after="0"/>
              <w:rPr>
                <w:sz w:val="24"/>
                <w:szCs w:val="24"/>
                <w:color w:val="auto"/>
              </w:rPr>
            </w:pPr>
          </w:p>
        </w:tc>
      </w:tr>
      <w:tr>
        <w:trPr>
          <w:trHeight w:val="236"/>
        </w:trPr>
        <w:tc>
          <w:tcPr>
            <w:tcW w:w="4660" w:type="dxa"/>
            <w:vAlign w:val="bottom"/>
          </w:tcPr>
          <w:p>
            <w:pPr>
              <w:jc w:val="center"/>
              <w:ind w:right="1812"/>
              <w:spacing w:after="0"/>
              <w:rPr>
                <w:sz w:val="20"/>
                <w:szCs w:val="20"/>
                <w:color w:val="auto"/>
              </w:rPr>
            </w:pPr>
            <w:r>
              <w:rPr>
                <w:rFonts w:ascii="Arial" w:cs="Arial" w:eastAsia="Arial" w:hAnsi="Arial"/>
                <w:sz w:val="18"/>
                <w:szCs w:val="18"/>
                <w:b w:val="1"/>
                <w:bCs w:val="1"/>
                <w:color w:val="auto"/>
                <w:w w:val="92"/>
              </w:rPr>
              <w:t>New York, NY</w:t>
            </w:r>
          </w:p>
        </w:tc>
        <w:tc>
          <w:tcPr>
            <w:tcW w:w="320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10112-0015</w:t>
            </w:r>
          </w:p>
        </w:tc>
      </w:tr>
      <w:tr>
        <w:trPr>
          <w:trHeight w:val="222"/>
        </w:trPr>
        <w:tc>
          <w:tcPr>
            <w:tcW w:w="4660" w:type="dxa"/>
            <w:vAlign w:val="bottom"/>
          </w:tcPr>
          <w:p>
            <w:pPr>
              <w:jc w:val="center"/>
              <w:ind w:right="1792"/>
              <w:spacing w:after="0"/>
              <w:rPr>
                <w:sz w:val="20"/>
                <w:szCs w:val="20"/>
                <w:color w:val="auto"/>
              </w:rPr>
            </w:pPr>
            <w:r>
              <w:rPr>
                <w:rFonts w:ascii="Arial" w:cs="Arial" w:eastAsia="Arial" w:hAnsi="Arial"/>
                <w:sz w:val="18"/>
                <w:szCs w:val="18"/>
                <w:color w:val="auto"/>
                <w:w w:val="90"/>
              </w:rPr>
              <w:t>(Address of principal executive offices)</w:t>
            </w:r>
          </w:p>
        </w:tc>
        <w:tc>
          <w:tcPr>
            <w:tcW w:w="3200" w:type="dxa"/>
            <w:vAlign w:val="bottom"/>
          </w:tcPr>
          <w:p>
            <w:pPr>
              <w:jc w:val="center"/>
              <w:ind w:left="179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3520"/>
        <w:spacing w:after="0" w:line="27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w:t>
      </w:r>
    </w:p>
    <w:p>
      <w:pPr>
        <w:spacing w:after="0" w:line="29" w:lineRule="exact"/>
        <w:rPr>
          <w:sz w:val="24"/>
          <w:szCs w:val="24"/>
          <w:color w:val="auto"/>
        </w:rPr>
      </w:pPr>
    </w:p>
    <w:p>
      <w:pPr>
        <w:ind w:left="52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practical date: Not applicable</w:t>
      </w:r>
    </w:p>
    <w:p>
      <w:pPr>
        <w:spacing w:after="0" w:line="71" w:lineRule="exact"/>
        <w:rPr>
          <w:sz w:val="24"/>
          <w:szCs w:val="24"/>
          <w:color w:val="auto"/>
        </w:rPr>
      </w:pPr>
    </w:p>
    <w:p>
      <w:pPr>
        <w:spacing w:after="0" w:line="275" w:lineRule="auto"/>
        <w:rPr>
          <w:sz w:val="20"/>
          <w:szCs w:val="20"/>
          <w:color w:val="auto"/>
        </w:rPr>
      </w:pPr>
      <w:r>
        <w:rPr>
          <w:rFonts w:ascii="Arial" w:cs="Arial" w:eastAsia="Arial" w:hAnsi="Arial"/>
          <w:sz w:val="18"/>
          <w:szCs w:val="18"/>
          <w:b w:val="1"/>
          <w:bCs w:val="1"/>
          <w:color w:val="auto"/>
        </w:rPr>
        <w:t>The Registrant meets the conditions set forth in General Instruction H(1)(a) and (b) of Form 10-Q and is therefore filing this Form 10-Q with the reduced disclosure format.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jc w:val="right"/>
              <w:ind w:right="9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60" w:type="dxa"/>
            <w:vAlign w:val="bottom"/>
            <w:gridSpan w:val="19"/>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560" w:type="dxa"/>
            <w:vAlign w:val="bottom"/>
            <w:gridSpan w:val="17"/>
          </w:tcPr>
          <w:p>
            <w:pPr>
              <w:spacing w:after="0" w:line="148" w:lineRule="exact"/>
              <w:rPr>
                <w:rFonts w:ascii="Arial" w:cs="Arial" w:eastAsia="Arial" w:hAnsi="Arial"/>
                <w:sz w:val="14"/>
                <w:szCs w:val="14"/>
                <w:color w:val="0000EE"/>
              </w:rPr>
            </w:pPr>
            <w:hyperlink w:anchor="page3">
              <w:r>
                <w:rPr>
                  <w:rFonts w:ascii="Arial" w:cs="Arial" w:eastAsia="Arial" w:hAnsi="Arial"/>
                  <w:sz w:val="14"/>
                  <w:szCs w:val="14"/>
                  <w:color w:val="0000EE"/>
                </w:rPr>
                <w:t>Financial Statements</w:t>
              </w:r>
            </w:hyperlink>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60" w:type="dxa"/>
            <w:vAlign w:val="bottom"/>
            <w:gridSpan w:val="17"/>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June 30, 2012 and December 31, 2011 (Unaudited)</w:t>
              </w:r>
            </w:hyperlink>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60" w:type="dxa"/>
            <w:vAlign w:val="bottom"/>
            <w:gridSpan w:val="17"/>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Condensed Consolidated Statement of Income for the Three Months Ended June 30, 2012 and 2011 (Unaudited)</w:t>
              </w:r>
            </w:hyperlink>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560" w:type="dxa"/>
            <w:vAlign w:val="bottom"/>
            <w:gridSpan w:val="17"/>
          </w:tcPr>
          <w:p>
            <w:pPr>
              <w:spacing w:after="0" w:line="129" w:lineRule="exact"/>
              <w:rPr>
                <w:rFonts w:ascii="Arial" w:cs="Arial" w:eastAsia="Arial" w:hAnsi="Arial"/>
                <w:sz w:val="14"/>
                <w:szCs w:val="14"/>
                <w:color w:val="0000EE"/>
                <w:w w:val="92"/>
              </w:rPr>
            </w:pPr>
            <w:hyperlink w:anchor="page5">
              <w:r>
                <w:rPr>
                  <w:rFonts w:ascii="Arial" w:cs="Arial" w:eastAsia="Arial" w:hAnsi="Arial"/>
                  <w:sz w:val="14"/>
                  <w:szCs w:val="14"/>
                  <w:color w:val="0000EE"/>
                  <w:w w:val="92"/>
                </w:rPr>
                <w:t>Condensed Consolidated Statement of Income for the Six Months Ended June 30, 2012 and the Periods Ended June 30, 2011 and January 28, 2011</w:t>
              </w:r>
            </w:hyperlink>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92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(Unaudited)</w:t>
              </w:r>
            </w:hyperlink>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Borders>
              <w:top w:val="single" w:sz="8" w:color="0000EE"/>
            </w:tcBorders>
            <w:gridSpan w:val="2"/>
          </w:tcPr>
          <w:p>
            <w:pPr>
              <w:spacing w:after="0" w:line="129" w:lineRule="exact"/>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w:t>
              </w:r>
            </w:hyperlink>
          </w:p>
        </w:tc>
        <w:tc>
          <w:tcPr>
            <w:tcW w:w="7920" w:type="dxa"/>
            <w:vAlign w:val="bottom"/>
            <w:gridSpan w:val="15"/>
          </w:tcPr>
          <w:p>
            <w:pPr>
              <w:spacing w:after="0" w:line="129" w:lineRule="exact"/>
              <w:rPr>
                <w:rFonts w:ascii="Arial" w:cs="Arial" w:eastAsia="Arial" w:hAnsi="Arial"/>
                <w:sz w:val="14"/>
                <w:szCs w:val="14"/>
                <w:color w:val="0000EE"/>
                <w:w w:val="89"/>
              </w:rPr>
            </w:pPr>
            <w:hyperlink w:anchor="page6">
              <w:r>
                <w:rPr>
                  <w:rFonts w:ascii="Arial" w:cs="Arial" w:eastAsia="Arial" w:hAnsi="Arial"/>
                  <w:sz w:val="14"/>
                  <w:szCs w:val="14"/>
                  <w:color w:val="0000EE"/>
                  <w:w w:val="89"/>
                </w:rPr>
                <w:t>Consolidated Statement of Comprehensive Income for the Three Months Ended June 30, 2012 and 2011, the Six Months Ended June 30, 2012</w:t>
              </w:r>
            </w:hyperlink>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32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and the Periods Ended June 30, 2011 and January 28, 2011 (Unaudited)</w:t>
              </w:r>
            </w:hyperlink>
          </w:p>
        </w:tc>
        <w:tc>
          <w:tcPr>
            <w:tcW w:w="2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60" w:type="dxa"/>
            <w:vAlign w:val="bottom"/>
            <w:tcBorders>
              <w:top w:val="single" w:sz="8" w:color="0000EE"/>
            </w:tcBorders>
            <w:gridSpan w:val="9"/>
          </w:tcPr>
          <w:p>
            <w:pPr>
              <w:spacing w:after="0" w:line="129" w:lineRule="exact"/>
              <w:rPr>
                <w:rFonts w:ascii="Arial" w:cs="Arial" w:eastAsia="Arial" w:hAnsi="Arial"/>
                <w:sz w:val="14"/>
                <w:szCs w:val="14"/>
                <w:color w:val="0000EE"/>
                <w:w w:val="88"/>
              </w:rPr>
            </w:pPr>
            <w:hyperlink w:anchor="page7">
              <w:r>
                <w:rPr>
                  <w:rFonts w:ascii="Arial" w:cs="Arial" w:eastAsia="Arial" w:hAnsi="Arial"/>
                  <w:sz w:val="14"/>
                  <w:szCs w:val="14"/>
                  <w:color w:val="0000EE"/>
                  <w:w w:val="88"/>
                </w:rPr>
                <w:t>Condensed Consolidated Statement of Cash Flows for the Six Months</w:t>
              </w:r>
            </w:hyperlink>
          </w:p>
        </w:tc>
        <w:tc>
          <w:tcPr>
            <w:tcW w:w="4700" w:type="dxa"/>
            <w:vAlign w:val="bottom"/>
            <w:gridSpan w:val="8"/>
          </w:tcPr>
          <w:p>
            <w:pPr>
              <w:spacing w:after="0" w:line="129" w:lineRule="exact"/>
              <w:rPr>
                <w:rFonts w:ascii="Arial" w:cs="Arial" w:eastAsia="Arial" w:hAnsi="Arial"/>
                <w:sz w:val="14"/>
                <w:szCs w:val="14"/>
                <w:color w:val="0000EE"/>
                <w:w w:val="91"/>
              </w:rPr>
            </w:pPr>
            <w:hyperlink w:anchor="page7">
              <w:r>
                <w:rPr>
                  <w:rFonts w:ascii="Arial" w:cs="Arial" w:eastAsia="Arial" w:hAnsi="Arial"/>
                  <w:sz w:val="14"/>
                  <w:szCs w:val="14"/>
                  <w:color w:val="0000EE"/>
                  <w:w w:val="91"/>
                </w:rPr>
                <w:t>Ended June 30, 2012 and the Periods Ended June 30, 2011 and January 28, 2011</w:t>
              </w:r>
            </w:hyperlink>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160" w:type="dxa"/>
            <w:vAlign w:val="bottom"/>
            <w:tcBorders>
              <w:top w:val="single" w:sz="8" w:color="0000EE"/>
            </w:tcBorders>
            <w:gridSpan w:val="14"/>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(Unaudited)</w:t>
              </w:r>
            </w:hyperlink>
          </w:p>
        </w:tc>
        <w:tc>
          <w:tcPr>
            <w:tcW w:w="6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Borders>
              <w:top w:val="single" w:sz="8" w:color="0000EE"/>
            </w:tcBorders>
            <w:gridSpan w:val="2"/>
          </w:tcPr>
          <w:p>
            <w:pPr>
              <w:spacing w:after="0" w:line="129" w:lineRule="exact"/>
              <w:rPr>
                <w:rFonts w:ascii="Arial" w:cs="Arial" w:eastAsia="Arial" w:hAnsi="Arial"/>
                <w:sz w:val="14"/>
                <w:szCs w:val="14"/>
                <w:color w:val="0000EE"/>
                <w:w w:val="86"/>
              </w:rPr>
            </w:pPr>
            <w:hyperlink w:anchor="page8">
              <w:r>
                <w:rPr>
                  <w:rFonts w:ascii="Arial" w:cs="Arial" w:eastAsia="Arial" w:hAnsi="Arial"/>
                  <w:sz w:val="14"/>
                  <w:szCs w:val="14"/>
                  <w:color w:val="0000EE"/>
                  <w:w w:val="86"/>
                </w:rPr>
                <w:t>Condensed</w:t>
              </w:r>
            </w:hyperlink>
          </w:p>
        </w:tc>
        <w:tc>
          <w:tcPr>
            <w:tcW w:w="7920" w:type="dxa"/>
            <w:vAlign w:val="bottom"/>
            <w:gridSpan w:val="15"/>
          </w:tcPr>
          <w:p>
            <w:pPr>
              <w:spacing w:after="0" w:line="129" w:lineRule="exact"/>
              <w:rPr>
                <w:rFonts w:ascii="Arial" w:cs="Arial" w:eastAsia="Arial" w:hAnsi="Arial"/>
                <w:sz w:val="14"/>
                <w:szCs w:val="14"/>
                <w:color w:val="0000EE"/>
                <w:w w:val="89"/>
              </w:rPr>
            </w:pPr>
            <w:hyperlink w:anchor="page8">
              <w:r>
                <w:rPr>
                  <w:rFonts w:ascii="Arial" w:cs="Arial" w:eastAsia="Arial" w:hAnsi="Arial"/>
                  <w:sz w:val="14"/>
                  <w:szCs w:val="14"/>
                  <w:color w:val="0000EE"/>
                  <w:w w:val="89"/>
                </w:rPr>
                <w:t>Consolidated Statement of Changes in Equity for the Six Months Ended June 30, 2012 and the Periods Ended June 30, 2011 and January 28,</w:t>
              </w:r>
            </w:hyperlink>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20" w:type="dxa"/>
            <w:vAlign w:val="bottom"/>
            <w:tcBorders>
              <w:top w:val="single" w:sz="8" w:color="0000EE"/>
            </w:tcBorders>
            <w:gridSpan w:val="15"/>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2011 (Unaudited)</w:t>
              </w:r>
            </w:hyperlink>
          </w:p>
        </w:tc>
        <w:tc>
          <w:tcPr>
            <w:tcW w:w="340" w:type="dxa"/>
            <w:vAlign w:val="bottom"/>
            <w:gridSpan w:val="2"/>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940" w:type="dxa"/>
            <w:vAlign w:val="bottom"/>
            <w:tcBorders>
              <w:top w:val="single" w:sz="8" w:color="0000EE"/>
            </w:tcBorders>
            <w:gridSpan w:val="4"/>
          </w:tcPr>
          <w:p>
            <w:pPr>
              <w:spacing w:after="0" w:line="129" w:lineRule="exact"/>
              <w:rPr>
                <w:rFonts w:ascii="Arial" w:cs="Arial" w:eastAsia="Arial" w:hAnsi="Arial"/>
                <w:sz w:val="14"/>
                <w:szCs w:val="14"/>
                <w:color w:val="0000EE"/>
                <w:w w:val="72"/>
              </w:rPr>
            </w:pPr>
            <w:hyperlink w:anchor="page9">
              <w:r>
                <w:rPr>
                  <w:rFonts w:ascii="Arial" w:cs="Arial" w:eastAsia="Arial" w:hAnsi="Arial"/>
                  <w:sz w:val="14"/>
                  <w:szCs w:val="14"/>
                  <w:color w:val="0000EE"/>
                  <w:w w:val="72"/>
                </w:rPr>
                <w:t>Notes to Condensed</w:t>
              </w:r>
            </w:hyperlink>
          </w:p>
        </w:tc>
        <w:tc>
          <w:tcPr>
            <w:tcW w:w="60" w:type="dxa"/>
            <w:vAlign w:val="bottom"/>
          </w:tcPr>
          <w:p>
            <w:pPr>
              <w:spacing w:after="0"/>
              <w:rPr>
                <w:sz w:val="11"/>
                <w:szCs w:val="11"/>
                <w:color w:val="auto"/>
              </w:rPr>
            </w:pPr>
          </w:p>
        </w:tc>
        <w:tc>
          <w:tcPr>
            <w:tcW w:w="7560" w:type="dxa"/>
            <w:vAlign w:val="bottom"/>
            <w:gridSpan w:val="12"/>
          </w:tcPr>
          <w:p>
            <w:pPr>
              <w:ind w:left="120"/>
              <w:spacing w:after="0" w:line="129" w:lineRule="exact"/>
              <w:rPr>
                <w:rFonts w:ascii="Arial" w:cs="Arial" w:eastAsia="Arial" w:hAnsi="Arial"/>
                <w:sz w:val="14"/>
                <w:szCs w:val="14"/>
                <w:color w:val="0000EE"/>
              </w:rPr>
            </w:pPr>
            <w:hyperlink w:anchor="page9">
              <w:r>
                <w:rPr>
                  <w:rFonts w:ascii="Arial" w:cs="Arial" w:eastAsia="Arial" w:hAnsi="Arial"/>
                  <w:sz w:val="14"/>
                  <w:szCs w:val="14"/>
                  <w:color w:val="0000EE"/>
                </w:rPr>
                <w:t>Consolidated Financial Statements (Unaudited)</w:t>
              </w:r>
            </w:hyperlink>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3680" w:type="dxa"/>
            <w:vAlign w:val="bottom"/>
            <w:tcBorders>
              <w:top w:val="single" w:sz="8" w:color="0000EE"/>
            </w:tcBorders>
            <w:gridSpan w:val="8"/>
          </w:tcPr>
          <w:p>
            <w:pPr>
              <w:spacing w:after="0" w:line="129" w:lineRule="exact"/>
              <w:rPr>
                <w:rFonts w:ascii="Arial" w:cs="Arial" w:eastAsia="Arial" w:hAnsi="Arial"/>
                <w:sz w:val="14"/>
                <w:szCs w:val="14"/>
                <w:color w:val="0000EE"/>
                <w:w w:val="88"/>
              </w:rPr>
            </w:pPr>
            <w:hyperlink w:anchor="page31">
              <w:r>
                <w:rPr>
                  <w:rFonts w:ascii="Arial" w:cs="Arial" w:eastAsia="Arial" w:hAnsi="Arial"/>
                  <w:sz w:val="14"/>
                  <w:szCs w:val="14"/>
                  <w:color w:val="0000EE"/>
                  <w:w w:val="88"/>
                </w:rPr>
                <w:t>Management’s Discussion and Analysis of Financial Condition and</w:t>
              </w:r>
            </w:hyperlink>
          </w:p>
        </w:tc>
        <w:tc>
          <w:tcPr>
            <w:tcW w:w="4880" w:type="dxa"/>
            <w:vAlign w:val="bottom"/>
            <w:gridSpan w:val="9"/>
          </w:tcPr>
          <w:p>
            <w:pPr>
              <w:spacing w:after="0" w:line="129" w:lineRule="exact"/>
              <w:rPr>
                <w:rFonts w:ascii="Arial" w:cs="Arial" w:eastAsia="Arial" w:hAnsi="Arial"/>
                <w:sz w:val="14"/>
                <w:szCs w:val="14"/>
                <w:color w:val="0000EE"/>
              </w:rPr>
            </w:pPr>
            <w:hyperlink w:anchor="page31">
              <w:r>
                <w:rPr>
                  <w:rFonts w:ascii="Arial" w:cs="Arial" w:eastAsia="Arial" w:hAnsi="Arial"/>
                  <w:sz w:val="14"/>
                  <w:szCs w:val="14"/>
                  <w:color w:val="0000EE"/>
                </w:rPr>
                <w:t>Results of Operations</w:t>
              </w:r>
            </w:hyperlink>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4840" w:type="dxa"/>
            <w:vAlign w:val="bottom"/>
            <w:tcBorders>
              <w:top w:val="single" w:sz="8" w:color="0000EE"/>
            </w:tcBorders>
            <w:gridSpan w:val="10"/>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Controls and Procedures</w:t>
              </w:r>
            </w:hyperlink>
          </w:p>
        </w:tc>
        <w:tc>
          <w:tcPr>
            <w:tcW w:w="3720" w:type="dxa"/>
            <w:vAlign w:val="bottom"/>
            <w:gridSpan w:val="7"/>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PART II. OTHER INFORMATION</w:t>
            </w:r>
          </w:p>
        </w:tc>
        <w:tc>
          <w:tcPr>
            <w:tcW w:w="44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8560" w:type="dxa"/>
            <w:vAlign w:val="bottom"/>
            <w:gridSpan w:val="17"/>
          </w:tcPr>
          <w:p>
            <w:pPr>
              <w:spacing w:after="0" w:line="148" w:lineRule="exact"/>
              <w:rPr>
                <w:rFonts w:ascii="Arial" w:cs="Arial" w:eastAsia="Arial" w:hAnsi="Arial"/>
                <w:sz w:val="14"/>
                <w:szCs w:val="14"/>
                <w:color w:val="0000EE"/>
              </w:rPr>
            </w:pPr>
            <w:hyperlink w:anchor="page42">
              <w:r>
                <w:rPr>
                  <w:rFonts w:ascii="Arial" w:cs="Arial" w:eastAsia="Arial" w:hAnsi="Arial"/>
                  <w:sz w:val="14"/>
                  <w:szCs w:val="14"/>
                  <w:color w:val="0000EE"/>
                </w:rPr>
                <w:t>Legal Proceedings</w:t>
              </w:r>
            </w:hyperlink>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5"/>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Risk Factors</w:t>
              </w:r>
            </w:hyperlink>
          </w:p>
        </w:tc>
        <w:tc>
          <w:tcPr>
            <w:tcW w:w="7560" w:type="dxa"/>
            <w:vAlign w:val="bottom"/>
            <w:gridSpan w:val="12"/>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68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42">
              <w:r>
                <w:rPr>
                  <w:rFonts w:ascii="Arial" w:cs="Arial" w:eastAsia="Arial" w:hAnsi="Arial"/>
                  <w:sz w:val="14"/>
                  <w:szCs w:val="14"/>
                  <w:color w:val="0000EE"/>
                </w:rPr>
                <w:t>Exhibits</w:t>
              </w:r>
            </w:hyperlink>
          </w:p>
        </w:tc>
        <w:tc>
          <w:tcPr>
            <w:tcW w:w="7880" w:type="dxa"/>
            <w:vAlign w:val="bottom"/>
            <w:gridSpan w:val="14"/>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29"/>
        </w:trPr>
        <w:tc>
          <w:tcPr>
            <w:tcW w:w="2120" w:type="dxa"/>
            <w:vAlign w:val="bottom"/>
            <w:gridSpan w:val="3"/>
          </w:tcPr>
          <w:p>
            <w:pPr>
              <w:spacing w:after="0" w:line="129" w:lineRule="exact"/>
              <w:rPr>
                <w:rFonts w:ascii="Arial" w:cs="Arial" w:eastAsia="Arial" w:hAnsi="Arial"/>
                <w:sz w:val="14"/>
                <w:szCs w:val="14"/>
                <w:b w:val="1"/>
                <w:bCs w:val="1"/>
                <w:color w:val="0000EE"/>
              </w:rPr>
            </w:pPr>
            <w:hyperlink w:anchor="page43">
              <w:r>
                <w:rPr>
                  <w:rFonts w:ascii="Arial" w:cs="Arial" w:eastAsia="Arial" w:hAnsi="Arial"/>
                  <w:sz w:val="14"/>
                  <w:szCs w:val="14"/>
                  <w:b w:val="1"/>
                  <w:bCs w:val="1"/>
                  <w:color w:val="0000EE"/>
                </w:rPr>
                <w:t>SIGNATURES</w:t>
              </w:r>
            </w:hyperlink>
          </w:p>
        </w:tc>
        <w:tc>
          <w:tcPr>
            <w:tcW w:w="44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0000EE"/>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This Quarterly Report on Form 10-Q is for the three and six months ended June 30,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NBCUniversal Media, LLC and its consolidated subsidiaries as “NBCUniversal,” “we,” “us” and “our”; NBCUniversal, LLC as “NBCUniversal Holdings”; Comcast Corporation as “Comcast” and General Electric Company as “GE.”</w:t>
      </w:r>
    </w:p>
    <w:p>
      <w:pPr>
        <w:spacing w:after="0" w:line="25" w:lineRule="exact"/>
        <w:rPr>
          <w:sz w:val="20"/>
          <w:szCs w:val="20"/>
          <w:color w:val="auto"/>
        </w:rPr>
      </w:pPr>
    </w:p>
    <w:p>
      <w:pPr>
        <w:jc w:val="both"/>
        <w:spacing w:after="0" w:line="273"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these statements are only our predictions. In evaluating these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5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 and results of operations could be adversely affected if we do not compete effectively</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results of operations and financial condition</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success depends on consumer acceptance of our content, which is difficult to predict, and our results of operations may be adversely affected if our content fails to achieve sufficient consumer acceptance or our costs to acquire content increase</w:t>
      </w:r>
    </w:p>
    <w:p>
      <w:pPr>
        <w:spacing w:after="0" w:line="4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55"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55"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controlled by Comcast, and GE has certain approval rights</w:t>
      </w:r>
    </w:p>
    <w:p>
      <w:pPr>
        <w:spacing w:after="0" w:line="55" w:lineRule="exact"/>
        <w:rPr>
          <w:rFonts w:ascii="Arial" w:cs="Arial" w:eastAsia="Arial" w:hAnsi="Arial"/>
          <w:sz w:val="14"/>
          <w:szCs w:val="14"/>
          <w:color w:val="auto"/>
        </w:rPr>
      </w:pPr>
    </w:p>
    <w:p>
      <w:pPr>
        <w:ind w:left="1020" w:right="126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 Holdings may be required to purchase all or part of GE’s interests in NBCUniversal Holdings and may cause us to make distributions or loans to it to fund these purchases</w:t>
      </w:r>
    </w:p>
    <w:p>
      <w:pPr>
        <w:spacing w:after="0" w:line="4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Comcast and GE may compete with us in certain cases and have the ability on their own to pursue opportunities that might be attractive to us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Successor</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1980" w:type="dxa"/>
            <w:vAlign w:val="bottom"/>
            <w:gridSpan w:val="2"/>
          </w:tcPr>
          <w:p>
            <w:pPr>
              <w:ind w:left="1020"/>
              <w:spacing w:after="0" w:line="142" w:lineRule="exact"/>
              <w:rPr>
                <w:sz w:val="20"/>
                <w:szCs w:val="20"/>
                <w:color w:val="auto"/>
              </w:rPr>
            </w:pPr>
            <w:r>
              <w:rPr>
                <w:rFonts w:ascii="Arial" w:cs="Arial" w:eastAsia="Arial" w:hAnsi="Arial"/>
                <w:sz w:val="14"/>
                <w:szCs w:val="14"/>
                <w:color w:val="auto"/>
              </w:rPr>
              <w:t>June 30, 2012</w:t>
            </w:r>
          </w:p>
        </w:tc>
        <w:tc>
          <w:tcPr>
            <w:tcW w:w="1900" w:type="dxa"/>
            <w:vAlign w:val="bottom"/>
            <w:gridSpan w:val="2"/>
          </w:tcPr>
          <w:p>
            <w:pPr>
              <w:ind w:left="74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1,240</w:t>
            </w:r>
          </w:p>
        </w:tc>
        <w:tc>
          <w:tcPr>
            <w:tcW w:w="106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2,006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3,587</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Programming rights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1,049</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378</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8,260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5,079</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1,349</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Noncurrent receivables, net</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970</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$868 and $637</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5,101</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14,794</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$2,840 and $2,462</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15,384</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173</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51,110</w:t>
            </w:r>
          </w:p>
        </w:tc>
        <w:tc>
          <w:tcPr>
            <w:tcW w:w="10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200" w:type="dxa"/>
            <w:vAlign w:val="bottom"/>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2,067</w:t>
            </w:r>
          </w:p>
        </w:tc>
        <w:tc>
          <w:tcPr>
            <w:tcW w:w="106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1,300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 obligations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545</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972</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1,296</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w:t>
            </w: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6,188</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9,686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868</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370</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163</w:t>
            </w: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2,916</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Commitments and contingencies</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131</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120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420"/>
              <w:spacing w:after="0"/>
              <w:rPr>
                <w:sz w:val="20"/>
                <w:szCs w:val="20"/>
                <w:color w:val="auto"/>
              </w:rPr>
            </w:pPr>
            <w:r>
              <w:rPr>
                <w:rFonts w:ascii="Arial" w:cs="Arial" w:eastAsia="Arial" w:hAnsi="Arial"/>
                <w:sz w:val="18"/>
                <w:szCs w:val="18"/>
                <w:color w:val="auto"/>
              </w:rPr>
              <w:t>Member’s capital</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30,462</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(95)</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120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30,367</w:t>
            </w:r>
          </w:p>
        </w:tc>
        <w:tc>
          <w:tcPr>
            <w:tcW w:w="106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12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421</w:t>
            </w:r>
          </w:p>
        </w:tc>
        <w:tc>
          <w:tcPr>
            <w:tcW w:w="10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1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30,788</w:t>
            </w:r>
          </w:p>
        </w:tc>
        <w:tc>
          <w:tcPr>
            <w:tcW w:w="10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1200" w:type="dxa"/>
            <w:vAlign w:val="bottom"/>
            <w:tcBorders>
              <w:bottom w:val="single" w:sz="8" w:color="auto"/>
            </w:tcBorders>
            <w:shd w:val="clear" w:color="auto" w:fill="E5E5E5"/>
          </w:tcPr>
          <w:p>
            <w:pPr>
              <w:ind w:left="10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51,110</w:t>
            </w:r>
          </w:p>
        </w:tc>
        <w:tc>
          <w:tcPr>
            <w:tcW w:w="1060" w:type="dxa"/>
            <w:vAlign w:val="bottom"/>
            <w:tcBorders>
              <w:bottom w:val="single" w:sz="8" w:color="auto"/>
            </w:tcBorders>
            <w:shd w:val="clear" w:color="auto" w:fill="E5E5E5"/>
          </w:tcPr>
          <w:p>
            <w:pPr>
              <w:ind w:left="7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840" w:type="dxa"/>
            <w:vAlign w:val="bottom"/>
          </w:tcPr>
          <w:p>
            <w:pPr>
              <w:jc w:val="right"/>
              <w:ind w:right="4439"/>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w w:val="82"/>
              </w:rPr>
              <w:t>Successor</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jc w:val="center"/>
              <w:ind w:right="93"/>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4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48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82"/>
              <w:spacing w:after="0" w:line="159" w:lineRule="exact"/>
              <w:rPr>
                <w:sz w:val="20"/>
                <w:szCs w:val="20"/>
                <w:color w:val="auto"/>
              </w:rPr>
            </w:pPr>
            <w:r>
              <w:rPr>
                <w:rFonts w:ascii="Arial" w:cs="Arial" w:eastAsia="Arial" w:hAnsi="Arial"/>
                <w:sz w:val="14"/>
                <w:szCs w:val="14"/>
                <w:color w:val="auto"/>
                <w:w w:val="80"/>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continue"/>
          </w:tcPr>
          <w:p>
            <w:pPr>
              <w:spacing w:after="0"/>
              <w:rPr>
                <w:sz w:val="12"/>
                <w:szCs w:val="12"/>
                <w:color w:val="auto"/>
              </w:rPr>
            </w:pPr>
          </w:p>
        </w:tc>
        <w:tc>
          <w:tcPr>
            <w:tcW w:w="4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jc w:val="right"/>
              <w:ind w:right="94"/>
              <w:spacing w:after="0" w:line="142" w:lineRule="exact"/>
              <w:rPr>
                <w:sz w:val="20"/>
                <w:szCs w:val="20"/>
                <w:color w:val="auto"/>
              </w:rPr>
            </w:pPr>
            <w:r>
              <w:rPr>
                <w:rFonts w:ascii="Arial" w:cs="Arial" w:eastAsia="Arial" w:hAnsi="Arial"/>
                <w:sz w:val="14"/>
                <w:szCs w:val="14"/>
                <w:color w:val="auto"/>
                <w:w w:val="89"/>
              </w:rPr>
              <w:t>2012</w:t>
            </w:r>
          </w:p>
        </w:tc>
        <w:tc>
          <w:tcPr>
            <w:tcW w:w="68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8"/>
              </w:rPr>
              <w:t>5,504</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8"/>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Costs and Expenses:</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8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4,522</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w w:val="88"/>
              </w:rPr>
              <w:t>4,178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8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189</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4,842</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4,432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8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662</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48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48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8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E5E5E5"/>
          </w:tcPr>
          <w:p>
            <w:pPr>
              <w:spacing w:after="0"/>
              <w:rPr>
                <w:sz w:val="18"/>
                <w:szCs w:val="18"/>
                <w:color w:val="auto"/>
              </w:rPr>
            </w:pPr>
          </w:p>
        </w:tc>
        <w:tc>
          <w:tcPr>
            <w:tcW w:w="48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591</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48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4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549</w:t>
            </w:r>
          </w:p>
        </w:tc>
        <w:tc>
          <w:tcPr>
            <w:tcW w:w="68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4"/>
              </w:rPr>
              <w:t>Net (income) loss attributable to noncontrolling interests</w:t>
            </w:r>
          </w:p>
        </w:tc>
        <w:tc>
          <w:tcPr>
            <w:tcW w:w="48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c>
          <w:tcPr>
            <w:tcW w:w="6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626</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1"/>
              </w:rPr>
              <w:t>Predecessor</w:t>
            </w: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gridSpan w:val="2"/>
          </w:tcPr>
          <w:p>
            <w:pPr>
              <w:jc w:val="right"/>
              <w:ind w:right="112"/>
              <w:spacing w:after="0" w:line="131" w:lineRule="exact"/>
              <w:rPr>
                <w:sz w:val="20"/>
                <w:szCs w:val="20"/>
                <w:color w:val="auto"/>
              </w:rPr>
            </w:pPr>
            <w:r>
              <w:rPr>
                <w:rFonts w:ascii="Arial" w:cs="Arial" w:eastAsia="Arial" w:hAnsi="Arial"/>
                <w:sz w:val="14"/>
                <w:szCs w:val="14"/>
                <w:color w:val="auto"/>
                <w:w w:val="96"/>
              </w:rPr>
              <w:t>For the Period</w:t>
            </w:r>
          </w:p>
        </w:tc>
        <w:tc>
          <w:tcPr>
            <w:tcW w:w="640" w:type="dxa"/>
            <w:vAlign w:val="bottom"/>
            <w:tcBorders>
              <w:righ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jc w:val="center"/>
              <w:ind w:right="115"/>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720" w:type="dxa"/>
            <w:vAlign w:val="bottom"/>
            <w:tcBorders>
              <w:right w:val="single" w:sz="8" w:color="auto"/>
            </w:tcBorders>
            <w:gridSpan w:val="3"/>
          </w:tcPr>
          <w:p>
            <w:pPr>
              <w:ind w:left="40"/>
              <w:spacing w:after="0" w:line="149" w:lineRule="exact"/>
              <w:rPr>
                <w:sz w:val="20"/>
                <w:szCs w:val="20"/>
                <w:color w:val="auto"/>
              </w:rPr>
            </w:pPr>
            <w:r>
              <w:rPr>
                <w:rFonts w:ascii="Arial" w:cs="Arial" w:eastAsia="Arial" w:hAnsi="Arial"/>
                <w:sz w:val="14"/>
                <w:szCs w:val="14"/>
                <w:color w:val="auto"/>
              </w:rPr>
              <w:t>January 29, 2011</w:t>
            </w: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83"/>
              </w:rPr>
              <w:t>January 1, 2011</w:t>
            </w:r>
          </w:p>
        </w:tc>
      </w:tr>
      <w:tr>
        <w:trPr>
          <w:trHeight w:val="173"/>
        </w:trPr>
        <w:tc>
          <w:tcPr>
            <w:tcW w:w="52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5"/>
                <w:szCs w:val="15"/>
                <w:color w:val="auto"/>
              </w:rPr>
            </w:pPr>
          </w:p>
        </w:tc>
        <w:tc>
          <w:tcPr>
            <w:tcW w:w="1500" w:type="dxa"/>
            <w:vAlign w:val="bottom"/>
          </w:tcPr>
          <w:p>
            <w:pPr>
              <w:jc w:val="right"/>
              <w:ind w:right="634"/>
              <w:spacing w:after="0"/>
              <w:rPr>
                <w:sz w:val="20"/>
                <w:szCs w:val="20"/>
                <w:color w:val="auto"/>
              </w:rPr>
            </w:pPr>
            <w:r>
              <w:rPr>
                <w:rFonts w:ascii="Arial" w:cs="Arial" w:eastAsia="Arial" w:hAnsi="Arial"/>
                <w:sz w:val="14"/>
                <w:szCs w:val="14"/>
                <w:color w:val="auto"/>
                <w:w w:val="85"/>
              </w:rPr>
              <w:t>June 30, 2012</w:t>
            </w:r>
          </w:p>
        </w:tc>
        <w:tc>
          <w:tcPr>
            <w:tcW w:w="1720" w:type="dxa"/>
            <w:vAlign w:val="bottom"/>
            <w:tcBorders>
              <w:right w:val="single" w:sz="8" w:color="auto"/>
            </w:tcBorders>
            <w:gridSpan w:val="3"/>
          </w:tcPr>
          <w:p>
            <w:pPr>
              <w:ind w:left="60"/>
              <w:spacing w:after="0"/>
              <w:rPr>
                <w:sz w:val="20"/>
                <w:szCs w:val="20"/>
                <w:color w:val="auto"/>
              </w:rPr>
            </w:pPr>
            <w:r>
              <w:rPr>
                <w:rFonts w:ascii="Arial" w:cs="Arial" w:eastAsia="Arial" w:hAnsi="Arial"/>
                <w:sz w:val="14"/>
                <w:szCs w:val="14"/>
                <w:color w:val="auto"/>
              </w:rPr>
              <w:t>to June 30, 2011</w:t>
            </w:r>
          </w:p>
        </w:tc>
        <w:tc>
          <w:tcPr>
            <w:tcW w:w="620" w:type="dxa"/>
            <w:vAlign w:val="bottom"/>
          </w:tcPr>
          <w:p>
            <w:pPr>
              <w:spacing w:after="0"/>
              <w:rPr>
                <w:sz w:val="15"/>
                <w:szCs w:val="15"/>
                <w:color w:val="auto"/>
              </w:rPr>
            </w:pPr>
          </w:p>
        </w:tc>
        <w:tc>
          <w:tcPr>
            <w:tcW w:w="1720" w:type="dxa"/>
            <w:vAlign w:val="bottom"/>
            <w:gridSpan w:val="2"/>
          </w:tcPr>
          <w:p>
            <w:pPr>
              <w:jc w:val="center"/>
              <w:ind w:left="352"/>
              <w:spacing w:after="0"/>
              <w:rPr>
                <w:sz w:val="20"/>
                <w:szCs w:val="20"/>
                <w:color w:val="auto"/>
              </w:rPr>
            </w:pPr>
            <w:r>
              <w:rPr>
                <w:rFonts w:ascii="Arial" w:cs="Arial" w:eastAsia="Arial" w:hAnsi="Arial"/>
                <w:sz w:val="14"/>
                <w:szCs w:val="14"/>
                <w:color w:val="auto"/>
                <w:w w:val="85"/>
              </w:rPr>
              <w:t>to January 28, 2011</w:t>
            </w: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ind w:left="52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10,976</w:t>
            </w:r>
          </w:p>
        </w:tc>
        <w:tc>
          <w:tcPr>
            <w:tcW w:w="34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8,090</w:t>
            </w:r>
          </w:p>
        </w:tc>
        <w:tc>
          <w:tcPr>
            <w:tcW w:w="640" w:type="dxa"/>
            <w:vAlign w:val="bottom"/>
            <w:tcBorders>
              <w:top w:val="single" w:sz="8" w:color="auto"/>
              <w:right w:val="single" w:sz="8" w:color="auto"/>
            </w:tcBorders>
            <w:shd w:val="clear" w:color="auto" w:fill="E5E5E5"/>
          </w:tcPr>
          <w:p>
            <w:pPr>
              <w:spacing w:after="0"/>
              <w:rPr>
                <w:sz w:val="18"/>
                <w:szCs w:val="18"/>
                <w:color w:val="auto"/>
              </w:rPr>
            </w:pPr>
          </w:p>
        </w:tc>
        <w:tc>
          <w:tcPr>
            <w:tcW w:w="126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1,206</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9,181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6,697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261</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514"/>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323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9,813</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7,138</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1,198</w:t>
            </w:r>
          </w:p>
        </w:tc>
      </w:tr>
      <w:tr>
        <w:trPr>
          <w:trHeight w:val="210"/>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1,163</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952</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147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500" w:type="dxa"/>
            <w:vAlign w:val="bottom"/>
          </w:tcPr>
          <w:p>
            <w:pPr>
              <w:jc w:val="right"/>
              <w:ind w:right="454"/>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4"/>
              <w:spacing w:after="0"/>
              <w:rPr>
                <w:sz w:val="20"/>
                <w:szCs w:val="20"/>
                <w:color w:val="auto"/>
              </w:rPr>
            </w:pPr>
            <w:r>
              <w:rPr>
                <w:rFonts w:ascii="Arial" w:cs="Arial" w:eastAsia="Arial" w:hAnsi="Arial"/>
                <w:sz w:val="18"/>
                <w:szCs w:val="18"/>
                <w:color w:val="auto"/>
              </w:rPr>
              <w:t>11</w:t>
            </w:r>
          </w:p>
        </w:tc>
        <w:tc>
          <w:tcPr>
            <w:tcW w:w="3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w:t>
            </w:r>
          </w:p>
        </w:tc>
        <w:tc>
          <w:tcPr>
            <w:tcW w:w="640" w:type="dxa"/>
            <w:vAlign w:val="bottom"/>
            <w:tcBorders>
              <w:right w:val="single" w:sz="8" w:color="auto"/>
            </w:tcBorders>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4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1,048</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899</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(82)</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806</w:t>
            </w:r>
          </w:p>
        </w:tc>
        <w:tc>
          <w:tcPr>
            <w:tcW w:w="64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454"/>
              <w:spacing w:after="0"/>
              <w:rPr>
                <w:sz w:val="20"/>
                <w:szCs w:val="20"/>
                <w:color w:val="auto"/>
              </w:rPr>
            </w:pPr>
            <w:r>
              <w:rPr>
                <w:rFonts w:ascii="Arial" w:cs="Arial" w:eastAsia="Arial" w:hAnsi="Arial"/>
                <w:sz w:val="18"/>
                <w:szCs w:val="18"/>
                <w:color w:val="auto"/>
              </w:rPr>
              <w:t>(68)</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640" w:type="dxa"/>
            <w:vAlign w:val="bottom"/>
            <w:tcBorders>
              <w:bottom w:val="single" w:sz="8" w:color="auto"/>
              <w:right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Borders>
              <w:bottom w:val="single" w:sz="8" w:color="auto"/>
            </w:tcBorders>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b w:val="1"/>
                <w:bCs w:val="1"/>
                <w:color w:val="auto"/>
              </w:rPr>
              <w:t>898</w:t>
            </w: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720</w:t>
            </w:r>
          </w:p>
        </w:tc>
        <w:tc>
          <w:tcPr>
            <w:tcW w:w="6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189"/>
              <w:spacing w:after="0"/>
              <w:rPr>
                <w:sz w:val="20"/>
                <w:szCs w:val="20"/>
                <w:color w:val="auto"/>
              </w:rPr>
            </w:pPr>
            <w:r>
              <w:rPr>
                <w:rFonts w:ascii="Arial" w:cs="Arial" w:eastAsia="Arial" w:hAnsi="Arial"/>
                <w:sz w:val="14"/>
                <w:szCs w:val="14"/>
                <w:color w:val="auto"/>
                <w:w w:val="82"/>
              </w:rPr>
              <w:t>Successor</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3"/>
          </w:tcPr>
          <w:p>
            <w:pPr>
              <w:jc w:val="center"/>
              <w:ind w:right="174"/>
              <w:spacing w:after="0" w:line="131" w:lineRule="exact"/>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5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169"/>
              <w:spacing w:after="0" w:line="159" w:lineRule="exact"/>
              <w:rPr>
                <w:sz w:val="20"/>
                <w:szCs w:val="20"/>
                <w:color w:val="auto"/>
              </w:rPr>
            </w:pPr>
            <w:r>
              <w:rPr>
                <w:rFonts w:ascii="Arial" w:cs="Arial" w:eastAsia="Arial" w:hAnsi="Arial"/>
                <w:sz w:val="14"/>
                <w:szCs w:val="14"/>
                <w:color w:val="auto"/>
                <w:w w:val="80"/>
              </w:rPr>
              <w:t>June 30</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9"/>
              <w:spacing w:after="0" w:line="142" w:lineRule="exact"/>
              <w:rPr>
                <w:sz w:val="20"/>
                <w:szCs w:val="20"/>
                <w:color w:val="auto"/>
              </w:rPr>
            </w:pPr>
            <w:r>
              <w:rPr>
                <w:rFonts w:ascii="Arial" w:cs="Arial" w:eastAsia="Arial" w:hAnsi="Arial"/>
                <w:sz w:val="14"/>
                <w:szCs w:val="14"/>
                <w:color w:val="auto"/>
                <w:w w:val="83"/>
              </w:rPr>
              <w:t>2012</w:t>
            </w:r>
          </w:p>
        </w:tc>
        <w:tc>
          <w:tcPr>
            <w:tcW w:w="4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309"/>
              <w:spacing w:after="0"/>
              <w:rPr>
                <w:sz w:val="20"/>
                <w:szCs w:val="20"/>
                <w:color w:val="auto"/>
              </w:rPr>
            </w:pPr>
            <w:r>
              <w:rPr>
                <w:rFonts w:ascii="Arial" w:cs="Arial" w:eastAsia="Arial" w:hAnsi="Arial"/>
                <w:sz w:val="18"/>
                <w:szCs w:val="18"/>
                <w:color w:val="auto"/>
              </w:rPr>
              <w:t>549</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249"/>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249"/>
              <w:spacing w:after="0"/>
              <w:rPr>
                <w:sz w:val="20"/>
                <w:szCs w:val="20"/>
                <w:color w:val="auto"/>
              </w:rPr>
            </w:pPr>
            <w:r>
              <w:rPr>
                <w:rFonts w:ascii="Arial" w:cs="Arial" w:eastAsia="Arial" w:hAnsi="Arial"/>
                <w:sz w:val="18"/>
                <w:szCs w:val="18"/>
                <w:color w:val="auto"/>
              </w:rPr>
              <w:t>(12)</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9"/>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280" w:type="dxa"/>
            <w:vAlign w:val="bottom"/>
            <w:tcBorders>
              <w:right w:val="single" w:sz="8" w:color="E5E5E5"/>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ind w:right="309"/>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49"/>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5"/>
        </w:trPr>
        <w:tc>
          <w:tcPr>
            <w:tcW w:w="50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Comprehensive income (loss) attributable to</w:t>
            </w:r>
          </w:p>
        </w:tc>
        <w:tc>
          <w:tcPr>
            <w:tcW w:w="660" w:type="dxa"/>
            <w:vAlign w:val="bottom"/>
            <w:shd w:val="clear" w:color="auto" w:fill="E5E5E5"/>
          </w:tcPr>
          <w:p>
            <w:pPr>
              <w:spacing w:after="0"/>
              <w:rPr>
                <w:sz w:val="16"/>
                <w:szCs w:val="16"/>
                <w:color w:val="auto"/>
              </w:rPr>
            </w:pPr>
          </w:p>
        </w:tc>
        <w:tc>
          <w:tcPr>
            <w:tcW w:w="98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280" w:type="dxa"/>
            <w:vAlign w:val="bottom"/>
            <w:tcBorders>
              <w:right w:val="single" w:sz="8" w:color="E5E5E5"/>
            </w:tcBorders>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NBCUniversal</w:t>
            </w:r>
          </w:p>
        </w:tc>
        <w:tc>
          <w:tcPr>
            <w:tcW w:w="660" w:type="dxa"/>
            <w:vAlign w:val="bottom"/>
            <w:tcBorders>
              <w:bottom w:val="single" w:sz="8" w:color="auto"/>
            </w:tcBorders>
            <w:shd w:val="clear" w:color="auto" w:fill="E5E5E5"/>
          </w:tcPr>
          <w:p>
            <w:pPr>
              <w:spacing w:after="0"/>
              <w:rPr>
                <w:sz w:val="20"/>
                <w:szCs w:val="20"/>
                <w:color w:val="auto"/>
              </w:rPr>
            </w:pPr>
          </w:p>
        </w:tc>
        <w:tc>
          <w:tcPr>
            <w:tcW w:w="980" w:type="dxa"/>
            <w:vAlign w:val="bottom"/>
            <w:tcBorders>
              <w:bottom w:val="single" w:sz="8" w:color="auto"/>
            </w:tcBorders>
            <w:shd w:val="clear" w:color="auto" w:fill="E5E5E5"/>
          </w:tcPr>
          <w:p>
            <w:pPr>
              <w:spacing w:after="0"/>
              <w:rPr>
                <w:sz w:val="20"/>
                <w:szCs w:val="20"/>
                <w:color w:val="auto"/>
              </w:rPr>
            </w:pPr>
          </w:p>
        </w:tc>
        <w:tc>
          <w:tcPr>
            <w:tcW w:w="700" w:type="dxa"/>
            <w:vAlign w:val="bottom"/>
            <w:tcBorders>
              <w:bottom w:val="single" w:sz="8" w:color="auto"/>
            </w:tcBorders>
            <w:shd w:val="clear" w:color="auto" w:fill="E5E5E5"/>
          </w:tcPr>
          <w:p>
            <w:pPr>
              <w:spacing w:after="0"/>
              <w:rPr>
                <w:sz w:val="20"/>
                <w:szCs w:val="20"/>
                <w:color w:val="auto"/>
              </w:rPr>
            </w:pPr>
          </w:p>
        </w:tc>
        <w:tc>
          <w:tcPr>
            <w:tcW w:w="1060" w:type="dxa"/>
            <w:vAlign w:val="bottom"/>
            <w:tcBorders>
              <w:bottom w:val="single" w:sz="8" w:color="auto"/>
            </w:tcBorders>
            <w:shd w:val="clear" w:color="auto" w:fill="E5E5E5"/>
          </w:tcPr>
          <w:p>
            <w:pPr>
              <w:spacing w:after="0"/>
              <w:rPr>
                <w:sz w:val="20"/>
                <w:szCs w:val="20"/>
                <w:color w:val="auto"/>
              </w:rPr>
            </w:pPr>
          </w:p>
        </w:tc>
        <w:tc>
          <w:tcPr>
            <w:tcW w:w="400" w:type="dxa"/>
            <w:vAlign w:val="bottom"/>
            <w:tcBorders>
              <w:bottom w:val="single" w:sz="8" w:color="auto"/>
            </w:tcBorders>
            <w:shd w:val="clear" w:color="auto" w:fill="E5E5E5"/>
          </w:tcPr>
          <w:p>
            <w:pPr>
              <w:spacing w:after="0"/>
              <w:rPr>
                <w:sz w:val="20"/>
                <w:szCs w:val="20"/>
                <w:color w:val="auto"/>
              </w:rPr>
            </w:pPr>
          </w:p>
        </w:tc>
        <w:tc>
          <w:tcPr>
            <w:tcW w:w="84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gridSpan w:val="2"/>
            <w:shd w:val="clear" w:color="auto" w:fill="E5E5E5"/>
          </w:tcPr>
          <w:p>
            <w:pPr>
              <w:jc w:val="right"/>
              <w:ind w:right="309"/>
              <w:spacing w:after="0"/>
              <w:rPr>
                <w:sz w:val="20"/>
                <w:szCs w:val="20"/>
                <w:color w:val="auto"/>
              </w:rPr>
            </w:pPr>
            <w:r>
              <w:rPr>
                <w:rFonts w:ascii="Arial" w:cs="Arial" w:eastAsia="Arial" w:hAnsi="Arial"/>
                <w:sz w:val="18"/>
                <w:szCs w:val="18"/>
                <w:b w:val="1"/>
                <w:bCs w:val="1"/>
                <w:color w:val="auto"/>
              </w:rPr>
              <w:t>495</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622</w:t>
            </w: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134"/>
              <w:spacing w:after="0"/>
              <w:rPr>
                <w:sz w:val="20"/>
                <w:szCs w:val="20"/>
                <w:color w:val="auto"/>
              </w:rPr>
            </w:pPr>
            <w:r>
              <w:rPr>
                <w:rFonts w:ascii="Arial" w:cs="Arial" w:eastAsia="Arial" w:hAnsi="Arial"/>
                <w:sz w:val="14"/>
                <w:szCs w:val="14"/>
                <w:color w:val="auto"/>
                <w:w w:val="83"/>
              </w:rPr>
              <w:t>Predecessor</w:t>
            </w: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ind w:left="40"/>
              <w:spacing w:after="0" w:line="131" w:lineRule="exact"/>
              <w:rPr>
                <w:sz w:val="20"/>
                <w:szCs w:val="20"/>
                <w:color w:val="auto"/>
              </w:rPr>
            </w:pPr>
            <w:r>
              <w:rPr>
                <w:rFonts w:ascii="Arial" w:cs="Arial" w:eastAsia="Arial" w:hAnsi="Arial"/>
                <w:sz w:val="14"/>
                <w:szCs w:val="14"/>
                <w:color w:val="auto"/>
              </w:rPr>
              <w:t>For the Period</w:t>
            </w:r>
          </w:p>
        </w:tc>
        <w:tc>
          <w:tcPr>
            <w:tcW w:w="400" w:type="dxa"/>
            <w:vAlign w:val="bottom"/>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jc w:val="center"/>
              <w:ind w:right="134"/>
              <w:spacing w:after="0" w:line="131" w:lineRule="exact"/>
              <w:rPr>
                <w:sz w:val="20"/>
                <w:szCs w:val="20"/>
                <w:color w:val="auto"/>
              </w:rPr>
            </w:pPr>
            <w:r>
              <w:rPr>
                <w:rFonts w:ascii="Arial" w:cs="Arial" w:eastAsia="Arial" w:hAnsi="Arial"/>
                <w:sz w:val="14"/>
                <w:szCs w:val="14"/>
                <w:color w:val="auto"/>
                <w:w w:val="87"/>
              </w:rPr>
              <w:t>For the Period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640" w:type="dxa"/>
            <w:vAlign w:val="bottom"/>
            <w:gridSpan w:val="2"/>
          </w:tcPr>
          <w:p>
            <w:pPr>
              <w:ind w:left="560"/>
              <w:spacing w:after="0" w:line="149" w:lineRule="exact"/>
              <w:rPr>
                <w:sz w:val="20"/>
                <w:szCs w:val="20"/>
                <w:color w:val="auto"/>
              </w:rPr>
            </w:pPr>
            <w:r>
              <w:rPr>
                <w:rFonts w:ascii="Arial" w:cs="Arial" w:eastAsia="Arial" w:hAnsi="Arial"/>
                <w:sz w:val="14"/>
                <w:szCs w:val="14"/>
                <w:color w:val="auto"/>
                <w:w w:val="93"/>
              </w:rPr>
              <w:t>Six Months Ended</w:t>
            </w:r>
          </w:p>
        </w:tc>
        <w:tc>
          <w:tcPr>
            <w:tcW w:w="2160" w:type="dxa"/>
            <w:vAlign w:val="bottom"/>
            <w:gridSpan w:val="3"/>
          </w:tcPr>
          <w:p>
            <w:pPr>
              <w:ind w:left="600"/>
              <w:spacing w:after="0" w:line="149" w:lineRule="exact"/>
              <w:rPr>
                <w:sz w:val="20"/>
                <w:szCs w:val="20"/>
                <w:color w:val="auto"/>
              </w:rPr>
            </w:pPr>
            <w:r>
              <w:rPr>
                <w:rFonts w:ascii="Arial" w:cs="Arial" w:eastAsia="Arial" w:hAnsi="Arial"/>
                <w:sz w:val="14"/>
                <w:szCs w:val="14"/>
                <w:color w:val="auto"/>
              </w:rPr>
              <w:t>January 29, 2011 to</w:t>
            </w:r>
          </w:p>
        </w:tc>
        <w:tc>
          <w:tcPr>
            <w:tcW w:w="280" w:type="dxa"/>
            <w:vAlign w:val="bottom"/>
            <w:tcBorders>
              <w:righ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3"/>
          </w:tcPr>
          <w:p>
            <w:pPr>
              <w:jc w:val="center"/>
              <w:ind w:left="389"/>
              <w:spacing w:after="0" w:line="149" w:lineRule="exact"/>
              <w:rPr>
                <w:sz w:val="20"/>
                <w:szCs w:val="20"/>
                <w:color w:val="auto"/>
              </w:rPr>
            </w:pPr>
            <w:r>
              <w:rPr>
                <w:rFonts w:ascii="Arial" w:cs="Arial" w:eastAsia="Arial" w:hAnsi="Arial"/>
                <w:sz w:val="14"/>
                <w:szCs w:val="14"/>
                <w:color w:val="auto"/>
                <w:w w:val="84"/>
              </w:rPr>
              <w:t>January 1, 2011 to</w:t>
            </w:r>
          </w:p>
        </w:tc>
        <w:tc>
          <w:tcPr>
            <w:tcW w:w="0" w:type="dxa"/>
            <w:vAlign w:val="bottom"/>
          </w:tcPr>
          <w:p>
            <w:pPr>
              <w:spacing w:after="0"/>
              <w:rPr>
                <w:sz w:val="1"/>
                <w:szCs w:val="1"/>
                <w:color w:val="auto"/>
              </w:rPr>
            </w:pPr>
          </w:p>
        </w:tc>
      </w:tr>
      <w:tr>
        <w:trPr>
          <w:trHeight w:val="173"/>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June 30, 2011</w:t>
            </w:r>
          </w:p>
        </w:tc>
        <w:tc>
          <w:tcPr>
            <w:tcW w:w="28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center"/>
              <w:ind w:left="409"/>
              <w:spacing w:after="0"/>
              <w:rPr>
                <w:sz w:val="20"/>
                <w:szCs w:val="20"/>
                <w:color w:val="auto"/>
              </w:rPr>
            </w:pPr>
            <w:r>
              <w:rPr>
                <w:rFonts w:ascii="Arial" w:cs="Arial" w:eastAsia="Arial" w:hAnsi="Arial"/>
                <w:sz w:val="14"/>
                <w:szCs w:val="14"/>
                <w:color w:val="auto"/>
                <w:w w:val="85"/>
              </w:rPr>
              <w:t>January 28, 2011</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ind w:left="5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966</w:t>
            </w:r>
          </w:p>
        </w:tc>
        <w:tc>
          <w:tcPr>
            <w:tcW w:w="700" w:type="dxa"/>
            <w:vAlign w:val="bottom"/>
            <w:shd w:val="clear" w:color="auto" w:fill="E5E5E5"/>
          </w:tcPr>
          <w:p>
            <w:pPr>
              <w:ind w:left="5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806</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7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Employee benefit obligations, net</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7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Currency translation adjustments, net</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 (loss)</w:t>
            </w:r>
          </w:p>
        </w:tc>
        <w:tc>
          <w:tcPr>
            <w:tcW w:w="66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949</w:t>
            </w:r>
          </w:p>
        </w:tc>
        <w:tc>
          <w:tcPr>
            <w:tcW w:w="70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805</w:t>
            </w:r>
          </w:p>
        </w:tc>
        <w:tc>
          <w:tcPr>
            <w:tcW w:w="400" w:type="dxa"/>
            <w:vAlign w:val="bottom"/>
            <w:shd w:val="clear" w:color="auto" w:fill="E5E5E5"/>
          </w:tcPr>
          <w:p>
            <w:pPr>
              <w:spacing w:after="0"/>
              <w:rPr>
                <w:sz w:val="18"/>
                <w:szCs w:val="18"/>
                <w:color w:val="auto"/>
              </w:rPr>
            </w:pPr>
          </w:p>
        </w:tc>
        <w:tc>
          <w:tcPr>
            <w:tcW w:w="280" w:type="dxa"/>
            <w:vAlign w:val="bottom"/>
            <w:tcBorders>
              <w:right w:val="single" w:sz="8" w:color="auto"/>
            </w:tcBorders>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5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8"/>
              </w:rPr>
              <w:t>Comprehensive income (loss) attributable to NBCUniversal</w:t>
            </w:r>
          </w:p>
        </w:tc>
        <w:tc>
          <w:tcPr>
            <w:tcW w:w="660" w:type="dxa"/>
            <w:vAlign w:val="bottom"/>
            <w:tcBorders>
              <w:bottom w:val="single" w:sz="8" w:color="auto"/>
            </w:tcBorders>
            <w:shd w:val="clear" w:color="auto" w:fill="E5E5E5"/>
          </w:tcPr>
          <w:p>
            <w:pPr>
              <w:ind w:left="56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881</w:t>
            </w:r>
          </w:p>
        </w:tc>
        <w:tc>
          <w:tcPr>
            <w:tcW w:w="700" w:type="dxa"/>
            <w:vAlign w:val="bottom"/>
            <w:tcBorders>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719</w:t>
            </w:r>
          </w:p>
        </w:tc>
        <w:tc>
          <w:tcPr>
            <w:tcW w:w="4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right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10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3"/>
              </w:rPr>
              <w:t>Predecessor</w:t>
            </w: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ind w:left="40"/>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center"/>
              <w:ind w:right="134"/>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680" w:type="dxa"/>
            <w:vAlign w:val="bottom"/>
            <w:gridSpan w:val="2"/>
          </w:tcPr>
          <w:p>
            <w:pPr>
              <w:ind w:left="580"/>
              <w:spacing w:after="0" w:line="149" w:lineRule="exact"/>
              <w:rPr>
                <w:sz w:val="20"/>
                <w:szCs w:val="20"/>
                <w:color w:val="auto"/>
              </w:rPr>
            </w:pPr>
            <w:r>
              <w:rPr>
                <w:rFonts w:ascii="Arial" w:cs="Arial" w:eastAsia="Arial" w:hAnsi="Arial"/>
                <w:sz w:val="14"/>
                <w:szCs w:val="14"/>
                <w:color w:val="auto"/>
                <w:w w:val="95"/>
              </w:rPr>
              <w:t>Six Months Ended</w:t>
            </w:r>
          </w:p>
        </w:tc>
        <w:tc>
          <w:tcPr>
            <w:tcW w:w="2480" w:type="dxa"/>
            <w:vAlign w:val="bottom"/>
            <w:tcBorders>
              <w:right w:val="single" w:sz="8" w:color="auto"/>
            </w:tcBorders>
            <w:gridSpan w:val="3"/>
          </w:tcPr>
          <w:p>
            <w:pPr>
              <w:ind w:left="600"/>
              <w:spacing w:after="0" w:line="149" w:lineRule="exact"/>
              <w:rPr>
                <w:sz w:val="20"/>
                <w:szCs w:val="20"/>
                <w:color w:val="auto"/>
              </w:rPr>
            </w:pPr>
            <w:r>
              <w:rPr>
                <w:rFonts w:ascii="Arial" w:cs="Arial" w:eastAsia="Arial" w:hAnsi="Arial"/>
                <w:sz w:val="14"/>
                <w:szCs w:val="14"/>
                <w:color w:val="auto"/>
              </w:rPr>
              <w:t>January 29, 2011 to</w:t>
            </w:r>
          </w:p>
        </w:tc>
        <w:tc>
          <w:tcPr>
            <w:tcW w:w="680" w:type="dxa"/>
            <w:vAlign w:val="bottom"/>
          </w:tcPr>
          <w:p>
            <w:pPr>
              <w:spacing w:after="0"/>
              <w:rPr>
                <w:sz w:val="12"/>
                <w:szCs w:val="12"/>
                <w:color w:val="auto"/>
              </w:rPr>
            </w:pPr>
          </w:p>
        </w:tc>
        <w:tc>
          <w:tcPr>
            <w:tcW w:w="170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4"/>
              </w:rPr>
              <w:t>January 1, 2011 to</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980" w:type="dxa"/>
            <w:vAlign w:val="bottom"/>
          </w:tcPr>
          <w:p>
            <w:pPr>
              <w:jc w:val="right"/>
              <w:ind w:right="133"/>
              <w:spacing w:after="0" w:line="159" w:lineRule="exact"/>
              <w:rPr>
                <w:sz w:val="20"/>
                <w:szCs w:val="20"/>
                <w:color w:val="auto"/>
              </w:rPr>
            </w:pPr>
            <w:r>
              <w:rPr>
                <w:rFonts w:ascii="Arial" w:cs="Arial" w:eastAsia="Arial" w:hAnsi="Arial"/>
                <w:sz w:val="14"/>
                <w:szCs w:val="14"/>
                <w:color w:val="auto"/>
                <w:w w:val="83"/>
              </w:rPr>
              <w:t>June 30, 2012</w:t>
            </w:r>
          </w:p>
        </w:tc>
        <w:tc>
          <w:tcPr>
            <w:tcW w:w="720" w:type="dxa"/>
            <w:vAlign w:val="bottom"/>
          </w:tcPr>
          <w:p>
            <w:pPr>
              <w:spacing w:after="0"/>
              <w:rPr>
                <w:sz w:val="13"/>
                <w:szCs w:val="13"/>
                <w:color w:val="auto"/>
              </w:rPr>
            </w:pPr>
          </w:p>
        </w:tc>
        <w:tc>
          <w:tcPr>
            <w:tcW w:w="1760" w:type="dxa"/>
            <w:vAlign w:val="bottom"/>
            <w:tcBorders>
              <w:right w:val="single" w:sz="8" w:color="auto"/>
            </w:tcBorders>
            <w:gridSpan w:val="2"/>
          </w:tcPr>
          <w:p>
            <w:pPr>
              <w:ind w:left="40"/>
              <w:spacing w:after="0" w:line="159" w:lineRule="exact"/>
              <w:rPr>
                <w:sz w:val="20"/>
                <w:szCs w:val="20"/>
                <w:color w:val="auto"/>
              </w:rPr>
            </w:pPr>
            <w:r>
              <w:rPr>
                <w:rFonts w:ascii="Arial" w:cs="Arial" w:eastAsia="Arial" w:hAnsi="Arial"/>
                <w:sz w:val="14"/>
                <w:szCs w:val="14"/>
                <w:color w:val="auto"/>
              </w:rPr>
              <w:t>June 30, 2011</w:t>
            </w:r>
          </w:p>
        </w:tc>
        <w:tc>
          <w:tcPr>
            <w:tcW w:w="680" w:type="dxa"/>
            <w:vAlign w:val="bottom"/>
          </w:tcPr>
          <w:p>
            <w:pPr>
              <w:spacing w:after="0"/>
              <w:rPr>
                <w:sz w:val="13"/>
                <w:szCs w:val="13"/>
                <w:color w:val="auto"/>
              </w:rPr>
            </w:pPr>
          </w:p>
        </w:tc>
        <w:tc>
          <w:tcPr>
            <w:tcW w:w="1700" w:type="dxa"/>
            <w:vAlign w:val="bottom"/>
            <w:gridSpan w:val="2"/>
          </w:tcPr>
          <w:p>
            <w:pPr>
              <w:jc w:val="center"/>
              <w:ind w:left="432"/>
              <w:spacing w:after="0" w:line="159" w:lineRule="exact"/>
              <w:rPr>
                <w:sz w:val="20"/>
                <w:szCs w:val="20"/>
                <w:color w:val="auto"/>
              </w:rPr>
            </w:pPr>
            <w:r>
              <w:rPr>
                <w:rFonts w:ascii="Arial" w:cs="Arial" w:eastAsia="Arial" w:hAnsi="Arial"/>
                <w:sz w:val="14"/>
                <w:szCs w:val="14"/>
                <w:color w:val="auto"/>
                <w:w w:val="85"/>
              </w:rPr>
              <w:t>January 28, 2011</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700" w:type="dxa"/>
            <w:vAlign w:val="bottom"/>
            <w:tcBorders>
              <w:top w:val="single" w:sz="8" w:color="auto"/>
              <w:bottom w:val="single" w:sz="8" w:color="auto"/>
            </w:tcBorders>
            <w:shd w:val="clear" w:color="auto" w:fill="E5E5E5"/>
          </w:tcPr>
          <w:p>
            <w:pPr>
              <w:ind w:left="58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1,730</w:t>
            </w:r>
          </w:p>
        </w:tc>
        <w:tc>
          <w:tcPr>
            <w:tcW w:w="720" w:type="dxa"/>
            <w:vAlign w:val="bottom"/>
            <w:tcBorders>
              <w:top w:val="single" w:sz="8" w:color="auto"/>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1,020</w:t>
            </w:r>
          </w:p>
        </w:tc>
        <w:tc>
          <w:tcPr>
            <w:tcW w:w="700" w:type="dxa"/>
            <w:vAlign w:val="bottom"/>
            <w:tcBorders>
              <w:top w:val="single" w:sz="8" w:color="auto"/>
              <w:bottom w:val="single" w:sz="8" w:color="auto"/>
              <w:right w:val="single" w:sz="8" w:color="auto"/>
            </w:tcBorders>
            <w:shd w:val="clear" w:color="auto" w:fill="E5E5E5"/>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(629)</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(130)</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Cash paid for intangible assets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Proceeds from sale of businesses and investments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86</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331</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7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315</w:t>
            </w: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w w:val="95"/>
              </w:rPr>
              <w:t>Proceeds from (repayments of) short-term borrowings, net</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w:t>
            </w:r>
          </w:p>
        </w:tc>
        <w:tc>
          <w:tcPr>
            <w:tcW w:w="72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Repurchases and repayments of debt</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(Increase) decrease in short-term loans to GE, net</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8,072</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Repurchase of preferred stock interest</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spacing w:after="0"/>
              <w:rPr>
                <w:sz w:val="18"/>
                <w:szCs w:val="18"/>
                <w:color w:val="auto"/>
              </w:rPr>
            </w:pPr>
          </w:p>
        </w:tc>
        <w:tc>
          <w:tcPr>
            <w:tcW w:w="1760" w:type="dxa"/>
            <w:vAlign w:val="bottom"/>
            <w:tcBorders>
              <w:right w:val="single" w:sz="8" w:color="auto"/>
            </w:tcBorders>
            <w:gridSpan w:val="2"/>
            <w:shd w:val="clear" w:color="auto" w:fill="E5E5E5"/>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Contributions from noncontrolling interests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Distributions to noncontrolling interests</w:t>
            </w:r>
          </w:p>
        </w:tc>
        <w:tc>
          <w:tcPr>
            <w:tcW w:w="700" w:type="dxa"/>
            <w:vAlign w:val="bottom"/>
            <w:shd w:val="clear" w:color="auto" w:fill="E5E5E5"/>
          </w:tcPr>
          <w:p>
            <w:pPr>
              <w:spacing w:after="0"/>
              <w:rPr>
                <w:sz w:val="18"/>
                <w:szCs w:val="18"/>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(113)</w:t>
            </w:r>
          </w:p>
        </w:tc>
        <w:tc>
          <w:tcPr>
            <w:tcW w:w="720" w:type="dxa"/>
            <w:vAlign w:val="bottom"/>
            <w:shd w:val="clear" w:color="auto" w:fill="E5E5E5"/>
          </w:tcPr>
          <w:p>
            <w:pPr>
              <w:spacing w:after="0"/>
              <w:rPr>
                <w:sz w:val="18"/>
                <w:szCs w:val="18"/>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Purchases of noncontrolling interests</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auto"/>
            </w:tcBorders>
          </w:tcPr>
          <w:p>
            <w:pPr>
              <w:spacing w:after="0"/>
              <w:rPr>
                <w:sz w:val="18"/>
                <w:szCs w:val="18"/>
                <w:color w:val="auto"/>
              </w:rPr>
            </w:pPr>
          </w:p>
        </w:tc>
        <w:tc>
          <w:tcPr>
            <w:tcW w:w="1760" w:type="dxa"/>
            <w:vAlign w:val="bottom"/>
            <w:tcBorders>
              <w:bottom w:val="single" w:sz="8" w:color="auto"/>
              <w:right w:val="single" w:sz="8" w:color="auto"/>
            </w:tcBorders>
            <w:gridSpan w:val="2"/>
          </w:tcPr>
          <w:p>
            <w:pPr>
              <w:jc w:val="right"/>
              <w:ind w:right="8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(944)</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(324)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(300)</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72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70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808</w:t>
            </w:r>
          </w:p>
        </w:tc>
        <w:tc>
          <w:tcPr>
            <w:tcW w:w="7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508</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1,084</w:t>
            </w:r>
          </w:p>
        </w:tc>
      </w:tr>
      <w:tr>
        <w:trPr>
          <w:trHeight w:val="217"/>
        </w:trPr>
        <w:tc>
          <w:tcPr>
            <w:tcW w:w="20" w:type="dxa"/>
            <w:vAlign w:val="bottom"/>
            <w:tcBorders>
              <w:bottom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w:t>
            </w:r>
          </w:p>
        </w:tc>
        <w:tc>
          <w:tcPr>
            <w:tcW w:w="7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1,121</w:t>
            </w:r>
          </w:p>
        </w:tc>
        <w:tc>
          <w:tcPr>
            <w:tcW w:w="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470</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tcPr>
          <w:p>
            <w:pPr>
              <w:jc w:val="center"/>
              <w:ind w:left="23"/>
              <w:spacing w:after="0"/>
              <w:rPr>
                <w:sz w:val="20"/>
                <w:szCs w:val="20"/>
                <w:color w:val="auto"/>
              </w:rPr>
            </w:pPr>
            <w:r>
              <w:rPr>
                <w:rFonts w:ascii="Arial" w:cs="Arial" w:eastAsia="Arial" w:hAnsi="Arial"/>
                <w:sz w:val="14"/>
                <w:szCs w:val="14"/>
                <w:color w:val="auto"/>
                <w:w w:val="88"/>
              </w:rPr>
              <w:t>Accumulated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jc w:val="center"/>
              <w:ind w:left="80"/>
              <w:spacing w:after="0" w:line="149" w:lineRule="exact"/>
              <w:rPr>
                <w:sz w:val="20"/>
                <w:szCs w:val="20"/>
                <w:color w:val="auto"/>
              </w:rPr>
            </w:pPr>
            <w:r>
              <w:rPr>
                <w:rFonts w:ascii="Arial" w:cs="Arial" w:eastAsia="Arial" w:hAnsi="Arial"/>
                <w:sz w:val="14"/>
                <w:szCs w:val="14"/>
                <w:color w:val="auto"/>
                <w:w w:val="94"/>
              </w:rPr>
              <w:t>Additional</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jc w:val="center"/>
              <w:ind w:right="354"/>
              <w:spacing w:after="0" w:line="149" w:lineRule="exact"/>
              <w:rPr>
                <w:sz w:val="20"/>
                <w:szCs w:val="20"/>
                <w:color w:val="auto"/>
              </w:rPr>
            </w:pPr>
            <w:r>
              <w:rPr>
                <w:rFonts w:ascii="Arial" w:cs="Arial" w:eastAsia="Arial" w:hAnsi="Arial"/>
                <w:sz w:val="14"/>
                <w:szCs w:val="14"/>
                <w:color w:val="auto"/>
                <w:w w:val="91"/>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14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Common</w:t>
            </w:r>
          </w:p>
        </w:tc>
        <w:tc>
          <w:tcPr>
            <w:tcW w:w="940" w:type="dxa"/>
            <w:vAlign w:val="bottom"/>
          </w:tcPr>
          <w:p>
            <w:pPr>
              <w:jc w:val="center"/>
              <w:ind w:left="80"/>
              <w:spacing w:after="0" w:line="149" w:lineRule="exact"/>
              <w:rPr>
                <w:sz w:val="20"/>
                <w:szCs w:val="20"/>
                <w:color w:val="auto"/>
              </w:rPr>
            </w:pPr>
            <w:r>
              <w:rPr>
                <w:rFonts w:ascii="Arial" w:cs="Arial" w:eastAsia="Arial" w:hAnsi="Arial"/>
                <w:sz w:val="14"/>
                <w:szCs w:val="14"/>
                <w:color w:val="auto"/>
                <w:w w:val="91"/>
              </w:rPr>
              <w:t>Paid-</w:t>
            </w:r>
          </w:p>
        </w:tc>
        <w:tc>
          <w:tcPr>
            <w:tcW w:w="11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Retained</w:t>
            </w:r>
          </w:p>
        </w:tc>
        <w:tc>
          <w:tcPr>
            <w:tcW w:w="1460" w:type="dxa"/>
            <w:vAlign w:val="bottom"/>
            <w:gridSpan w:val="2"/>
          </w:tcPr>
          <w:p>
            <w:pPr>
              <w:jc w:val="center"/>
              <w:ind w:left="23"/>
              <w:spacing w:after="0" w:line="149" w:lineRule="exact"/>
              <w:rPr>
                <w:sz w:val="20"/>
                <w:szCs w:val="20"/>
                <w:color w:val="auto"/>
              </w:rPr>
            </w:pPr>
            <w:r>
              <w:rPr>
                <w:rFonts w:ascii="Arial" w:cs="Arial" w:eastAsia="Arial" w:hAnsi="Arial"/>
                <w:sz w:val="14"/>
                <w:szCs w:val="14"/>
                <w:color w:val="auto"/>
                <w:w w:val="85"/>
              </w:rPr>
              <w:t>Comprehensive</w:t>
            </w:r>
          </w:p>
        </w:tc>
        <w:tc>
          <w:tcPr>
            <w:tcW w:w="14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Arial" w:cs="Arial" w:eastAsia="Arial" w:hAnsi="Arial"/>
                <w:sz w:val="14"/>
                <w:szCs w:val="14"/>
                <w:color w:val="auto"/>
                <w:w w:val="89"/>
              </w:rPr>
              <w:t>Total</w:t>
            </w:r>
          </w:p>
        </w:tc>
      </w:tr>
      <w:tr>
        <w:trPr>
          <w:trHeight w:val="173"/>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w:t>
            </w:r>
          </w:p>
        </w:tc>
        <w:tc>
          <w:tcPr>
            <w:tcW w:w="94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color w:val="auto"/>
                <w:w w:val="91"/>
              </w:rPr>
              <w:t>In Capital</w:t>
            </w:r>
          </w:p>
        </w:tc>
        <w:tc>
          <w:tcPr>
            <w:tcW w:w="11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Earnings</w:t>
            </w:r>
          </w:p>
        </w:tc>
        <w:tc>
          <w:tcPr>
            <w:tcW w:w="1460" w:type="dxa"/>
            <w:vAlign w:val="bottom"/>
            <w:tcBorders>
              <w:bottom w:val="single" w:sz="8" w:color="auto"/>
            </w:tcBorders>
            <w:gridSpan w:val="2"/>
          </w:tcPr>
          <w:p>
            <w:pPr>
              <w:jc w:val="center"/>
              <w:ind w:left="23"/>
              <w:spacing w:after="0"/>
              <w:rPr>
                <w:sz w:val="20"/>
                <w:szCs w:val="20"/>
                <w:color w:val="auto"/>
              </w:rPr>
            </w:pPr>
            <w:r>
              <w:rPr>
                <w:rFonts w:ascii="Arial" w:cs="Arial" w:eastAsia="Arial" w:hAnsi="Arial"/>
                <w:sz w:val="14"/>
                <w:szCs w:val="14"/>
                <w:color w:val="auto"/>
                <w:w w:val="90"/>
              </w:rPr>
              <w:t>Income (Loss)</w:t>
            </w: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w w:val="89"/>
              </w:rPr>
              <w:t>Interests</w:t>
            </w:r>
          </w:p>
        </w:tc>
        <w:tc>
          <w:tcPr>
            <w:tcW w:w="9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color w:val="auto"/>
                <w:w w:val="92"/>
              </w:rPr>
              <w:t>Equity</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700" w:type="dxa"/>
            <w:vAlign w:val="bottom"/>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$23,592</w:t>
            </w:r>
          </w:p>
        </w:tc>
        <w:tc>
          <w:tcPr>
            <w:tcW w:w="68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79"/>
              </w:rPr>
              <w:t>320</w:t>
            </w:r>
          </w:p>
        </w:tc>
        <w:tc>
          <w:tcPr>
            <w:tcW w:w="54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(13)</w:t>
            </w:r>
          </w:p>
        </w:tc>
        <w:tc>
          <w:tcPr>
            <w:tcW w:w="44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(82)</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$23,817</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ind w:right="2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48</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(7,846)</w:t>
            </w:r>
          </w:p>
        </w:tc>
        <w:tc>
          <w:tcPr>
            <w:tcW w:w="1140" w:type="dxa"/>
            <w:vAlign w:val="bottom"/>
            <w:gridSpan w:val="2"/>
            <w:shd w:val="clear" w:color="auto" w:fill="E5E5E5"/>
          </w:tcPr>
          <w:p>
            <w:pPr>
              <w:jc w:val="right"/>
              <w:ind w:right="52"/>
              <w:spacing w:after="0"/>
              <w:rPr>
                <w:sz w:val="20"/>
                <w:szCs w:val="20"/>
                <w:color w:val="auto"/>
              </w:rPr>
            </w:pPr>
            <w:r>
              <w:rPr>
                <w:rFonts w:ascii="Arial" w:cs="Arial" w:eastAsia="Arial" w:hAnsi="Arial"/>
                <w:sz w:val="18"/>
                <w:szCs w:val="18"/>
                <w:color w:val="auto"/>
              </w:rPr>
              <w:t>(297)</w:t>
            </w: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(8,143)</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ind w:right="213"/>
              <w:spacing w:after="0"/>
              <w:rPr>
                <w:sz w:val="20"/>
                <w:szCs w:val="20"/>
                <w:color w:val="auto"/>
              </w:rPr>
            </w:pPr>
            <w:r>
              <w:rPr>
                <w:rFonts w:ascii="Arial" w:cs="Arial" w:eastAsia="Arial" w:hAnsi="Arial"/>
                <w:sz w:val="18"/>
                <w:szCs w:val="18"/>
                <w:color w:val="auto"/>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w:t>
            </w: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(23)</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17"/>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January 28, 2011</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$15,463</w:t>
            </w:r>
          </w:p>
        </w:tc>
        <w:tc>
          <w:tcPr>
            <w:tcW w:w="680" w:type="dxa"/>
            <w:vAlign w:val="bottom"/>
            <w:tcBorders>
              <w:bottom w:val="single" w:sz="8" w:color="auto"/>
            </w:tcBorders>
            <w:shd w:val="clear" w:color="auto" w:fill="E5E5E5"/>
          </w:tcPr>
          <w:p>
            <w:pPr>
              <w:ind w:left="46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b w:val="1"/>
                <w:bCs w:val="1"/>
                <w:color w:val="auto"/>
              </w:rPr>
              <w:t>(10)</w:t>
            </w:r>
          </w:p>
        </w:tc>
        <w:tc>
          <w:tcPr>
            <w:tcW w:w="440" w:type="dxa"/>
            <w:vAlign w:val="bottom"/>
            <w:tcBorders>
              <w:bottom w:val="single" w:sz="8" w:color="auto"/>
            </w:tcBorders>
            <w:shd w:val="clear" w:color="auto" w:fill="E5E5E5"/>
          </w:tcPr>
          <w:p>
            <w:pPr>
              <w:ind w:left="3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(82)</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$15,371</w:t>
            </w:r>
          </w:p>
        </w:tc>
      </w:tr>
      <w:tr>
        <w:trPr>
          <w:trHeight w:val="502"/>
        </w:trPr>
        <w:tc>
          <w:tcPr>
            <w:tcW w:w="4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gridSpan w:val="2"/>
          </w:tcPr>
          <w:p>
            <w:pPr>
              <w:jc w:val="center"/>
              <w:ind w:right="254"/>
              <w:spacing w:after="0"/>
              <w:rPr>
                <w:sz w:val="20"/>
                <w:szCs w:val="20"/>
                <w:color w:val="auto"/>
              </w:rPr>
            </w:pPr>
            <w:r>
              <w:rPr>
                <w:rFonts w:ascii="Arial" w:cs="Arial" w:eastAsia="Arial" w:hAnsi="Arial"/>
                <w:sz w:val="14"/>
                <w:szCs w:val="14"/>
                <w:color w:val="auto"/>
                <w:w w:val="88"/>
              </w:rPr>
              <w:t>Accumulated</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gridSpan w:val="2"/>
          </w:tcPr>
          <w:p>
            <w:pPr>
              <w:jc w:val="center"/>
              <w:ind w:right="234"/>
              <w:spacing w:after="0" w:line="149" w:lineRule="exact"/>
              <w:rPr>
                <w:sz w:val="20"/>
                <w:szCs w:val="20"/>
                <w:color w:val="auto"/>
              </w:rPr>
            </w:pPr>
            <w:r>
              <w:rPr>
                <w:rFonts w:ascii="Arial" w:cs="Arial" w:eastAsia="Arial" w:hAnsi="Arial"/>
                <w:sz w:val="14"/>
                <w:szCs w:val="14"/>
                <w:color w:val="auto"/>
                <w:w w:val="85"/>
              </w:rPr>
              <w:t>Other</w:t>
            </w: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Member’s</w:t>
            </w:r>
          </w:p>
        </w:tc>
        <w:tc>
          <w:tcPr>
            <w:tcW w:w="460" w:type="dxa"/>
            <w:vAlign w:val="bottom"/>
          </w:tcPr>
          <w:p>
            <w:pPr>
              <w:spacing w:after="0"/>
              <w:rPr>
                <w:sz w:val="12"/>
                <w:szCs w:val="12"/>
                <w:color w:val="auto"/>
              </w:rPr>
            </w:pPr>
          </w:p>
        </w:tc>
        <w:tc>
          <w:tcPr>
            <w:tcW w:w="1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Comprehensive</w:t>
            </w: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940" w:type="dxa"/>
            <w:vAlign w:val="bottom"/>
          </w:tcPr>
          <w:p>
            <w:pPr>
              <w:jc w:val="center"/>
              <w:ind w:left="55"/>
              <w:spacing w:after="0" w:line="149" w:lineRule="exact"/>
              <w:rPr>
                <w:sz w:val="20"/>
                <w:szCs w:val="20"/>
                <w:color w:val="auto"/>
              </w:rPr>
            </w:pPr>
            <w:r>
              <w:rPr>
                <w:rFonts w:ascii="Arial" w:cs="Arial" w:eastAsia="Arial" w:hAnsi="Arial"/>
                <w:sz w:val="14"/>
                <w:szCs w:val="14"/>
                <w:color w:val="auto"/>
                <w:w w:val="89"/>
              </w:rPr>
              <w:t>Total</w:t>
            </w:r>
          </w:p>
        </w:tc>
      </w:tr>
      <w:tr>
        <w:trPr>
          <w:trHeight w:val="173"/>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Capital</w:t>
            </w:r>
          </w:p>
        </w:tc>
        <w:tc>
          <w:tcPr>
            <w:tcW w:w="4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234"/>
              <w:spacing w:after="0"/>
              <w:rPr>
                <w:sz w:val="20"/>
                <w:szCs w:val="20"/>
                <w:color w:val="auto"/>
              </w:rPr>
            </w:pPr>
            <w:r>
              <w:rPr>
                <w:rFonts w:ascii="Arial" w:cs="Arial" w:eastAsia="Arial" w:hAnsi="Arial"/>
                <w:sz w:val="14"/>
                <w:szCs w:val="14"/>
                <w:color w:val="auto"/>
                <w:w w:val="87"/>
              </w:rPr>
              <w:t>Income (Loss)</w:t>
            </w:r>
          </w:p>
        </w:tc>
        <w:tc>
          <w:tcPr>
            <w:tcW w:w="1440" w:type="dxa"/>
            <w:vAlign w:val="bottom"/>
            <w:tcBorders>
              <w:bottom w:val="single" w:sz="8" w:color="auto"/>
            </w:tcBorders>
            <w:gridSpan w:val="2"/>
          </w:tcPr>
          <w:p>
            <w:pPr>
              <w:jc w:val="right"/>
              <w:ind w:right="513"/>
              <w:spacing w:after="0"/>
              <w:rPr>
                <w:sz w:val="20"/>
                <w:szCs w:val="20"/>
                <w:color w:val="auto"/>
              </w:rPr>
            </w:pPr>
            <w:r>
              <w:rPr>
                <w:rFonts w:ascii="Arial" w:cs="Arial" w:eastAsia="Arial" w:hAnsi="Arial"/>
                <w:sz w:val="14"/>
                <w:szCs w:val="14"/>
                <w:color w:val="auto"/>
              </w:rPr>
              <w:t>Interests</w:t>
            </w:r>
          </w:p>
        </w:tc>
        <w:tc>
          <w:tcPr>
            <w:tcW w:w="9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color w:val="auto"/>
                <w:w w:val="92"/>
              </w:rPr>
              <w:t>Equity</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Member’s equity, remeasured at January 28, 2011</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$24,089</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4"/>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262</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$24,351</w:t>
            </w: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Contribution of Comcast Content Business</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57</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4,401</w:t>
            </w:r>
          </w:p>
        </w:tc>
      </w:tr>
      <w:tr>
        <w:trPr>
          <w:trHeight w:val="210"/>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Total member’s equity at January 28, 2011</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28,433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319</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28,752</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13</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noncontrolling interests, net</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1</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720</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8"/>
                <w:szCs w:val="18"/>
                <w:color w:val="auto"/>
              </w:rPr>
              <w:t>78</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798</w:t>
            </w:r>
          </w:p>
        </w:tc>
      </w:tr>
      <w:tr>
        <w:trPr>
          <w:trHeight w:val="21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2011</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$28,834</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(1)</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305</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$29,138</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2"/>
              </w:rPr>
              <w:t>$29,798</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ind w:lef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34"/>
              <w:spacing w:after="0"/>
              <w:rPr>
                <w:sz w:val="20"/>
                <w:szCs w:val="20"/>
                <w:color w:val="auto"/>
              </w:rPr>
            </w:pPr>
            <w:r>
              <w:rPr>
                <w:rFonts w:ascii="Arial" w:cs="Arial" w:eastAsia="Arial" w:hAnsi="Arial"/>
                <w:sz w:val="18"/>
                <w:szCs w:val="18"/>
                <w:color w:val="auto"/>
              </w:rPr>
              <w:t>(78)</w:t>
            </w:r>
          </w:p>
        </w:tc>
        <w:tc>
          <w:tcPr>
            <w:tcW w:w="4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361</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$30,081</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Compensation plans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w:t>
            </w:r>
          </w:p>
        </w:tc>
      </w:tr>
      <w:tr>
        <w:trPr>
          <w:trHeight w:val="216"/>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(243)</w:t>
            </w:r>
          </w:p>
        </w:tc>
      </w:tr>
      <w:tr>
        <w:trPr>
          <w:trHeight w:val="208"/>
        </w:trPr>
        <w:tc>
          <w:tcPr>
            <w:tcW w:w="410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color w:val="auto"/>
              </w:rPr>
              <w:t>noncontrolling interests, net</w:t>
            </w: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73"/>
              <w:spacing w:after="0"/>
              <w:rPr>
                <w:sz w:val="20"/>
                <w:szCs w:val="20"/>
                <w:color w:val="auto"/>
              </w:rPr>
            </w:pPr>
            <w:r>
              <w:rPr>
                <w:rFonts w:ascii="Arial" w:cs="Arial" w:eastAsia="Arial" w:hAnsi="Arial"/>
                <w:sz w:val="18"/>
                <w:szCs w:val="18"/>
                <w:color w:val="auto"/>
              </w:rPr>
              <w:t>(93)</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8"/>
        </w:trPr>
        <w:tc>
          <w:tcPr>
            <w:tcW w:w="410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94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9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33"/>
              <w:spacing w:after="0"/>
              <w:rPr>
                <w:sz w:val="20"/>
                <w:szCs w:val="20"/>
                <w:color w:val="auto"/>
              </w:rPr>
            </w:pPr>
            <w:r>
              <w:rPr>
                <w:rFonts w:ascii="Arial" w:cs="Arial" w:eastAsia="Arial" w:hAnsi="Arial"/>
                <w:sz w:val="18"/>
                <w:szCs w:val="18"/>
                <w:color w:val="auto"/>
              </w:rPr>
              <w:t>94</w:t>
            </w:r>
          </w:p>
        </w:tc>
        <w:tc>
          <w:tcPr>
            <w:tcW w:w="9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99</w:t>
            </w: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1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898</w:t>
            </w:r>
          </w:p>
        </w:tc>
        <w:tc>
          <w:tcPr>
            <w:tcW w:w="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92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33"/>
              <w:spacing w:after="0"/>
              <w:rPr>
                <w:sz w:val="20"/>
                <w:szCs w:val="20"/>
                <w:color w:val="auto"/>
              </w:rPr>
            </w:pPr>
            <w:r>
              <w:rPr>
                <w:rFonts w:ascii="Arial" w:cs="Arial" w:eastAsia="Arial" w:hAnsi="Arial"/>
                <w:sz w:val="18"/>
                <w:szCs w:val="18"/>
                <w:color w:val="auto"/>
              </w:rPr>
              <w:t>59</w:t>
            </w:r>
          </w:p>
        </w:tc>
        <w:tc>
          <w:tcPr>
            <w:tcW w:w="9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957</w:t>
            </w:r>
          </w:p>
        </w:tc>
      </w:tr>
      <w:tr>
        <w:trPr>
          <w:trHeight w:val="217"/>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2012</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$30,462</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b w:val="1"/>
                <w:bCs w:val="1"/>
                <w:color w:val="auto"/>
              </w:rPr>
              <w:t>(95)</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b w:val="1"/>
                <w:bCs w:val="1"/>
                <w:color w:val="auto"/>
              </w:rPr>
              <w:t>421</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$30,788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32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28, 2011, Comcast closed its transaction with GE (the “Joint Venture transaction”) in which it acquired control of the businesses of NBC Universal, Inc. (our “Predecessor”) and on July 1, 2011, we closed the Universal Orlando transaction in which we acquired the remaining 50% equity interest in Universal City Development Partners, Ltd. (“Universal Orlando”) that we did not already own. The results of operations of the businesses contributed by Comcast to NBCUniversal (the “Comcast Content Business”) and the results of operations of Universal Orlando have been consolidated with our results following their respective transaction dates. For a more complete discussion of the Joint Venture and Universal Orlando transactions, refer to our consolidated financial statements included in our 2011 Annual Report on Form 10-K.</w:t>
      </w:r>
    </w:p>
    <w:p>
      <w:pPr>
        <w:spacing w:after="0" w:line="5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result of the change in control of our company on January 28, 2011, Comcast has applied the acquisition method of accounting with respect to the assets and liabilities of the NBCUniversal businesses it acquired (the “NBCUniversal contributed businesses”), which have been remeasured to fair value as of the date of the Joint Venture transaction. Our condensed consolidated financial statements for periods following the close of the Joint Venture transaction are labeled “Successor” and reflect both Comcast’s basis of accounting in the new fair values of the assets and liabilities of the NBCUniversal contributed businesses and the consolidation of the Comcast Content Business at historical cost. All periods prior to the closing of the Joint Venture transaction reflect the historical accounting basis in our assets and liabilities and are labeled “Predecessor.” Our condensed consolidated financial statements and footnotes include a black line division, which appears between the columns titled Predecessor and Successor, which signifies that the amounts shown for the periods prior to and following the Joint Venture transaction are not comparable.</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Related Party Transactions</w:t>
      </w:r>
    </w:p>
    <w:p>
      <w:pPr>
        <w:spacing w:after="0" w:line="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ordinary course of our business, we enter into transactions with Comcast and GE. We generate revenue from Comcast primarily from the distribution of our cable network programming and, to a lesser extent, the sale of advertising and our owned programming, and we incur expenses primarily related to various support services provided by Comcast to us. We generate revenue from transactions with GE and its affiliates primarily from the sale of advertising and incur expenses primarily related to leased assets and our monetization program held with GE and its affiliates. In addition, we are required to make distributions to NBCUniversal Holdings on a quarterly basis to enable its indirect owners (Comcast and GE) to meet their obligations to pay taxes on taxable income generated by our businesses.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six months ended June 30, 2012, NBCUniversal made tax distributions to NBCUniversal Holdings of $243 million, of which $124 million was attributable to Comcast and $119 million was attributable to GE. During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period January 29, 2011 through June 30, 2011, NBCUniversal made tax distributions to NBCUniversal Holdings of $151 million, of which $77 million was attributable to Comcast and $74 million was attributable to GE.</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also provide management services to, and receive license fees from, certain of our equity method investees.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related party transactions included in our condensed consolidated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color w:val="auto"/>
              </w:rPr>
              <w:t>June 30, 2012</w:t>
            </w: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203</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w w:val="90"/>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8"/>
                <w:szCs w:val="18"/>
                <w:color w:val="auto"/>
              </w:rPr>
              <w:t>36</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12</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w w:val="90"/>
              </w:rPr>
              <w:t>Accounts payable and accrued expenses related to trade creditors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1</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8"/>
                <w:szCs w:val="18"/>
                <w:color w:val="auto"/>
              </w:rPr>
              <w:t>80</w:t>
            </w:r>
          </w:p>
        </w:tc>
        <w:tc>
          <w:tcPr>
            <w:tcW w:w="88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2"/>
              <w:spacing w:after="0"/>
              <w:rPr>
                <w:sz w:val="20"/>
                <w:szCs w:val="20"/>
                <w:color w:val="auto"/>
              </w:rPr>
            </w:pPr>
            <w:r>
              <w:rPr>
                <w:rFonts w:ascii="Arial" w:cs="Arial" w:eastAsia="Arial" w:hAnsi="Arial"/>
                <w:sz w:val="18"/>
                <w:szCs w:val="18"/>
                <w:color w:val="auto"/>
              </w:rPr>
              <w:t>59</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242"/>
              <w:spacing w:after="0"/>
              <w:rPr>
                <w:sz w:val="20"/>
                <w:szCs w:val="20"/>
                <w:color w:val="auto"/>
              </w:rPr>
            </w:pPr>
            <w:r>
              <w:rPr>
                <w:rFonts w:ascii="Arial" w:cs="Arial" w:eastAsia="Arial" w:hAnsi="Arial"/>
                <w:sz w:val="18"/>
                <w:szCs w:val="18"/>
                <w:color w:val="auto"/>
              </w:rPr>
              <w:t>3</w:t>
            </w:r>
          </w:p>
        </w:tc>
        <w:tc>
          <w:tcPr>
            <w:tcW w:w="880" w:type="dxa"/>
            <w:vAlign w:val="bottom"/>
            <w:tcBorders>
              <w:bottom w:val="single" w:sz="8" w:color="auto"/>
            </w:tcBorders>
            <w:gridSpan w:val="2"/>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97"/>
        </w:trPr>
        <w:tc>
          <w:tcPr>
            <w:tcW w:w="8380" w:type="dxa"/>
            <w:vAlign w:val="bottom"/>
            <w:gridSpan w:val="8"/>
          </w:tcPr>
          <w:p>
            <w:pPr>
              <w:ind w:left="3760"/>
              <w:spacing w:after="0"/>
              <w:rPr>
                <w:sz w:val="20"/>
                <w:szCs w:val="20"/>
                <w:color w:val="auto"/>
              </w:rPr>
            </w:pPr>
            <w:r>
              <w:rPr>
                <w:rFonts w:ascii="Arial" w:cs="Arial" w:eastAsia="Arial" w:hAnsi="Arial"/>
                <w:sz w:val="18"/>
                <w:szCs w:val="18"/>
                <w:b w:val="1"/>
                <w:bCs w:val="1"/>
                <w:color w:val="auto"/>
              </w:rPr>
              <w:t>Condensed Consolidated Statement of Income</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2"/>
              </w:rPr>
              <w:t>Successor</w:t>
            </w:r>
          </w:p>
        </w:tc>
        <w:tc>
          <w:tcPr>
            <w:tcW w:w="3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2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color w:val="auto"/>
                <w:w w:val="85"/>
              </w:rPr>
              <w:t>Three Months Ended June 30</w:t>
            </w: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322"/>
              <w:spacing w:after="0" w:line="142"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2"/>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2"/>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5E5E5"/>
          </w:tcPr>
          <w:p>
            <w:pPr>
              <w:jc w:val="right"/>
              <w:ind w:right="62"/>
              <w:spacing w:after="0"/>
              <w:rPr>
                <w:sz w:val="20"/>
                <w:szCs w:val="20"/>
                <w:color w:val="auto"/>
              </w:rPr>
            </w:pPr>
            <w:r>
              <w:rPr>
                <w:rFonts w:ascii="Arial" w:cs="Arial" w:eastAsia="Arial" w:hAnsi="Arial"/>
                <w:sz w:val="18"/>
                <w:szCs w:val="18"/>
                <w:color w:val="auto"/>
              </w:rPr>
              <w:t>22</w:t>
            </w: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ind w:right="6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2"/>
            <w:shd w:val="clear" w:color="auto" w:fill="E5E5E5"/>
          </w:tcPr>
          <w:p>
            <w:pPr>
              <w:jc w:val="right"/>
              <w:ind w:right="62"/>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58"/>
        </w:trPr>
        <w:tc>
          <w:tcPr>
            <w:tcW w:w="4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Successor</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31"/>
        </w:trPr>
        <w:tc>
          <w:tcPr>
            <w:tcW w:w="4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4"/>
                <w:szCs w:val="14"/>
                <w:color w:val="auto"/>
                <w:w w:val="93"/>
              </w:rPr>
              <w:t>Six Months Ended</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2"/>
          </w:tcPr>
          <w:p>
            <w:pPr>
              <w:jc w:val="right"/>
              <w:ind w:right="260"/>
              <w:spacing w:after="0" w:line="131" w:lineRule="exact"/>
              <w:rPr>
                <w:sz w:val="20"/>
                <w:szCs w:val="20"/>
                <w:color w:val="auto"/>
              </w:rPr>
            </w:pPr>
            <w:r>
              <w:rPr>
                <w:rFonts w:ascii="Arial" w:cs="Arial" w:eastAsia="Arial" w:hAnsi="Arial"/>
                <w:sz w:val="14"/>
                <w:szCs w:val="14"/>
                <w:color w:val="auto"/>
                <w:w w:val="87"/>
              </w:rPr>
              <w:t>For the Period</w:t>
            </w:r>
          </w:p>
        </w:tc>
        <w:tc>
          <w:tcPr>
            <w:tcW w:w="4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gridSpan w:val="2"/>
          </w:tcPr>
          <w:p>
            <w:pPr>
              <w:jc w:val="right"/>
              <w:ind w:right="133"/>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780" w:type="dxa"/>
            <w:vAlign w:val="bottom"/>
            <w:gridSpan w:val="4"/>
          </w:tcPr>
          <w:p>
            <w:pPr>
              <w:ind w:left="600"/>
              <w:spacing w:after="0" w:line="135" w:lineRule="exact"/>
              <w:rPr>
                <w:sz w:val="20"/>
                <w:szCs w:val="20"/>
                <w:color w:val="auto"/>
              </w:rPr>
            </w:pPr>
            <w:r>
              <w:rPr>
                <w:rFonts w:ascii="Arial" w:cs="Arial" w:eastAsia="Arial" w:hAnsi="Arial"/>
                <w:sz w:val="14"/>
                <w:szCs w:val="14"/>
                <w:color w:val="auto"/>
                <w:w w:val="93"/>
              </w:rPr>
              <w:t>January 29, 2011 to</w:t>
            </w:r>
          </w:p>
        </w:tc>
        <w:tc>
          <w:tcPr>
            <w:tcW w:w="40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gridSpan w:val="3"/>
          </w:tcPr>
          <w:p>
            <w:pPr>
              <w:ind w:left="580"/>
              <w:spacing w:after="0" w:line="135" w:lineRule="exact"/>
              <w:rPr>
                <w:sz w:val="20"/>
                <w:szCs w:val="20"/>
                <w:color w:val="auto"/>
              </w:rPr>
            </w:pPr>
            <w:r>
              <w:rPr>
                <w:rFonts w:ascii="Arial" w:cs="Arial" w:eastAsia="Arial" w:hAnsi="Arial"/>
                <w:sz w:val="14"/>
                <w:szCs w:val="14"/>
                <w:color w:val="auto"/>
                <w:w w:val="93"/>
              </w:rPr>
              <w:t>January 1, 2011 to</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85"/>
              </w:rPr>
              <w:t>June 30, 2012</w:t>
            </w: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87"/>
              </w:rPr>
              <w:t>June 30, 2011</w:t>
            </w: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right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color w:val="auto"/>
              </w:rPr>
              <w:t>January 28, 2011</w:t>
            </w:r>
          </w:p>
        </w:tc>
        <w:tc>
          <w:tcPr>
            <w:tcW w:w="0" w:type="dxa"/>
            <w:vAlign w:val="bottom"/>
          </w:tcPr>
          <w:p>
            <w:pPr>
              <w:spacing w:after="0"/>
              <w:rPr>
                <w:sz w:val="1"/>
                <w:szCs w:val="1"/>
                <w:color w:val="auto"/>
              </w:rPr>
            </w:pPr>
          </w:p>
        </w:tc>
      </w:tr>
      <w:tr>
        <w:trPr>
          <w:trHeight w:val="210"/>
        </w:trPr>
        <w:tc>
          <w:tcPr>
            <w:tcW w:w="526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Transactions with Comcast and Affiliates</w:t>
            </w:r>
          </w:p>
        </w:tc>
        <w:tc>
          <w:tcPr>
            <w:tcW w:w="36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GE and Affiliates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73</w:t>
            </w:r>
          </w:p>
        </w:tc>
        <w:tc>
          <w:tcPr>
            <w:tcW w:w="720" w:type="dxa"/>
            <w:vAlign w:val="bottom"/>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38</w:t>
            </w:r>
          </w:p>
        </w:tc>
        <w:tc>
          <w:tcPr>
            <w:tcW w:w="400" w:type="dxa"/>
            <w:vAlign w:val="bottom"/>
            <w:shd w:val="clear" w:color="auto" w:fill="E5E5E5"/>
          </w:tcPr>
          <w:p>
            <w:pPr>
              <w:spacing w:after="0"/>
              <w:rPr>
                <w:sz w:val="18"/>
                <w:szCs w:val="18"/>
                <w:color w:val="auto"/>
              </w:rPr>
            </w:pPr>
          </w:p>
        </w:tc>
        <w:tc>
          <w:tcPr>
            <w:tcW w:w="3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80" w:type="dxa"/>
            <w:vAlign w:val="bottom"/>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260" w:type="dxa"/>
            <w:vAlign w:val="bottom"/>
            <w:gridSpan w:val="2"/>
          </w:tcPr>
          <w:p>
            <w:pPr>
              <w:ind w:left="4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(16)</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Other Related Parties</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95</w:t>
            </w:r>
          </w:p>
        </w:tc>
        <w:tc>
          <w:tcPr>
            <w:tcW w:w="720" w:type="dxa"/>
            <w:vAlign w:val="bottom"/>
            <w:tcBorders>
              <w:bottom w:val="single" w:sz="8" w:color="auto"/>
            </w:tcBorders>
            <w:gridSpan w:val="2"/>
            <w:shd w:val="clear" w:color="auto" w:fill="E5E5E5"/>
          </w:tcPr>
          <w:p>
            <w:pPr>
              <w:ind w:left="60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gridSpan w:val="2"/>
            <w:shd w:val="clear" w:color="auto" w:fill="E5E5E5"/>
          </w:tcPr>
          <w:p>
            <w:pPr>
              <w:ind w:left="7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6"/>
        </w:trPr>
        <w:tc>
          <w:tcPr>
            <w:tcW w:w="4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ind w:right="755"/>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tcBorders>
            <w:gridSpan w:val="2"/>
          </w:tcPr>
          <w:p>
            <w:pPr>
              <w:ind w:left="1140"/>
              <w:spacing w:after="0" w:line="142" w:lineRule="exact"/>
              <w:rPr>
                <w:sz w:val="20"/>
                <w:szCs w:val="20"/>
                <w:color w:val="auto"/>
              </w:rPr>
            </w:pPr>
            <w:r>
              <w:rPr>
                <w:rFonts w:ascii="Arial" w:cs="Arial" w:eastAsia="Arial" w:hAnsi="Arial"/>
                <w:sz w:val="14"/>
                <w:szCs w:val="14"/>
                <w:color w:val="auto"/>
              </w:rPr>
              <w:t>June 30, 2012</w:t>
            </w:r>
          </w:p>
        </w:tc>
        <w:tc>
          <w:tcPr>
            <w:tcW w:w="1900" w:type="dxa"/>
            <w:vAlign w:val="bottom"/>
            <w:tcBorders>
              <w:bottom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1,649</w:t>
            </w:r>
          </w:p>
        </w:tc>
        <w:tc>
          <w:tcPr>
            <w:tcW w:w="1160" w:type="dxa"/>
            <w:vAlign w:val="bottom"/>
          </w:tcPr>
          <w:p>
            <w:pPr>
              <w:ind w:left="7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131</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1,053</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2,833</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1,025</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 production and in development</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183</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1,208</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2,087</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0"/>
        </w:trPr>
        <w:tc>
          <w:tcPr>
            <w:tcW w:w="744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6,128</w:t>
            </w:r>
          </w:p>
        </w:tc>
        <w:tc>
          <w:tcPr>
            <w:tcW w:w="116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6,214</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1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1,049</w:t>
            </w: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7"/>
        </w:trPr>
        <w:tc>
          <w:tcPr>
            <w:tcW w:w="74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13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5,079</w:t>
            </w:r>
          </w:p>
        </w:tc>
        <w:tc>
          <w:tcPr>
            <w:tcW w:w="116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5,227</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2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tcBorders>
            <w:gridSpan w:val="2"/>
          </w:tcPr>
          <w:p>
            <w:pPr>
              <w:ind w:left="1120"/>
              <w:spacing w:after="0" w:line="142" w:lineRule="exact"/>
              <w:rPr>
                <w:sz w:val="20"/>
                <w:szCs w:val="20"/>
                <w:color w:val="auto"/>
              </w:rPr>
            </w:pPr>
            <w:r>
              <w:rPr>
                <w:rFonts w:ascii="Arial" w:cs="Arial" w:eastAsia="Arial" w:hAnsi="Arial"/>
                <w:sz w:val="14"/>
                <w:szCs w:val="14"/>
                <w:color w:val="auto"/>
              </w:rPr>
              <w:t>June 30, 2012</w:t>
            </w:r>
          </w:p>
        </w:tc>
        <w:tc>
          <w:tcPr>
            <w:tcW w:w="1940" w:type="dxa"/>
            <w:vAlign w:val="bottom"/>
            <w:tcBorders>
              <w:bottom w:val="single" w:sz="8" w:color="auto"/>
            </w:tcBorders>
            <w:gridSpan w:val="2"/>
          </w:tcPr>
          <w:p>
            <w:pPr>
              <w:ind w:left="780"/>
              <w:spacing w:after="0" w:line="142" w:lineRule="exact"/>
              <w:rPr>
                <w:sz w:val="20"/>
                <w:szCs w:val="20"/>
                <w:color w:val="auto"/>
              </w:rPr>
            </w:pPr>
            <w:r>
              <w:rPr>
                <w:rFonts w:ascii="Arial" w:cs="Arial" w:eastAsia="Arial" w:hAnsi="Arial"/>
                <w:sz w:val="14"/>
                <w:szCs w:val="14"/>
                <w:color w:val="auto"/>
                <w:w w:val="92"/>
              </w:rPr>
              <w:t>December 31, 2011</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1340" w:type="dxa"/>
            <w:vAlign w:val="bottom"/>
            <w:shd w:val="clear" w:color="auto" w:fill="E5E5E5"/>
          </w:tcPr>
          <w:p>
            <w:pPr>
              <w:ind w:left="1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21</w:t>
            </w:r>
          </w:p>
        </w:tc>
        <w:tc>
          <w:tcPr>
            <w:tcW w:w="1160" w:type="dxa"/>
            <w:vAlign w:val="bottom"/>
            <w:shd w:val="clear" w:color="auto" w:fill="E5E5E5"/>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Equity Method:</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2,006</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The Weather Channel</w:t>
            </w:r>
          </w:p>
        </w:tc>
        <w:tc>
          <w:tcPr>
            <w:tcW w:w="1340" w:type="dxa"/>
            <w:vAlign w:val="bottom"/>
          </w:tcPr>
          <w:p>
            <w:pPr>
              <w:spacing w:after="0"/>
              <w:rPr>
                <w:sz w:val="18"/>
                <w:szCs w:val="18"/>
                <w:color w:val="auto"/>
              </w:rPr>
            </w:pP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465</w:t>
            </w:r>
          </w:p>
        </w:tc>
        <w:tc>
          <w:tcPr>
            <w:tcW w:w="116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7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MSNBC.com</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176</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517</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18"/>
                <w:szCs w:val="18"/>
                <w:color w:val="auto"/>
              </w:rPr>
            </w:pP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3,164</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method</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170</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7420" w:type="dxa"/>
            <w:vAlign w:val="bottom"/>
            <w:shd w:val="clear" w:color="auto" w:fill="E5E5E5"/>
          </w:tcPr>
          <w:p>
            <w:pPr>
              <w:spacing w:after="0"/>
              <w:rPr>
                <w:sz w:val="20"/>
                <w:szCs w:val="20"/>
                <w:color w:val="auto"/>
              </w:rPr>
            </w:pPr>
            <w:r>
              <w:rPr>
                <w:rFonts w:ascii="Arial" w:cs="Arial" w:eastAsia="Arial" w:hAnsi="Arial"/>
                <w:sz w:val="18"/>
                <w:szCs w:val="18"/>
                <w:color w:val="auto"/>
              </w:rPr>
              <w:t>Total investments</w:t>
            </w:r>
          </w:p>
        </w:tc>
        <w:tc>
          <w:tcPr>
            <w:tcW w:w="134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3,355</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investments</w:t>
            </w:r>
          </w:p>
        </w:tc>
        <w:tc>
          <w:tcPr>
            <w:tcW w:w="1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2,006</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Noncurrent investments</w:t>
            </w:r>
          </w:p>
        </w:tc>
        <w:tc>
          <w:tcPr>
            <w:tcW w:w="1340" w:type="dxa"/>
            <w:vAlign w:val="bottom"/>
            <w:tcBorders>
              <w:bottom w:val="single" w:sz="8" w:color="auto"/>
            </w:tcBorders>
            <w:shd w:val="clear" w:color="auto" w:fill="E5E5E5"/>
          </w:tcPr>
          <w:p>
            <w:pPr>
              <w:ind w:left="110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rPr>
              <w:t>1,349</w:t>
            </w:r>
          </w:p>
        </w:tc>
        <w:tc>
          <w:tcPr>
            <w:tcW w:w="1160" w:type="dxa"/>
            <w:vAlign w:val="bottom"/>
            <w:tcBorders>
              <w:bottom w:val="single" w:sz="8" w:color="auto"/>
            </w:tcBorders>
            <w:shd w:val="clear" w:color="auto" w:fill="E5E5E5"/>
          </w:tcPr>
          <w:p>
            <w:pPr>
              <w:ind w:left="78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3,430</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March 26, 2012, we exercised an option that required A&amp;E Television Networks LLC (“A&amp;E Television Networks”) to redeem a substantial portion of our equity interest in A&amp;E Television Networks. On July 9, 2012, we entered into a redemption agreement with A&amp;E Television Networks whereby A&amp;E Television Networks agreed to redeem our entire 15.8% equity interest for $3 billion. The redemption price will be paid solely in cash, although in certain limited circumstances, it would be paid in cash and in the form of a senior note issued by A&amp;E Television Networks. Under the terms of the redemption agreement, we are no longer required to provide a last dollar guarantee of indebtedness that A&amp;E Television Networks may incur to finance the purchase of our equity interest. As of June 30, 2012, we have classified our equity interest as a current investment in our condensed consolidated balance sheet. We expect the transaction to close during the second half of 2012, and we expect to recognize a pretax gain on the sale of our equity interest of approximately $1 billion when the transaction closes.</w:t>
      </w:r>
    </w:p>
    <w:p>
      <w:pPr>
        <w:spacing w:after="0" w:line="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13, 2012, we acquired the remaining 50% equity interest in MSNBC Interactive News, LLC and other related entities (“MSNBC.com”) that we did not already own. MSNBC.com is now a wholly owned consolidated subsidiary of ours and its results of operations will be reported in our Cable Networks segment following the date of acquisition.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80" w:type="dxa"/>
            <w:vAlign w:val="bottom"/>
          </w:tcPr>
          <w:p>
            <w:pPr>
              <w:jc w:val="right"/>
              <w:ind w:right="359"/>
              <w:spacing w:after="0"/>
              <w:rPr>
                <w:sz w:val="20"/>
                <w:szCs w:val="20"/>
                <w:color w:val="auto"/>
              </w:rPr>
            </w:pPr>
            <w:r>
              <w:rPr>
                <w:rFonts w:ascii="Arial" w:cs="Arial" w:eastAsia="Arial" w:hAnsi="Arial"/>
                <w:sz w:val="14"/>
                <w:szCs w:val="14"/>
                <w:color w:val="auto"/>
              </w:rPr>
              <w:t>Cable</w:t>
            </w:r>
          </w:p>
        </w:tc>
        <w:tc>
          <w:tcPr>
            <w:tcW w:w="1160" w:type="dxa"/>
            <w:vAlign w:val="bottom"/>
            <w:gridSpan w:val="2"/>
          </w:tcPr>
          <w:p>
            <w:pPr>
              <w:ind w:left="280"/>
              <w:spacing w:after="0"/>
              <w:rPr>
                <w:sz w:val="20"/>
                <w:szCs w:val="20"/>
                <w:color w:val="auto"/>
              </w:rPr>
            </w:pPr>
            <w:r>
              <w:rPr>
                <w:rFonts w:ascii="Arial" w:cs="Arial" w:eastAsia="Arial" w:hAnsi="Arial"/>
                <w:sz w:val="14"/>
                <w:szCs w:val="14"/>
                <w:color w:val="auto"/>
              </w:rPr>
              <w:t>Broadcast</w:t>
            </w:r>
          </w:p>
        </w:tc>
        <w:tc>
          <w:tcPr>
            <w:tcW w:w="400" w:type="dxa"/>
            <w:vAlign w:val="bottom"/>
          </w:tcPr>
          <w:p>
            <w:pPr>
              <w:spacing w:after="0"/>
              <w:rPr>
                <w:sz w:val="14"/>
                <w:szCs w:val="14"/>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color w:val="auto"/>
                <w:w w:val="99"/>
              </w:rPr>
              <w:t>Filmed</w:t>
            </w:r>
          </w:p>
        </w:tc>
        <w:tc>
          <w:tcPr>
            <w:tcW w:w="1120" w:type="dxa"/>
            <w:vAlign w:val="bottom"/>
          </w:tcPr>
          <w:p>
            <w:pPr>
              <w:jc w:val="right"/>
              <w:ind w:right="319"/>
              <w:spacing w:after="0"/>
              <w:rPr>
                <w:sz w:val="20"/>
                <w:szCs w:val="20"/>
                <w:color w:val="auto"/>
              </w:rPr>
            </w:pPr>
            <w:r>
              <w:rPr>
                <w:rFonts w:ascii="Arial" w:cs="Arial" w:eastAsia="Arial" w:hAnsi="Arial"/>
                <w:sz w:val="14"/>
                <w:szCs w:val="14"/>
                <w:color w:val="auto"/>
              </w:rPr>
              <w:t>Theme</w:t>
            </w:r>
          </w:p>
        </w:tc>
        <w:tc>
          <w:tcPr>
            <w:tcW w:w="940" w:type="dxa"/>
            <w:vAlign w:val="bottom"/>
          </w:tcPr>
          <w:p>
            <w:pPr>
              <w:spacing w:after="0"/>
              <w:rPr>
                <w:sz w:val="14"/>
                <w:szCs w:val="14"/>
                <w:color w:val="auto"/>
              </w:rPr>
            </w:pPr>
          </w:p>
        </w:tc>
      </w:tr>
      <w:tr>
        <w:trPr>
          <w:trHeight w:val="159"/>
        </w:trPr>
        <w:tc>
          <w:tcPr>
            <w:tcW w:w="40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Successor (in millions)</w:t>
            </w:r>
          </w:p>
        </w:tc>
        <w:tc>
          <w:tcPr>
            <w:tcW w:w="288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Networks</w:t>
            </w:r>
          </w:p>
        </w:tc>
        <w:tc>
          <w:tcPr>
            <w:tcW w:w="116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Television</w:t>
            </w:r>
          </w:p>
        </w:tc>
        <w:tc>
          <w:tcPr>
            <w:tcW w:w="130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Entertainment</w:t>
            </w:r>
          </w:p>
        </w:tc>
        <w:tc>
          <w:tcPr>
            <w:tcW w:w="1120" w:type="dxa"/>
            <w:vAlign w:val="bottom"/>
            <w:tcBorders>
              <w:bottom w:val="single" w:sz="8" w:color="auto"/>
            </w:tcBorders>
          </w:tcPr>
          <w:p>
            <w:pPr>
              <w:jc w:val="right"/>
              <w:ind w:right="339"/>
              <w:spacing w:after="0" w:line="159" w:lineRule="exact"/>
              <w:rPr>
                <w:sz w:val="20"/>
                <w:szCs w:val="20"/>
                <w:color w:val="auto"/>
              </w:rPr>
            </w:pPr>
            <w:r>
              <w:rPr>
                <w:rFonts w:ascii="Arial" w:cs="Arial" w:eastAsia="Arial" w:hAnsi="Arial"/>
                <w:sz w:val="14"/>
                <w:szCs w:val="14"/>
                <w:color w:val="auto"/>
              </w:rPr>
              <w:t>Parks</w:t>
            </w:r>
          </w:p>
        </w:tc>
        <w:tc>
          <w:tcPr>
            <w:tcW w:w="94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402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288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$12,744</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772</w:t>
            </w:r>
          </w:p>
        </w:tc>
        <w:tc>
          <w:tcPr>
            <w:tcW w:w="4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w:t>
            </w:r>
          </w:p>
        </w:tc>
        <w:tc>
          <w:tcPr>
            <w:tcW w:w="1120" w:type="dxa"/>
            <w:vAlign w:val="bottom"/>
            <w:shd w:val="clear" w:color="auto" w:fill="E5E5E5"/>
          </w:tcPr>
          <w:p>
            <w:pPr>
              <w:jc w:val="right"/>
              <w:ind w:right="239"/>
              <w:spacing w:after="0"/>
              <w:rPr>
                <w:sz w:val="20"/>
                <w:szCs w:val="20"/>
                <w:color w:val="auto"/>
              </w:rPr>
            </w:pPr>
            <w:r>
              <w:rPr>
                <w:rFonts w:ascii="Arial" w:cs="Arial" w:eastAsia="Arial" w:hAnsi="Arial"/>
                <w:sz w:val="18"/>
                <w:szCs w:val="18"/>
                <w:color w:val="auto"/>
              </w:rPr>
              <w:t>$1,140</w:t>
            </w:r>
          </w:p>
        </w:tc>
        <w:tc>
          <w:tcPr>
            <w:tcW w:w="9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$14,657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Acquisitions</w:t>
            </w:r>
          </w:p>
        </w:tc>
        <w:tc>
          <w:tcPr>
            <w:tcW w:w="2880" w:type="dxa"/>
            <w:vAlign w:val="bottom"/>
          </w:tcPr>
          <w:p>
            <w:pPr>
              <w:jc w:val="right"/>
              <w:ind w:right="239"/>
              <w:spacing w:after="0"/>
              <w:rPr>
                <w:sz w:val="20"/>
                <w:szCs w:val="20"/>
                <w:color w:val="auto"/>
              </w:rPr>
            </w:pPr>
            <w:r>
              <w:rPr>
                <w:rFonts w:ascii="Arial" w:cs="Arial" w:eastAsia="Arial" w:hAnsi="Arial"/>
                <w:sz w:val="18"/>
                <w:szCs w:val="18"/>
                <w:color w:val="auto"/>
              </w:rPr>
              <w:t>219</w:t>
            </w:r>
          </w:p>
        </w:tc>
        <w:tc>
          <w:tcPr>
            <w:tcW w:w="460" w:type="dxa"/>
            <w:vAlign w:val="bottom"/>
          </w:tcPr>
          <w:p>
            <w:pPr>
              <w:spacing w:after="0"/>
              <w:rPr>
                <w:sz w:val="18"/>
                <w:szCs w:val="18"/>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219</w:t>
            </w:r>
          </w:p>
        </w:tc>
      </w:tr>
      <w:tr>
        <w:trPr>
          <w:trHeight w:val="216"/>
        </w:trPr>
        <w:tc>
          <w:tcPr>
            <w:tcW w:w="4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288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E5E5E5"/>
          </w:tcPr>
          <w:p>
            <w:pPr>
              <w:jc w:val="right"/>
              <w:ind w:right="199"/>
              <w:spacing w:after="0"/>
              <w:rPr>
                <w:sz w:val="20"/>
                <w:szCs w:val="20"/>
                <w:color w:val="auto"/>
              </w:rPr>
            </w:pPr>
            <w:r>
              <w:rPr>
                <w:rFonts w:ascii="Arial" w:cs="Arial" w:eastAsia="Arial" w:hAnsi="Arial"/>
                <w:sz w:val="18"/>
                <w:szCs w:val="18"/>
                <w:color w:val="auto"/>
              </w:rPr>
              <w:t>(61)</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r>
      <w:tr>
        <w:trPr>
          <w:trHeight w:val="21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June 30, 2012</w:t>
            </w:r>
          </w:p>
        </w:tc>
        <w:tc>
          <w:tcPr>
            <w:tcW w:w="288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$12,952</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762</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w:t>
            </w: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b w:val="1"/>
                <w:bCs w:val="1"/>
                <w:color w:val="auto"/>
              </w:rPr>
              <w:t>$1,079</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$14,794</w:t>
            </w:r>
          </w:p>
        </w:tc>
      </w:tr>
    </w:tbl>
    <w:p>
      <w:pPr>
        <w:spacing w:after="0" w:line="5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change in goodwill in our Cable Networks segment primarily relates to the acquisition in May 2012 of a controlling interest in a previously held equity method investment based in Brazil, which we now consolidate. The preliminary allocation of purchase price, including the change in goodwill, is not yet final and is subject to change. We will finalize the amounts recognized as we obtain the information necessary to complete the analysis, but no later than May 2013.</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2012, our debt had an estimated fair value of $10.8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the six months ended June 30, 2012, our net repayments of commercial paper were $550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We use derivative financial instruments to manage our exposure to the risks associated with fluctuations in foreign exchange rates and interest rates.</w:t>
      </w:r>
    </w:p>
    <w:p>
      <w:pPr>
        <w:spacing w:after="0" w:line="10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exposure to fluctuations in foreign exchange rates by using foreign exchange contracts such as forward contracts and currency options, and we manage our exposure to fluctuations in interest rates primarily by using interest rate exchange agreements (“swaps”).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w:t>
      </w:r>
    </w:p>
    <w:p>
      <w:pPr>
        <w:spacing w:after="0" w:line="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three and six months ended June 30, 2012, there were no significant changes in the composition of any of our derivative financial instruments or their classification in our condensed consolidated balance sheet. In addition, the impact of our derivative financial instruments on our condensed consolidated financial statements was not material for the three and six months ended June 30, 2012 or any of the prior year periods presented.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on the fair value of our derivative financial instruments as of June 30, 2012 and December 31, 2011.</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80" w:type="dxa"/>
            <w:vAlign w:val="bottom"/>
            <w:vMerge w:val="restart"/>
          </w:tcPr>
          <w:p>
            <w:pPr>
              <w:spacing w:after="0"/>
              <w:rPr>
                <w:sz w:val="20"/>
                <w:szCs w:val="20"/>
                <w:color w:val="auto"/>
              </w:rPr>
            </w:pPr>
            <w:r>
              <w:rPr>
                <w:rFonts w:ascii="Arial" w:cs="Arial" w:eastAsia="Arial" w:hAnsi="Arial"/>
                <w:sz w:val="14"/>
                <w:szCs w:val="14"/>
                <w:color w:val="auto"/>
              </w:rPr>
              <w:t>Successor (in millions)</w:t>
            </w:r>
          </w:p>
        </w:tc>
        <w:tc>
          <w:tcPr>
            <w:tcW w:w="6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color w:val="auto"/>
                <w:w w:val="87"/>
              </w:rPr>
              <w:t>June 30, 2012</w:t>
            </w: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ind w:left="26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142"/>
        </w:trPr>
        <w:tc>
          <w:tcPr>
            <w:tcW w:w="59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gridSpan w:val="2"/>
          </w:tcPr>
          <w:p>
            <w:pPr>
              <w:ind w:left="480"/>
              <w:spacing w:after="0" w:line="142" w:lineRule="exact"/>
              <w:rPr>
                <w:sz w:val="20"/>
                <w:szCs w:val="20"/>
                <w:color w:val="auto"/>
              </w:rPr>
            </w:pPr>
            <w:r>
              <w:rPr>
                <w:rFonts w:ascii="Arial" w:cs="Arial" w:eastAsia="Arial" w:hAnsi="Arial"/>
                <w:sz w:val="14"/>
                <w:szCs w:val="14"/>
                <w:color w:val="auto"/>
              </w:rPr>
              <w:t>Level 1</w:t>
            </w:r>
          </w:p>
        </w:tc>
        <w:tc>
          <w:tcPr>
            <w:tcW w:w="98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Level 2</w:t>
            </w:r>
          </w:p>
        </w:tc>
        <w:tc>
          <w:tcPr>
            <w:tcW w:w="124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Level 3</w:t>
            </w:r>
          </w:p>
        </w:tc>
        <w:tc>
          <w:tcPr>
            <w:tcW w:w="660" w:type="dxa"/>
            <w:vAlign w:val="bottom"/>
            <w:tcBorders>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59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rPr>
              <w:t>—</w:t>
            </w:r>
          </w:p>
        </w:tc>
        <w:tc>
          <w:tcPr>
            <w:tcW w:w="4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95"/>
              <w:spacing w:after="0"/>
              <w:rPr>
                <w:sz w:val="20"/>
                <w:szCs w:val="20"/>
                <w:color w:val="auto"/>
              </w:rPr>
            </w:pPr>
            <w:r>
              <w:rPr>
                <w:rFonts w:ascii="Arial" w:cs="Arial" w:eastAsia="Arial" w:hAnsi="Arial"/>
                <w:sz w:val="18"/>
                <w:szCs w:val="18"/>
                <w:color w:val="auto"/>
              </w:rPr>
              <w:t>32</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Available-for-sale securities</w:t>
            </w:r>
          </w:p>
        </w:tc>
        <w:tc>
          <w:tcPr>
            <w:tcW w:w="640" w:type="dxa"/>
            <w:vAlign w:val="bottom"/>
            <w:shd w:val="clear" w:color="auto" w:fill="E5E5E5"/>
          </w:tcPr>
          <w:p>
            <w:pPr>
              <w:spacing w:after="0"/>
              <w:rPr>
                <w:sz w:val="18"/>
                <w:szCs w:val="18"/>
                <w:color w:val="auto"/>
              </w:rPr>
            </w:pP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14</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14</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46</w:t>
            </w:r>
          </w:p>
        </w:tc>
        <w:tc>
          <w:tcPr>
            <w:tcW w:w="40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67</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E5E5E5"/>
          </w:tcPr>
          <w:p>
            <w:pPr>
              <w:spacing w:after="0"/>
              <w:rPr>
                <w:sz w:val="20"/>
                <w:szCs w:val="20"/>
                <w:color w:val="auto"/>
              </w:rPr>
            </w:pPr>
            <w:r>
              <w:rPr>
                <w:rFonts w:ascii="Arial" w:cs="Arial" w:eastAsia="Arial" w:hAnsi="Arial"/>
                <w:sz w:val="18"/>
                <w:szCs w:val="18"/>
                <w:color w:val="auto"/>
              </w:rPr>
              <w:t>Contractual obligations</w:t>
            </w:r>
          </w:p>
        </w:tc>
        <w:tc>
          <w:tcPr>
            <w:tcW w:w="640" w:type="dxa"/>
            <w:vAlign w:val="bottom"/>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6"/>
              </w:rPr>
              <w:t>984</w:t>
            </w:r>
          </w:p>
        </w:tc>
        <w:tc>
          <w:tcPr>
            <w:tcW w:w="50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contracts</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w:t>
            </w: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E5E5E5"/>
          </w:tcPr>
          <w:p>
            <w:pPr>
              <w:ind w:left="4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E5E5E5"/>
          </w:tcPr>
          <w:p>
            <w:pPr>
              <w:jc w:val="right"/>
              <w:ind w:right="452"/>
              <w:spacing w:after="0"/>
              <w:rPr>
                <w:sz w:val="20"/>
                <w:szCs w:val="20"/>
                <w:color w:val="auto"/>
              </w:rPr>
            </w:pPr>
            <w:r>
              <w:rPr>
                <w:rFonts w:ascii="Arial" w:cs="Arial" w:eastAsia="Arial" w:hAnsi="Arial"/>
                <w:sz w:val="18"/>
                <w:szCs w:val="18"/>
                <w:color w:val="auto"/>
                <w:w w:val="93"/>
              </w:rPr>
              <w:t>984</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6"/>
              </w:rPr>
              <w:t>992</w:t>
            </w:r>
          </w:p>
        </w:tc>
        <w:tc>
          <w:tcPr>
            <w:tcW w:w="5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fair values of the contractual obligations in the table above are primarily based on certain expected future discounted cash flows, the determination of which involves the use of significant unobservable inputs. The most significant unobservable input we use is our estimate of the future revenue we expect to generate from certain of our entities. The discount rates used in the measurements of fair value were between 11% and 13% and are based on the underlying risk associated with our estimate of future revenue, as well as the terms of the respective contracts. Fair value adjustments to these liabilities are recorded in other income (expense), net in our condensed consolidated statement of income.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Pr>
          <w:p>
            <w:pPr>
              <w:spacing w:after="0"/>
              <w:rPr>
                <w:sz w:val="20"/>
                <w:szCs w:val="20"/>
                <w:color w:val="auto"/>
              </w:rPr>
            </w:pPr>
          </w:p>
        </w:tc>
        <w:tc>
          <w:tcPr>
            <w:tcW w:w="7520" w:type="dxa"/>
            <w:vAlign w:val="bottom"/>
          </w:tcPr>
          <w:p>
            <w:pPr>
              <w:jc w:val="right"/>
              <w:ind w:right="3612"/>
              <w:spacing w:after="0"/>
              <w:rPr>
                <w:sz w:val="20"/>
                <w:szCs w:val="20"/>
                <w:color w:val="auto"/>
              </w:rPr>
            </w:pPr>
            <w:r>
              <w:rPr>
                <w:rFonts w:ascii="Arial" w:cs="Arial" w:eastAsia="Arial" w:hAnsi="Arial"/>
                <w:sz w:val="18"/>
                <w:szCs w:val="18"/>
                <w:b w:val="1"/>
                <w:bCs w:val="1"/>
                <w:color w:val="auto"/>
              </w:rPr>
              <w:t>Changes in Contractual Obligations</w:t>
            </w:r>
          </w:p>
        </w:tc>
        <w:tc>
          <w:tcPr>
            <w:tcW w:w="520" w:type="dxa"/>
            <w:vAlign w:val="bottom"/>
          </w:tcPr>
          <w:p>
            <w:pPr>
              <w:spacing w:after="0"/>
              <w:rPr>
                <w:sz w:val="20"/>
                <w:szCs w:val="20"/>
                <w:color w:val="auto"/>
              </w:rPr>
            </w:pPr>
          </w:p>
        </w:tc>
      </w:tr>
      <w:tr>
        <w:trPr>
          <w:trHeight w:val="542"/>
        </w:trPr>
        <w:tc>
          <w:tcPr>
            <w:tcW w:w="3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Successor (in millions)</w:t>
            </w:r>
          </w:p>
        </w:tc>
        <w:tc>
          <w:tcPr>
            <w:tcW w:w="7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210"/>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7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8"/>
              </w:rPr>
              <w:t>1,004</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75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38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75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75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33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June 30, 2012</w:t>
            </w:r>
          </w:p>
        </w:tc>
        <w:tc>
          <w:tcPr>
            <w:tcW w:w="7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984</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are redeemable either (i) at the option of the holder or (ii) 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(loss) attributable to NBCUniversal and transfers to or from noncontrolling interests.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Successor</w:t>
            </w:r>
          </w:p>
        </w:tc>
        <w:tc>
          <w:tcPr>
            <w:tcW w:w="8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1"/>
              </w:rPr>
              <w:t>Predecessor</w:t>
            </w:r>
          </w:p>
        </w:tc>
      </w:tr>
      <w:tr>
        <w:trPr>
          <w:trHeight w:val="131"/>
        </w:trPr>
        <w:tc>
          <w:tcPr>
            <w:tcW w:w="50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2"/>
          </w:tcPr>
          <w:p>
            <w:pPr>
              <w:ind w:left="260"/>
              <w:spacing w:after="0" w:line="131" w:lineRule="exact"/>
              <w:rPr>
                <w:sz w:val="20"/>
                <w:szCs w:val="20"/>
                <w:color w:val="auto"/>
              </w:rPr>
            </w:pPr>
            <w:r>
              <w:rPr>
                <w:rFonts w:ascii="Arial" w:cs="Arial" w:eastAsia="Arial" w:hAnsi="Arial"/>
                <w:sz w:val="14"/>
                <w:szCs w:val="14"/>
                <w:color w:val="auto"/>
              </w:rPr>
              <w:t>For the Period</w:t>
            </w:r>
          </w:p>
        </w:tc>
        <w:tc>
          <w:tcPr>
            <w:tcW w:w="7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jc w:val="center"/>
              <w:ind w:right="12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5000" w:type="dxa"/>
            <w:vAlign w:val="bottom"/>
          </w:tcPr>
          <w:p>
            <w:pPr>
              <w:spacing w:after="0"/>
              <w:rPr>
                <w:sz w:val="12"/>
                <w:szCs w:val="12"/>
                <w:color w:val="auto"/>
              </w:rPr>
            </w:pPr>
          </w:p>
        </w:tc>
        <w:tc>
          <w:tcPr>
            <w:tcW w:w="18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Six Months Ended</w:t>
            </w:r>
          </w:p>
        </w:tc>
        <w:tc>
          <w:tcPr>
            <w:tcW w:w="218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50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00" w:type="dxa"/>
            <w:vAlign w:val="bottom"/>
            <w:tcBorders>
              <w:bottom w:val="single" w:sz="8" w:color="auto"/>
            </w:tcBorders>
            <w:gridSpan w:val="2"/>
          </w:tcPr>
          <w:p>
            <w:pPr>
              <w:ind w:left="720"/>
              <w:spacing w:after="0" w:line="159" w:lineRule="exact"/>
              <w:rPr>
                <w:sz w:val="20"/>
                <w:szCs w:val="20"/>
                <w:color w:val="auto"/>
              </w:rPr>
            </w:pPr>
            <w:r>
              <w:rPr>
                <w:rFonts w:ascii="Arial" w:cs="Arial" w:eastAsia="Arial" w:hAnsi="Arial"/>
                <w:sz w:val="14"/>
                <w:szCs w:val="14"/>
                <w:color w:val="auto"/>
              </w:rPr>
              <w:t>June 30, 2012</w:t>
            </w:r>
          </w:p>
        </w:tc>
        <w:tc>
          <w:tcPr>
            <w:tcW w:w="2180" w:type="dxa"/>
            <w:vAlign w:val="bottom"/>
            <w:tcBorders>
              <w:bottom w:val="single" w:sz="8" w:color="auto"/>
              <w:right w:val="single" w:sz="8" w:color="auto"/>
            </w:tcBorders>
            <w:gridSpan w:val="3"/>
          </w:tcPr>
          <w:p>
            <w:pPr>
              <w:ind w:left="220"/>
              <w:spacing w:after="0" w:line="159" w:lineRule="exact"/>
              <w:rPr>
                <w:sz w:val="20"/>
                <w:szCs w:val="20"/>
                <w:color w:val="auto"/>
              </w:rPr>
            </w:pPr>
            <w:r>
              <w:rPr>
                <w:rFonts w:ascii="Arial" w:cs="Arial" w:eastAsia="Arial" w:hAnsi="Arial"/>
                <w:sz w:val="14"/>
                <w:szCs w:val="14"/>
                <w:color w:val="auto"/>
              </w:rPr>
              <w:t>to June 30, 2011</w:t>
            </w:r>
          </w:p>
        </w:tc>
        <w:tc>
          <w:tcPr>
            <w:tcW w:w="6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jc w:val="center"/>
              <w:ind w:left="39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0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1080" w:type="dxa"/>
            <w:vAlign w:val="bottom"/>
            <w:shd w:val="clear" w:color="auto" w:fill="E5E5E5"/>
          </w:tcPr>
          <w:p>
            <w:pPr>
              <w:ind w:left="58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898</w:t>
            </w:r>
          </w:p>
        </w:tc>
        <w:tc>
          <w:tcPr>
            <w:tcW w:w="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720</w:t>
            </w:r>
          </w:p>
        </w:tc>
        <w:tc>
          <w:tcPr>
            <w:tcW w:w="780" w:type="dxa"/>
            <w:vAlign w:val="bottom"/>
            <w:tcBorders>
              <w:right w:val="single" w:sz="8" w:color="auto"/>
            </w:tcBorders>
            <w:shd w:val="clear" w:color="auto" w:fill="E5E5E5"/>
          </w:tcPr>
          <w:p>
            <w:pPr>
              <w:spacing w:after="0"/>
              <w:rPr>
                <w:sz w:val="18"/>
                <w:szCs w:val="18"/>
                <w:color w:val="auto"/>
              </w:rPr>
            </w:pPr>
          </w:p>
        </w:tc>
        <w:tc>
          <w:tcPr>
            <w:tcW w:w="13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500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2"/>
              </w:rPr>
              <w:t>Increase in NBCUniversal member’s capital resulting from the</w:t>
            </w:r>
          </w:p>
        </w:tc>
        <w:tc>
          <w:tcPr>
            <w:tcW w:w="10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78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80" w:type="dxa"/>
            <w:vAlign w:val="bottom"/>
            <w:shd w:val="clear" w:color="auto" w:fill="E5E5E5"/>
          </w:tcPr>
          <w:p>
            <w:pPr>
              <w:spacing w:after="0"/>
              <w:rPr>
                <w:sz w:val="18"/>
                <w:szCs w:val="18"/>
                <w:color w:val="auto"/>
              </w:rPr>
            </w:pPr>
          </w:p>
        </w:tc>
      </w:tr>
      <w:tr>
        <w:trPr>
          <w:trHeight w:val="223"/>
        </w:trPr>
        <w:tc>
          <w:tcPr>
            <w:tcW w:w="500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color w:val="auto"/>
              </w:rPr>
              <w:t>purchases of noncontrolling equity interest</w:t>
            </w:r>
          </w:p>
        </w:tc>
        <w:tc>
          <w:tcPr>
            <w:tcW w:w="108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shd w:val="clear" w:color="auto" w:fill="E5E5E5"/>
          </w:tcPr>
          <w:p>
            <w:pPr>
              <w:spacing w:after="0"/>
              <w:rPr>
                <w:sz w:val="19"/>
                <w:szCs w:val="19"/>
                <w:color w:val="auto"/>
              </w:rPr>
            </w:pPr>
          </w:p>
        </w:tc>
        <w:tc>
          <w:tcPr>
            <w:tcW w:w="1620" w:type="dxa"/>
            <w:vAlign w:val="bottom"/>
            <w:tcBorders>
              <w:bottom w:val="single" w:sz="8" w:color="auto"/>
              <w:right w:val="single" w:sz="8" w:color="auto"/>
            </w:tcBorders>
            <w:gridSpan w:val="2"/>
            <w:shd w:val="clear" w:color="auto" w:fill="E5E5E5"/>
          </w:tcPr>
          <w:p>
            <w:pPr>
              <w:jc w:val="right"/>
              <w:ind w:right="10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spacing w:after="0"/>
              <w:rPr>
                <w:sz w:val="19"/>
                <w:szCs w:val="19"/>
                <w:color w:val="auto"/>
              </w:rPr>
            </w:pPr>
          </w:p>
        </w:tc>
        <w:tc>
          <w:tcPr>
            <w:tcW w:w="108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color w:val="auto"/>
              </w:rPr>
              <w:t>—</w:t>
            </w:r>
          </w:p>
        </w:tc>
      </w:tr>
      <w:tr>
        <w:trPr>
          <w:trHeight w:val="196"/>
        </w:trPr>
        <w:tc>
          <w:tcPr>
            <w:tcW w:w="5000" w:type="dxa"/>
            <w:vAlign w:val="bottom"/>
          </w:tcPr>
          <w:p>
            <w:pPr>
              <w:spacing w:after="0" w:line="196" w:lineRule="exact"/>
              <w:rPr>
                <w:sz w:val="20"/>
                <w:szCs w:val="20"/>
                <w:color w:val="auto"/>
              </w:rPr>
            </w:pPr>
            <w:r>
              <w:rPr>
                <w:rFonts w:ascii="Arial" w:cs="Arial" w:eastAsia="Arial" w:hAnsi="Arial"/>
                <w:sz w:val="18"/>
                <w:szCs w:val="18"/>
                <w:b w:val="1"/>
                <w:bCs w:val="1"/>
                <w:color w:val="auto"/>
                <w:w w:val="87"/>
              </w:rPr>
              <w:t>Changes in member’s equity from net income (loss) attributable to</w:t>
            </w: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7"/>
        </w:trPr>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89"/>
              </w:rPr>
              <w:t>NBCUniversal and transfers from (to) noncontrolling interests</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902</w:t>
            </w:r>
          </w:p>
        </w:tc>
        <w:tc>
          <w:tcPr>
            <w:tcW w:w="5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720</w:t>
            </w:r>
          </w:p>
        </w:tc>
        <w:tc>
          <w:tcPr>
            <w:tcW w:w="7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r>
        <w:trPr>
          <w:trHeight w:val="363"/>
        </w:trPr>
        <w:tc>
          <w:tcPr>
            <w:tcW w:w="5000" w:type="dxa"/>
            <w:vAlign w:val="bottom"/>
          </w:tcPr>
          <w:p>
            <w:pPr>
              <w:spacing w:after="0"/>
              <w:rPr>
                <w:sz w:val="24"/>
                <w:szCs w:val="24"/>
                <w:color w:val="auto"/>
              </w:rPr>
            </w:pPr>
          </w:p>
        </w:tc>
        <w:tc>
          <w:tcPr>
            <w:tcW w:w="1080" w:type="dxa"/>
            <w:vAlign w:val="bottom"/>
          </w:tcPr>
          <w:p>
            <w:pPr>
              <w:ind w:left="620"/>
              <w:spacing w:after="0"/>
              <w:rPr>
                <w:sz w:val="20"/>
                <w:szCs w:val="20"/>
                <w:color w:val="auto"/>
              </w:rPr>
            </w:pPr>
            <w:r>
              <w:rPr>
                <w:rFonts w:ascii="Arial" w:cs="Arial" w:eastAsia="Arial" w:hAnsi="Arial"/>
                <w:sz w:val="18"/>
                <w:szCs w:val="18"/>
                <w:color w:val="auto"/>
              </w:rPr>
              <w:t>11</w:t>
            </w: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Redeemable Noncontrolling Interests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w w:val="97"/>
              </w:rPr>
              <w:t>Three Months Ended June 30</w:t>
            </w:r>
          </w:p>
        </w:tc>
        <w:tc>
          <w:tcPr>
            <w:tcW w:w="0" w:type="dxa"/>
            <w:vAlign w:val="bottom"/>
          </w:tcPr>
          <w:p>
            <w:pPr>
              <w:spacing w:after="0"/>
              <w:rPr>
                <w:sz w:val="1"/>
                <w:szCs w:val="1"/>
                <w:color w:val="auto"/>
              </w:rPr>
            </w:pPr>
          </w:p>
        </w:tc>
      </w:tr>
      <w:tr>
        <w:trPr>
          <w:trHeight w:val="142"/>
        </w:trPr>
        <w:tc>
          <w:tcPr>
            <w:tcW w:w="686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61"/>
              <w:spacing w:after="0" w:line="142"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Beginning balance</w:t>
            </w:r>
          </w:p>
        </w:tc>
        <w:tc>
          <w:tcPr>
            <w:tcW w:w="126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5E5E5"/>
          </w:tcPr>
          <w:p>
            <w:pPr>
              <w:jc w:val="right"/>
              <w:ind w:right="641"/>
              <w:spacing w:after="0"/>
              <w:rPr>
                <w:sz w:val="20"/>
                <w:szCs w:val="20"/>
                <w:color w:val="auto"/>
              </w:rPr>
            </w:pPr>
            <w:r>
              <w:rPr>
                <w:rFonts w:ascii="Arial" w:cs="Arial" w:eastAsia="Arial" w:hAnsi="Arial"/>
                <w:sz w:val="18"/>
                <w:szCs w:val="18"/>
                <w:color w:val="auto"/>
              </w:rPr>
              <w:t>135</w:t>
            </w:r>
          </w:p>
        </w:tc>
        <w:tc>
          <w:tcPr>
            <w:tcW w:w="380" w:type="dxa"/>
            <w:vAlign w:val="bottom"/>
            <w:shd w:val="clear" w:color="auto" w:fill="E5E5E5"/>
          </w:tcPr>
          <w:p>
            <w:pPr>
              <w:jc w:val="right"/>
              <w:ind w:right="2"/>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w:t>
            </w: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60" w:type="dxa"/>
            <w:vAlign w:val="bottom"/>
          </w:tcPr>
          <w:p>
            <w:pPr>
              <w:jc w:val="right"/>
              <w:ind w:right="601"/>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6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641"/>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Ending Balance</w:t>
            </w:r>
          </w:p>
        </w:tc>
        <w:tc>
          <w:tcPr>
            <w:tcW w:w="1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641"/>
              <w:spacing w:after="0"/>
              <w:rPr>
                <w:sz w:val="20"/>
                <w:szCs w:val="20"/>
                <w:color w:val="auto"/>
              </w:rPr>
            </w:pPr>
            <w:r>
              <w:rPr>
                <w:rFonts w:ascii="Arial" w:cs="Arial" w:eastAsia="Arial" w:hAnsi="Arial"/>
                <w:sz w:val="18"/>
                <w:szCs w:val="18"/>
                <w:b w:val="1"/>
                <w:bCs w:val="1"/>
                <w:color w:val="auto"/>
              </w:rPr>
              <w:t>131</w:t>
            </w:r>
          </w:p>
        </w:tc>
        <w:tc>
          <w:tcPr>
            <w:tcW w:w="3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Successor</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gridSpan w:val="2"/>
          </w:tcPr>
          <w:p>
            <w:pPr>
              <w:jc w:val="right"/>
              <w:ind w:right="154"/>
              <w:spacing w:after="0" w:line="131" w:lineRule="exact"/>
              <w:rPr>
                <w:sz w:val="20"/>
                <w:szCs w:val="20"/>
                <w:color w:val="auto"/>
              </w:rPr>
            </w:pPr>
            <w:r>
              <w:rPr>
                <w:rFonts w:ascii="Arial" w:cs="Arial" w:eastAsia="Arial" w:hAnsi="Arial"/>
                <w:sz w:val="14"/>
                <w:szCs w:val="14"/>
                <w:color w:val="auto"/>
                <w:w w:val="87"/>
              </w:rPr>
              <w:t>For the Period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2260" w:type="dxa"/>
            <w:vAlign w:val="bottom"/>
            <w:gridSpan w:val="3"/>
          </w:tcPr>
          <w:p>
            <w:pPr>
              <w:ind w:left="1140"/>
              <w:spacing w:after="0" w:line="149" w:lineRule="exact"/>
              <w:rPr>
                <w:sz w:val="20"/>
                <w:szCs w:val="20"/>
                <w:color w:val="auto"/>
              </w:rPr>
            </w:pPr>
            <w:r>
              <w:rPr>
                <w:rFonts w:ascii="Arial" w:cs="Arial" w:eastAsia="Arial" w:hAnsi="Arial"/>
                <w:sz w:val="14"/>
                <w:szCs w:val="14"/>
                <w:color w:val="auto"/>
                <w:w w:val="96"/>
              </w:rPr>
              <w:t>Six Months Ended</w:t>
            </w:r>
          </w:p>
        </w:tc>
        <w:tc>
          <w:tcPr>
            <w:tcW w:w="2300" w:type="dxa"/>
            <w:vAlign w:val="bottom"/>
            <w:gridSpan w:val="3"/>
          </w:tcPr>
          <w:p>
            <w:pPr>
              <w:ind w:left="1140"/>
              <w:spacing w:after="0" w:line="149" w:lineRule="exact"/>
              <w:rPr>
                <w:sz w:val="20"/>
                <w:szCs w:val="20"/>
                <w:color w:val="auto"/>
              </w:rPr>
            </w:pPr>
            <w:r>
              <w:rPr>
                <w:rFonts w:ascii="Arial" w:cs="Arial" w:eastAsia="Arial" w:hAnsi="Arial"/>
                <w:sz w:val="14"/>
                <w:szCs w:val="14"/>
                <w:color w:val="auto"/>
                <w:w w:val="92"/>
              </w:rPr>
              <w:t>January 29, 2011 to</w:t>
            </w:r>
          </w:p>
        </w:tc>
        <w:tc>
          <w:tcPr>
            <w:tcW w:w="0" w:type="dxa"/>
            <w:vAlign w:val="bottom"/>
          </w:tcPr>
          <w:p>
            <w:pPr>
              <w:spacing w:after="0"/>
              <w:rPr>
                <w:sz w:val="1"/>
                <w:szCs w:val="1"/>
                <w:color w:val="auto"/>
              </w:rPr>
            </w:pPr>
          </w:p>
        </w:tc>
      </w:tr>
      <w:tr>
        <w:trPr>
          <w:trHeight w:val="159"/>
        </w:trPr>
        <w:tc>
          <w:tcPr>
            <w:tcW w:w="68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240"/>
              <w:spacing w:after="0" w:line="159" w:lineRule="exact"/>
              <w:rPr>
                <w:sz w:val="20"/>
                <w:szCs w:val="20"/>
                <w:color w:val="auto"/>
              </w:rPr>
            </w:pPr>
            <w:r>
              <w:rPr>
                <w:rFonts w:ascii="Arial" w:cs="Arial" w:eastAsia="Arial" w:hAnsi="Arial"/>
                <w:sz w:val="14"/>
                <w:szCs w:val="14"/>
                <w:color w:val="auto"/>
                <w:w w:val="83"/>
              </w:rPr>
              <w:t>June 30, 2012</w:t>
            </w:r>
          </w:p>
        </w:tc>
        <w:tc>
          <w:tcPr>
            <w:tcW w:w="1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174"/>
              <w:spacing w:after="0" w:line="159" w:lineRule="exact"/>
              <w:rPr>
                <w:sz w:val="20"/>
                <w:szCs w:val="20"/>
                <w:color w:val="auto"/>
              </w:rPr>
            </w:pPr>
            <w:r>
              <w:rPr>
                <w:rFonts w:ascii="Arial" w:cs="Arial" w:eastAsia="Arial" w:hAnsi="Arial"/>
                <w:sz w:val="14"/>
                <w:szCs w:val="14"/>
                <w:color w:val="auto"/>
                <w:w w:val="85"/>
              </w:rPr>
              <w:t>June 30, 2011</w:t>
            </w:r>
          </w:p>
        </w:tc>
        <w:tc>
          <w:tcPr>
            <w:tcW w:w="0" w:type="dxa"/>
            <w:vAlign w:val="bottom"/>
          </w:tcPr>
          <w:p>
            <w:pPr>
              <w:spacing w:after="0"/>
              <w:rPr>
                <w:sz w:val="1"/>
                <w:szCs w:val="1"/>
                <w:color w:val="auto"/>
              </w:rPr>
            </w:pPr>
          </w:p>
        </w:tc>
      </w:tr>
      <w:tr>
        <w:trPr>
          <w:trHeight w:val="210"/>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Beginning balance</w:t>
            </w:r>
          </w:p>
        </w:tc>
        <w:tc>
          <w:tcPr>
            <w:tcW w:w="1260" w:type="dxa"/>
            <w:vAlign w:val="bottom"/>
            <w:shd w:val="clear" w:color="auto" w:fill="E5E5E5"/>
          </w:tcPr>
          <w:p>
            <w:pPr>
              <w:ind w:left="11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184</w:t>
            </w:r>
          </w:p>
        </w:tc>
        <w:tc>
          <w:tcPr>
            <w:tcW w:w="1260" w:type="dxa"/>
            <w:vAlign w:val="bottom"/>
            <w:shd w:val="clear" w:color="auto" w:fill="E5E5E5"/>
          </w:tcPr>
          <w:p>
            <w:pPr>
              <w:ind w:left="114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Distributions</w:t>
            </w:r>
          </w:p>
        </w:tc>
        <w:tc>
          <w:tcPr>
            <w:tcW w:w="12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E5E5E5"/>
          </w:tcPr>
          <w:p>
            <w:pPr>
              <w:spacing w:after="0"/>
              <w:rPr>
                <w:sz w:val="20"/>
                <w:szCs w:val="20"/>
                <w:color w:val="auto"/>
              </w:rPr>
            </w:pPr>
            <w:r>
              <w:rPr>
                <w:rFonts w:ascii="Arial" w:cs="Arial" w:eastAsia="Arial" w:hAnsi="Arial"/>
                <w:sz w:val="18"/>
                <w:szCs w:val="18"/>
                <w:color w:val="auto"/>
              </w:rPr>
              <w:t>Purchases</w:t>
            </w:r>
          </w:p>
        </w:tc>
        <w:tc>
          <w:tcPr>
            <w:tcW w:w="1260" w:type="dxa"/>
            <w:vAlign w:val="bottom"/>
            <w:shd w:val="clear" w:color="auto" w:fill="E5E5E5"/>
          </w:tcPr>
          <w:p>
            <w:pPr>
              <w:spacing w:after="0"/>
              <w:rPr>
                <w:sz w:val="18"/>
                <w:szCs w:val="18"/>
                <w:color w:val="auto"/>
              </w:rPr>
            </w:pPr>
          </w:p>
        </w:tc>
        <w:tc>
          <w:tcPr>
            <w:tcW w:w="10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(47)</w:t>
            </w:r>
          </w:p>
        </w:tc>
        <w:tc>
          <w:tcPr>
            <w:tcW w:w="12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Ending Balance</w:t>
            </w:r>
          </w:p>
        </w:tc>
        <w:tc>
          <w:tcPr>
            <w:tcW w:w="12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1260" w:type="dxa"/>
            <w:vAlign w:val="bottom"/>
            <w:tcBorders>
              <w:bottom w:val="single" w:sz="8" w:color="auto"/>
            </w:tcBorders>
            <w:shd w:val="clear" w:color="auto" w:fill="E5E5E5"/>
          </w:tcPr>
          <w:p>
            <w:pPr>
              <w:ind w:left="114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present the components of net periodic benefit expense related to our pension plans and postretirement benefit plans that we established following the close of the Joint Venture transaction.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Successor</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31"/>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3"/>
          </w:tcPr>
          <w:p>
            <w:pPr>
              <w:jc w:val="center"/>
              <w:ind w:right="176"/>
              <w:spacing w:after="0" w:line="131" w:lineRule="exact"/>
              <w:rPr>
                <w:sz w:val="20"/>
                <w:szCs w:val="20"/>
                <w:color w:val="auto"/>
              </w:rPr>
            </w:pPr>
            <w:r>
              <w:rPr>
                <w:rFonts w:ascii="Arial" w:cs="Arial" w:eastAsia="Arial" w:hAnsi="Arial"/>
                <w:sz w:val="14"/>
                <w:szCs w:val="14"/>
                <w:color w:val="auto"/>
                <w:w w:val="87"/>
              </w:rPr>
              <w:t>Three Months Ended</w:t>
            </w: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center"/>
              <w:ind w:right="124"/>
              <w:spacing w:after="0" w:line="131" w:lineRule="exact"/>
              <w:rPr>
                <w:sz w:val="20"/>
                <w:szCs w:val="20"/>
                <w:color w:val="auto"/>
              </w:rPr>
            </w:pPr>
            <w:r>
              <w:rPr>
                <w:rFonts w:ascii="Arial" w:cs="Arial" w:eastAsia="Arial" w:hAnsi="Arial"/>
                <w:sz w:val="14"/>
                <w:szCs w:val="14"/>
                <w:color w:val="auto"/>
                <w:w w:val="87"/>
              </w:rPr>
              <w:t>Three Months Ended</w:t>
            </w:r>
          </w:p>
        </w:tc>
        <w:tc>
          <w:tcPr>
            <w:tcW w:w="360" w:type="dxa"/>
            <w:vAlign w:val="bottom"/>
          </w:tcPr>
          <w:p>
            <w:pPr>
              <w:spacing w:after="0"/>
              <w:rPr>
                <w:sz w:val="11"/>
                <w:szCs w:val="11"/>
                <w:color w:val="auto"/>
              </w:rPr>
            </w:pPr>
          </w:p>
        </w:tc>
      </w:tr>
      <w:tr>
        <w:trPr>
          <w:trHeight w:val="159"/>
        </w:trPr>
        <w:tc>
          <w:tcPr>
            <w:tcW w:w="5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43"/>
              <w:spacing w:after="0" w:line="159" w:lineRule="exact"/>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124"/>
              <w:spacing w:after="0" w:line="159" w:lineRule="exact"/>
              <w:rPr>
                <w:sz w:val="20"/>
                <w:szCs w:val="20"/>
                <w:color w:val="auto"/>
              </w:rPr>
            </w:pPr>
            <w:r>
              <w:rPr>
                <w:rFonts w:ascii="Arial" w:cs="Arial" w:eastAsia="Arial" w:hAnsi="Arial"/>
                <w:sz w:val="14"/>
                <w:szCs w:val="14"/>
                <w:color w:val="auto"/>
                <w:w w:val="83"/>
              </w:rPr>
              <w:t>June 30, 2011</w:t>
            </w:r>
          </w:p>
        </w:tc>
        <w:tc>
          <w:tcPr>
            <w:tcW w:w="360" w:type="dxa"/>
            <w:vAlign w:val="bottom"/>
            <w:tcBorders>
              <w:bottom w:val="single" w:sz="8" w:color="auto"/>
            </w:tcBorders>
          </w:tcPr>
          <w:p>
            <w:pPr>
              <w:spacing w:after="0"/>
              <w:rPr>
                <w:sz w:val="13"/>
                <w:szCs w:val="13"/>
                <w:color w:val="auto"/>
              </w:rPr>
            </w:pPr>
          </w:p>
        </w:tc>
      </w:tr>
      <w:tr>
        <w:trPr>
          <w:trHeight w:val="131"/>
        </w:trPr>
        <w:tc>
          <w:tcPr>
            <w:tcW w:w="5640" w:type="dxa"/>
            <w:vAlign w:val="bottom"/>
          </w:tcPr>
          <w:p>
            <w:pPr>
              <w:spacing w:after="0"/>
              <w:rPr>
                <w:sz w:val="11"/>
                <w:szCs w:val="11"/>
                <w:color w:val="auto"/>
              </w:rPr>
            </w:pPr>
          </w:p>
        </w:tc>
        <w:tc>
          <w:tcPr>
            <w:tcW w:w="1240" w:type="dxa"/>
            <w:vAlign w:val="bottom"/>
            <w:gridSpan w:val="2"/>
          </w:tcPr>
          <w:p>
            <w:pPr>
              <w:ind w:left="740"/>
              <w:spacing w:after="0" w:line="131" w:lineRule="exact"/>
              <w:rPr>
                <w:sz w:val="20"/>
                <w:szCs w:val="20"/>
                <w:color w:val="auto"/>
              </w:rPr>
            </w:pPr>
            <w:r>
              <w:rPr>
                <w:rFonts w:ascii="Arial" w:cs="Arial" w:eastAsia="Arial" w:hAnsi="Arial"/>
                <w:sz w:val="14"/>
                <w:szCs w:val="14"/>
                <w:color w:val="auto"/>
                <w:w w:val="94"/>
              </w:rPr>
              <w:t>Pension</w:t>
            </w:r>
          </w:p>
        </w:tc>
        <w:tc>
          <w:tcPr>
            <w:tcW w:w="16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92"/>
              </w:rPr>
              <w:t>Postretirement</w:t>
            </w:r>
          </w:p>
        </w:tc>
        <w:tc>
          <w:tcPr>
            <w:tcW w:w="12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86"/>
              </w:rPr>
              <w:t>Pension</w:t>
            </w:r>
          </w:p>
        </w:tc>
        <w:tc>
          <w:tcPr>
            <w:tcW w:w="1700" w:type="dxa"/>
            <w:vAlign w:val="bottom"/>
            <w:gridSpan w:val="2"/>
          </w:tcPr>
          <w:p>
            <w:pPr>
              <w:ind w:left="820"/>
              <w:spacing w:after="0" w:line="131" w:lineRule="exact"/>
              <w:rPr>
                <w:sz w:val="20"/>
                <w:szCs w:val="20"/>
                <w:color w:val="auto"/>
              </w:rPr>
            </w:pPr>
            <w:r>
              <w:rPr>
                <w:rFonts w:ascii="Arial" w:cs="Arial" w:eastAsia="Arial" w:hAnsi="Arial"/>
                <w:sz w:val="14"/>
                <w:szCs w:val="14"/>
                <w:color w:val="auto"/>
                <w:w w:val="94"/>
              </w:rPr>
              <w:t>Postretirement</w:t>
            </w:r>
          </w:p>
        </w:tc>
      </w:tr>
      <w:tr>
        <w:trPr>
          <w:trHeight w:val="173"/>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98"/>
              </w:rPr>
              <w:t>Benefits</w:t>
            </w: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6"/>
              </w:rPr>
              <w:t>Benefits</w:t>
            </w:r>
          </w:p>
        </w:tc>
        <w:tc>
          <w:tcPr>
            <w:tcW w:w="12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86"/>
              </w:rPr>
              <w:t>Benefits</w:t>
            </w:r>
          </w:p>
        </w:tc>
        <w:tc>
          <w:tcPr>
            <w:tcW w:w="1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920" w:type="dxa"/>
            <w:vAlign w:val="bottom"/>
            <w:shd w:val="clear" w:color="auto" w:fill="E5E5E5"/>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94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w:t>
            </w:r>
          </w:p>
        </w:tc>
        <w:tc>
          <w:tcPr>
            <w:tcW w:w="13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w:t>
            </w:r>
          </w:p>
        </w:tc>
      </w:tr>
      <w:tr>
        <w:trPr>
          <w:trHeight w:val="216"/>
        </w:trPr>
        <w:tc>
          <w:tcPr>
            <w:tcW w:w="56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Successor</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r>
      <w:tr>
        <w:trPr>
          <w:trHeight w:val="131"/>
        </w:trPr>
        <w:tc>
          <w:tcPr>
            <w:tcW w:w="5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20" w:type="dxa"/>
            <w:vAlign w:val="bottom"/>
            <w:gridSpan w:val="2"/>
          </w:tcPr>
          <w:p>
            <w:pPr>
              <w:jc w:val="center"/>
              <w:ind w:right="496"/>
              <w:spacing w:after="0" w:line="131" w:lineRule="exact"/>
              <w:rPr>
                <w:sz w:val="20"/>
                <w:szCs w:val="20"/>
                <w:color w:val="auto"/>
              </w:rPr>
            </w:pPr>
            <w:r>
              <w:rPr>
                <w:rFonts w:ascii="Arial" w:cs="Arial" w:eastAsia="Arial" w:hAnsi="Arial"/>
                <w:sz w:val="14"/>
                <w:szCs w:val="14"/>
                <w:color w:val="auto"/>
                <w:w w:val="87"/>
              </w:rPr>
              <w:t>Six Months Ended</w:t>
            </w:r>
          </w:p>
        </w:tc>
        <w:tc>
          <w:tcPr>
            <w:tcW w:w="940" w:type="dxa"/>
            <w:vAlign w:val="bottom"/>
          </w:tcPr>
          <w:p>
            <w:pPr>
              <w:spacing w:after="0"/>
              <w:rPr>
                <w:sz w:val="11"/>
                <w:szCs w:val="11"/>
                <w:color w:val="auto"/>
              </w:rPr>
            </w:pPr>
          </w:p>
        </w:tc>
        <w:tc>
          <w:tcPr>
            <w:tcW w:w="16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5"/>
              </w:rPr>
              <w:t>For the Period January</w:t>
            </w:r>
          </w:p>
        </w:tc>
        <w:tc>
          <w:tcPr>
            <w:tcW w:w="360" w:type="dxa"/>
            <w:vAlign w:val="bottom"/>
          </w:tcPr>
          <w:p>
            <w:pPr>
              <w:spacing w:after="0"/>
              <w:rPr>
                <w:sz w:val="11"/>
                <w:szCs w:val="11"/>
                <w:color w:val="auto"/>
              </w:rPr>
            </w:pPr>
          </w:p>
        </w:tc>
      </w:tr>
      <w:tr>
        <w:trPr>
          <w:trHeight w:val="159"/>
        </w:trPr>
        <w:tc>
          <w:tcPr>
            <w:tcW w:w="564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43"/>
              <w:spacing w:after="0" w:line="159" w:lineRule="exact"/>
              <w:rPr>
                <w:sz w:val="20"/>
                <w:szCs w:val="20"/>
                <w:color w:val="auto"/>
              </w:rPr>
            </w:pPr>
            <w:r>
              <w:rPr>
                <w:rFonts w:ascii="Arial" w:cs="Arial" w:eastAsia="Arial" w:hAnsi="Arial"/>
                <w:sz w:val="14"/>
                <w:szCs w:val="14"/>
                <w:color w:val="auto"/>
                <w:w w:val="85"/>
              </w:rPr>
              <w:t>June 30, 2012</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4"/>
              </w:rPr>
              <w:t>29, 2011 to June 30, 2011</w:t>
            </w:r>
          </w:p>
        </w:tc>
        <w:tc>
          <w:tcPr>
            <w:tcW w:w="360" w:type="dxa"/>
            <w:vAlign w:val="bottom"/>
            <w:tcBorders>
              <w:bottom w:val="single" w:sz="8" w:color="auto"/>
            </w:tcBorders>
          </w:tcPr>
          <w:p>
            <w:pPr>
              <w:spacing w:after="0"/>
              <w:rPr>
                <w:sz w:val="13"/>
                <w:szCs w:val="13"/>
                <w:color w:val="auto"/>
              </w:rPr>
            </w:pPr>
          </w:p>
        </w:tc>
      </w:tr>
      <w:tr>
        <w:trPr>
          <w:trHeight w:val="131"/>
        </w:trPr>
        <w:tc>
          <w:tcPr>
            <w:tcW w:w="5640" w:type="dxa"/>
            <w:vAlign w:val="bottom"/>
          </w:tcPr>
          <w:p>
            <w:pPr>
              <w:spacing w:after="0"/>
              <w:rPr>
                <w:sz w:val="11"/>
                <w:szCs w:val="11"/>
                <w:color w:val="auto"/>
              </w:rPr>
            </w:pPr>
          </w:p>
        </w:tc>
        <w:tc>
          <w:tcPr>
            <w:tcW w:w="1240" w:type="dxa"/>
            <w:vAlign w:val="bottom"/>
            <w:gridSpan w:val="2"/>
          </w:tcPr>
          <w:p>
            <w:pPr>
              <w:ind w:left="740"/>
              <w:spacing w:after="0" w:line="131" w:lineRule="exact"/>
              <w:rPr>
                <w:sz w:val="20"/>
                <w:szCs w:val="20"/>
                <w:color w:val="auto"/>
              </w:rPr>
            </w:pPr>
            <w:r>
              <w:rPr>
                <w:rFonts w:ascii="Arial" w:cs="Arial" w:eastAsia="Arial" w:hAnsi="Arial"/>
                <w:sz w:val="14"/>
                <w:szCs w:val="14"/>
                <w:color w:val="auto"/>
                <w:w w:val="94"/>
              </w:rPr>
              <w:t>Pension</w:t>
            </w:r>
          </w:p>
        </w:tc>
        <w:tc>
          <w:tcPr>
            <w:tcW w:w="16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92"/>
              </w:rPr>
              <w:t>Postretirement</w:t>
            </w:r>
          </w:p>
        </w:tc>
        <w:tc>
          <w:tcPr>
            <w:tcW w:w="1220" w:type="dxa"/>
            <w:vAlign w:val="bottom"/>
            <w:gridSpan w:val="2"/>
          </w:tcPr>
          <w:p>
            <w:pPr>
              <w:ind w:left="760"/>
              <w:spacing w:after="0" w:line="131" w:lineRule="exact"/>
              <w:rPr>
                <w:sz w:val="20"/>
                <w:szCs w:val="20"/>
                <w:color w:val="auto"/>
              </w:rPr>
            </w:pPr>
            <w:r>
              <w:rPr>
                <w:rFonts w:ascii="Arial" w:cs="Arial" w:eastAsia="Arial" w:hAnsi="Arial"/>
                <w:sz w:val="14"/>
                <w:szCs w:val="14"/>
                <w:color w:val="auto"/>
                <w:w w:val="86"/>
              </w:rPr>
              <w:t>Pension</w:t>
            </w:r>
          </w:p>
        </w:tc>
        <w:tc>
          <w:tcPr>
            <w:tcW w:w="1700" w:type="dxa"/>
            <w:vAlign w:val="bottom"/>
            <w:gridSpan w:val="2"/>
          </w:tcPr>
          <w:p>
            <w:pPr>
              <w:ind w:left="820"/>
              <w:spacing w:after="0" w:line="131" w:lineRule="exact"/>
              <w:rPr>
                <w:sz w:val="20"/>
                <w:szCs w:val="20"/>
                <w:color w:val="auto"/>
              </w:rPr>
            </w:pPr>
            <w:r>
              <w:rPr>
                <w:rFonts w:ascii="Arial" w:cs="Arial" w:eastAsia="Arial" w:hAnsi="Arial"/>
                <w:sz w:val="14"/>
                <w:szCs w:val="14"/>
                <w:color w:val="auto"/>
                <w:w w:val="94"/>
              </w:rPr>
              <w:t>Postretirement</w:t>
            </w:r>
          </w:p>
        </w:tc>
      </w:tr>
      <w:tr>
        <w:trPr>
          <w:trHeight w:val="173"/>
        </w:trPr>
        <w:tc>
          <w:tcPr>
            <w:tcW w:w="5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4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color w:val="auto"/>
                <w:w w:val="98"/>
              </w:rPr>
              <w:t>Benefits</w:t>
            </w:r>
          </w:p>
        </w:tc>
        <w:tc>
          <w:tcPr>
            <w:tcW w:w="9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6"/>
              </w:rPr>
              <w:t>Benefits</w:t>
            </w:r>
          </w:p>
        </w:tc>
        <w:tc>
          <w:tcPr>
            <w:tcW w:w="122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color w:val="auto"/>
                <w:w w:val="86"/>
              </w:rPr>
              <w:t>Benefits</w:t>
            </w:r>
          </w:p>
        </w:tc>
        <w:tc>
          <w:tcPr>
            <w:tcW w:w="1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rPr>
              <w:t>Benefits</w:t>
            </w:r>
          </w:p>
        </w:tc>
      </w:tr>
      <w:tr>
        <w:trPr>
          <w:trHeight w:val="210"/>
        </w:trPr>
        <w:tc>
          <w:tcPr>
            <w:tcW w:w="564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E5E5E5"/>
          </w:tcPr>
          <w:p>
            <w:pPr>
              <w:ind w:left="7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63</w:t>
            </w:r>
          </w:p>
        </w:tc>
        <w:tc>
          <w:tcPr>
            <w:tcW w:w="920" w:type="dxa"/>
            <w:vAlign w:val="bottom"/>
            <w:shd w:val="clear" w:color="auto" w:fill="E5E5E5"/>
          </w:tcPr>
          <w:p>
            <w:pPr>
              <w:ind w:left="76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940" w:type="dxa"/>
            <w:vAlign w:val="bottom"/>
            <w:shd w:val="clear" w:color="auto" w:fill="E5E5E5"/>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w:t>
            </w:r>
          </w:p>
        </w:tc>
        <w:tc>
          <w:tcPr>
            <w:tcW w:w="134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9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1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56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9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benefits expense</w:t>
            </w:r>
          </w:p>
        </w:tc>
        <w:tc>
          <w:tcPr>
            <w:tcW w:w="9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92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34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April 2012, we provided initial funding to our qualified defined benefit plan of $76 million. The expected return on the plan assets is 5%.</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Certain of our employees receive awards of stock options and restricted share units (“RSUs”) under Comcast equity plans and participate in employee stock purchase plans. The expense associated with participation in these plans, including the expense associated with awards to former Comcast employees who had nonvested equity awards as of the closing date, is settled in cash with Comcast. In addition, while the majority of GE granted stock options and RSUs vested in conjunction with the Joint Venture transaction, some of our employees continue to vest in GE equity plans.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 – Comcast and GE Equity Awards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w w:val="85"/>
              </w:rPr>
              <w:t>Successor</w:t>
            </w:r>
          </w:p>
        </w:tc>
        <w:tc>
          <w:tcPr>
            <w:tcW w:w="280" w:type="dxa"/>
            <w:vAlign w:val="bottom"/>
            <w:tcBorders>
              <w:bottom w:val="single" w:sz="8" w:color="auto"/>
            </w:tcBorders>
          </w:tcPr>
          <w:p>
            <w:pPr>
              <w:spacing w:after="0"/>
              <w:rPr>
                <w:sz w:val="14"/>
                <w:szCs w:val="14"/>
                <w:color w:val="auto"/>
              </w:rPr>
            </w:pPr>
          </w:p>
        </w:tc>
      </w:tr>
      <w:tr>
        <w:trPr>
          <w:trHeight w:val="237"/>
        </w:trPr>
        <w:tc>
          <w:tcPr>
            <w:tcW w:w="8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7"/>
              </w:rPr>
              <w:t>Three Months Ended June 30</w:t>
            </w:r>
          </w:p>
        </w:tc>
        <w:tc>
          <w:tcPr>
            <w:tcW w:w="280" w:type="dxa"/>
            <w:vAlign w:val="bottom"/>
            <w:tcBorders>
              <w:bottom w:val="single" w:sz="8" w:color="auto"/>
            </w:tcBorders>
          </w:tcPr>
          <w:p>
            <w:pPr>
              <w:spacing w:after="0"/>
              <w:rPr>
                <w:sz w:val="20"/>
                <w:szCs w:val="20"/>
                <w:color w:val="auto"/>
              </w:rPr>
            </w:pPr>
          </w:p>
        </w:tc>
      </w:tr>
      <w:tr>
        <w:trPr>
          <w:trHeight w:val="237"/>
        </w:trPr>
        <w:tc>
          <w:tcPr>
            <w:tcW w:w="8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w w:val="89"/>
              </w:rPr>
              <w:t>2012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20"/>
                <w:szCs w:val="20"/>
                <w:color w:val="auto"/>
              </w:rPr>
            </w:pPr>
          </w:p>
        </w:tc>
      </w:tr>
      <w:tr>
        <w:trPr>
          <w:trHeight w:val="210"/>
        </w:trPr>
        <w:tc>
          <w:tcPr>
            <w:tcW w:w="8220" w:type="dxa"/>
            <w:vAlign w:val="bottom"/>
            <w:shd w:val="clear" w:color="auto" w:fill="E5E5E5"/>
          </w:tcPr>
          <w:p>
            <w:pPr>
              <w:spacing w:after="0"/>
              <w:rPr>
                <w:sz w:val="20"/>
                <w:szCs w:val="20"/>
                <w:color w:val="auto"/>
              </w:rPr>
            </w:pPr>
            <w:r>
              <w:rPr>
                <w:rFonts w:ascii="Arial" w:cs="Arial" w:eastAsia="Arial" w:hAnsi="Arial"/>
                <w:sz w:val="18"/>
                <w:szCs w:val="18"/>
                <w:color w:val="auto"/>
              </w:rPr>
              <w:t>Comcast equity awards</w:t>
            </w: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r>
      <w:tr>
        <w:trPr>
          <w:trHeight w:val="216"/>
        </w:trPr>
        <w:tc>
          <w:tcPr>
            <w:tcW w:w="822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16"/>
        </w:trPr>
        <w:tc>
          <w:tcPr>
            <w:tcW w:w="8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8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Employee stock purchase plan</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r>
      <w:tr>
        <w:trPr>
          <w:trHeight w:val="210"/>
        </w:trPr>
        <w:tc>
          <w:tcPr>
            <w:tcW w:w="82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E5E5E5"/>
          </w:tcPr>
          <w:p>
            <w:pPr>
              <w:spacing w:after="0"/>
              <w:rPr>
                <w:sz w:val="18"/>
                <w:szCs w:val="18"/>
                <w:color w:val="auto"/>
              </w:rPr>
            </w:pP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GE equity awards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82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Stock options</w:t>
            </w:r>
          </w:p>
        </w:tc>
        <w:tc>
          <w:tcPr>
            <w:tcW w:w="1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8"/>
              </w:rPr>
              <w:t>—</w:t>
            </w:r>
          </w:p>
        </w:tc>
      </w:tr>
      <w:tr>
        <w:trPr>
          <w:trHeight w:val="216"/>
        </w:trPr>
        <w:tc>
          <w:tcPr>
            <w:tcW w:w="8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Restricted share units</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10"/>
        </w:trPr>
        <w:tc>
          <w:tcPr>
            <w:tcW w:w="822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112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7"/>
        </w:trPr>
        <w:tc>
          <w:tcPr>
            <w:tcW w:w="8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120" w:type="dxa"/>
            <w:vAlign w:val="bottom"/>
            <w:tcBorders>
              <w:bottom w:val="single" w:sz="8" w:color="auto"/>
            </w:tcBorders>
          </w:tcPr>
          <w:p>
            <w:pPr>
              <w:jc w:val="right"/>
              <w:ind w:right="30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13</w:t>
            </w:r>
          </w:p>
        </w:tc>
      </w:tr>
    </w:tbl>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color w:val="auto"/>
                <w:w w:val="83"/>
              </w:rPr>
              <w:t>Predecessor</w:t>
            </w:r>
          </w:p>
        </w:tc>
      </w:tr>
      <w:tr>
        <w:trPr>
          <w:trHeight w:val="131"/>
        </w:trPr>
        <w:tc>
          <w:tcPr>
            <w:tcW w:w="5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gridSpan w:val="2"/>
          </w:tcPr>
          <w:p>
            <w:pPr>
              <w:jc w:val="right"/>
              <w:ind w:right="252"/>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jc w:val="center"/>
              <w:ind w:right="136"/>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5160" w:type="dxa"/>
            <w:vAlign w:val="bottom"/>
          </w:tcPr>
          <w:p>
            <w:pPr>
              <w:spacing w:after="0"/>
              <w:rPr>
                <w:sz w:val="12"/>
                <w:szCs w:val="12"/>
                <w:color w:val="auto"/>
              </w:rPr>
            </w:pPr>
          </w:p>
        </w:tc>
        <w:tc>
          <w:tcPr>
            <w:tcW w:w="178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Six Months Ended</w:t>
            </w:r>
          </w:p>
        </w:tc>
        <w:tc>
          <w:tcPr>
            <w:tcW w:w="210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680" w:type="dxa"/>
            <w:vAlign w:val="bottom"/>
          </w:tcPr>
          <w:p>
            <w:pPr>
              <w:spacing w:after="0"/>
              <w:rPr>
                <w:sz w:val="12"/>
                <w:szCs w:val="12"/>
                <w:color w:val="auto"/>
              </w:rPr>
            </w:pPr>
          </w:p>
        </w:tc>
        <w:tc>
          <w:tcPr>
            <w:tcW w:w="1700" w:type="dxa"/>
            <w:vAlign w:val="bottom"/>
            <w:gridSpan w:val="2"/>
          </w:tcPr>
          <w:p>
            <w:pPr>
              <w:ind w:left="600"/>
              <w:spacing w:after="0" w:line="149" w:lineRule="exact"/>
              <w:rPr>
                <w:sz w:val="20"/>
                <w:szCs w:val="20"/>
                <w:color w:val="auto"/>
              </w:rPr>
            </w:pPr>
            <w:r>
              <w:rPr>
                <w:rFonts w:ascii="Arial" w:cs="Arial" w:eastAsia="Arial" w:hAnsi="Arial"/>
                <w:sz w:val="14"/>
                <w:szCs w:val="14"/>
                <w:color w:val="auto"/>
                <w:w w:val="93"/>
              </w:rPr>
              <w:t>January 1, 2011 to</w:t>
            </w:r>
          </w:p>
        </w:tc>
      </w:tr>
      <w:tr>
        <w:trPr>
          <w:trHeight w:val="159"/>
        </w:trPr>
        <w:tc>
          <w:tcPr>
            <w:tcW w:w="51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6"/>
              <w:spacing w:after="0" w:line="159" w:lineRule="exact"/>
              <w:rPr>
                <w:sz w:val="20"/>
                <w:szCs w:val="20"/>
                <w:color w:val="auto"/>
              </w:rPr>
            </w:pPr>
            <w:r>
              <w:rPr>
                <w:rFonts w:ascii="Arial" w:cs="Arial" w:eastAsia="Arial" w:hAnsi="Arial"/>
                <w:sz w:val="14"/>
                <w:szCs w:val="14"/>
                <w:color w:val="auto"/>
                <w:w w:val="85"/>
              </w:rPr>
              <w:t>June 30, 2012</w:t>
            </w:r>
          </w:p>
        </w:tc>
        <w:tc>
          <w:tcPr>
            <w:tcW w:w="2100" w:type="dxa"/>
            <w:vAlign w:val="bottom"/>
            <w:tcBorders>
              <w:bottom w:val="single" w:sz="8" w:color="auto"/>
              <w:right w:val="single" w:sz="8" w:color="auto"/>
            </w:tcBorders>
            <w:gridSpan w:val="3"/>
          </w:tcPr>
          <w:p>
            <w:pPr>
              <w:ind w:left="220"/>
              <w:spacing w:after="0" w:line="159" w:lineRule="exact"/>
              <w:rPr>
                <w:sz w:val="20"/>
                <w:szCs w:val="20"/>
                <w:color w:val="auto"/>
              </w:rPr>
            </w:pPr>
            <w:r>
              <w:rPr>
                <w:rFonts w:ascii="Arial" w:cs="Arial" w:eastAsia="Arial" w:hAnsi="Arial"/>
                <w:sz w:val="14"/>
                <w:szCs w:val="14"/>
                <w:color w:val="auto"/>
              </w:rPr>
              <w:t>to June 30, 2011</w:t>
            </w:r>
          </w:p>
        </w:tc>
        <w:tc>
          <w:tcPr>
            <w:tcW w:w="6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center"/>
              <w:ind w:left="432"/>
              <w:spacing w:after="0" w:line="159" w:lineRule="exact"/>
              <w:rPr>
                <w:sz w:val="20"/>
                <w:szCs w:val="20"/>
                <w:color w:val="auto"/>
              </w:rPr>
            </w:pPr>
            <w:r>
              <w:rPr>
                <w:rFonts w:ascii="Arial" w:cs="Arial" w:eastAsia="Arial" w:hAnsi="Arial"/>
                <w:sz w:val="14"/>
                <w:szCs w:val="14"/>
                <w:color w:val="auto"/>
                <w:w w:val="85"/>
              </w:rPr>
              <w:t>January 28, 2011</w:t>
            </w:r>
          </w:p>
        </w:tc>
      </w:tr>
      <w:tr>
        <w:trPr>
          <w:trHeight w:val="210"/>
        </w:trPr>
        <w:tc>
          <w:tcPr>
            <w:tcW w:w="5160" w:type="dxa"/>
            <w:vAlign w:val="bottom"/>
            <w:shd w:val="clear" w:color="auto" w:fill="E5E5E5"/>
          </w:tcPr>
          <w:p>
            <w:pPr>
              <w:spacing w:after="0"/>
              <w:rPr>
                <w:sz w:val="20"/>
                <w:szCs w:val="20"/>
                <w:color w:val="auto"/>
              </w:rPr>
            </w:pPr>
            <w:r>
              <w:rPr>
                <w:rFonts w:ascii="Arial" w:cs="Arial" w:eastAsia="Arial" w:hAnsi="Arial"/>
                <w:sz w:val="18"/>
                <w:szCs w:val="18"/>
                <w:color w:val="auto"/>
              </w:rPr>
              <w:t>Comcast equity awards</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Stock options</w:t>
            </w:r>
          </w:p>
        </w:tc>
        <w:tc>
          <w:tcPr>
            <w:tcW w:w="680" w:type="dxa"/>
            <w:vAlign w:val="bottom"/>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8</w:t>
            </w:r>
          </w:p>
        </w:tc>
        <w:tc>
          <w:tcPr>
            <w:tcW w:w="62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2"/>
              <w:spacing w:after="0"/>
              <w:rPr>
                <w:sz w:val="20"/>
                <w:szCs w:val="20"/>
                <w:color w:val="auto"/>
              </w:rPr>
            </w:pPr>
            <w:r>
              <w:rPr>
                <w:rFonts w:ascii="Arial" w:cs="Arial" w:eastAsia="Arial" w:hAnsi="Arial"/>
                <w:sz w:val="18"/>
                <w:szCs w:val="18"/>
                <w:color w:val="auto"/>
              </w:rPr>
              <w:t>4</w:t>
            </w:r>
          </w:p>
        </w:tc>
        <w:tc>
          <w:tcPr>
            <w:tcW w:w="700" w:type="dxa"/>
            <w:vAlign w:val="bottom"/>
            <w:tcBorders>
              <w:right w:val="single" w:sz="8" w:color="auto"/>
            </w:tcBorders>
          </w:tcPr>
          <w:p>
            <w:pPr>
              <w:spacing w:after="0"/>
              <w:rPr>
                <w:sz w:val="18"/>
                <w:szCs w:val="18"/>
                <w:color w:val="auto"/>
              </w:rPr>
            </w:pPr>
          </w:p>
        </w:tc>
        <w:tc>
          <w:tcPr>
            <w:tcW w:w="1380" w:type="dxa"/>
            <w:vAlign w:val="bottom"/>
            <w:gridSpan w:val="2"/>
          </w:tcPr>
          <w:p>
            <w:pPr>
              <w:ind w:left="1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Restricted share units</w:t>
            </w: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15</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Employee stock purchase plan</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gridSpan w:val="2"/>
          </w:tcPr>
          <w:p>
            <w:pPr>
              <w:jc w:val="right"/>
              <w:ind w:right="9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10"/>
        </w:trPr>
        <w:tc>
          <w:tcPr>
            <w:tcW w:w="516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25</w:t>
            </w:r>
          </w:p>
        </w:tc>
        <w:tc>
          <w:tcPr>
            <w:tcW w:w="6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12</w:t>
            </w:r>
          </w:p>
        </w:tc>
        <w:tc>
          <w:tcPr>
            <w:tcW w:w="700" w:type="dxa"/>
            <w:vAlign w:val="bottom"/>
            <w:tcBorders>
              <w:right w:val="single" w:sz="8" w:color="auto"/>
            </w:tcBorders>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GE equity awards</w:t>
            </w: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1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Stock options</w:t>
            </w:r>
          </w:p>
        </w:tc>
        <w:tc>
          <w:tcPr>
            <w:tcW w:w="680" w:type="dxa"/>
            <w:vAlign w:val="bottom"/>
            <w:shd w:val="clear" w:color="auto" w:fill="E5E5E5"/>
          </w:tcPr>
          <w:p>
            <w:pPr>
              <w:ind w:left="5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1</w:t>
            </w:r>
          </w:p>
        </w:tc>
        <w:tc>
          <w:tcPr>
            <w:tcW w:w="6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700" w:type="dxa"/>
            <w:vAlign w:val="bottom"/>
            <w:tcBorders>
              <w:right w:val="single" w:sz="8" w:color="auto"/>
            </w:tcBorders>
            <w:shd w:val="clear" w:color="auto" w:fill="E5E5E5"/>
          </w:tcPr>
          <w:p>
            <w:pPr>
              <w:spacing w:after="0"/>
              <w:rPr>
                <w:sz w:val="18"/>
                <w:szCs w:val="18"/>
                <w:color w:val="auto"/>
              </w:rPr>
            </w:pPr>
          </w:p>
        </w:tc>
        <w:tc>
          <w:tcPr>
            <w:tcW w:w="1380" w:type="dxa"/>
            <w:vAlign w:val="bottom"/>
            <w:gridSpan w:val="2"/>
            <w:shd w:val="clear" w:color="auto" w:fill="E5E5E5"/>
          </w:tcPr>
          <w:p>
            <w:pPr>
              <w:ind w:left="1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32</w:t>
            </w:r>
          </w:p>
        </w:tc>
      </w:tr>
      <w:tr>
        <w:trPr>
          <w:trHeight w:val="216"/>
        </w:trPr>
        <w:tc>
          <w:tcPr>
            <w:tcW w:w="5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Restricted share units</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12</w:t>
            </w:r>
          </w:p>
        </w:tc>
        <w:tc>
          <w:tcPr>
            <w:tcW w:w="7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1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16"/>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31</w:t>
            </w:r>
          </w:p>
        </w:tc>
      </w:tr>
      <w:tr>
        <w:trPr>
          <w:trHeight w:val="21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rPr>
              <w:t>29</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25</w:t>
            </w:r>
          </w:p>
        </w:tc>
        <w:tc>
          <w:tcPr>
            <w:tcW w:w="7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tcBorders>
            <w:gridSpan w:val="2"/>
          </w:tcPr>
          <w:p>
            <w:pPr>
              <w:ind w:left="128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Successor</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tcPr>
          <w:p>
            <w:pPr>
              <w:ind w:left="680"/>
              <w:spacing w:after="0" w:line="142" w:lineRule="exact"/>
              <w:rPr>
                <w:sz w:val="20"/>
                <w:szCs w:val="20"/>
                <w:color w:val="auto"/>
              </w:rPr>
            </w:pPr>
            <w:r>
              <w:rPr>
                <w:rFonts w:ascii="Arial" w:cs="Arial" w:eastAsia="Arial" w:hAnsi="Arial"/>
                <w:sz w:val="14"/>
                <w:szCs w:val="14"/>
                <w:color w:val="auto"/>
              </w:rPr>
              <w:t>June 30, 2012</w:t>
            </w:r>
          </w:p>
        </w:tc>
        <w:tc>
          <w:tcPr>
            <w:tcW w:w="178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02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88"/>
              </w:rPr>
              <w:t>3,888</w:t>
            </w:r>
          </w:p>
        </w:tc>
        <w:tc>
          <w:tcPr>
            <w:tcW w:w="116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Less: Allowance for returns and customer incentives</w:t>
            </w:r>
          </w:p>
        </w:tc>
        <w:tc>
          <w:tcPr>
            <w:tcW w:w="1020" w:type="dxa"/>
            <w:vAlign w:val="bottom"/>
          </w:tcPr>
          <w:p>
            <w:pPr>
              <w:spacing w:after="0"/>
              <w:rPr>
                <w:sz w:val="18"/>
                <w:szCs w:val="18"/>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259</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10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42</w:t>
            </w:r>
          </w:p>
        </w:tc>
        <w:tc>
          <w:tcPr>
            <w:tcW w:w="1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Receivables, net</w:t>
            </w: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8"/>
              </w:rPr>
              <w:t>3,587</w:t>
            </w: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3,557</w:t>
            </w:r>
          </w:p>
        </w:tc>
        <w:tc>
          <w:tcPr>
            <w:tcW w:w="0" w:type="dxa"/>
            <w:vAlign w:val="bottom"/>
          </w:tcPr>
          <w:p>
            <w:pPr>
              <w:spacing w:after="0"/>
              <w:rPr>
                <w:sz w:val="1"/>
                <w:szCs w:val="1"/>
                <w:color w:val="auto"/>
              </w:rPr>
            </w:pPr>
          </w:p>
        </w:tc>
      </w:tr>
      <w:tr>
        <w:trPr>
          <w:trHeight w:val="233"/>
        </w:trPr>
        <w:tc>
          <w:tcPr>
            <w:tcW w:w="7880" w:type="dxa"/>
            <w:vAlign w:val="bottom"/>
            <w:gridSpan w:val="2"/>
          </w:tcPr>
          <w:p>
            <w:pPr>
              <w:ind w:left="3600"/>
              <w:spacing w:after="0"/>
              <w:rPr>
                <w:sz w:val="20"/>
                <w:szCs w:val="20"/>
                <w:color w:val="auto"/>
              </w:rPr>
            </w:pPr>
            <w:r>
              <w:rPr>
                <w:rFonts w:ascii="Arial" w:cs="Arial" w:eastAsia="Arial" w:hAnsi="Arial"/>
                <w:sz w:val="18"/>
                <w:szCs w:val="18"/>
                <w:b w:val="1"/>
                <w:bCs w:val="1"/>
                <w:color w:val="auto"/>
                <w:w w:val="98"/>
              </w:rPr>
              <w:t>Accumulated Other Comprehensive Income (Loss)</w:t>
            </w: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88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10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Successor</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880" w:type="dxa"/>
            <w:vAlign w:val="bottom"/>
            <w:tcBorders>
              <w:bottom w:val="single" w:sz="8" w:color="auto"/>
            </w:tcBorders>
            <w:gridSpan w:val="2"/>
            <w:vMerge w:val="continue"/>
          </w:tcPr>
          <w:p>
            <w:pPr>
              <w:spacing w:after="0"/>
              <w:rPr>
                <w:sz w:val="12"/>
                <w:szCs w:val="12"/>
                <w:color w:val="auto"/>
              </w:rPr>
            </w:pPr>
          </w:p>
        </w:tc>
        <w:tc>
          <w:tcPr>
            <w:tcW w:w="1760" w:type="dxa"/>
            <w:vAlign w:val="bottom"/>
            <w:tcBorders>
              <w:bottom w:val="single" w:sz="8" w:color="auto"/>
            </w:tcBorders>
            <w:gridSpan w:val="2"/>
          </w:tcPr>
          <w:p>
            <w:pPr>
              <w:ind w:left="900"/>
              <w:spacing w:after="0" w:line="142" w:lineRule="exact"/>
              <w:rPr>
                <w:sz w:val="20"/>
                <w:szCs w:val="20"/>
                <w:color w:val="auto"/>
              </w:rPr>
            </w:pPr>
            <w:r>
              <w:rPr>
                <w:rFonts w:ascii="Arial" w:cs="Arial" w:eastAsia="Arial" w:hAnsi="Arial"/>
                <w:sz w:val="14"/>
                <w:szCs w:val="14"/>
                <w:color w:val="auto"/>
                <w:w w:val="94"/>
              </w:rPr>
              <w:t>June 30, 2012</w:t>
            </w:r>
          </w:p>
        </w:tc>
        <w:tc>
          <w:tcPr>
            <w:tcW w:w="178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color w:val="auto"/>
                <w:w w:val="94"/>
              </w:rPr>
              <w:t>June 30, 2011</w:t>
            </w:r>
          </w:p>
        </w:tc>
        <w:tc>
          <w:tcPr>
            <w:tcW w:w="0" w:type="dxa"/>
            <w:vAlign w:val="bottom"/>
          </w:tcPr>
          <w:p>
            <w:pPr>
              <w:spacing w:after="0"/>
              <w:rPr>
                <w:sz w:val="1"/>
                <w:szCs w:val="1"/>
                <w:color w:val="auto"/>
              </w:rPr>
            </w:pPr>
          </w:p>
        </w:tc>
      </w:tr>
      <w:tr>
        <w:trPr>
          <w:trHeight w:val="210"/>
        </w:trPr>
        <w:tc>
          <w:tcPr>
            <w:tcW w:w="78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Unrealized gains (losses) on derivative financial instruments</w:t>
            </w:r>
          </w:p>
        </w:tc>
        <w:tc>
          <w:tcPr>
            <w:tcW w:w="1020" w:type="dxa"/>
            <w:vAlign w:val="bottom"/>
            <w:shd w:val="clear" w:color="auto" w:fill="E5E5E5"/>
          </w:tcPr>
          <w:p>
            <w:pPr>
              <w:ind w:left="9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c>
          <w:tcPr>
            <w:tcW w:w="1160" w:type="dxa"/>
            <w:vAlign w:val="bottom"/>
            <w:shd w:val="clear" w:color="auto" w:fill="E5E5E5"/>
          </w:tcPr>
          <w:p>
            <w:pPr>
              <w:ind w:left="920"/>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10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8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color w:val="auto"/>
              </w:rPr>
              <w:t>Cumulative translation adjustments</w:t>
            </w:r>
          </w:p>
        </w:tc>
        <w:tc>
          <w:tcPr>
            <w:tcW w:w="10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11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7"/>
        </w:trPr>
        <w:tc>
          <w:tcPr>
            <w:tcW w:w="7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02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363"/>
        </w:trPr>
        <w:tc>
          <w:tcPr>
            <w:tcW w:w="7640" w:type="dxa"/>
            <w:vAlign w:val="bottom"/>
          </w:tcPr>
          <w:p>
            <w:pPr>
              <w:ind w:left="56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Costs and Expenses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212"/>
              <w:spacing w:after="0"/>
              <w:rPr>
                <w:sz w:val="20"/>
                <w:szCs w:val="20"/>
                <w:color w:val="auto"/>
              </w:rPr>
            </w:pPr>
            <w:r>
              <w:rPr>
                <w:rFonts w:ascii="Arial" w:cs="Arial" w:eastAsia="Arial" w:hAnsi="Arial"/>
                <w:sz w:val="14"/>
                <w:szCs w:val="14"/>
                <w:color w:val="auto"/>
                <w:w w:val="82"/>
              </w:rPr>
              <w:t>Successor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232"/>
              <w:spacing w:after="0" w:line="131" w:lineRule="exact"/>
              <w:rPr>
                <w:sz w:val="20"/>
                <w:szCs w:val="20"/>
                <w:color w:val="auto"/>
              </w:rPr>
            </w:pPr>
            <w:r>
              <w:rPr>
                <w:rFonts w:ascii="Arial" w:cs="Arial" w:eastAsia="Arial" w:hAnsi="Arial"/>
                <w:sz w:val="14"/>
                <w:szCs w:val="14"/>
                <w:color w:val="auto"/>
                <w:w w:val="87"/>
              </w:rPr>
              <w:t>Three Months</w:t>
            </w:r>
          </w:p>
        </w:tc>
      </w:tr>
      <w:tr>
        <w:trPr>
          <w:trHeight w:val="159"/>
        </w:trPr>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212"/>
              <w:spacing w:after="0" w:line="159" w:lineRule="exact"/>
              <w:rPr>
                <w:sz w:val="20"/>
                <w:szCs w:val="20"/>
                <w:color w:val="auto"/>
              </w:rPr>
            </w:pPr>
            <w:r>
              <w:rPr>
                <w:rFonts w:ascii="Arial" w:cs="Arial" w:eastAsia="Arial" w:hAnsi="Arial"/>
                <w:sz w:val="14"/>
                <w:szCs w:val="14"/>
                <w:color w:val="auto"/>
                <w:w w:val="82"/>
              </w:rPr>
              <w:t>Ended June 30</w:t>
            </w:r>
          </w:p>
        </w:tc>
      </w:tr>
      <w:tr>
        <w:trPr>
          <w:trHeight w:val="237"/>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color w:val="auto"/>
                <w:w w:val="83"/>
              </w:rPr>
              <w:t>2012</w:t>
            </w: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74"/>
              <w:spacing w:after="0"/>
              <w:rPr>
                <w:sz w:val="20"/>
                <w:szCs w:val="20"/>
                <w:color w:val="auto"/>
              </w:rPr>
            </w:pPr>
            <w:r>
              <w:rPr>
                <w:rFonts w:ascii="Arial" w:cs="Arial" w:eastAsia="Arial" w:hAnsi="Arial"/>
                <w:sz w:val="18"/>
                <w:szCs w:val="18"/>
                <w:color w:val="auto"/>
                <w:w w:val="90"/>
              </w:rPr>
              <w:t>$2,736</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$2,649</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4"/>
          </w:tcPr>
          <w:p>
            <w:pPr>
              <w:jc w:val="right"/>
              <w:ind w:right="72"/>
              <w:spacing w:after="0"/>
              <w:rPr>
                <w:sz w:val="20"/>
                <w:szCs w:val="20"/>
                <w:color w:val="auto"/>
              </w:rPr>
            </w:pPr>
            <w:r>
              <w:rPr>
                <w:rFonts w:ascii="Arial" w:cs="Arial" w:eastAsia="Arial" w:hAnsi="Arial"/>
                <w:sz w:val="18"/>
                <w:szCs w:val="18"/>
                <w:color w:val="auto"/>
              </w:rPr>
              <w:t>648</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528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1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E5E5E5"/>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240" w:type="dxa"/>
            <w:vAlign w:val="bottom"/>
            <w:tcBorders>
              <w:bottom w:val="single" w:sz="8" w:color="auto"/>
            </w:tcBorders>
            <w:gridSpan w:val="4"/>
            <w:shd w:val="clear" w:color="auto" w:fill="E5E5E5"/>
          </w:tcPr>
          <w:p>
            <w:pPr>
              <w:jc w:val="right"/>
              <w:ind w:right="72"/>
              <w:spacing w:after="0"/>
              <w:rPr>
                <w:sz w:val="20"/>
                <w:szCs w:val="20"/>
                <w:color w:val="auto"/>
              </w:rPr>
            </w:pPr>
            <w:r>
              <w:rPr>
                <w:rFonts w:ascii="Arial" w:cs="Arial" w:eastAsia="Arial" w:hAnsi="Arial"/>
                <w:sz w:val="18"/>
                <w:szCs w:val="18"/>
                <w:color w:val="auto"/>
              </w:rPr>
              <w:t>1,138</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1,016</w:t>
            </w: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7"/>
        </w:trPr>
        <w:tc>
          <w:tcPr>
            <w:tcW w:w="52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and amortization)</w:t>
            </w:r>
          </w:p>
        </w:tc>
        <w:tc>
          <w:tcPr>
            <w:tcW w:w="6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8"/>
                <w:szCs w:val="18"/>
                <w:b w:val="1"/>
                <w:bCs w:val="1"/>
                <w:color w:val="auto"/>
                <w:w w:val="90"/>
              </w:rPr>
              <w:t>$4,522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$4,178</w:t>
            </w:r>
          </w:p>
        </w:tc>
      </w:tr>
      <w:tr>
        <w:trPr>
          <w:trHeight w:val="216"/>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color w:val="auto"/>
              </w:rPr>
              <w:t>Successor</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20" w:type="dxa"/>
            <w:vAlign w:val="bottom"/>
            <w:gridSpan w:val="3"/>
          </w:tcPr>
          <w:p>
            <w:pPr>
              <w:ind w:left="80"/>
              <w:spacing w:after="0" w:line="131" w:lineRule="exact"/>
              <w:rPr>
                <w:sz w:val="20"/>
                <w:szCs w:val="20"/>
                <w:color w:val="auto"/>
              </w:rPr>
            </w:pPr>
            <w:r>
              <w:rPr>
                <w:rFonts w:ascii="Arial" w:cs="Arial" w:eastAsia="Arial" w:hAnsi="Arial"/>
                <w:sz w:val="14"/>
                <w:szCs w:val="14"/>
                <w:color w:val="auto"/>
              </w:rPr>
              <w:t>For the Period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412"/>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980" w:type="dxa"/>
            <w:vAlign w:val="bottom"/>
            <w:tcBorders>
              <w:right w:val="single" w:sz="8" w:color="auto"/>
            </w:tcBorders>
            <w:gridSpan w:val="6"/>
          </w:tcPr>
          <w:p>
            <w:pPr>
              <w:ind w:left="20"/>
              <w:spacing w:after="0" w:line="149" w:lineRule="exact"/>
              <w:rPr>
                <w:sz w:val="20"/>
                <w:szCs w:val="20"/>
                <w:color w:val="auto"/>
              </w:rPr>
            </w:pPr>
            <w:r>
              <w:rPr>
                <w:rFonts w:ascii="Arial" w:cs="Arial" w:eastAsia="Arial" w:hAnsi="Arial"/>
                <w:sz w:val="14"/>
                <w:szCs w:val="14"/>
                <w:color w:val="auto"/>
              </w:rPr>
              <w:t>January 29, 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5"/>
              </w:rPr>
              <w:t>January 1, 2011</w:t>
            </w:r>
          </w:p>
        </w:tc>
      </w:tr>
      <w:tr>
        <w:trPr>
          <w:trHeight w:val="159"/>
        </w:trPr>
        <w:tc>
          <w:tcPr>
            <w:tcW w:w="52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76"/>
              <w:spacing w:after="0" w:line="159" w:lineRule="exact"/>
              <w:rPr>
                <w:sz w:val="20"/>
                <w:szCs w:val="20"/>
                <w:color w:val="auto"/>
              </w:rPr>
            </w:pPr>
            <w:r>
              <w:rPr>
                <w:rFonts w:ascii="Arial" w:cs="Arial" w:eastAsia="Arial" w:hAnsi="Arial"/>
                <w:sz w:val="14"/>
                <w:szCs w:val="14"/>
                <w:color w:val="auto"/>
                <w:w w:val="83"/>
              </w:rPr>
              <w:t>June 30, 2012</w:t>
            </w:r>
          </w:p>
        </w:tc>
        <w:tc>
          <w:tcPr>
            <w:tcW w:w="1980" w:type="dxa"/>
            <w:vAlign w:val="bottom"/>
            <w:tcBorders>
              <w:bottom w:val="single" w:sz="8" w:color="auto"/>
              <w:right w:val="single" w:sz="8" w:color="auto"/>
            </w:tcBorders>
            <w:gridSpan w:val="6"/>
          </w:tcPr>
          <w:p>
            <w:pPr>
              <w:ind w:left="20"/>
              <w:spacing w:after="0" w:line="159" w:lineRule="exact"/>
              <w:rPr>
                <w:sz w:val="20"/>
                <w:szCs w:val="20"/>
                <w:color w:val="auto"/>
              </w:rPr>
            </w:pPr>
            <w:r>
              <w:rPr>
                <w:rFonts w:ascii="Arial" w:cs="Arial" w:eastAsia="Arial" w:hAnsi="Arial"/>
                <w:sz w:val="14"/>
                <w:szCs w:val="14"/>
                <w:color w:val="auto"/>
              </w:rPr>
              <w:t>to June 30, 2011</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41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5,686</w:t>
            </w:r>
          </w:p>
        </w:tc>
        <w:tc>
          <w:tcPr>
            <w:tcW w:w="500" w:type="dxa"/>
            <w:vAlign w:val="bottom"/>
            <w:shd w:val="clear" w:color="auto" w:fill="E5E5E5"/>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3"/>
              </w:rPr>
              <w:t>4,075</w:t>
            </w: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711</w:t>
            </w: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Advertising, marketing and promotion</w:t>
            </w:r>
          </w:p>
        </w:tc>
        <w:tc>
          <w:tcPr>
            <w:tcW w:w="660" w:type="dxa"/>
            <w:vAlign w:val="bottom"/>
          </w:tcPr>
          <w:p>
            <w:pPr>
              <w:spacing w:after="0"/>
              <w:rPr>
                <w:sz w:val="18"/>
                <w:szCs w:val="18"/>
                <w:color w:val="auto"/>
              </w:rPr>
            </w:pPr>
          </w:p>
        </w:tc>
        <w:tc>
          <w:tcPr>
            <w:tcW w:w="1220" w:type="dxa"/>
            <w:vAlign w:val="bottom"/>
          </w:tcPr>
          <w:p>
            <w:pPr>
              <w:jc w:val="right"/>
              <w:ind w:right="256"/>
              <w:spacing w:after="0"/>
              <w:rPr>
                <w:sz w:val="20"/>
                <w:szCs w:val="20"/>
                <w:color w:val="auto"/>
              </w:rPr>
            </w:pPr>
            <w:r>
              <w:rPr>
                <w:rFonts w:ascii="Arial" w:cs="Arial" w:eastAsia="Arial" w:hAnsi="Arial"/>
                <w:sz w:val="18"/>
                <w:szCs w:val="18"/>
                <w:color w:val="auto"/>
              </w:rPr>
              <w:t>1,247</w:t>
            </w:r>
          </w:p>
        </w:tc>
        <w:tc>
          <w:tcPr>
            <w:tcW w:w="500" w:type="dxa"/>
            <w:vAlign w:val="bottom"/>
          </w:tcPr>
          <w:p>
            <w:pPr>
              <w:spacing w:after="0"/>
              <w:rPr>
                <w:sz w:val="18"/>
                <w:szCs w:val="18"/>
                <w:color w:val="auto"/>
              </w:rPr>
            </w:pPr>
          </w:p>
        </w:tc>
        <w:tc>
          <w:tcPr>
            <w:tcW w:w="580" w:type="dxa"/>
            <w:vAlign w:val="bottom"/>
          </w:tcPr>
          <w:p>
            <w:pPr>
              <w:jc w:val="right"/>
              <w:ind w:right="52"/>
              <w:spacing w:after="0"/>
              <w:rPr>
                <w:sz w:val="20"/>
                <w:szCs w:val="20"/>
                <w:color w:val="auto"/>
              </w:rPr>
            </w:pPr>
            <w:r>
              <w:rPr>
                <w:rFonts w:ascii="Arial" w:cs="Arial" w:eastAsia="Arial" w:hAnsi="Arial"/>
                <w:sz w:val="18"/>
                <w:szCs w:val="18"/>
                <w:color w:val="auto"/>
              </w:rPr>
              <w:t>904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16"/>
        </w:trPr>
        <w:tc>
          <w:tcPr>
            <w:tcW w:w="5280" w:type="dxa"/>
            <w:vAlign w:val="bottom"/>
            <w:tcBorders>
              <w:bottom w:val="single" w:sz="8" w:color="auto"/>
            </w:tcBorders>
            <w:gridSpan w:val="3"/>
            <w:shd w:val="clear" w:color="auto" w:fill="E5E5E5"/>
          </w:tcPr>
          <w:p>
            <w:pPr>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2,248</w:t>
            </w:r>
          </w:p>
        </w:tc>
        <w:tc>
          <w:tcPr>
            <w:tcW w:w="5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93"/>
              </w:rPr>
              <w:t>1,718</w:t>
            </w:r>
          </w:p>
        </w:tc>
        <w:tc>
          <w:tcPr>
            <w:tcW w:w="140" w:type="dxa"/>
            <w:vAlign w:val="bottom"/>
            <w:tcBorders>
              <w:bottom w:val="single" w:sz="8" w:color="auto"/>
            </w:tcBorders>
            <w:shd w:val="clear" w:color="auto" w:fill="E5E5E5"/>
          </w:tcPr>
          <w:p>
            <w:pPr>
              <w:spacing w:after="0"/>
              <w:rPr>
                <w:sz w:val="18"/>
                <w:szCs w:val="18"/>
                <w:color w:val="auto"/>
              </w:rPr>
            </w:pPr>
          </w:p>
        </w:tc>
        <w:tc>
          <w:tcPr>
            <w:tcW w:w="12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307</w:t>
            </w: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Operating costs and expenses (excluding depreciation and</w:t>
            </w:r>
          </w:p>
        </w:tc>
        <w:tc>
          <w:tcPr>
            <w:tcW w:w="6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7"/>
        </w:trPr>
        <w:tc>
          <w:tcPr>
            <w:tcW w:w="52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amortization)</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b w:val="1"/>
                <w:bCs w:val="1"/>
                <w:color w:val="auto"/>
              </w:rPr>
              <w:t>9,181</w:t>
            </w: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6,697</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1,171</w:t>
            </w:r>
          </w:p>
        </w:tc>
      </w:tr>
      <w:tr>
        <w:trPr>
          <w:trHeight w:val="403"/>
        </w:trPr>
        <w:tc>
          <w:tcPr>
            <w:tcW w:w="7660" w:type="dxa"/>
            <w:vAlign w:val="bottom"/>
            <w:gridSpan w:val="6"/>
          </w:tcPr>
          <w:p>
            <w:pPr>
              <w:jc w:val="center"/>
              <w:ind w:left="3694"/>
              <w:spacing w:after="0"/>
              <w:rPr>
                <w:sz w:val="20"/>
                <w:szCs w:val="20"/>
                <w:color w:val="auto"/>
              </w:rPr>
            </w:pPr>
            <w:r>
              <w:rPr>
                <w:rFonts w:ascii="Arial" w:cs="Arial" w:eastAsia="Arial" w:hAnsi="Arial"/>
                <w:sz w:val="18"/>
                <w:szCs w:val="18"/>
                <w:b w:val="1"/>
                <w:bCs w:val="1"/>
                <w:color w:val="auto"/>
                <w:w w:val="97"/>
              </w:rPr>
              <w:t>Net Cash Provided by Operating Activities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color w:val="auto"/>
              </w:rPr>
              <w:t>Successor</w:t>
            </w: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40" w:type="dxa"/>
            <w:vAlign w:val="bottom"/>
            <w:gridSpan w:val="4"/>
          </w:tcPr>
          <w:p>
            <w:pPr>
              <w:jc w:val="right"/>
              <w:ind w:right="18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31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Six Months Ended</w:t>
            </w:r>
          </w:p>
        </w:tc>
        <w:tc>
          <w:tcPr>
            <w:tcW w:w="1980" w:type="dxa"/>
            <w:vAlign w:val="bottom"/>
            <w:tcBorders>
              <w:right w:val="single" w:sz="8" w:color="auto"/>
            </w:tcBorders>
            <w:gridSpan w:val="6"/>
          </w:tcPr>
          <w:p>
            <w:pPr>
              <w:ind w:left="300"/>
              <w:spacing w:after="0" w:line="149" w:lineRule="exact"/>
              <w:rPr>
                <w:sz w:val="20"/>
                <w:szCs w:val="20"/>
                <w:color w:val="auto"/>
              </w:rPr>
            </w:pPr>
            <w:r>
              <w:rPr>
                <w:rFonts w:ascii="Arial" w:cs="Arial" w:eastAsia="Arial" w:hAnsi="Arial"/>
                <w:sz w:val="14"/>
                <w:szCs w:val="14"/>
                <w:color w:val="auto"/>
              </w:rPr>
              <w:t>January 29, 2011</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31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5280" w:type="dxa"/>
            <w:vAlign w:val="bottom"/>
            <w:tcBorders>
              <w:bottom w:val="single" w:sz="8" w:color="auto"/>
            </w:tcBorders>
            <w:gridSpan w:val="3"/>
          </w:tcPr>
          <w:p>
            <w:pPr>
              <w:spacing w:after="0" w:line="159" w:lineRule="exact"/>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6"/>
              <w:spacing w:after="0" w:line="159" w:lineRule="exact"/>
              <w:rPr>
                <w:sz w:val="20"/>
                <w:szCs w:val="20"/>
                <w:color w:val="auto"/>
              </w:rPr>
            </w:pPr>
            <w:r>
              <w:rPr>
                <w:rFonts w:ascii="Arial" w:cs="Arial" w:eastAsia="Arial" w:hAnsi="Arial"/>
                <w:sz w:val="14"/>
                <w:szCs w:val="14"/>
                <w:color w:val="auto"/>
                <w:w w:val="85"/>
              </w:rPr>
              <w:t>June 30, 2012</w:t>
            </w:r>
          </w:p>
        </w:tc>
        <w:tc>
          <w:tcPr>
            <w:tcW w:w="1980" w:type="dxa"/>
            <w:vAlign w:val="bottom"/>
            <w:tcBorders>
              <w:bottom w:val="single" w:sz="8" w:color="auto"/>
              <w:right w:val="single" w:sz="8" w:color="auto"/>
            </w:tcBorders>
            <w:gridSpan w:val="6"/>
          </w:tcPr>
          <w:p>
            <w:pPr>
              <w:ind w:left="320"/>
              <w:spacing w:after="0" w:line="159" w:lineRule="exact"/>
              <w:rPr>
                <w:sz w:val="20"/>
                <w:szCs w:val="20"/>
                <w:color w:val="auto"/>
              </w:rPr>
            </w:pPr>
            <w:r>
              <w:rPr>
                <w:rFonts w:ascii="Arial" w:cs="Arial" w:eastAsia="Arial" w:hAnsi="Arial"/>
                <w:sz w:val="14"/>
                <w:szCs w:val="14"/>
                <w:color w:val="auto"/>
              </w:rPr>
              <w:t>to June 30, 2011</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left="29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E5E5E5"/>
          </w:tcPr>
          <w:p>
            <w:pPr>
              <w:ind w:left="5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966</w:t>
            </w:r>
          </w:p>
        </w:tc>
        <w:tc>
          <w:tcPr>
            <w:tcW w:w="500" w:type="dxa"/>
            <w:vAlign w:val="bottom"/>
            <w:shd w:val="clear" w:color="auto" w:fill="E5E5E5"/>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806</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right"/>
              <w:ind w:right="332"/>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w:t>
            </w:r>
          </w:p>
        </w:tc>
      </w:tr>
      <w:tr>
        <w:trPr>
          <w:trHeight w:val="208"/>
        </w:trPr>
        <w:tc>
          <w:tcPr>
            <w:tcW w:w="5280" w:type="dxa"/>
            <w:vAlign w:val="bottom"/>
            <w:gridSpan w:val="3"/>
          </w:tcPr>
          <w:p>
            <w:pPr>
              <w:spacing w:after="0"/>
              <w:rPr>
                <w:sz w:val="20"/>
                <w:szCs w:val="20"/>
                <w:color w:val="auto"/>
              </w:rPr>
            </w:pPr>
            <w:r>
              <w:rPr>
                <w:rFonts w:ascii="Arial" w:cs="Arial" w:eastAsia="Arial" w:hAnsi="Arial"/>
                <w:sz w:val="18"/>
                <w:szCs w:val="18"/>
                <w:color w:val="auto"/>
                <w:w w:val="94"/>
              </w:rPr>
              <w:t>Adjustments to reconcile net income to net cash provided by (used in)</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operating activities: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7"/>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632</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441</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660" w:type="dxa"/>
            <w:vAlign w:val="bottom"/>
          </w:tcPr>
          <w:p>
            <w:pPr>
              <w:spacing w:after="0"/>
              <w:rPr>
                <w:sz w:val="18"/>
                <w:szCs w:val="18"/>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4,132</w:t>
            </w:r>
          </w:p>
        </w:tc>
        <w:tc>
          <w:tcPr>
            <w:tcW w:w="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2,868</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549</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Noncash compensation expense</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4</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13</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48</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Equity in net income of investees, net</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(132)</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(147)</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Cash received from investees</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140</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163</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236"/>
              <w:spacing w:after="0"/>
              <w:rPr>
                <w:sz w:val="20"/>
                <w:szCs w:val="20"/>
                <w:color w:val="auto"/>
              </w:rPr>
            </w:pPr>
            <w:r>
              <w:rPr>
                <w:rFonts w:ascii="Arial" w:cs="Arial" w:eastAsia="Arial" w:hAnsi="Arial"/>
                <w:sz w:val="18"/>
                <w:szCs w:val="18"/>
                <w:color w:val="auto"/>
              </w:rPr>
              <w:t>15</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12</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(473)</w:t>
            </w:r>
          </w:p>
        </w:tc>
      </w:tr>
      <w:tr>
        <w:trPr>
          <w:trHeight w:val="208"/>
        </w:trPr>
        <w:tc>
          <w:tcPr>
            <w:tcW w:w="5280" w:type="dxa"/>
            <w:vAlign w:val="bottom"/>
            <w:gridSpan w:val="3"/>
          </w:tcPr>
          <w:p>
            <w:pPr>
              <w:spacing w:after="0"/>
              <w:rPr>
                <w:sz w:val="20"/>
                <w:szCs w:val="20"/>
                <w:color w:val="auto"/>
              </w:rPr>
            </w:pPr>
            <w:r>
              <w:rPr>
                <w:rFonts w:ascii="Arial" w:cs="Arial" w:eastAsia="Arial" w:hAnsi="Arial"/>
                <w:sz w:val="18"/>
                <w:szCs w:val="18"/>
                <w:color w:val="auto"/>
                <w:w w:val="92"/>
              </w:rPr>
              <w:t>Changes in operating assets and liabilities, net of effects of acquisitions</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220"/>
              <w:spacing w:after="0"/>
              <w:rPr>
                <w:sz w:val="20"/>
                <w:szCs w:val="20"/>
                <w:color w:val="auto"/>
              </w:rPr>
            </w:pPr>
            <w:r>
              <w:rPr>
                <w:rFonts w:ascii="Arial" w:cs="Arial" w:eastAsia="Arial" w:hAnsi="Arial"/>
                <w:sz w:val="18"/>
                <w:szCs w:val="18"/>
                <w:color w:val="auto"/>
              </w:rPr>
              <w:t>and divestitures:</w:t>
            </w: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7"/>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rPr>
              <w:t>Change in receivables, net</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(7)</w:t>
            </w:r>
          </w:p>
        </w:tc>
        <w:tc>
          <w:tcPr>
            <w:tcW w:w="500" w:type="dxa"/>
            <w:vAlign w:val="bottom"/>
            <w:shd w:val="clear" w:color="auto" w:fill="E5E5E5"/>
          </w:tcPr>
          <w:p>
            <w:pPr>
              <w:spacing w:after="0"/>
              <w:rPr>
                <w:sz w:val="18"/>
                <w:szCs w:val="18"/>
                <w:color w:val="auto"/>
              </w:rPr>
            </w:pPr>
          </w:p>
        </w:tc>
        <w:tc>
          <w:tcPr>
            <w:tcW w:w="840" w:type="dxa"/>
            <w:vAlign w:val="bottom"/>
            <w:gridSpan w:val="3"/>
            <w:shd w:val="clear" w:color="auto" w:fill="E5E5E5"/>
          </w:tcPr>
          <w:p>
            <w:pPr>
              <w:jc w:val="right"/>
              <w:ind w:right="100"/>
              <w:spacing w:after="0"/>
              <w:rPr>
                <w:sz w:val="20"/>
                <w:szCs w:val="20"/>
                <w:color w:val="auto"/>
              </w:rPr>
            </w:pPr>
            <w:r>
              <w:rPr>
                <w:rFonts w:ascii="Arial" w:cs="Arial" w:eastAsia="Arial" w:hAnsi="Arial"/>
                <w:sz w:val="18"/>
                <w:szCs w:val="18"/>
                <w:color w:val="auto"/>
              </w:rPr>
              <w:t>187</w:t>
            </w: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(675)</w:t>
            </w:r>
          </w:p>
        </w:tc>
      </w:tr>
      <w:tr>
        <w:trPr>
          <w:trHeight w:val="216"/>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Change in film and television costs</w:t>
            </w:r>
          </w:p>
        </w:tc>
        <w:tc>
          <w:tcPr>
            <w:tcW w:w="66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8"/>
                <w:szCs w:val="18"/>
                <w:color w:val="auto"/>
              </w:rPr>
              <w:t>(4,046)</w:t>
            </w:r>
          </w:p>
        </w:tc>
        <w:tc>
          <w:tcPr>
            <w:tcW w:w="50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(3,206)</w:t>
            </w: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08"/>
        </w:trPr>
        <w:tc>
          <w:tcPr>
            <w:tcW w:w="5280" w:type="dxa"/>
            <w:vAlign w:val="bottom"/>
            <w:gridSpan w:val="3"/>
            <w:shd w:val="clear" w:color="auto" w:fill="E5E5E5"/>
          </w:tcPr>
          <w:p>
            <w:pPr>
              <w:ind w:left="440"/>
              <w:spacing w:after="0"/>
              <w:rPr>
                <w:sz w:val="20"/>
                <w:szCs w:val="20"/>
                <w:color w:val="auto"/>
              </w:rPr>
            </w:pPr>
            <w:r>
              <w:rPr>
                <w:rFonts w:ascii="Arial" w:cs="Arial" w:eastAsia="Arial" w:hAnsi="Arial"/>
                <w:sz w:val="18"/>
                <w:szCs w:val="18"/>
                <w:color w:val="auto"/>
                <w:w w:val="89"/>
              </w:rPr>
              <w:t>Change in accounts payable and accrued expenses related to trade</w:t>
            </w:r>
          </w:p>
        </w:tc>
        <w:tc>
          <w:tcPr>
            <w:tcW w:w="66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E5E5E5"/>
            </w:tcBorders>
            <w:shd w:val="clear" w:color="auto" w:fill="E5E5E5"/>
          </w:tcPr>
          <w:p>
            <w:pPr>
              <w:spacing w:after="0"/>
              <w:rPr>
                <w:sz w:val="18"/>
                <w:szCs w:val="18"/>
                <w:color w:val="auto"/>
              </w:rPr>
            </w:pPr>
          </w:p>
        </w:tc>
        <w:tc>
          <w:tcPr>
            <w:tcW w:w="160" w:type="dxa"/>
            <w:vAlign w:val="bottom"/>
            <w:tcBorders>
              <w:right w:val="single" w:sz="8" w:color="auto"/>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2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r>
      <w:tr>
        <w:trPr>
          <w:trHeight w:val="224"/>
        </w:trPr>
        <w:tc>
          <w:tcPr>
            <w:tcW w:w="5280" w:type="dxa"/>
            <w:vAlign w:val="bottom"/>
            <w:gridSpan w:val="3"/>
            <w:shd w:val="clear" w:color="auto" w:fill="E5E5E5"/>
          </w:tcPr>
          <w:p>
            <w:pPr>
              <w:ind w:left="660"/>
              <w:spacing w:after="0"/>
              <w:rPr>
                <w:sz w:val="20"/>
                <w:szCs w:val="20"/>
                <w:color w:val="auto"/>
              </w:rPr>
            </w:pPr>
            <w:r>
              <w:rPr>
                <w:rFonts w:ascii="Arial" w:cs="Arial" w:eastAsia="Arial" w:hAnsi="Arial"/>
                <w:sz w:val="18"/>
                <w:szCs w:val="18"/>
                <w:color w:val="auto"/>
              </w:rPr>
              <w:t>creditors</w:t>
            </w:r>
          </w:p>
        </w:tc>
        <w:tc>
          <w:tcPr>
            <w:tcW w:w="660" w:type="dxa"/>
            <w:vAlign w:val="bottom"/>
            <w:shd w:val="clear" w:color="auto" w:fill="E5E5E5"/>
          </w:tcPr>
          <w:p>
            <w:pPr>
              <w:spacing w:after="0"/>
              <w:rPr>
                <w:sz w:val="19"/>
                <w:szCs w:val="19"/>
                <w:color w:val="auto"/>
              </w:rPr>
            </w:pPr>
          </w:p>
        </w:tc>
        <w:tc>
          <w:tcPr>
            <w:tcW w:w="122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E5E5E5"/>
          </w:tcPr>
          <w:p>
            <w:pPr>
              <w:spacing w:after="0"/>
              <w:rPr>
                <w:sz w:val="19"/>
                <w:szCs w:val="19"/>
                <w:color w:val="auto"/>
              </w:rPr>
            </w:pPr>
          </w:p>
        </w:tc>
        <w:tc>
          <w:tcPr>
            <w:tcW w:w="840" w:type="dxa"/>
            <w:vAlign w:val="bottom"/>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(92)</w:t>
            </w:r>
          </w:p>
        </w:tc>
        <w:tc>
          <w:tcPr>
            <w:tcW w:w="480" w:type="dxa"/>
            <w:vAlign w:val="bottom"/>
            <w:tcBorders>
              <w:right w:val="single" w:sz="8" w:color="E5E5E5"/>
            </w:tcBorders>
            <w:shd w:val="clear" w:color="auto" w:fill="E5E5E5"/>
          </w:tcPr>
          <w:p>
            <w:pPr>
              <w:spacing w:after="0"/>
              <w:rPr>
                <w:sz w:val="19"/>
                <w:szCs w:val="19"/>
                <w:color w:val="auto"/>
              </w:rPr>
            </w:pPr>
          </w:p>
        </w:tc>
        <w:tc>
          <w:tcPr>
            <w:tcW w:w="160" w:type="dxa"/>
            <w:vAlign w:val="bottom"/>
            <w:tcBorders>
              <w:right w:val="single" w:sz="8" w:color="auto"/>
            </w:tcBorders>
            <w:shd w:val="clear" w:color="auto" w:fill="E5E5E5"/>
          </w:tcPr>
          <w:p>
            <w:pPr>
              <w:spacing w:after="0"/>
              <w:rPr>
                <w:sz w:val="19"/>
                <w:szCs w:val="19"/>
                <w:color w:val="auto"/>
              </w:rPr>
            </w:pPr>
          </w:p>
        </w:tc>
        <w:tc>
          <w:tcPr>
            <w:tcW w:w="360" w:type="dxa"/>
            <w:vAlign w:val="bottom"/>
            <w:shd w:val="clear" w:color="auto" w:fill="E5E5E5"/>
          </w:tcPr>
          <w:p>
            <w:pPr>
              <w:spacing w:after="0"/>
              <w:rPr>
                <w:sz w:val="19"/>
                <w:szCs w:val="19"/>
                <w:color w:val="auto"/>
              </w:rPr>
            </w:pPr>
          </w:p>
        </w:tc>
        <w:tc>
          <w:tcPr>
            <w:tcW w:w="180" w:type="dxa"/>
            <w:vAlign w:val="bottom"/>
            <w:shd w:val="clear" w:color="auto" w:fill="E5E5E5"/>
          </w:tcPr>
          <w:p>
            <w:pPr>
              <w:spacing w:after="0"/>
              <w:rPr>
                <w:sz w:val="19"/>
                <w:szCs w:val="19"/>
                <w:color w:val="auto"/>
              </w:rPr>
            </w:pPr>
          </w:p>
        </w:tc>
        <w:tc>
          <w:tcPr>
            <w:tcW w:w="60" w:type="dxa"/>
            <w:vAlign w:val="bottom"/>
            <w:shd w:val="clear" w:color="auto" w:fill="E5E5E5"/>
          </w:tcPr>
          <w:p>
            <w:pPr>
              <w:spacing w:after="0"/>
              <w:rPr>
                <w:sz w:val="19"/>
                <w:szCs w:val="19"/>
                <w:color w:val="auto"/>
              </w:rPr>
            </w:pPr>
          </w:p>
        </w:tc>
        <w:tc>
          <w:tcPr>
            <w:tcW w:w="20" w:type="dxa"/>
            <w:vAlign w:val="bottom"/>
            <w:shd w:val="clear" w:color="auto" w:fill="E5E5E5"/>
          </w:tcPr>
          <w:p>
            <w:pPr>
              <w:spacing w:after="0"/>
              <w:rPr>
                <w:sz w:val="19"/>
                <w:szCs w:val="19"/>
                <w:color w:val="auto"/>
              </w:rPr>
            </w:pPr>
          </w:p>
        </w:tc>
        <w:tc>
          <w:tcPr>
            <w:tcW w:w="98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399</w:t>
            </w:r>
          </w:p>
        </w:tc>
      </w:tr>
      <w:tr>
        <w:trPr>
          <w:trHeight w:val="208"/>
        </w:trPr>
        <w:tc>
          <w:tcPr>
            <w:tcW w:w="5280" w:type="dxa"/>
            <w:vAlign w:val="bottom"/>
            <w:gridSpan w:val="3"/>
          </w:tcPr>
          <w:p>
            <w:pPr>
              <w:ind w:left="440"/>
              <w:spacing w:after="0"/>
              <w:rPr>
                <w:sz w:val="20"/>
                <w:szCs w:val="20"/>
                <w:color w:val="auto"/>
              </w:rPr>
            </w:pPr>
            <w:r>
              <w:rPr>
                <w:rFonts w:ascii="Arial" w:cs="Arial" w:eastAsia="Arial" w:hAnsi="Arial"/>
                <w:sz w:val="18"/>
                <w:szCs w:val="18"/>
                <w:color w:val="auto"/>
              </w:rPr>
              <w:t>Change in accrued participations and residuals, program</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5280" w:type="dxa"/>
            <w:vAlign w:val="bottom"/>
            <w:gridSpan w:val="3"/>
          </w:tcPr>
          <w:p>
            <w:pPr>
              <w:ind w:left="660"/>
              <w:spacing w:after="0"/>
              <w:rPr>
                <w:sz w:val="20"/>
                <w:szCs w:val="20"/>
                <w:color w:val="auto"/>
              </w:rPr>
            </w:pPr>
            <w:r>
              <w:rPr>
                <w:rFonts w:ascii="Arial" w:cs="Arial" w:eastAsia="Arial" w:hAnsi="Arial"/>
                <w:sz w:val="18"/>
                <w:szCs w:val="18"/>
                <w:color w:val="auto"/>
              </w:rPr>
              <w:t>obligations and deferred revenue</w:t>
            </w:r>
          </w:p>
        </w:tc>
        <w:tc>
          <w:tcPr>
            <w:tcW w:w="660" w:type="dxa"/>
            <w:vAlign w:val="bottom"/>
          </w:tcPr>
          <w:p>
            <w:pPr>
              <w:spacing w:after="0"/>
              <w:rPr>
                <w:sz w:val="19"/>
                <w:szCs w:val="19"/>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323</w:t>
            </w:r>
          </w:p>
        </w:tc>
        <w:tc>
          <w:tcPr>
            <w:tcW w:w="5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127</w:t>
            </w:r>
          </w:p>
        </w:tc>
      </w:tr>
      <w:tr>
        <w:trPr>
          <w:trHeight w:val="217"/>
        </w:trPr>
        <w:tc>
          <w:tcPr>
            <w:tcW w:w="5280" w:type="dxa"/>
            <w:vAlign w:val="bottom"/>
            <w:tcBorders>
              <w:bottom w:val="single" w:sz="8" w:color="auto"/>
            </w:tcBorders>
            <w:gridSpan w:val="3"/>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66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(147)</w:t>
            </w:r>
          </w:p>
        </w:tc>
        <w:tc>
          <w:tcPr>
            <w:tcW w:w="5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gridSpan w:val="3"/>
            <w:shd w:val="clear" w:color="auto" w:fill="E5E5E5"/>
          </w:tcPr>
          <w:p>
            <w:pPr>
              <w:jc w:val="right"/>
              <w:ind w:right="40"/>
              <w:spacing w:after="0"/>
              <w:rPr>
                <w:sz w:val="20"/>
                <w:szCs w:val="20"/>
                <w:color w:val="auto"/>
              </w:rPr>
            </w:pPr>
            <w:r>
              <w:rPr>
                <w:rFonts w:ascii="Arial" w:cs="Arial" w:eastAsia="Arial" w:hAnsi="Arial"/>
                <w:sz w:val="18"/>
                <w:szCs w:val="18"/>
                <w:color w:val="auto"/>
              </w:rPr>
              <w:t>(104)</w:t>
            </w:r>
          </w:p>
        </w:tc>
        <w:tc>
          <w:tcPr>
            <w:tcW w:w="480" w:type="dxa"/>
            <w:vAlign w:val="bottom"/>
            <w:tcBorders>
              <w:bottom w:val="single" w:sz="8" w:color="auto"/>
              <w:right w:val="single" w:sz="8" w:color="E5E5E5"/>
            </w:tcBorders>
            <w:shd w:val="clear" w:color="auto" w:fill="E5E5E5"/>
          </w:tcPr>
          <w:p>
            <w:pPr>
              <w:spacing w:after="0"/>
              <w:rPr>
                <w:sz w:val="18"/>
                <w:szCs w:val="18"/>
                <w:color w:val="auto"/>
              </w:rPr>
            </w:pPr>
          </w:p>
        </w:tc>
        <w:tc>
          <w:tcPr>
            <w:tcW w:w="160" w:type="dxa"/>
            <w:vAlign w:val="bottom"/>
            <w:tcBorders>
              <w:bottom w:val="single" w:sz="8" w:color="auto"/>
              <w:right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2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b w:val="1"/>
                <w:bCs w:val="1"/>
                <w:color w:val="auto"/>
              </w:rPr>
              <w:t>1,730</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1,020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r>
      <w:tr>
        <w:trPr>
          <w:trHeight w:val="403"/>
        </w:trPr>
        <w:tc>
          <w:tcPr>
            <w:tcW w:w="7660" w:type="dxa"/>
            <w:vAlign w:val="bottom"/>
            <w:gridSpan w:val="6"/>
          </w:tcPr>
          <w:p>
            <w:pPr>
              <w:jc w:val="center"/>
              <w:ind w:left="3674"/>
              <w:spacing w:after="0"/>
              <w:rPr>
                <w:sz w:val="20"/>
                <w:szCs w:val="20"/>
                <w:color w:val="auto"/>
              </w:rPr>
            </w:pPr>
            <w:r>
              <w:rPr>
                <w:rFonts w:ascii="Arial" w:cs="Arial" w:eastAsia="Arial" w:hAnsi="Arial"/>
                <w:sz w:val="18"/>
                <w:szCs w:val="18"/>
                <w:b w:val="1"/>
                <w:bCs w:val="1"/>
                <w:color w:val="auto"/>
                <w:w w:val="96"/>
              </w:rPr>
              <w:t>Cash Payments for Interest and Income Taxes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4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left="432"/>
              <w:spacing w:after="0"/>
              <w:rPr>
                <w:sz w:val="20"/>
                <w:szCs w:val="20"/>
                <w:color w:val="auto"/>
              </w:rPr>
            </w:pPr>
            <w:r>
              <w:rPr>
                <w:rFonts w:ascii="Arial" w:cs="Arial" w:eastAsia="Arial" w:hAnsi="Arial"/>
                <w:sz w:val="14"/>
                <w:szCs w:val="14"/>
                <w:color w:val="auto"/>
                <w:w w:val="81"/>
              </w:rPr>
              <w:t>Predecessor</w:t>
            </w:r>
          </w:p>
        </w:tc>
      </w:tr>
      <w:tr>
        <w:trPr>
          <w:trHeight w:val="131"/>
        </w:trPr>
        <w:tc>
          <w:tcPr>
            <w:tcW w:w="4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For the Period</w:t>
            </w:r>
          </w:p>
        </w:tc>
        <w:tc>
          <w:tcPr>
            <w:tcW w:w="740" w:type="dxa"/>
            <w:vAlign w:val="bottom"/>
            <w:tcBorders>
              <w:right w:val="single" w:sz="8" w:color="auto"/>
            </w:tcBorders>
            <w:gridSpan w:val="3"/>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2"/>
          </w:tcPr>
          <w:p>
            <w:pPr>
              <w:jc w:val="center"/>
              <w:ind w:left="412"/>
              <w:spacing w:after="0" w:line="131" w:lineRule="exact"/>
              <w:rPr>
                <w:sz w:val="20"/>
                <w:szCs w:val="20"/>
                <w:color w:val="auto"/>
              </w:rPr>
            </w:pPr>
            <w:r>
              <w:rPr>
                <w:rFonts w:ascii="Arial" w:cs="Arial" w:eastAsia="Arial" w:hAnsi="Arial"/>
                <w:sz w:val="14"/>
                <w:szCs w:val="14"/>
                <w:color w:val="auto"/>
                <w:w w:val="87"/>
              </w:rPr>
              <w:t>For the Period</w:t>
            </w:r>
          </w:p>
        </w:tc>
      </w:tr>
      <w:tr>
        <w:trPr>
          <w:trHeight w:val="149"/>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Six Months Ended</w:t>
            </w:r>
          </w:p>
        </w:tc>
        <w:tc>
          <w:tcPr>
            <w:tcW w:w="1820" w:type="dxa"/>
            <w:vAlign w:val="bottom"/>
            <w:tcBorders>
              <w:right w:val="single" w:sz="8" w:color="auto"/>
            </w:tcBorders>
            <w:gridSpan w:val="5"/>
          </w:tcPr>
          <w:p>
            <w:pPr>
              <w:ind w:left="100"/>
              <w:spacing w:after="0" w:line="149" w:lineRule="exact"/>
              <w:rPr>
                <w:sz w:val="20"/>
                <w:szCs w:val="20"/>
                <w:color w:val="auto"/>
              </w:rPr>
            </w:pPr>
            <w:r>
              <w:rPr>
                <w:rFonts w:ascii="Arial" w:cs="Arial" w:eastAsia="Arial" w:hAnsi="Arial"/>
                <w:sz w:val="14"/>
                <w:szCs w:val="14"/>
                <w:color w:val="auto"/>
              </w:rPr>
              <w:t>January 29, 2011</w:t>
            </w:r>
          </w:p>
        </w:tc>
        <w:tc>
          <w:tcPr>
            <w:tcW w:w="5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5"/>
              </w:rPr>
              <w:t>January 1, 2011</w:t>
            </w:r>
          </w:p>
        </w:tc>
      </w:tr>
      <w:tr>
        <w:trPr>
          <w:trHeight w:val="173"/>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(in millions)</w:t>
            </w:r>
          </w:p>
        </w:tc>
        <w:tc>
          <w:tcPr>
            <w:tcW w:w="1880" w:type="dxa"/>
            <w:vAlign w:val="bottom"/>
            <w:tcBorders>
              <w:bottom w:val="single" w:sz="8" w:color="auto"/>
            </w:tcBorders>
            <w:gridSpan w:val="2"/>
          </w:tcPr>
          <w:p>
            <w:pPr>
              <w:jc w:val="right"/>
              <w:ind w:right="636"/>
              <w:spacing w:after="0"/>
              <w:rPr>
                <w:sz w:val="20"/>
                <w:szCs w:val="20"/>
                <w:color w:val="auto"/>
              </w:rPr>
            </w:pPr>
            <w:r>
              <w:rPr>
                <w:rFonts w:ascii="Arial" w:cs="Arial" w:eastAsia="Arial" w:hAnsi="Arial"/>
                <w:sz w:val="14"/>
                <w:szCs w:val="14"/>
                <w:color w:val="auto"/>
              </w:rPr>
              <w:t>June 30, 2012</w:t>
            </w:r>
          </w:p>
        </w:tc>
        <w:tc>
          <w:tcPr>
            <w:tcW w:w="182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4"/>
                <w:szCs w:val="14"/>
                <w:color w:val="auto"/>
              </w:rPr>
              <w:t>to June 30, 2011</w:t>
            </w:r>
          </w:p>
        </w:tc>
        <w:tc>
          <w:tcPr>
            <w:tcW w:w="520" w:type="dxa"/>
            <w:vAlign w:val="bottom"/>
            <w:tcBorders>
              <w:bottom w:val="single" w:sz="8" w:color="auto"/>
            </w:tcBorders>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left="412"/>
              <w:spacing w:after="0"/>
              <w:rPr>
                <w:sz w:val="20"/>
                <w:szCs w:val="20"/>
                <w:color w:val="auto"/>
              </w:rPr>
            </w:pPr>
            <w:r>
              <w:rPr>
                <w:rFonts w:ascii="Arial" w:cs="Arial" w:eastAsia="Arial" w:hAnsi="Arial"/>
                <w:sz w:val="14"/>
                <w:szCs w:val="14"/>
                <w:color w:val="auto"/>
                <w:w w:val="85"/>
              </w:rPr>
              <w:t>to January 28, 2011</w:t>
            </w:r>
          </w:p>
        </w:tc>
      </w:tr>
      <w:tr>
        <w:trPr>
          <w:trHeight w:val="210"/>
        </w:trPr>
        <w:tc>
          <w:tcPr>
            <w:tcW w:w="5280" w:type="dxa"/>
            <w:vAlign w:val="bottom"/>
            <w:gridSpan w:val="3"/>
            <w:shd w:val="clear" w:color="auto" w:fill="E5E5E5"/>
          </w:tcPr>
          <w:p>
            <w:pPr>
              <w:spacing w:after="0"/>
              <w:rPr>
                <w:sz w:val="20"/>
                <w:szCs w:val="20"/>
                <w:color w:val="auto"/>
              </w:rPr>
            </w:pPr>
            <w:r>
              <w:rPr>
                <w:rFonts w:ascii="Arial" w:cs="Arial" w:eastAsia="Arial" w:hAnsi="Arial"/>
                <w:sz w:val="18"/>
                <w:szCs w:val="18"/>
                <w:color w:val="auto"/>
              </w:rPr>
              <w:t>Interest</w:t>
            </w:r>
          </w:p>
        </w:tc>
        <w:tc>
          <w:tcPr>
            <w:tcW w:w="66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230</w:t>
            </w:r>
          </w:p>
        </w:tc>
        <w:tc>
          <w:tcPr>
            <w:tcW w:w="50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480" w:type="dxa"/>
            <w:vAlign w:val="bottom"/>
            <w:tcBorders>
              <w:right w:val="single" w:sz="8" w:color="auto"/>
            </w:tcBorders>
            <w:shd w:val="clear" w:color="auto" w:fill="E5E5E5"/>
          </w:tcPr>
          <w:p>
            <w:pPr>
              <w:spacing w:after="0"/>
              <w:rPr>
                <w:sz w:val="18"/>
                <w:szCs w:val="18"/>
                <w:color w:val="auto"/>
              </w:rPr>
            </w:pPr>
          </w:p>
        </w:tc>
        <w:tc>
          <w:tcPr>
            <w:tcW w:w="160" w:type="dxa"/>
            <w:vAlign w:val="bottom"/>
            <w:tcBorders>
              <w:right w:val="single" w:sz="8" w:color="E5E5E5"/>
            </w:tcBorders>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1240" w:type="dxa"/>
            <w:vAlign w:val="bottom"/>
            <w:gridSpan w:val="4"/>
            <w:shd w:val="clear" w:color="auto" w:fill="E5E5E5"/>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2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Income taxes</w:t>
            </w:r>
          </w:p>
        </w:tc>
        <w:tc>
          <w:tcPr>
            <w:tcW w:w="6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84</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left="35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r>
      <w:tr>
        <w:trPr>
          <w:trHeight w:val="356"/>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left="140"/>
              <w:spacing w:after="0"/>
              <w:rPr>
                <w:sz w:val="20"/>
                <w:szCs w:val="20"/>
                <w:color w:val="auto"/>
              </w:rPr>
            </w:pPr>
            <w:r>
              <w:rPr>
                <w:rFonts w:ascii="Arial" w:cs="Arial" w:eastAsia="Arial" w:hAnsi="Arial"/>
                <w:sz w:val="18"/>
                <w:szCs w:val="18"/>
                <w:color w:val="auto"/>
                <w:w w:val="99"/>
              </w:rPr>
              <w:t>14</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7060" w:type="dxa"/>
            <w:vAlign w:val="bottom"/>
          </w:tcPr>
          <w:p>
            <w:pPr>
              <w:jc w:val="right"/>
              <w:ind w:right="4412"/>
              <w:spacing w:after="0"/>
              <w:rPr>
                <w:sz w:val="20"/>
                <w:szCs w:val="20"/>
                <w:color w:val="auto"/>
              </w:rPr>
            </w:pPr>
            <w:r>
              <w:rPr>
                <w:rFonts w:ascii="Arial" w:cs="Arial" w:eastAsia="Arial" w:hAnsi="Arial"/>
                <w:sz w:val="18"/>
                <w:szCs w:val="18"/>
                <w:b w:val="1"/>
                <w:bCs w:val="1"/>
                <w:color w:val="auto"/>
              </w:rPr>
              <w:t>Other Cash Flow Information</w:t>
            </w:r>
          </w:p>
        </w:tc>
      </w:tr>
      <w:tr>
        <w:trPr>
          <w:trHeight w:val="299"/>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 of January 28, 2011 (in millions)</w:t>
            </w:r>
          </w:p>
        </w:tc>
        <w:tc>
          <w:tcPr>
            <w:tcW w:w="7060" w:type="dxa"/>
            <w:vAlign w:val="bottom"/>
            <w:tcBorders>
              <w:bottom w:val="single" w:sz="8" w:color="auto"/>
            </w:tcBorders>
          </w:tcPr>
          <w:p>
            <w:pPr>
              <w:spacing w:after="0"/>
              <w:rPr>
                <w:sz w:val="24"/>
                <w:szCs w:val="24"/>
                <w:color w:val="auto"/>
              </w:rPr>
            </w:pPr>
          </w:p>
        </w:tc>
      </w:tr>
      <w:tr>
        <w:trPr>
          <w:trHeight w:val="210"/>
        </w:trPr>
        <w:tc>
          <w:tcPr>
            <w:tcW w:w="4360" w:type="dxa"/>
            <w:vAlign w:val="bottom"/>
            <w:shd w:val="clear" w:color="auto" w:fill="E5E5E5"/>
          </w:tcPr>
          <w:p>
            <w:pPr>
              <w:spacing w:after="0"/>
              <w:rPr>
                <w:sz w:val="20"/>
                <w:szCs w:val="20"/>
                <w:color w:val="auto"/>
              </w:rPr>
            </w:pPr>
            <w:r>
              <w:rPr>
                <w:rFonts w:ascii="Arial" w:cs="Arial" w:eastAsia="Arial" w:hAnsi="Arial"/>
                <w:sz w:val="18"/>
                <w:szCs w:val="18"/>
                <w:color w:val="auto"/>
                <w:w w:val="95"/>
              </w:rPr>
              <w:t>Cash and cash equivalents at end of Predecessor period</w:t>
            </w:r>
          </w:p>
        </w:tc>
        <w:tc>
          <w:tcPr>
            <w:tcW w:w="70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$470</w:t>
            </w:r>
          </w:p>
        </w:tc>
      </w:tr>
      <w:tr>
        <w:trPr>
          <w:trHeight w:val="216"/>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Content Business contributed cash balances</w:t>
            </w:r>
          </w:p>
        </w:tc>
        <w:tc>
          <w:tcPr>
            <w:tcW w:w="7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17"/>
        </w:trPr>
        <w:tc>
          <w:tcPr>
            <w:tcW w:w="4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89"/>
              </w:rPr>
              <w:t>Cash and cash equivalents at beginning of Successor period</w:t>
            </w:r>
          </w:p>
        </w:tc>
        <w:tc>
          <w:tcPr>
            <w:tcW w:w="7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$508</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During six months ended June 30, 2012,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 controlling interest in a previously held equity method investment based in Brazil, which we now consolidate in our Cable Networks segment; see Note 5 for additional information</w:t>
      </w:r>
    </w:p>
    <w:p>
      <w:pPr>
        <w:spacing w:after="0" w:line="37" w:lineRule="exact"/>
        <w:rPr>
          <w:rFonts w:ascii="Arial" w:cs="Arial" w:eastAsia="Arial" w:hAnsi="Arial"/>
          <w:sz w:val="18"/>
          <w:szCs w:val="18"/>
          <w:color w:val="auto"/>
        </w:rPr>
      </w:pPr>
    </w:p>
    <w:p>
      <w:pPr>
        <w:ind w:left="1020" w:hanging="21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entered into a capital lease transaction that resulted in an increase in property and equipment and debt of $85 million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both the Joint Venture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color w:val="auto"/>
                <w:w w:val="94"/>
              </w:rPr>
              <w:t>Three Months Ended June 30</w:t>
            </w:r>
          </w:p>
        </w:tc>
        <w:tc>
          <w:tcPr>
            <w:tcW w:w="4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w w:val="99"/>
              </w:rPr>
              <w:t>Six Months Ended June 30</w:t>
            </w:r>
          </w:p>
        </w:tc>
        <w:tc>
          <w:tcPr>
            <w:tcW w:w="0" w:type="dxa"/>
            <w:vAlign w:val="bottom"/>
          </w:tcPr>
          <w:p>
            <w:pPr>
              <w:spacing w:after="0"/>
              <w:rPr>
                <w:sz w:val="1"/>
                <w:szCs w:val="1"/>
                <w:color w:val="auto"/>
              </w:rPr>
            </w:pPr>
          </w:p>
        </w:tc>
      </w:tr>
      <w:tr>
        <w:trPr>
          <w:trHeight w:val="142"/>
        </w:trPr>
        <w:tc>
          <w:tcPr>
            <w:tcW w:w="5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2"/>
              <w:spacing w:after="0" w:line="142" w:lineRule="exact"/>
              <w:rPr>
                <w:sz w:val="20"/>
                <w:szCs w:val="20"/>
                <w:color w:val="auto"/>
              </w:rPr>
            </w:pPr>
            <w:r>
              <w:rPr>
                <w:rFonts w:ascii="Arial" w:cs="Arial" w:eastAsia="Arial" w:hAnsi="Arial"/>
                <w:sz w:val="14"/>
                <w:szCs w:val="14"/>
                <w:color w:val="auto"/>
                <w:w w:val="92"/>
              </w:rPr>
              <w:t>Actual</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color w:val="auto"/>
                <w:w w:val="87"/>
              </w:rPr>
              <w:t>Pro Forma</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color w:val="auto"/>
                <w:w w:val="92"/>
              </w:rPr>
              <w:t>Actual</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color w:val="auto"/>
                <w:w w:val="87"/>
              </w:rPr>
              <w:t>Pro Forma</w:t>
            </w:r>
          </w:p>
        </w:tc>
        <w:tc>
          <w:tcPr>
            <w:tcW w:w="0" w:type="dxa"/>
            <w:vAlign w:val="bottom"/>
          </w:tcPr>
          <w:p>
            <w:pPr>
              <w:spacing w:after="0"/>
              <w:rPr>
                <w:sz w:val="1"/>
                <w:szCs w:val="1"/>
                <w:color w:val="auto"/>
              </w:rPr>
            </w:pPr>
          </w:p>
        </w:tc>
      </w:tr>
      <w:tr>
        <w:trPr>
          <w:trHeight w:val="142"/>
        </w:trPr>
        <w:tc>
          <w:tcPr>
            <w:tcW w:w="586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22"/>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20"/>
              <w:spacing w:after="0" w:line="142" w:lineRule="exact"/>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42"/>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586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242"/>
              <w:spacing w:after="0"/>
              <w:rPr>
                <w:sz w:val="20"/>
                <w:szCs w:val="20"/>
                <w:color w:val="auto"/>
              </w:rPr>
            </w:pPr>
            <w:r>
              <w:rPr>
                <w:rFonts w:ascii="Arial" w:cs="Arial" w:eastAsia="Arial" w:hAnsi="Arial"/>
                <w:sz w:val="18"/>
                <w:szCs w:val="18"/>
                <w:color w:val="auto"/>
              </w:rPr>
              <w:t>5,504</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240"/>
              <w:spacing w:after="0"/>
              <w:rPr>
                <w:sz w:val="20"/>
                <w:szCs w:val="20"/>
                <w:color w:val="auto"/>
              </w:rPr>
            </w:pPr>
            <w:r>
              <w:rPr>
                <w:rFonts w:ascii="Arial" w:cs="Arial" w:eastAsia="Arial" w:hAnsi="Arial"/>
                <w:sz w:val="18"/>
                <w:szCs w:val="18"/>
                <w:color w:val="auto"/>
              </w:rPr>
              <w:t>5,547</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262"/>
              <w:spacing w:after="0"/>
              <w:rPr>
                <w:sz w:val="20"/>
                <w:szCs w:val="20"/>
                <w:color w:val="auto"/>
              </w:rPr>
            </w:pPr>
            <w:r>
              <w:rPr>
                <w:rFonts w:ascii="Arial" w:cs="Arial" w:eastAsia="Arial" w:hAnsi="Arial"/>
                <w:sz w:val="18"/>
                <w:szCs w:val="18"/>
                <w:color w:val="auto"/>
                <w:w w:val="90"/>
              </w:rPr>
              <w:t>10,976</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10,186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income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42"/>
              <w:spacing w:after="0"/>
              <w:rPr>
                <w:sz w:val="20"/>
                <w:szCs w:val="20"/>
                <w:color w:val="auto"/>
              </w:rPr>
            </w:pPr>
            <w:r>
              <w:rPr>
                <w:rFonts w:ascii="Arial" w:cs="Arial" w:eastAsia="Arial" w:hAnsi="Arial"/>
                <w:sz w:val="18"/>
                <w:szCs w:val="18"/>
                <w:color w:val="auto"/>
              </w:rPr>
              <w:t>549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40"/>
              <w:spacing w:after="0"/>
              <w:rPr>
                <w:sz w:val="20"/>
                <w:szCs w:val="20"/>
                <w:color w:val="auto"/>
              </w:rPr>
            </w:pPr>
            <w:r>
              <w:rPr>
                <w:rFonts w:ascii="Arial" w:cs="Arial" w:eastAsia="Arial" w:hAnsi="Arial"/>
                <w:sz w:val="18"/>
                <w:szCs w:val="18"/>
                <w:color w:val="auto"/>
              </w:rPr>
              <w:t>738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62"/>
              <w:spacing w:after="0"/>
              <w:rPr>
                <w:sz w:val="20"/>
                <w:szCs w:val="20"/>
                <w:color w:val="auto"/>
              </w:rPr>
            </w:pPr>
            <w:r>
              <w:rPr>
                <w:rFonts w:ascii="Arial" w:cs="Arial" w:eastAsia="Arial" w:hAnsi="Arial"/>
                <w:sz w:val="18"/>
                <w:szCs w:val="18"/>
                <w:color w:val="auto"/>
              </w:rPr>
              <w:t>966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5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NBCUniversal</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242"/>
              <w:spacing w:after="0"/>
              <w:rPr>
                <w:sz w:val="20"/>
                <w:szCs w:val="20"/>
                <w:color w:val="auto"/>
              </w:rPr>
            </w:pPr>
            <w:r>
              <w:rPr>
                <w:rFonts w:ascii="Arial" w:cs="Arial" w:eastAsia="Arial" w:hAnsi="Arial"/>
                <w:sz w:val="18"/>
                <w:szCs w:val="18"/>
                <w:color w:val="auto"/>
              </w:rPr>
              <w:t>513</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E5E5E5"/>
          </w:tcPr>
          <w:p>
            <w:pPr>
              <w:jc w:val="right"/>
              <w:ind w:right="240"/>
              <w:spacing w:after="0"/>
              <w:rPr>
                <w:sz w:val="20"/>
                <w:szCs w:val="20"/>
                <w:color w:val="auto"/>
              </w:rPr>
            </w:pPr>
            <w:r>
              <w:rPr>
                <w:rFonts w:ascii="Arial" w:cs="Arial" w:eastAsia="Arial" w:hAnsi="Arial"/>
                <w:sz w:val="18"/>
                <w:szCs w:val="18"/>
                <w:color w:val="auto"/>
              </w:rPr>
              <w:t>695</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jc w:val="right"/>
              <w:ind w:right="262"/>
              <w:spacing w:after="0"/>
              <w:rPr>
                <w:sz w:val="20"/>
                <w:szCs w:val="20"/>
                <w:color w:val="auto"/>
              </w:rPr>
            </w:pPr>
            <w:r>
              <w:rPr>
                <w:rFonts w:ascii="Arial" w:cs="Arial" w:eastAsia="Arial" w:hAnsi="Arial"/>
                <w:sz w:val="18"/>
                <w:szCs w:val="18"/>
                <w:color w:val="auto"/>
              </w:rPr>
              <w:t>898</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monetize certain of our accounts receivable under programs with a syndicate of banks. We transfer, at fair value, a significant portion of our accounts receivable that are to be monetized to NBCU Receivables Funding LLC (“Funding LLC”), a wholly owned subsidiary of ours. The operating activities of Funding LLC are restricted to the transfer and sale of the monetized receivables to a third party syndicate of banks. Due to these restrictions, Funding LLC is considered a variable interest entity, which we consolidate because we are the primary beneficiary. The assets and liabilities of this entity primarily represent the receivables and cash receipts that are not yet remitted to the programs as of the balance sheet date.</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June 30, 2012.</w:t>
      </w:r>
    </w:p>
    <w:p>
      <w:pPr>
        <w:spacing w:after="0" w:line="4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responsible for servicing the receivables and remitting collections to the purchasers under the monetization programs. We perform this service for a fee that is equal to the prevailing market rate for such services. As a result, no servicing asset or liability has been recorded in our condensed consolidated balance sheet as of June 30, 2012. The servicing fees are a component of net (loss) gain on sale, which is presented in the table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w w:val="82"/>
              </w:rPr>
              <w:t>Successor</w:t>
            </w:r>
          </w:p>
        </w:tc>
        <w:tc>
          <w:tcPr>
            <w:tcW w:w="320" w:type="dxa"/>
            <w:vAlign w:val="bottom"/>
            <w:tcBorders>
              <w:bottom w:val="single" w:sz="8" w:color="auto"/>
            </w:tcBorders>
          </w:tcPr>
          <w:p>
            <w:pPr>
              <w:spacing w:after="0"/>
              <w:rPr>
                <w:sz w:val="14"/>
                <w:szCs w:val="14"/>
                <w:color w:val="auto"/>
              </w:rPr>
            </w:pPr>
          </w:p>
        </w:tc>
      </w:tr>
      <w:tr>
        <w:trPr>
          <w:trHeight w:val="237"/>
        </w:trPr>
        <w:tc>
          <w:tcPr>
            <w:tcW w:w="7280" w:type="dxa"/>
            <w:vAlign w:val="bottom"/>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color w:val="auto"/>
              </w:rPr>
              <w:t>Three Months Ended June 30</w:t>
            </w:r>
          </w:p>
        </w:tc>
        <w:tc>
          <w:tcPr>
            <w:tcW w:w="320" w:type="dxa"/>
            <w:vAlign w:val="bottom"/>
            <w:tcBorders>
              <w:bottom w:val="single" w:sz="8" w:color="auto"/>
            </w:tcBorders>
          </w:tcPr>
          <w:p>
            <w:pPr>
              <w:spacing w:after="0"/>
              <w:rPr>
                <w:sz w:val="20"/>
                <w:szCs w:val="20"/>
                <w:color w:val="auto"/>
              </w:rPr>
            </w:pPr>
          </w:p>
        </w:tc>
      </w:tr>
      <w:tr>
        <w:trPr>
          <w:trHeight w:val="237"/>
        </w:trPr>
        <w:tc>
          <w:tcPr>
            <w:tcW w:w="7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6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2012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320" w:type="dxa"/>
            <w:vAlign w:val="bottom"/>
            <w:tcBorders>
              <w:bottom w:val="single" w:sz="8" w:color="auto"/>
            </w:tcBorders>
          </w:tcPr>
          <w:p>
            <w:pPr>
              <w:spacing w:after="0"/>
              <w:rPr>
                <w:sz w:val="20"/>
                <w:szCs w:val="20"/>
                <w:color w:val="auto"/>
              </w:rPr>
            </w:pPr>
          </w:p>
        </w:tc>
      </w:tr>
      <w:tr>
        <w:trPr>
          <w:trHeight w:val="210"/>
        </w:trPr>
        <w:tc>
          <w:tcPr>
            <w:tcW w:w="72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136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72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1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(133)</w:t>
            </w:r>
          </w:p>
        </w:tc>
        <w:tc>
          <w:tcPr>
            <w:tcW w:w="136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w w:val="99"/>
              </w:rPr>
              <w:t>50</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81"/>
              </w:rPr>
              <w:t>Predecessor</w:t>
            </w:r>
          </w:p>
        </w:tc>
      </w:tr>
      <w:tr>
        <w:trPr>
          <w:trHeight w:val="131"/>
        </w:trPr>
        <w:tc>
          <w:tcPr>
            <w:tcW w:w="4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22"/>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4880" w:type="dxa"/>
            <w:vAlign w:val="bottom"/>
          </w:tcPr>
          <w:p>
            <w:pPr>
              <w:spacing w:after="0"/>
              <w:rPr>
                <w:sz w:val="12"/>
                <w:szCs w:val="12"/>
                <w:color w:val="auto"/>
              </w:rPr>
            </w:pPr>
          </w:p>
        </w:tc>
        <w:tc>
          <w:tcPr>
            <w:tcW w:w="22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Six Months Ended</w:t>
            </w:r>
          </w:p>
        </w:tc>
        <w:tc>
          <w:tcPr>
            <w:tcW w:w="180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22"/>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8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700"/>
              <w:spacing w:after="0" w:line="159" w:lineRule="exact"/>
              <w:rPr>
                <w:sz w:val="20"/>
                <w:szCs w:val="20"/>
                <w:color w:val="auto"/>
              </w:rPr>
            </w:pPr>
            <w:r>
              <w:rPr>
                <w:rFonts w:ascii="Arial" w:cs="Arial" w:eastAsia="Arial" w:hAnsi="Arial"/>
                <w:sz w:val="14"/>
                <w:szCs w:val="14"/>
                <w:color w:val="auto"/>
                <w:w w:val="85"/>
              </w:rPr>
              <w:t>June 30, 2012</w:t>
            </w:r>
          </w:p>
        </w:tc>
        <w:tc>
          <w:tcPr>
            <w:tcW w:w="1800" w:type="dxa"/>
            <w:vAlign w:val="bottom"/>
            <w:tcBorders>
              <w:bottom w:val="single" w:sz="8" w:color="auto"/>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June 30, 2011</w:t>
            </w:r>
          </w:p>
        </w:tc>
        <w:tc>
          <w:tcPr>
            <w:tcW w:w="7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ind w:left="600"/>
              <w:spacing w:after="0" w:line="159" w:lineRule="exact"/>
              <w:rPr>
                <w:sz w:val="20"/>
                <w:szCs w:val="20"/>
                <w:color w:val="auto"/>
              </w:rPr>
            </w:pPr>
            <w:r>
              <w:rPr>
                <w:rFonts w:ascii="Arial" w:cs="Arial" w:eastAsia="Arial" w:hAnsi="Arial"/>
                <w:sz w:val="14"/>
                <w:szCs w:val="14"/>
                <w:color w:val="auto"/>
                <w:w w:val="93"/>
              </w:rPr>
              <w:t>to January 28, 2011</w:t>
            </w:r>
          </w:p>
        </w:tc>
      </w:tr>
      <w:tr>
        <w:trPr>
          <w:trHeight w:val="210"/>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E5E5E5"/>
          </w:tcPr>
          <w:p>
            <w:pPr>
              <w:jc w:val="right"/>
              <w:ind w:right="520"/>
              <w:spacing w:after="0"/>
              <w:rPr>
                <w:sz w:val="20"/>
                <w:szCs w:val="20"/>
                <w:color w:val="auto"/>
              </w:rPr>
            </w:pPr>
            <w:r>
              <w:rPr>
                <w:rFonts w:ascii="Arial" w:cs="Arial" w:eastAsia="Arial" w:hAnsi="Arial"/>
                <w:sz w:val="18"/>
                <w:szCs w:val="18"/>
                <w:color w:val="auto"/>
              </w:rPr>
              <w:t>(6)</w:t>
            </w:r>
          </w:p>
        </w:tc>
        <w:tc>
          <w:tcPr>
            <w:tcW w:w="4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gridSpan w:val="2"/>
            <w:shd w:val="clear" w:color="auto" w:fill="E5E5E5"/>
          </w:tcPr>
          <w:p>
            <w:pPr>
              <w:jc w:val="right"/>
              <w:ind w:right="8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5E5E5"/>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5E5E5"/>
          </w:tcPr>
          <w:p>
            <w:pPr>
              <w:jc w:val="right"/>
              <w:ind w:right="22"/>
              <w:spacing w:after="0"/>
              <w:rPr>
                <w:sz w:val="20"/>
                <w:szCs w:val="20"/>
                <w:color w:val="auto"/>
              </w:rPr>
            </w:pPr>
            <w:r>
              <w:rPr>
                <w:rFonts w:ascii="Arial" w:cs="Arial" w:eastAsia="Arial" w:hAnsi="Arial"/>
                <w:sz w:val="18"/>
                <w:szCs w:val="18"/>
                <w:color w:val="auto"/>
              </w:rPr>
              <w:t>—</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20"/>
              <w:spacing w:after="0"/>
              <w:rPr>
                <w:sz w:val="20"/>
                <w:szCs w:val="20"/>
                <w:color w:val="auto"/>
              </w:rPr>
            </w:pPr>
            <w:r>
              <w:rPr>
                <w:rFonts w:ascii="Arial" w:cs="Arial" w:eastAsia="Arial" w:hAnsi="Arial"/>
                <w:sz w:val="18"/>
                <w:szCs w:val="18"/>
                <w:color w:val="auto"/>
              </w:rPr>
              <w:t>(1)</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1</w:t>
            </w:r>
          </w:p>
        </w:tc>
      </w:tr>
      <w:tr>
        <w:trPr>
          <w:trHeight w:val="216"/>
        </w:trPr>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E5E5E5"/>
          </w:tcPr>
          <w:p>
            <w:pPr>
              <w:jc w:val="right"/>
              <w:ind w:right="520"/>
              <w:spacing w:after="0"/>
              <w:rPr>
                <w:sz w:val="20"/>
                <w:szCs w:val="20"/>
                <w:color w:val="auto"/>
              </w:rPr>
            </w:pPr>
            <w:r>
              <w:rPr>
                <w:rFonts w:ascii="Arial" w:cs="Arial" w:eastAsia="Arial" w:hAnsi="Arial"/>
                <w:sz w:val="18"/>
                <w:szCs w:val="18"/>
                <w:color w:val="auto"/>
              </w:rPr>
              <w:t>(223)</w:t>
            </w:r>
          </w:p>
        </w:tc>
        <w:tc>
          <w:tcPr>
            <w:tcW w:w="4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ind w:left="130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(177)</w:t>
            </w:r>
          </w:p>
        </w:tc>
      </w:tr>
    </w:tbl>
    <w:p>
      <w:pPr>
        <w:spacing w:after="0" w:line="5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auto"/>
            </w:tcBorders>
            <w:vMerge w:val="continue"/>
          </w:tcPr>
          <w:p>
            <w:pPr>
              <w:spacing w:after="0"/>
              <w:rPr>
                <w:sz w:val="12"/>
                <w:szCs w:val="12"/>
                <w:color w:val="auto"/>
              </w:rPr>
            </w:pPr>
          </w:p>
        </w:tc>
        <w:tc>
          <w:tcPr>
            <w:tcW w:w="1980" w:type="dxa"/>
            <w:vAlign w:val="bottom"/>
            <w:tcBorders>
              <w:bottom w:val="single" w:sz="8" w:color="auto"/>
            </w:tcBorders>
            <w:gridSpan w:val="2"/>
          </w:tcPr>
          <w:p>
            <w:pPr>
              <w:ind w:left="1020"/>
              <w:spacing w:after="0" w:line="142" w:lineRule="exact"/>
              <w:rPr>
                <w:sz w:val="20"/>
                <w:szCs w:val="20"/>
                <w:color w:val="auto"/>
              </w:rPr>
            </w:pPr>
            <w:r>
              <w:rPr>
                <w:rFonts w:ascii="Arial" w:cs="Arial" w:eastAsia="Arial" w:hAnsi="Arial"/>
                <w:sz w:val="14"/>
                <w:szCs w:val="14"/>
                <w:color w:val="auto"/>
              </w:rPr>
              <w:t>June 30, 2012</w:t>
            </w:r>
          </w:p>
        </w:tc>
        <w:tc>
          <w:tcPr>
            <w:tcW w:w="1960" w:type="dxa"/>
            <w:vAlign w:val="bottom"/>
            <w:tcBorders>
              <w:bottom w:val="single" w:sz="8" w:color="auto"/>
            </w:tcBorders>
            <w:gridSpan w:val="2"/>
          </w:tcPr>
          <w:p>
            <w:pPr>
              <w:ind w:left="840"/>
              <w:spacing w:after="0" w:line="142" w:lineRule="exact"/>
              <w:rPr>
                <w:sz w:val="20"/>
                <w:szCs w:val="20"/>
                <w:color w:val="auto"/>
              </w:rPr>
            </w:pPr>
            <w:r>
              <w:rPr>
                <w:rFonts w:ascii="Arial" w:cs="Arial" w:eastAsia="Arial" w:hAnsi="Arial"/>
                <w:sz w:val="14"/>
                <w:szCs w:val="14"/>
                <w:color w:val="auto"/>
                <w:w w:val="89"/>
              </w:rPr>
              <w:t>December 31, 2011</w:t>
            </w:r>
          </w:p>
        </w:tc>
        <w:tc>
          <w:tcPr>
            <w:tcW w:w="0" w:type="dxa"/>
            <w:vAlign w:val="bottom"/>
          </w:tcPr>
          <w:p>
            <w:pPr>
              <w:spacing w:after="0"/>
              <w:rPr>
                <w:sz w:val="1"/>
                <w:szCs w:val="1"/>
                <w:color w:val="auto"/>
              </w:rPr>
            </w:pPr>
          </w:p>
        </w:tc>
      </w:tr>
      <w:tr>
        <w:trPr>
          <w:trHeight w:val="210"/>
        </w:trPr>
        <w:tc>
          <w:tcPr>
            <w:tcW w:w="748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130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808</w:t>
            </w:r>
          </w:p>
        </w:tc>
        <w:tc>
          <w:tcPr>
            <w:tcW w:w="1280" w:type="dxa"/>
            <w:vAlign w:val="bottom"/>
            <w:shd w:val="clear" w:color="auto" w:fill="E5E5E5"/>
          </w:tcPr>
          <w:p>
            <w:pPr>
              <w:ind w:left="84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130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265</w:t>
            </w: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$712 million and $781 million payable to our monetization programs as of June 30,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Financial Data by Business Segment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1" w:lineRule="exact"/>
        <w:rPr>
          <w:sz w:val="20"/>
          <w:szCs w:val="20"/>
          <w:color w:val="auto"/>
        </w:rPr>
      </w:pPr>
    </w:p>
    <w:p>
      <w:pPr>
        <w:ind w:left="1020" w:right="1240" w:hanging="215"/>
        <w:spacing w:after="0" w:line="32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240" w:hanging="215"/>
        <w:spacing w:after="0" w:line="325"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the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jc w:val="right"/>
              <w:ind w:right="314"/>
              <w:spacing w:after="0" w:line="142" w:lineRule="exact"/>
              <w:rPr>
                <w:sz w:val="20"/>
                <w:szCs w:val="20"/>
                <w:color w:val="auto"/>
              </w:rPr>
            </w:pPr>
            <w:r>
              <w:rPr>
                <w:rFonts w:ascii="Arial" w:cs="Arial" w:eastAsia="Arial" w:hAnsi="Arial"/>
                <w:sz w:val="14"/>
                <w:szCs w:val="14"/>
                <w:color w:val="auto"/>
                <w:w w:val="94"/>
              </w:rPr>
              <w:t>Three Months 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color w:val="auto"/>
              </w:rPr>
              <w:t>2012</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2,252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1,540</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1,231</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539</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segment revenue</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5,562</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1080" w:type="dxa"/>
            <w:vAlign w:val="bottom"/>
            <w:gridSpan w:val="2"/>
            <w:shd w:val="clear" w:color="auto" w:fill="E5E5E5"/>
          </w:tcPr>
          <w:p>
            <w:pPr>
              <w:jc w:val="right"/>
              <w:ind w:right="452"/>
              <w:spacing w:after="0"/>
              <w:rPr>
                <w:sz w:val="20"/>
                <w:szCs w:val="20"/>
                <w:color w:val="auto"/>
              </w:rPr>
            </w:pPr>
            <w:r>
              <w:rPr>
                <w:rFonts w:ascii="Arial" w:cs="Arial" w:eastAsia="Arial" w:hAnsi="Arial"/>
                <w:sz w:val="18"/>
                <w:szCs w:val="18"/>
                <w:color w:val="auto"/>
              </w:rPr>
              <w:t>11</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1"/>
                <w:szCs w:val="11"/>
                <w:b w:val="1"/>
                <w:bCs w:val="1"/>
                <w:color w:val="auto"/>
              </w:rPr>
              <w:t>(e)</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gridSpan w:val="2"/>
            <w:shd w:val="clear" w:color="auto" w:fill="E5E5E5"/>
          </w:tcPr>
          <w:p>
            <w:pPr>
              <w:jc w:val="right"/>
              <w:ind w:right="452"/>
              <w:spacing w:after="0"/>
              <w:rPr>
                <w:sz w:val="20"/>
                <w:szCs w:val="20"/>
                <w:color w:val="auto"/>
              </w:rPr>
            </w:pPr>
            <w:r>
              <w:rPr>
                <w:rFonts w:ascii="Arial" w:cs="Arial" w:eastAsia="Arial" w:hAnsi="Arial"/>
                <w:sz w:val="18"/>
                <w:szCs w:val="18"/>
                <w:b w:val="1"/>
                <w:bCs w:val="1"/>
                <w:color w:val="auto"/>
              </w:rPr>
              <w:t>5,504</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114"/>
              <w:spacing w:after="0"/>
              <w:rPr>
                <w:sz w:val="20"/>
                <w:szCs w:val="20"/>
                <w:color w:val="auto"/>
              </w:rPr>
            </w:pPr>
            <w:r>
              <w:rPr>
                <w:rFonts w:ascii="Arial" w:cs="Arial" w:eastAsia="Arial" w:hAnsi="Arial"/>
                <w:sz w:val="14"/>
                <w:szCs w:val="14"/>
                <w:color w:val="auto"/>
                <w:w w:val="81"/>
              </w:rPr>
              <w:t>Predecessor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gridSpan w:val="3"/>
          </w:tcPr>
          <w:p>
            <w:pPr>
              <w:jc w:val="right"/>
              <w:ind w:right="200"/>
              <w:spacing w:after="0" w:line="131" w:lineRule="exact"/>
              <w:rPr>
                <w:sz w:val="20"/>
                <w:szCs w:val="20"/>
                <w:color w:val="auto"/>
              </w:rPr>
            </w:pPr>
            <w:r>
              <w:rPr>
                <w:rFonts w:ascii="Arial" w:cs="Arial" w:eastAsia="Arial" w:hAnsi="Arial"/>
                <w:sz w:val="14"/>
                <w:szCs w:val="14"/>
                <w:color w:val="auto"/>
                <w:w w:val="96"/>
              </w:rPr>
              <w:t>For the Period</w:t>
            </w:r>
          </w:p>
        </w:tc>
        <w:tc>
          <w:tcPr>
            <w:tcW w:w="4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gridSpan w:val="2"/>
          </w:tcPr>
          <w:p>
            <w:pPr>
              <w:jc w:val="center"/>
              <w:ind w:right="114"/>
              <w:spacing w:after="0" w:line="131" w:lineRule="exact"/>
              <w:rPr>
                <w:sz w:val="20"/>
                <w:szCs w:val="20"/>
                <w:color w:val="auto"/>
              </w:rPr>
            </w:pPr>
            <w:r>
              <w:rPr>
                <w:rFonts w:ascii="Arial" w:cs="Arial" w:eastAsia="Arial" w:hAnsi="Arial"/>
                <w:sz w:val="14"/>
                <w:szCs w:val="14"/>
                <w:color w:val="auto"/>
                <w:w w:val="85"/>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1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Six Months Ended</w:t>
            </w: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97"/>
              </w:rPr>
              <w:t>January 29, 2011</w:t>
            </w:r>
          </w:p>
        </w:tc>
        <w:tc>
          <w:tcPr>
            <w:tcW w:w="60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2"/>
          </w:tcPr>
          <w:p>
            <w:pPr>
              <w:jc w:val="center"/>
              <w:ind w:right="114"/>
              <w:spacing w:after="0" w:line="149" w:lineRule="exact"/>
              <w:rPr>
                <w:sz w:val="20"/>
                <w:szCs w:val="20"/>
                <w:color w:val="auto"/>
              </w:rPr>
            </w:pPr>
            <w:r>
              <w:rPr>
                <w:rFonts w:ascii="Arial" w:cs="Arial" w:eastAsia="Arial" w:hAnsi="Arial"/>
                <w:sz w:val="14"/>
                <w:szCs w:val="14"/>
                <w:color w:val="auto"/>
                <w:w w:val="83"/>
              </w:rPr>
              <w:t>January 1, 2011</w:t>
            </w:r>
          </w:p>
        </w:tc>
        <w:tc>
          <w:tcPr>
            <w:tcW w:w="0" w:type="dxa"/>
            <w:vAlign w:val="bottom"/>
          </w:tcPr>
          <w:p>
            <w:pPr>
              <w:spacing w:after="0"/>
              <w:rPr>
                <w:sz w:val="1"/>
                <w:szCs w:val="1"/>
                <w:color w:val="auto"/>
              </w:rPr>
            </w:pPr>
          </w:p>
        </w:tc>
      </w:tr>
      <w:tr>
        <w:trPr>
          <w:trHeight w:val="159"/>
        </w:trPr>
        <w:tc>
          <w:tcPr>
            <w:tcW w:w="52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3"/>
                <w:szCs w:val="13"/>
                <w:color w:val="auto"/>
              </w:rPr>
            </w:pPr>
          </w:p>
        </w:tc>
        <w:tc>
          <w:tcPr>
            <w:tcW w:w="1500" w:type="dxa"/>
            <w:vAlign w:val="bottom"/>
          </w:tcPr>
          <w:p>
            <w:pPr>
              <w:jc w:val="right"/>
              <w:ind w:right="636"/>
              <w:spacing w:after="0" w:line="159" w:lineRule="exact"/>
              <w:rPr>
                <w:sz w:val="20"/>
                <w:szCs w:val="20"/>
                <w:color w:val="auto"/>
              </w:rPr>
            </w:pPr>
            <w:r>
              <w:rPr>
                <w:rFonts w:ascii="Arial" w:cs="Arial" w:eastAsia="Arial" w:hAnsi="Arial"/>
                <w:sz w:val="14"/>
                <w:szCs w:val="14"/>
                <w:color w:val="auto"/>
                <w:w w:val="85"/>
              </w:rPr>
              <w:t>June 30, 2012</w:t>
            </w:r>
          </w:p>
        </w:tc>
        <w:tc>
          <w:tcPr>
            <w:tcW w:w="1120" w:type="dxa"/>
            <w:vAlign w:val="bottom"/>
            <w:gridSpan w:val="4"/>
          </w:tcPr>
          <w:p>
            <w:pPr>
              <w:ind w:left="60"/>
              <w:spacing w:after="0" w:line="159" w:lineRule="exact"/>
              <w:rPr>
                <w:sz w:val="20"/>
                <w:szCs w:val="20"/>
                <w:color w:val="auto"/>
              </w:rPr>
            </w:pPr>
            <w:r>
              <w:rPr>
                <w:rFonts w:ascii="Arial" w:cs="Arial" w:eastAsia="Arial" w:hAnsi="Arial"/>
                <w:sz w:val="14"/>
                <w:szCs w:val="14"/>
                <w:color w:val="auto"/>
                <w:w w:val="99"/>
              </w:rPr>
              <w:t>to June 30, 2011</w:t>
            </w:r>
          </w:p>
        </w:tc>
        <w:tc>
          <w:tcPr>
            <w:tcW w:w="6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20" w:type="dxa"/>
            <w:vAlign w:val="bottom"/>
            <w:gridSpan w:val="3"/>
          </w:tcPr>
          <w:p>
            <w:pPr>
              <w:jc w:val="center"/>
              <w:ind w:left="352"/>
              <w:spacing w:after="0" w:line="159" w:lineRule="exact"/>
              <w:rPr>
                <w:sz w:val="20"/>
                <w:szCs w:val="20"/>
                <w:color w:val="auto"/>
              </w:rPr>
            </w:pPr>
            <w:r>
              <w:rPr>
                <w:rFonts w:ascii="Arial" w:cs="Arial" w:eastAsia="Arial" w:hAnsi="Arial"/>
                <w:sz w:val="14"/>
                <w:szCs w:val="14"/>
                <w:color w:val="auto"/>
                <w:w w:val="85"/>
              </w:rPr>
              <w:t>to January 28,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ind w:left="52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4,390</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3,573</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3,391</w:t>
            </w:r>
          </w:p>
        </w:tc>
        <w:tc>
          <w:tcPr>
            <w:tcW w:w="34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2,583</w:t>
            </w:r>
          </w:p>
        </w:tc>
        <w:tc>
          <w:tcPr>
            <w:tcW w:w="40" w:type="dxa"/>
            <w:vAlign w:val="bottom"/>
            <w:shd w:val="clear" w:color="auto" w:fill="E5E5E5"/>
          </w:tcPr>
          <w:p>
            <w:pPr>
              <w:spacing w:after="0"/>
              <w:rPr>
                <w:sz w:val="18"/>
                <w:szCs w:val="18"/>
                <w:color w:val="auto"/>
              </w:rPr>
            </w:pPr>
          </w:p>
        </w:tc>
        <w:tc>
          <w:tcPr>
            <w:tcW w:w="600" w:type="dxa"/>
            <w:vAlign w:val="bottom"/>
            <w:tcBorders>
              <w:right w:val="single" w:sz="8" w:color="auto"/>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2,423</w:t>
            </w:r>
          </w:p>
        </w:tc>
        <w:tc>
          <w:tcPr>
            <w:tcW w:w="3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1,876</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color w:val="auto"/>
              </w:rPr>
              <w:t>951</w:t>
            </w:r>
          </w:p>
        </w:tc>
        <w:tc>
          <w:tcPr>
            <w:tcW w:w="3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segment revenue</w:t>
            </w:r>
          </w:p>
        </w:tc>
        <w:tc>
          <w:tcPr>
            <w:tcW w:w="640" w:type="dxa"/>
            <w:vAlign w:val="bottom"/>
          </w:tcPr>
          <w:p>
            <w:pPr>
              <w:spacing w:after="0"/>
              <w:rPr>
                <w:sz w:val="18"/>
                <w:szCs w:val="18"/>
                <w:color w:val="auto"/>
              </w:rPr>
            </w:pPr>
          </w:p>
        </w:tc>
        <w:tc>
          <w:tcPr>
            <w:tcW w:w="1500" w:type="dxa"/>
            <w:vAlign w:val="bottom"/>
          </w:tcPr>
          <w:p>
            <w:pPr>
              <w:jc w:val="right"/>
              <w:ind w:right="516"/>
              <w:spacing w:after="0"/>
              <w:rPr>
                <w:sz w:val="20"/>
                <w:szCs w:val="20"/>
                <w:color w:val="auto"/>
              </w:rPr>
            </w:pPr>
            <w:r>
              <w:rPr>
                <w:rFonts w:ascii="Arial" w:cs="Arial" w:eastAsia="Arial" w:hAnsi="Arial"/>
                <w:sz w:val="18"/>
                <w:szCs w:val="18"/>
                <w:color w:val="auto"/>
              </w:rPr>
              <w:t>11,155</w:t>
            </w:r>
          </w:p>
        </w:tc>
        <w:tc>
          <w:tcPr>
            <w:tcW w:w="3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8,828</w:t>
            </w: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Headquarters and Other</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jc w:val="right"/>
              <w:ind w:right="516"/>
              <w:spacing w:after="0"/>
              <w:rPr>
                <w:sz w:val="20"/>
                <w:szCs w:val="20"/>
                <w:color w:val="auto"/>
              </w:rPr>
            </w:pPr>
            <w:r>
              <w:rPr>
                <w:rFonts w:ascii="Arial" w:cs="Arial" w:eastAsia="Arial" w:hAnsi="Arial"/>
                <w:sz w:val="18"/>
                <w:szCs w:val="18"/>
                <w:color w:val="auto"/>
              </w:rPr>
              <w:t>23</w:t>
            </w:r>
          </w:p>
        </w:tc>
        <w:tc>
          <w:tcPr>
            <w:tcW w:w="340" w:type="dxa"/>
            <w:vAlign w:val="bottom"/>
            <w:shd w:val="clear" w:color="auto" w:fill="E5E5E5"/>
          </w:tcPr>
          <w:p>
            <w:pPr>
              <w:spacing w:after="0"/>
              <w:rPr>
                <w:sz w:val="18"/>
                <w:szCs w:val="18"/>
                <w:color w:val="auto"/>
              </w:rPr>
            </w:pPr>
          </w:p>
        </w:tc>
        <w:tc>
          <w:tcPr>
            <w:tcW w:w="74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25</w:t>
            </w:r>
          </w:p>
        </w:tc>
        <w:tc>
          <w:tcPr>
            <w:tcW w:w="40" w:type="dxa"/>
            <w:vAlign w:val="bottom"/>
            <w:shd w:val="clear" w:color="auto" w:fill="E5E5E5"/>
          </w:tcPr>
          <w:p>
            <w:pPr>
              <w:spacing w:after="0"/>
              <w:rPr>
                <w:sz w:val="18"/>
                <w:szCs w:val="18"/>
                <w:color w:val="auto"/>
              </w:rPr>
            </w:pPr>
          </w:p>
        </w:tc>
        <w:tc>
          <w:tcPr>
            <w:tcW w:w="600" w:type="dxa"/>
            <w:vAlign w:val="bottom"/>
            <w:tcBorders>
              <w:right w:val="single" w:sz="8" w:color="auto"/>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1"/>
                <w:szCs w:val="11"/>
                <w:b w:val="1"/>
                <w:bCs w:val="1"/>
                <w:color w:val="auto"/>
              </w:rPr>
              <w:t>(e)</w:t>
            </w:r>
          </w:p>
        </w:tc>
        <w:tc>
          <w:tcPr>
            <w:tcW w:w="64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E5E5E5"/>
          </w:tcPr>
          <w:p>
            <w:pPr>
              <w:jc w:val="right"/>
              <w:ind w:right="516"/>
              <w:spacing w:after="0"/>
              <w:rPr>
                <w:sz w:val="20"/>
                <w:szCs w:val="20"/>
                <w:color w:val="auto"/>
              </w:rPr>
            </w:pPr>
            <w:r>
              <w:rPr>
                <w:rFonts w:ascii="Arial" w:cs="Arial" w:eastAsia="Arial" w:hAnsi="Arial"/>
                <w:sz w:val="18"/>
                <w:szCs w:val="18"/>
                <w:b w:val="1"/>
                <w:bCs w:val="1"/>
                <w:color w:val="auto"/>
              </w:rPr>
              <w:t>10,976</w:t>
            </w:r>
          </w:p>
        </w:tc>
        <w:tc>
          <w:tcPr>
            <w:tcW w:w="34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8,090</w:t>
            </w: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auto"/>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1,206</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61"/>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2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4"/>
          </w:tcPr>
          <w:p>
            <w:pPr>
              <w:ind w:left="80"/>
              <w:spacing w:after="0" w:line="142" w:lineRule="exact"/>
              <w:rPr>
                <w:sz w:val="20"/>
                <w:szCs w:val="20"/>
                <w:color w:val="auto"/>
              </w:rPr>
            </w:pPr>
            <w:r>
              <w:rPr>
                <w:rFonts w:ascii="Arial" w:cs="Arial" w:eastAsia="Arial" w:hAnsi="Arial"/>
                <w:sz w:val="14"/>
                <w:szCs w:val="14"/>
                <w:color w:val="auto"/>
              </w:rPr>
              <w:t>Three Months Ended June 30</w:t>
            </w:r>
          </w:p>
        </w:tc>
        <w:tc>
          <w:tcPr>
            <w:tcW w:w="0" w:type="dxa"/>
            <w:vAlign w:val="bottom"/>
          </w:tcPr>
          <w:p>
            <w:pPr>
              <w:spacing w:after="0"/>
              <w:rPr>
                <w:sz w:val="1"/>
                <w:szCs w:val="1"/>
                <w:color w:val="auto"/>
              </w:rPr>
            </w:pPr>
          </w:p>
        </w:tc>
      </w:tr>
      <w:tr>
        <w:trPr>
          <w:trHeight w:val="142"/>
        </w:trPr>
        <w:tc>
          <w:tcPr>
            <w:tcW w:w="52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3"/>
          </w:tcPr>
          <w:p>
            <w:pPr>
              <w:jc w:val="right"/>
              <w:ind w:right="195"/>
              <w:spacing w:after="0" w:line="142" w:lineRule="exact"/>
              <w:rPr>
                <w:sz w:val="20"/>
                <w:szCs w:val="20"/>
                <w:color w:val="auto"/>
              </w:rPr>
            </w:pPr>
            <w:r>
              <w:rPr>
                <w:rFonts w:ascii="Arial" w:cs="Arial" w:eastAsia="Arial" w:hAnsi="Arial"/>
                <w:sz w:val="14"/>
                <w:szCs w:val="14"/>
                <w:color w:val="auto"/>
              </w:rPr>
              <w:t>2012</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right"/>
              <w:ind w:right="2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5"/>
              </w:rPr>
              <w:t>Operating Income (Loss) Before Depreciation and Amortization</w:t>
            </w:r>
          </w:p>
        </w:tc>
        <w:tc>
          <w:tcPr>
            <w:tcW w:w="640" w:type="dxa"/>
            <w:vAlign w:val="bottom"/>
            <w:tcBorders>
              <w:top w:val="single" w:sz="8" w:color="auto"/>
            </w:tcBorders>
            <w:shd w:val="clear" w:color="auto" w:fill="E5E5E5"/>
          </w:tcPr>
          <w:p>
            <w:pPr>
              <w:spacing w:after="0"/>
              <w:rPr>
                <w:sz w:val="18"/>
                <w:szCs w:val="18"/>
                <w:color w:val="auto"/>
              </w:rPr>
            </w:pPr>
          </w:p>
        </w:tc>
        <w:tc>
          <w:tcPr>
            <w:tcW w:w="150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4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right w:val="single" w:sz="8" w:color="E5E5E5"/>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788</w:t>
            </w:r>
          </w:p>
        </w:tc>
        <w:tc>
          <w:tcPr>
            <w:tcW w:w="6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196</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Filmed Entertainment</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9"/>
              </w:rPr>
              <w:t>(155)</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spacing w:after="0"/>
              <w:rPr>
                <w:sz w:val="18"/>
                <w:szCs w:val="18"/>
                <w:color w:val="auto"/>
              </w:rPr>
            </w:pP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Total operating income (loss) before depreciation and amortization</w:t>
            </w:r>
            <w:r>
              <w:rPr>
                <w:rFonts w:ascii="Arial" w:cs="Arial" w:eastAsia="Arial" w:hAnsi="Arial"/>
                <w:sz w:val="11"/>
                <w:szCs w:val="11"/>
                <w:color w:val="auto"/>
                <w:w w:val="95"/>
              </w:rPr>
              <w:t>(f)</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E5E5E5"/>
          </w:tcPr>
          <w:p>
            <w:pPr>
              <w:spacing w:after="0"/>
              <w:rPr>
                <w:sz w:val="20"/>
                <w:szCs w:val="20"/>
                <w:color w:val="auto"/>
              </w:rPr>
            </w:pPr>
            <w:r>
              <w:rPr>
                <w:rFonts w:ascii="Arial" w:cs="Arial" w:eastAsia="Arial" w:hAnsi="Arial"/>
                <w:sz w:val="18"/>
                <w:szCs w:val="18"/>
                <w:color w:val="auto"/>
              </w:rPr>
              <w:t>Depreciation</w:t>
            </w:r>
          </w:p>
        </w:tc>
        <w:tc>
          <w:tcPr>
            <w:tcW w:w="640" w:type="dxa"/>
            <w:vAlign w:val="bottom"/>
            <w:shd w:val="clear" w:color="auto" w:fill="E5E5E5"/>
          </w:tcPr>
          <w:p>
            <w:pPr>
              <w:spacing w:after="0"/>
              <w:rPr>
                <w:sz w:val="18"/>
                <w:szCs w:val="18"/>
                <w:color w:val="auto"/>
              </w:rPr>
            </w:pPr>
          </w:p>
        </w:tc>
        <w:tc>
          <w:tcPr>
            <w:tcW w:w="15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600" w:type="dxa"/>
            <w:vAlign w:val="bottom"/>
            <w:tcBorders>
              <w:right w:val="single" w:sz="8" w:color="E5E5E5"/>
            </w:tcBorders>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131</w:t>
            </w: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income</w:t>
            </w:r>
          </w:p>
        </w:tc>
        <w:tc>
          <w:tcPr>
            <w:tcW w:w="640" w:type="dxa"/>
            <w:vAlign w:val="bottom"/>
            <w:tcBorders>
              <w:bottom w:val="single" w:sz="8" w:color="auto"/>
            </w:tcBorders>
            <w:shd w:val="clear" w:color="auto" w:fill="E5E5E5"/>
          </w:tcPr>
          <w:p>
            <w:pPr>
              <w:spacing w:after="0"/>
              <w:rPr>
                <w:sz w:val="18"/>
                <w:szCs w:val="18"/>
                <w:color w:val="auto"/>
              </w:rPr>
            </w:pPr>
          </w:p>
        </w:tc>
        <w:tc>
          <w:tcPr>
            <w:tcW w:w="15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300" w:type="dxa"/>
            <w:vAlign w:val="bottom"/>
            <w:tcBorders>
              <w:bottom w:val="single" w:sz="8" w:color="auto"/>
            </w:tcBorders>
            <w:shd w:val="clear" w:color="auto" w:fill="E5E5E5"/>
          </w:tcPr>
          <w:p>
            <w:pPr>
              <w:spacing w:after="0"/>
              <w:rPr>
                <w:sz w:val="18"/>
                <w:szCs w:val="18"/>
                <w:color w:val="auto"/>
              </w:rPr>
            </w:pPr>
          </w:p>
        </w:tc>
        <w:tc>
          <w:tcPr>
            <w:tcW w:w="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662</w:t>
            </w:r>
          </w:p>
        </w:tc>
        <w:tc>
          <w:tcPr>
            <w:tcW w:w="640" w:type="dxa"/>
            <w:vAlign w:val="bottom"/>
            <w:tcBorders>
              <w:bottom w:val="single" w:sz="8" w:color="auto"/>
            </w:tcBorders>
            <w:shd w:val="clear" w:color="auto" w:fill="E5E5E5"/>
          </w:tcPr>
          <w:p>
            <w:pPr>
              <w:spacing w:after="0"/>
              <w:rPr>
                <w:sz w:val="18"/>
                <w:szCs w:val="18"/>
                <w:color w:val="auto"/>
              </w:rPr>
            </w:pP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747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Successor</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color w:val="auto"/>
                <w:w w:val="81"/>
              </w:rPr>
              <w:t>Predecessor</w:t>
            </w: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gridSpan w:val="2"/>
          </w:tcPr>
          <w:p>
            <w:pPr>
              <w:jc w:val="right"/>
              <w:ind w:right="112"/>
              <w:spacing w:after="0" w:line="131" w:lineRule="exact"/>
              <w:rPr>
                <w:sz w:val="20"/>
                <w:szCs w:val="20"/>
                <w:color w:val="auto"/>
              </w:rPr>
            </w:pPr>
            <w:r>
              <w:rPr>
                <w:rFonts w:ascii="Arial" w:cs="Arial" w:eastAsia="Arial" w:hAnsi="Arial"/>
                <w:sz w:val="14"/>
                <w:szCs w:val="14"/>
                <w:color w:val="auto"/>
                <w:w w:val="99"/>
              </w:rPr>
              <w:t>For the Period</w:t>
            </w:r>
          </w:p>
        </w:tc>
        <w:tc>
          <w:tcPr>
            <w:tcW w:w="7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jc w:val="center"/>
              <w:ind w:right="117"/>
              <w:spacing w:after="0" w:line="131" w:lineRule="exact"/>
              <w:rPr>
                <w:sz w:val="20"/>
                <w:szCs w:val="20"/>
                <w:color w:val="auto"/>
              </w:rPr>
            </w:pPr>
            <w:r>
              <w:rPr>
                <w:rFonts w:ascii="Arial" w:cs="Arial" w:eastAsia="Arial" w:hAnsi="Arial"/>
                <w:sz w:val="14"/>
                <w:szCs w:val="14"/>
                <w:color w:val="auto"/>
                <w:w w:val="85"/>
              </w:rPr>
              <w:t>For the Period</w:t>
            </w: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2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Six Months Ended</w:t>
            </w:r>
          </w:p>
        </w:tc>
        <w:tc>
          <w:tcPr>
            <w:tcW w:w="1800" w:type="dxa"/>
            <w:vAlign w:val="bottom"/>
            <w:tcBorders>
              <w:right w:val="single" w:sz="8" w:color="auto"/>
            </w:tcBorders>
            <w:gridSpan w:val="3"/>
          </w:tcPr>
          <w:p>
            <w:pPr>
              <w:ind w:left="60"/>
              <w:spacing w:after="0" w:line="149" w:lineRule="exact"/>
              <w:rPr>
                <w:sz w:val="20"/>
                <w:szCs w:val="20"/>
                <w:color w:val="auto"/>
              </w:rPr>
            </w:pPr>
            <w:r>
              <w:rPr>
                <w:rFonts w:ascii="Arial" w:cs="Arial" w:eastAsia="Arial" w:hAnsi="Arial"/>
                <w:sz w:val="14"/>
                <w:szCs w:val="14"/>
                <w:color w:val="auto"/>
              </w:rPr>
              <w:t>January 29, 2011</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83"/>
              </w:rPr>
              <w:t>January 1, 2011</w:t>
            </w:r>
          </w:p>
        </w:tc>
      </w:tr>
      <w:tr>
        <w:trPr>
          <w:trHeight w:val="159"/>
        </w:trPr>
        <w:tc>
          <w:tcPr>
            <w:tcW w:w="4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1560" w:type="dxa"/>
            <w:vAlign w:val="bottom"/>
          </w:tcPr>
          <w:p>
            <w:pPr>
              <w:jc w:val="right"/>
              <w:ind w:right="696"/>
              <w:spacing w:after="0" w:line="159" w:lineRule="exact"/>
              <w:rPr>
                <w:sz w:val="20"/>
                <w:szCs w:val="20"/>
                <w:color w:val="auto"/>
              </w:rPr>
            </w:pPr>
            <w:r>
              <w:rPr>
                <w:rFonts w:ascii="Arial" w:cs="Arial" w:eastAsia="Arial" w:hAnsi="Arial"/>
                <w:sz w:val="14"/>
                <w:szCs w:val="14"/>
                <w:color w:val="auto"/>
                <w:w w:val="85"/>
              </w:rPr>
              <w:t>June 30, 2012</w:t>
            </w:r>
          </w:p>
        </w:tc>
        <w:tc>
          <w:tcPr>
            <w:tcW w:w="1800" w:type="dxa"/>
            <w:vAlign w:val="bottom"/>
            <w:tcBorders>
              <w:right w:val="single" w:sz="8" w:color="auto"/>
            </w:tcBorders>
            <w:gridSpan w:val="3"/>
          </w:tcPr>
          <w:p>
            <w:pPr>
              <w:ind w:left="80"/>
              <w:spacing w:after="0" w:line="159" w:lineRule="exact"/>
              <w:rPr>
                <w:sz w:val="20"/>
                <w:szCs w:val="20"/>
                <w:color w:val="auto"/>
              </w:rPr>
            </w:pPr>
            <w:r>
              <w:rPr>
                <w:rFonts w:ascii="Arial" w:cs="Arial" w:eastAsia="Arial" w:hAnsi="Arial"/>
                <w:sz w:val="14"/>
                <w:szCs w:val="14"/>
                <w:color w:val="auto"/>
              </w:rPr>
              <w:t>to June 30, 2011</w:t>
            </w:r>
          </w:p>
        </w:tc>
        <w:tc>
          <w:tcPr>
            <w:tcW w:w="700" w:type="dxa"/>
            <w:vAlign w:val="bottom"/>
          </w:tcPr>
          <w:p>
            <w:pPr>
              <w:spacing w:after="0"/>
              <w:rPr>
                <w:sz w:val="13"/>
                <w:szCs w:val="13"/>
                <w:color w:val="auto"/>
              </w:rPr>
            </w:pPr>
          </w:p>
        </w:tc>
        <w:tc>
          <w:tcPr>
            <w:tcW w:w="17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to January 28, 2011</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89"/>
              </w:rPr>
              <w:t>Operating Income (Loss) Before Depreciation and Amortization</w:t>
            </w:r>
          </w:p>
        </w:tc>
        <w:tc>
          <w:tcPr>
            <w:tcW w:w="700" w:type="dxa"/>
            <w:vAlign w:val="bottom"/>
            <w:tcBorders>
              <w:top w:val="single" w:sz="8" w:color="auto"/>
            </w:tcBorders>
            <w:shd w:val="clear" w:color="auto" w:fill="E5E5E5"/>
          </w:tcPr>
          <w:p>
            <w:pPr>
              <w:spacing w:after="0"/>
              <w:rPr>
                <w:sz w:val="18"/>
                <w:szCs w:val="18"/>
                <w:color w:val="auto"/>
              </w:rPr>
            </w:pPr>
          </w:p>
        </w:tc>
        <w:tc>
          <w:tcPr>
            <w:tcW w:w="156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right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(a)</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56"/>
              <w:spacing w:after="0"/>
              <w:rPr>
                <w:sz w:val="20"/>
                <w:szCs w:val="20"/>
                <w:color w:val="auto"/>
              </w:rPr>
            </w:pPr>
            <w:r>
              <w:rPr>
                <w:rFonts w:ascii="Arial" w:cs="Arial" w:eastAsia="Arial" w:hAnsi="Arial"/>
                <w:sz w:val="18"/>
                <w:szCs w:val="18"/>
                <w:color w:val="auto"/>
              </w:rPr>
              <w:t>1,593</w:t>
            </w:r>
          </w:p>
        </w:tc>
        <w:tc>
          <w:tcPr>
            <w:tcW w:w="360" w:type="dxa"/>
            <w:vAlign w:val="bottom"/>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1,445</w:t>
            </w:r>
          </w:p>
        </w:tc>
        <w:tc>
          <w:tcPr>
            <w:tcW w:w="700" w:type="dxa"/>
            <w:vAlign w:val="bottom"/>
            <w:tcBorders>
              <w:right w:val="single" w:sz="8" w:color="auto"/>
            </w:tcBorders>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Broadcast Television</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225</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Filmed Entertainment</w:t>
            </w:r>
          </w:p>
        </w:tc>
        <w:tc>
          <w:tcPr>
            <w:tcW w:w="700" w:type="dxa"/>
            <w:vAlign w:val="bottom"/>
          </w:tcPr>
          <w:p>
            <w:pPr>
              <w:spacing w:after="0"/>
              <w:rPr>
                <w:sz w:val="18"/>
                <w:szCs w:val="18"/>
                <w:color w:val="auto"/>
              </w:rPr>
            </w:pPr>
          </w:p>
        </w:tc>
        <w:tc>
          <w:tcPr>
            <w:tcW w:w="1560" w:type="dxa"/>
            <w:vAlign w:val="bottom"/>
          </w:tcPr>
          <w:p>
            <w:pPr>
              <w:jc w:val="right"/>
              <w:ind w:right="516"/>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 xml:space="preserve">Theme Parks </w:t>
            </w:r>
            <w:r>
              <w:rPr>
                <w:rFonts w:ascii="Arial" w:cs="Arial" w:eastAsia="Arial" w:hAnsi="Arial"/>
                <w:sz w:val="11"/>
                <w:szCs w:val="11"/>
                <w:color w:val="auto"/>
              </w:rPr>
              <w:t>(b)</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392</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322</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(c)</w:t>
            </w:r>
          </w:p>
        </w:tc>
        <w:tc>
          <w:tcPr>
            <w:tcW w:w="700" w:type="dxa"/>
            <w:vAlign w:val="bottom"/>
          </w:tcPr>
          <w:p>
            <w:pPr>
              <w:spacing w:after="0"/>
              <w:rPr>
                <w:sz w:val="18"/>
                <w:szCs w:val="18"/>
                <w:color w:val="auto"/>
              </w:rPr>
            </w:pPr>
          </w:p>
        </w:tc>
        <w:tc>
          <w:tcPr>
            <w:tcW w:w="1560" w:type="dxa"/>
            <w:vAlign w:val="bottom"/>
          </w:tcPr>
          <w:p>
            <w:pPr>
              <w:jc w:val="right"/>
              <w:ind w:right="516"/>
              <w:spacing w:after="0"/>
              <w:rPr>
                <w:sz w:val="20"/>
                <w:szCs w:val="20"/>
                <w:color w:val="auto"/>
              </w:rPr>
            </w:pPr>
            <w:r>
              <w:rPr>
                <w:rFonts w:ascii="Arial" w:cs="Arial" w:eastAsia="Arial" w:hAnsi="Arial"/>
                <w:sz w:val="18"/>
                <w:szCs w:val="18"/>
                <w:color w:val="auto"/>
              </w:rPr>
              <w:t>(301)</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w:t>
            </w:r>
          </w:p>
        </w:tc>
        <w:tc>
          <w:tcPr>
            <w:tcW w:w="7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(d)</w:t>
            </w:r>
          </w:p>
        </w:tc>
        <w:tc>
          <w:tcPr>
            <w:tcW w:w="700" w:type="dxa"/>
            <w:vAlign w:val="bottom"/>
            <w:tcBorders>
              <w:bottom w:val="single" w:sz="8" w:color="auto"/>
            </w:tcBorders>
            <w:shd w:val="clear" w:color="auto" w:fill="E5E5E5"/>
          </w:tcPr>
          <w:p>
            <w:pPr>
              <w:spacing w:after="0"/>
              <w:rPr>
                <w:sz w:val="18"/>
                <w:szCs w:val="18"/>
                <w:color w:val="auto"/>
              </w:rPr>
            </w:pPr>
          </w:p>
        </w:tc>
        <w:tc>
          <w:tcPr>
            <w:tcW w:w="1560" w:type="dxa"/>
            <w:vAlign w:val="bottom"/>
            <w:tcBorders>
              <w:bottom w:val="single" w:sz="8" w:color="auto"/>
            </w:tcBorders>
            <w:shd w:val="clear" w:color="auto" w:fill="E5E5E5"/>
          </w:tcPr>
          <w:p>
            <w:pPr>
              <w:jc w:val="right"/>
              <w:ind w:right="556"/>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(234)</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Total operating income (loss) before depreciation and amortization</w:t>
            </w:r>
            <w:r>
              <w:rPr>
                <w:rFonts w:ascii="Arial" w:cs="Arial" w:eastAsia="Arial" w:hAnsi="Arial"/>
                <w:sz w:val="11"/>
                <w:szCs w:val="11"/>
                <w:color w:val="auto"/>
                <w:w w:val="89"/>
              </w:rPr>
              <w:t>(f)</w:t>
            </w: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1,795</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1,393</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860" w:type="dxa"/>
            <w:vAlign w:val="bottom"/>
            <w:shd w:val="clear" w:color="auto" w:fill="E5E5E5"/>
          </w:tcPr>
          <w:p>
            <w:pPr>
              <w:spacing w:after="0"/>
              <w:rPr>
                <w:sz w:val="20"/>
                <w:szCs w:val="20"/>
                <w:color w:val="auto"/>
              </w:rPr>
            </w:pPr>
            <w:r>
              <w:rPr>
                <w:rFonts w:ascii="Arial" w:cs="Arial" w:eastAsia="Arial" w:hAnsi="Arial"/>
                <w:sz w:val="18"/>
                <w:szCs w:val="18"/>
                <w:color w:val="auto"/>
              </w:rPr>
              <w:t>Depreciation</w:t>
            </w:r>
          </w:p>
        </w:tc>
        <w:tc>
          <w:tcPr>
            <w:tcW w:w="700" w:type="dxa"/>
            <w:vAlign w:val="bottom"/>
            <w:shd w:val="clear" w:color="auto" w:fill="E5E5E5"/>
          </w:tcPr>
          <w:p>
            <w:pPr>
              <w:spacing w:after="0"/>
              <w:rPr>
                <w:sz w:val="18"/>
                <w:szCs w:val="18"/>
                <w:color w:val="auto"/>
              </w:rPr>
            </w:pPr>
          </w:p>
        </w:tc>
        <w:tc>
          <w:tcPr>
            <w:tcW w:w="1560" w:type="dxa"/>
            <w:vAlign w:val="bottom"/>
            <w:shd w:val="clear" w:color="auto" w:fill="E5E5E5"/>
          </w:tcPr>
          <w:p>
            <w:pPr>
              <w:jc w:val="right"/>
              <w:ind w:right="556"/>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118</w:t>
            </w:r>
          </w:p>
        </w:tc>
        <w:tc>
          <w:tcPr>
            <w:tcW w:w="700" w:type="dxa"/>
            <w:vAlign w:val="bottom"/>
            <w:tcBorders>
              <w:right w:val="single" w:sz="8" w:color="auto"/>
            </w:tcBorders>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w:t>
            </w:r>
          </w:p>
        </w:tc>
        <w:tc>
          <w:tcPr>
            <w:tcW w:w="7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8"/>
                <w:szCs w:val="18"/>
                <w:color w:val="auto"/>
              </w:rPr>
              <w:t>371</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323</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w:t>
            </w:r>
          </w:p>
        </w:tc>
      </w:t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operating income</w:t>
            </w:r>
          </w:p>
        </w:tc>
        <w:tc>
          <w:tcPr>
            <w:tcW w:w="700" w:type="dxa"/>
            <w:vAlign w:val="bottom"/>
            <w:tcBorders>
              <w:bottom w:val="single" w:sz="8" w:color="auto"/>
            </w:tcBorders>
            <w:shd w:val="clear" w:color="auto" w:fill="E5E5E5"/>
          </w:tcPr>
          <w:p>
            <w:pPr>
              <w:ind w:left="600"/>
              <w:spacing w:after="0"/>
              <w:rPr>
                <w:sz w:val="20"/>
                <w:szCs w:val="20"/>
                <w:color w:val="auto"/>
              </w:rPr>
            </w:pPr>
            <w:r>
              <w:rPr>
                <w:rFonts w:ascii="Arial" w:cs="Arial" w:eastAsia="Arial" w:hAnsi="Arial"/>
                <w:sz w:val="18"/>
                <w:szCs w:val="18"/>
                <w:b w:val="1"/>
                <w:bCs w:val="1"/>
                <w:color w:val="auto"/>
                <w:w w:val="79"/>
              </w:rPr>
              <w:t>$</w:t>
            </w:r>
          </w:p>
        </w:tc>
        <w:tc>
          <w:tcPr>
            <w:tcW w:w="1560" w:type="dxa"/>
            <w:vAlign w:val="bottom"/>
            <w:tcBorders>
              <w:bottom w:val="single" w:sz="8" w:color="auto"/>
            </w:tcBorders>
            <w:shd w:val="clear" w:color="auto" w:fill="E5E5E5"/>
          </w:tcPr>
          <w:p>
            <w:pPr>
              <w:jc w:val="right"/>
              <w:ind w:right="556"/>
              <w:spacing w:after="0"/>
              <w:rPr>
                <w:sz w:val="20"/>
                <w:szCs w:val="20"/>
                <w:color w:val="auto"/>
              </w:rPr>
            </w:pPr>
            <w:r>
              <w:rPr>
                <w:rFonts w:ascii="Arial" w:cs="Arial" w:eastAsia="Arial" w:hAnsi="Arial"/>
                <w:sz w:val="18"/>
                <w:szCs w:val="18"/>
                <w:b w:val="1"/>
                <w:bCs w:val="1"/>
                <w:color w:val="auto"/>
              </w:rPr>
              <w:t>1,163</w:t>
            </w:r>
          </w:p>
        </w:tc>
        <w:tc>
          <w:tcPr>
            <w:tcW w:w="36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952</w:t>
            </w:r>
          </w:p>
        </w:tc>
        <w:tc>
          <w:tcPr>
            <w:tcW w:w="700" w:type="dxa"/>
            <w:vAlign w:val="bottom"/>
            <w:tcBorders>
              <w:bottom w:val="single" w:sz="8" w:color="auto"/>
              <w:right w:val="single" w:sz="8" w:color="auto"/>
            </w:tcBorders>
            <w:shd w:val="clear" w:color="auto" w:fill="E5E5E5"/>
          </w:tcPr>
          <w:p>
            <w:pPr>
              <w:spacing w:after="0"/>
              <w:rPr>
                <w:sz w:val="18"/>
                <w:szCs w:val="18"/>
                <w:color w:val="auto"/>
              </w:rPr>
            </w:pPr>
          </w:p>
        </w:tc>
        <w:tc>
          <w:tcPr>
            <w:tcW w:w="140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8</w:t>
            </w:r>
          </w:p>
        </w:tc>
      </w:tr>
    </w:tbl>
    <w:p>
      <w:pPr>
        <w:spacing w:after="0" w:line="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the three and six months ended June 30, 2012 and the period January 29 through June 30, 2011, our Cable Networks segment included the results of operations of the Comcast Content Business.</w:t>
      </w:r>
    </w:p>
    <w:p>
      <w:pPr>
        <w:spacing w:after="0" w:line="78" w:lineRule="exact"/>
        <w:rPr>
          <w:rFonts w:ascii="Arial" w:cs="Arial" w:eastAsia="Arial" w:hAnsi="Arial"/>
          <w:sz w:val="12"/>
          <w:szCs w:val="12"/>
          <w:color w:val="auto"/>
        </w:rPr>
      </w:pPr>
    </w:p>
    <w:p>
      <w:pPr>
        <w:ind w:left="340" w:right="20" w:hanging="332"/>
        <w:spacing w:after="0" w:line="239"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periods January 1, 2011 through January 28, 2011 and January 29, 2011 through June 30, 2011, our Theme Parks segment included the results of operations for Universal Orlando to reflect our measure of operating performance for our Theme Parks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Headquarters and Other includes operating costs and expenses associated with corporate overhead, employee benefits and corporate initiatives.</w:t>
      </w:r>
    </w:p>
    <w:p>
      <w:pPr>
        <w:spacing w:after="0" w:line="55" w:lineRule="exact"/>
        <w:rPr>
          <w:rFonts w:ascii="Arial" w:cs="Arial" w:eastAsia="Arial" w:hAnsi="Arial"/>
          <w:sz w:val="14"/>
          <w:szCs w:val="14"/>
          <w:color w:val="auto"/>
        </w:rPr>
      </w:pPr>
    </w:p>
    <w:p>
      <w:pPr>
        <w:ind w:left="340" w:right="20" w:hanging="332"/>
        <w:spacing w:after="0" w:line="317"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Eliminations for the periods January 1, 2011 through January 28, 2011 and January 29, 2011 through June 30, 2011 included the elimination of the results of operations for Universal Orlando for these periods. These results were not included in our consolidated results of operations because we recorded Universal Orlando as an equity method investment during those periods.</w:t>
      </w:r>
    </w:p>
    <w:p>
      <w:pPr>
        <w:ind w:left="360"/>
        <w:spacing w:after="0" w:line="239" w:lineRule="auto"/>
        <w:rPr>
          <w:rFonts w:ascii="Arial" w:cs="Arial" w:eastAsia="Arial" w:hAnsi="Arial"/>
          <w:sz w:val="12"/>
          <w:szCs w:val="12"/>
          <w:color w:val="auto"/>
        </w:rPr>
      </w:pPr>
      <w:r>
        <w:rPr>
          <w:rFonts w:ascii="Arial" w:cs="Arial" w:eastAsia="Arial" w:hAnsi="Arial"/>
          <w:sz w:val="14"/>
          <w:szCs w:val="14"/>
          <w:color w:val="auto"/>
        </w:rPr>
        <w:t>Also included in Eliminations are transactions that our segments enter into with one another, which consisted primarily of the licensing of film and television content from our Filmed Entertainment and Broadcast Television segments to our Cable Networks segment.</w:t>
      </w:r>
    </w:p>
    <w:p>
      <w:pPr>
        <w:spacing w:after="0" w:line="43"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Condensed Consolidating Financial Information</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October 2011, NBCUniversal Media, LLC fully and unconditionally guaranteed Universal Orlando’s senior and senior subordinated notes in exchange for amendments that conform the notes’ covenants and events of default to those contained in our $9.1 billion of outstanding public debt securities. The guarantee includes the payment of principal, premium, if any, and interest. NBCUniversal Media, LLC is referred to as “Parent” in the tables presented below.</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Universal Orlando’s senior and senior subordinated notes were co-issued by Universal City Development Partners, Ltd. and UCDP Finance (collectively, the “Issuers”) and continue also to be fully and unconditionally guaranteed by Universal City Travel Partners and Universal Orlando Online Merchandise Store (collectively, the “Guarantor Subsidiaries”).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condensed consolidating financial information is presented in the tables below and includes the operating results of the Universal Orlando entities from July 1, 2011, the date we acquired the remaining 50% equity interest in Universal Orlando that we did not already own.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131</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38</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429</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1,240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2,006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2,006</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3,535</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3,587</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83</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1,311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1,427</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697</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250</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7,281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8,260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5,079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5,079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830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1,349</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883</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970</w:t>
            </w: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39,377</w:t>
            </w:r>
          </w:p>
        </w:tc>
        <w:tc>
          <w:tcPr>
            <w:tcW w:w="50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9"/>
                <w:szCs w:val="19"/>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(39,390)</w:t>
            </w:r>
          </w:p>
        </w:tc>
        <w:tc>
          <w:tcPr>
            <w:tcW w:w="42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1,651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3,365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5,101</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14,794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14,794</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14,996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15,384</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173</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40,809</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2,346</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47,313</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(39,399)</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51,110</w:t>
            </w:r>
          </w:p>
        </w:tc>
      </w:tr>
      <w:tr>
        <w:trPr>
          <w:trHeight w:val="31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139</w:t>
            </w:r>
          </w:p>
        </w:tc>
        <w:tc>
          <w:tcPr>
            <w:tcW w:w="52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1,921</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2,067</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1,300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1,300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2,466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2,813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256</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32</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5,689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6,188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9,222</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794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(390)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9,686</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868</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868</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266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2,219</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3,449</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131</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30,367</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w w:val="84"/>
              </w:rPr>
              <w:t>1,066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37,925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(39,000)</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30,367</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421</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421</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30,367</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w w:val="84"/>
              </w:rPr>
              <w:t>1,066</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w w:val="90"/>
              </w:rPr>
              <w:t>38,346</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8"/>
              </w:rPr>
              <w:t>(39,000)</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30,788</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40,809</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2,346</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41</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47,313</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(39,399)</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51,110</w:t>
            </w: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19</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5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90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16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Consolidation</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36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w w:val="87"/>
              </w:rPr>
              <w:t>Parent</w:t>
            </w:r>
          </w:p>
        </w:tc>
        <w:tc>
          <w:tcPr>
            <w:tcW w:w="1160" w:type="dxa"/>
            <w:vAlign w:val="bottom"/>
            <w:gridSpan w:val="2"/>
          </w:tcPr>
          <w:p>
            <w:pPr>
              <w:jc w:val="right"/>
              <w:ind w:right="232"/>
              <w:spacing w:after="0"/>
              <w:rPr>
                <w:sz w:val="20"/>
                <w:szCs w:val="20"/>
                <w:color w:val="auto"/>
              </w:rPr>
            </w:pPr>
            <w:r>
              <w:rPr>
                <w:rFonts w:ascii="Arial" w:cs="Arial" w:eastAsia="Arial" w:hAnsi="Arial"/>
                <w:sz w:val="14"/>
                <w:szCs w:val="14"/>
                <w:color w:val="auto"/>
              </w:rPr>
              <w:t>Issuers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5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52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42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33</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24</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513</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3,536</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103</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1,200</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136</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5,249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5,227</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2,914</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Noncurrent receivables,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910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w w:val="92"/>
              </w:rPr>
              <w:t>Investments in and amounts due from subsidiaries eliminated</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60" w:type="dxa"/>
            <w:vAlign w:val="bottom"/>
            <w:shd w:val="clear" w:color="auto" w:fill="E5E5E5"/>
          </w:tcPr>
          <w:p>
            <w:pPr>
              <w:spacing w:after="0"/>
              <w:rPr>
                <w:sz w:val="19"/>
                <w:szCs w:val="19"/>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39,744</w:t>
            </w:r>
          </w:p>
        </w:tc>
        <w:tc>
          <w:tcPr>
            <w:tcW w:w="50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11</w:t>
            </w:r>
          </w:p>
        </w:tc>
        <w:tc>
          <w:tcPr>
            <w:tcW w:w="52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(39,755)</w:t>
            </w:r>
          </w:p>
        </w:tc>
        <w:tc>
          <w:tcPr>
            <w:tcW w:w="42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1,644</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3,320</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0"/>
              </w:rPr>
              <w:t>14,657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392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15,303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15,695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41</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50</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640"/>
              <w:spacing w:after="0"/>
              <w:rPr>
                <w:sz w:val="20"/>
                <w:szCs w:val="20"/>
                <w:color w:val="auto"/>
              </w:rPr>
            </w:pPr>
            <w:r>
              <w:rPr>
                <w:rFonts w:ascii="Arial" w:cs="Arial" w:eastAsia="Arial" w:hAnsi="Arial"/>
                <w:sz w:val="18"/>
                <w:szCs w:val="18"/>
                <w:color w:val="auto"/>
              </w:rPr>
              <w:t>to trade creditors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124</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1,992</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1,255</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82</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2,371</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550</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206</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5,622</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9,142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888</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69</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(485)</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9"/>
              </w:rPr>
              <w:t>Accrued participations, residuals and program obligations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873</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262</w:t>
            </w: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2,127</w:t>
            </w: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184</w:t>
            </w:r>
          </w:p>
        </w:tc>
        <w:tc>
          <w:tcPr>
            <w:tcW w:w="400" w:type="dxa"/>
            <w:vAlign w:val="bottom"/>
          </w:tcPr>
          <w:p>
            <w:pPr>
              <w:spacing w:after="0"/>
              <w:rPr>
                <w:sz w:val="18"/>
                <w:szCs w:val="18"/>
                <w:color w:val="auto"/>
              </w:rPr>
            </w:pPr>
          </w:p>
        </w:tc>
        <w:tc>
          <w:tcPr>
            <w:tcW w:w="9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spacing w:after="0"/>
              <w:rPr>
                <w:sz w:val="20"/>
                <w:szCs w:val="20"/>
                <w:color w:val="auto"/>
              </w:rPr>
            </w:pPr>
            <w:r>
              <w:rPr>
                <w:rFonts w:ascii="Arial" w:cs="Arial" w:eastAsia="Arial" w:hAnsi="Arial"/>
                <w:sz w:val="18"/>
                <w:szCs w:val="18"/>
                <w:color w:val="auto"/>
              </w:rPr>
              <w:t>Equity:</w:t>
            </w:r>
          </w:p>
        </w:tc>
        <w:tc>
          <w:tcPr>
            <w:tcW w:w="3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 NBCUniversal member’s equity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w w:val="90"/>
              </w:rPr>
              <w:t>38,394</w:t>
            </w:r>
          </w:p>
        </w:tc>
        <w:tc>
          <w:tcPr>
            <w:tcW w:w="400" w:type="dxa"/>
            <w:vAlign w:val="bottom"/>
          </w:tcPr>
          <w:p>
            <w:pPr>
              <w:spacing w:after="0"/>
              <w:rPr>
                <w:sz w:val="18"/>
                <w:szCs w:val="18"/>
                <w:color w:val="auto"/>
              </w:rPr>
            </w:pPr>
          </w:p>
        </w:tc>
        <w:tc>
          <w:tcPr>
            <w:tcW w:w="900" w:type="dxa"/>
            <w:vAlign w:val="bottom"/>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361</w:t>
            </w:r>
          </w:p>
        </w:tc>
        <w:tc>
          <w:tcPr>
            <w:tcW w:w="40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29,720</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869</w:t>
            </w: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0"/>
              </w:rPr>
              <w:t>38,755</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8"/>
              </w:rPr>
              <w:t>(39,270)</w:t>
            </w: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30,081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40,667</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w w:val="84"/>
              </w:rPr>
              <w:t>2,225</w:t>
            </w:r>
          </w:p>
        </w:tc>
        <w:tc>
          <w:tcPr>
            <w:tcW w:w="5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26</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w w:val="90"/>
              </w:rPr>
              <w:t>47,630</w:t>
            </w:r>
          </w:p>
        </w:tc>
        <w:tc>
          <w:tcPr>
            <w:tcW w:w="4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98"/>
              </w:rPr>
              <w:t>(39,764)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50,784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20</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40" w:type="dxa"/>
            <w:vAlign w:val="bottom"/>
          </w:tcPr>
          <w:p>
            <w:pPr>
              <w:jc w:val="right"/>
              <w:ind w:right="213"/>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5</w:t>
            </w:r>
          </w:p>
        </w:tc>
        <w:tc>
          <w:tcPr>
            <w:tcW w:w="104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$ 358</w:t>
            </w:r>
          </w:p>
        </w:tc>
        <w:tc>
          <w:tcPr>
            <w:tcW w:w="54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39</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5,119</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(17)</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5,504</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222</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190</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37</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4,105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(32)</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4,522</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186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189</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222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226</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4,389</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(32)</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4,842</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(217)</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730</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15</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833</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(105)</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3</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(15)</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719</w:t>
            </w:r>
          </w:p>
        </w:tc>
        <w:tc>
          <w:tcPr>
            <w:tcW w:w="10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(854)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502</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803</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591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513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750</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(839)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549</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513</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$ 123</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714</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(839)</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513</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9"/>
              </w:rPr>
              <w:t>495</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$ 123</w:t>
            </w:r>
          </w:p>
        </w:tc>
        <w:tc>
          <w:tcPr>
            <w:tcW w:w="5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2</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696</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(821)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495</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593"/>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2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w:t>
            </w:r>
          </w:p>
        </w:tc>
        <w:tc>
          <w:tcPr>
            <w:tcW w:w="500" w:type="dxa"/>
            <w:vAlign w:val="bottom"/>
            <w:tcBorders>
              <w:top w:val="single" w:sz="8" w:color="auto"/>
            </w:tcBorders>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5,178</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5,179</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197</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3,981</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4,178</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183</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183</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197</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4,235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4,432</w:t>
            </w:r>
          </w:p>
        </w:tc>
      </w:tr>
      <w:tr>
        <w:trPr>
          <w:trHeight w:val="210"/>
        </w:trPr>
        <w:tc>
          <w:tcPr>
            <w:tcW w:w="20" w:type="dxa"/>
            <w:vAlign w:val="bottom"/>
          </w:tcPr>
          <w:p>
            <w:pPr>
              <w:spacing w:after="0"/>
              <w:rPr>
                <w:sz w:val="18"/>
                <w:szCs w:val="18"/>
                <w:color w:val="auto"/>
              </w:rPr>
            </w:pPr>
          </w:p>
        </w:tc>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5"/>
              </w:rPr>
              <w:t>(196)</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943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747</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w w:val="99"/>
              </w:rPr>
              <w:t>928</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111</w:t>
            </w: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44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99"/>
              </w:rPr>
              <w:t>820</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624</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1,037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738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(72)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520" w:type="dxa"/>
            <w:vAlign w:val="bottom"/>
          </w:tcPr>
          <w:p>
            <w:pPr>
              <w:jc w:val="right"/>
              <w:ind w:right="112"/>
              <w:spacing w:after="0"/>
              <w:rPr>
                <w:sz w:val="20"/>
                <w:szCs w:val="20"/>
                <w:color w:val="auto"/>
              </w:rPr>
            </w:pPr>
            <w:r>
              <w:rPr>
                <w:rFonts w:ascii="Arial" w:cs="Arial" w:eastAsia="Arial" w:hAnsi="Arial"/>
                <w:sz w:val="18"/>
                <w:szCs w:val="18"/>
                <w:color w:val="auto"/>
                <w:w w:val="99"/>
              </w:rPr>
              <w:t>626</w:t>
            </w:r>
          </w:p>
        </w:tc>
        <w:tc>
          <w:tcPr>
            <w:tcW w:w="50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965</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(923)</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668</w:t>
            </w:r>
          </w:p>
        </w:tc>
      </w:tr>
      <w:tr>
        <w:trPr>
          <w:trHeight w:val="216"/>
        </w:trPr>
        <w:tc>
          <w:tcPr>
            <w:tcW w:w="20" w:type="dxa"/>
            <w:vAlign w:val="bottom"/>
          </w:tcPr>
          <w:p>
            <w:pPr>
              <w:spacing w:after="0"/>
              <w:rPr>
                <w:sz w:val="18"/>
                <w:szCs w:val="18"/>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r>
      <w:tr>
        <w:trPr>
          <w:trHeight w:val="217"/>
        </w:trPr>
        <w:tc>
          <w:tcPr>
            <w:tcW w:w="20" w:type="dxa"/>
            <w:vAlign w:val="bottom"/>
          </w:tcPr>
          <w:p>
            <w:pPr>
              <w:spacing w:after="0"/>
              <w:rPr>
                <w:sz w:val="18"/>
                <w:szCs w:val="18"/>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626</w:t>
            </w:r>
          </w:p>
        </w:tc>
        <w:tc>
          <w:tcPr>
            <w:tcW w:w="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923</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(923)</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626</w:t>
            </w:r>
          </w:p>
        </w:tc>
      </w:tr>
      <w:tr>
        <w:trPr>
          <w:trHeight w:val="223"/>
        </w:trPr>
        <w:tc>
          <w:tcPr>
            <w:tcW w:w="20" w:type="dxa"/>
            <w:vAlign w:val="bottom"/>
          </w:tcPr>
          <w:p>
            <w:pPr>
              <w:spacing w:after="0"/>
              <w:rPr>
                <w:sz w:val="19"/>
                <w:szCs w:val="19"/>
                <w:color w:val="auto"/>
              </w:rPr>
            </w:pPr>
          </w:p>
        </w:tc>
        <w:tc>
          <w:tcPr>
            <w:tcW w:w="44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b w:val="1"/>
                <w:bCs w:val="1"/>
                <w:color w:val="auto"/>
                <w:w w:val="99"/>
              </w:rPr>
              <w:t>622</w:t>
            </w:r>
          </w:p>
        </w:tc>
        <w:tc>
          <w:tcPr>
            <w:tcW w:w="50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921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(921)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622</w:t>
            </w:r>
          </w:p>
        </w:tc>
      </w:tr>
      <w:tr>
        <w:trPr>
          <w:trHeight w:val="36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393"/>
              <w:spacing w:after="0" w:line="149" w:lineRule="exact"/>
              <w:rPr>
                <w:sz w:val="20"/>
                <w:szCs w:val="20"/>
                <w:color w:val="auto"/>
              </w:rPr>
            </w:pPr>
            <w:r>
              <w:rPr>
                <w:rFonts w:ascii="Arial" w:cs="Arial" w:eastAsia="Arial" w:hAnsi="Arial"/>
                <w:sz w:val="14"/>
                <w:szCs w:val="14"/>
                <w:color w:val="auto"/>
                <w:w w:val="98"/>
              </w:rPr>
              <w:t>Non-</w:t>
            </w:r>
          </w:p>
        </w:tc>
        <w:tc>
          <w:tcPr>
            <w:tcW w:w="400" w:type="dxa"/>
            <w:vAlign w:val="bottom"/>
          </w:tcPr>
          <w:p>
            <w:pPr>
              <w:spacing w:after="0"/>
              <w:rPr>
                <w:sz w:val="12"/>
                <w:szCs w:val="12"/>
                <w:color w:val="auto"/>
              </w:rPr>
            </w:pPr>
          </w:p>
        </w:tc>
        <w:tc>
          <w:tcPr>
            <w:tcW w:w="84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76"/>
              </w:rPr>
              <w:t>and</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Guarantor</w:t>
            </w:r>
          </w:p>
        </w:tc>
        <w:tc>
          <w:tcPr>
            <w:tcW w:w="11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Consolidation</w:t>
            </w:r>
          </w:p>
        </w:tc>
        <w:tc>
          <w:tcPr>
            <w:tcW w:w="11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400" w:type="dxa"/>
            <w:vAlign w:val="bottom"/>
            <w:gridSpan w:val="2"/>
          </w:tcPr>
          <w:p>
            <w:pPr>
              <w:jc w:val="right"/>
              <w:ind w:right="332"/>
              <w:spacing w:after="0"/>
              <w:rPr>
                <w:sz w:val="20"/>
                <w:szCs w:val="20"/>
                <w:color w:val="auto"/>
              </w:rPr>
            </w:pPr>
            <w:r>
              <w:rPr>
                <w:rFonts w:ascii="Arial" w:cs="Arial" w:eastAsia="Arial" w:hAnsi="Arial"/>
                <w:sz w:val="14"/>
                <w:szCs w:val="14"/>
                <w:color w:val="auto"/>
              </w:rPr>
              <w:t>Parent</w:t>
            </w:r>
          </w:p>
        </w:tc>
        <w:tc>
          <w:tcPr>
            <w:tcW w:w="780" w:type="dxa"/>
            <w:vAlign w:val="bottom"/>
          </w:tcPr>
          <w:p>
            <w:pPr>
              <w:jc w:val="right"/>
              <w:ind w:right="173"/>
              <w:spacing w:after="0"/>
              <w:rPr>
                <w:sz w:val="20"/>
                <w:szCs w:val="20"/>
                <w:color w:val="auto"/>
              </w:rPr>
            </w:pPr>
            <w:r>
              <w:rPr>
                <w:rFonts w:ascii="Arial" w:cs="Arial" w:eastAsia="Arial" w:hAnsi="Arial"/>
                <w:sz w:val="14"/>
                <w:szCs w:val="14"/>
                <w:color w:val="auto"/>
              </w:rPr>
              <w:t>Issuers</w:t>
            </w:r>
          </w:p>
        </w:tc>
        <w:tc>
          <w:tcPr>
            <w:tcW w:w="112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11</w:t>
            </w:r>
          </w:p>
        </w:tc>
        <w:tc>
          <w:tcPr>
            <w:tcW w:w="780" w:type="dxa"/>
            <w:vAlign w:val="bottom"/>
            <w:tcBorders>
              <w:top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$ 654</w:t>
            </w:r>
          </w:p>
        </w:tc>
        <w:tc>
          <w:tcPr>
            <w:tcW w:w="5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68</w:t>
            </w:r>
          </w:p>
        </w:tc>
        <w:tc>
          <w:tcPr>
            <w:tcW w:w="38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0"/>
              </w:rPr>
              <w:t>10,273</w:t>
            </w:r>
          </w:p>
        </w:tc>
        <w:tc>
          <w:tcPr>
            <w:tcW w:w="4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(30)</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10,976</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Costs and Expenses: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475</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66</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8,320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(45)</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9,181</w:t>
            </w: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365</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371</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475</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434</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66</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8,883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(45)</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9,813</w:t>
            </w:r>
          </w:p>
        </w:tc>
      </w:tr>
      <w:tr>
        <w:trPr>
          <w:trHeight w:val="210"/>
        </w:trPr>
        <w:tc>
          <w:tcPr>
            <w:tcW w:w="20" w:type="dxa"/>
            <w:vAlign w:val="bottom"/>
          </w:tcPr>
          <w:p>
            <w:pPr>
              <w:spacing w:after="0"/>
              <w:rPr>
                <w:sz w:val="18"/>
                <w:szCs w:val="18"/>
                <w:color w:val="auto"/>
              </w:rPr>
            </w:pPr>
          </w:p>
        </w:tc>
        <w:tc>
          <w:tcPr>
            <w:tcW w:w="45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(464)</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220</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1,390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Income (Expense):</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w w:val="88"/>
              </w:rPr>
              <w:t>1,566</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132</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45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(208)</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45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52"/>
              <w:spacing w:after="0"/>
              <w:rPr>
                <w:sz w:val="20"/>
                <w:szCs w:val="20"/>
                <w:color w:val="auto"/>
              </w:rPr>
            </w:pPr>
            <w:r>
              <w:rPr>
                <w:rFonts w:ascii="Arial" w:cs="Arial" w:eastAsia="Arial" w:hAnsi="Arial"/>
                <w:sz w:val="18"/>
                <w:szCs w:val="18"/>
                <w:color w:val="auto"/>
              </w:rPr>
              <w:t>8</w:t>
            </w:r>
          </w:p>
        </w:tc>
        <w:tc>
          <w:tcPr>
            <w:tcW w:w="78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10</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10"/>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w w:val="88"/>
              </w:rPr>
              <w:t>1,353</w:t>
            </w:r>
          </w:p>
        </w:tc>
        <w:tc>
          <w:tcPr>
            <w:tcW w:w="78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145</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(1,587)</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(115)</w:t>
            </w: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889</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1,535</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1,048</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9</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(91)</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(82)</w:t>
            </w: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898</w:t>
            </w: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194</w:t>
            </w:r>
          </w:p>
        </w:tc>
        <w:tc>
          <w:tcPr>
            <w:tcW w:w="520" w:type="dxa"/>
            <w:vAlign w:val="bottom"/>
          </w:tcPr>
          <w:p>
            <w:pPr>
              <w:spacing w:after="0"/>
              <w:rPr>
                <w:sz w:val="18"/>
                <w:szCs w:val="18"/>
                <w:color w:val="auto"/>
              </w:rPr>
            </w:pPr>
          </w:p>
        </w:tc>
        <w:tc>
          <w:tcPr>
            <w:tcW w:w="6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1,444</w:t>
            </w:r>
          </w:p>
        </w:tc>
        <w:tc>
          <w:tcPr>
            <w:tcW w:w="4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(1,572)</w:t>
            </w:r>
          </w:p>
        </w:tc>
        <w:tc>
          <w:tcPr>
            <w:tcW w:w="42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966</w:t>
            </w:r>
          </w:p>
        </w:tc>
      </w:tr>
      <w:tr>
        <w:trPr>
          <w:trHeight w:val="216"/>
        </w:trPr>
        <w:tc>
          <w:tcPr>
            <w:tcW w:w="20" w:type="dxa"/>
            <w:vAlign w:val="bottom"/>
          </w:tcPr>
          <w:p>
            <w:pPr>
              <w:spacing w:after="0"/>
              <w:rPr>
                <w:sz w:val="18"/>
                <w:szCs w:val="18"/>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6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(68)</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(68)</w:t>
            </w:r>
          </w:p>
        </w:tc>
      </w:tr>
      <w:tr>
        <w:trPr>
          <w:trHeight w:val="217"/>
        </w:trPr>
        <w:tc>
          <w:tcPr>
            <w:tcW w:w="20" w:type="dxa"/>
            <w:vAlign w:val="bottom"/>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898</w:t>
            </w: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$ 194</w:t>
            </w:r>
          </w:p>
        </w:tc>
        <w:tc>
          <w:tcPr>
            <w:tcW w:w="5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1,376</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(1,572)</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898</w:t>
            </w:r>
          </w:p>
        </w:tc>
      </w:tr>
      <w:tr>
        <w:trPr>
          <w:trHeight w:val="223"/>
        </w:trPr>
        <w:tc>
          <w:tcPr>
            <w:tcW w:w="20" w:type="dxa"/>
            <w:vAlign w:val="bottom"/>
          </w:tcPr>
          <w:p>
            <w:pPr>
              <w:spacing w:after="0"/>
              <w:rPr>
                <w:sz w:val="19"/>
                <w:szCs w:val="19"/>
                <w:color w:val="auto"/>
              </w:rPr>
            </w:pPr>
          </w:p>
        </w:tc>
        <w:tc>
          <w:tcPr>
            <w:tcW w:w="4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9"/>
              </w:rPr>
              <w:t>Comprehensive income attributable to NBCUniversal</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52"/>
              <w:spacing w:after="0"/>
              <w:rPr>
                <w:sz w:val="20"/>
                <w:szCs w:val="20"/>
                <w:color w:val="auto"/>
              </w:rPr>
            </w:pPr>
            <w:r>
              <w:rPr>
                <w:rFonts w:ascii="Arial" w:cs="Arial" w:eastAsia="Arial" w:hAnsi="Arial"/>
                <w:sz w:val="18"/>
                <w:szCs w:val="18"/>
                <w:b w:val="1"/>
                <w:bCs w:val="1"/>
                <w:color w:val="auto"/>
              </w:rPr>
              <w:t>881</w:t>
            </w:r>
          </w:p>
        </w:tc>
        <w:tc>
          <w:tcPr>
            <w:tcW w:w="78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$ 194</w:t>
            </w:r>
          </w:p>
        </w:tc>
        <w:tc>
          <w:tcPr>
            <w:tcW w:w="5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rPr>
              <w:t>2</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1,358</w:t>
            </w:r>
          </w:p>
        </w:tc>
        <w:tc>
          <w:tcPr>
            <w:tcW w:w="4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b w:val="1"/>
                <w:bCs w:val="1"/>
                <w:color w:val="auto"/>
              </w:rPr>
              <w:t>(1,554)</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881</w:t>
            </w:r>
          </w:p>
        </w:tc>
      </w:tr>
      <w:tr>
        <w:trPr>
          <w:trHeight w:val="363"/>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For the Period January 29, 2011 to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60" w:type="dxa"/>
            <w:vAlign w:val="bottom"/>
          </w:tcPr>
          <w:p>
            <w:pPr>
              <w:jc w:val="center"/>
              <w:ind w:right="393"/>
              <w:spacing w:after="0" w:line="149" w:lineRule="exact"/>
              <w:rPr>
                <w:sz w:val="20"/>
                <w:szCs w:val="20"/>
                <w:color w:val="auto"/>
              </w:rPr>
            </w:pPr>
            <w:r>
              <w:rPr>
                <w:rFonts w:ascii="Arial" w:cs="Arial" w:eastAsia="Arial" w:hAnsi="Arial"/>
                <w:sz w:val="14"/>
                <w:szCs w:val="14"/>
                <w:color w:val="auto"/>
                <w:w w:val="76"/>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1060" w:type="dxa"/>
            <w:vAlign w:val="bottom"/>
            <w:gridSpan w:val="2"/>
          </w:tcPr>
          <w:p>
            <w:pPr>
              <w:jc w:val="right"/>
              <w:ind w:right="112"/>
              <w:spacing w:after="0"/>
              <w:rPr>
                <w:sz w:val="20"/>
                <w:szCs w:val="20"/>
                <w:color w:val="auto"/>
              </w:rPr>
            </w:pPr>
            <w:r>
              <w:rPr>
                <w:rFonts w:ascii="Arial" w:cs="Arial" w:eastAsia="Arial" w:hAnsi="Arial"/>
                <w:sz w:val="14"/>
                <w:szCs w:val="14"/>
                <w:color w:val="auto"/>
              </w:rPr>
              <w:t>Parent</w:t>
            </w:r>
          </w:p>
        </w:tc>
        <w:tc>
          <w:tcPr>
            <w:tcW w:w="1040" w:type="dxa"/>
            <w:vAlign w:val="bottom"/>
            <w:gridSpan w:val="2"/>
          </w:tcPr>
          <w:p>
            <w:pPr>
              <w:ind w:left="420"/>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w:t>
            </w:r>
          </w:p>
        </w:tc>
        <w:tc>
          <w:tcPr>
            <w:tcW w:w="560" w:type="dxa"/>
            <w:vAlign w:val="bottom"/>
            <w:tcBorders>
              <w:top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8,088</w:t>
            </w:r>
          </w:p>
        </w:tc>
        <w:tc>
          <w:tcPr>
            <w:tcW w:w="42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8,090</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and Expenses: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348</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6,349</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6,697</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118</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323</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323</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348</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6,790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7,138</w:t>
            </w:r>
          </w:p>
        </w:tc>
      </w:tr>
      <w:tr>
        <w:trPr>
          <w:trHeight w:val="210"/>
        </w:trPr>
        <w:tc>
          <w:tcPr>
            <w:tcW w:w="20" w:type="dxa"/>
            <w:vAlign w:val="bottom"/>
          </w:tcPr>
          <w:p>
            <w:pPr>
              <w:spacing w:after="0"/>
              <w:rPr>
                <w:sz w:val="18"/>
                <w:szCs w:val="18"/>
                <w:color w:val="auto"/>
              </w:rPr>
            </w:pPr>
          </w:p>
        </w:tc>
        <w:tc>
          <w:tcPr>
            <w:tcW w:w="4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(346)</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1,298</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952</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4"/>
              </w:rPr>
              <w:t>1,250</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156</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48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7</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w w:val="84"/>
              </w:rPr>
              <w:t>1,065</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141</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719</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1,439</w:t>
            </w:r>
          </w:p>
        </w:tc>
        <w:tc>
          <w:tcPr>
            <w:tcW w:w="4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899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(94)</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540" w:type="dxa"/>
            <w:vAlign w:val="bottom"/>
          </w:tcPr>
          <w:p>
            <w:pPr>
              <w:spacing w:after="0"/>
              <w:rPr>
                <w:sz w:val="18"/>
                <w:szCs w:val="18"/>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720</w:t>
            </w:r>
          </w:p>
        </w:tc>
        <w:tc>
          <w:tcPr>
            <w:tcW w:w="56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1,345</w:t>
            </w:r>
          </w:p>
        </w:tc>
        <w:tc>
          <w:tcPr>
            <w:tcW w:w="42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(1,259)</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806</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5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720</w:t>
            </w:r>
          </w:p>
        </w:tc>
        <w:tc>
          <w:tcPr>
            <w:tcW w:w="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1,259</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(1,259)</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720</w:t>
            </w: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719</w:t>
            </w:r>
          </w:p>
        </w:tc>
        <w:tc>
          <w:tcPr>
            <w:tcW w:w="5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b w:val="1"/>
                <w:bCs w:val="1"/>
                <w:color w:val="auto"/>
              </w:rPr>
              <w:t>1,260</w:t>
            </w:r>
          </w:p>
        </w:tc>
        <w:tc>
          <w:tcPr>
            <w:tcW w:w="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(1,260)</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719</w:t>
            </w: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900" w:type="dxa"/>
            <w:vAlign w:val="bottom"/>
          </w:tcPr>
          <w:p>
            <w:pPr>
              <w:jc w:val="center"/>
              <w:ind w:right="413"/>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Guarantor</w:t>
            </w:r>
          </w:p>
        </w:tc>
        <w:tc>
          <w:tcPr>
            <w:tcW w:w="13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Consolidation</w:t>
            </w:r>
          </w:p>
        </w:tc>
        <w:tc>
          <w:tcPr>
            <w:tcW w:w="116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1000" w:type="dxa"/>
            <w:vAlign w:val="bottom"/>
          </w:tcPr>
          <w:p>
            <w:pPr>
              <w:jc w:val="right"/>
              <w:ind w:right="113"/>
              <w:spacing w:after="0"/>
              <w:rPr>
                <w:sz w:val="20"/>
                <w:szCs w:val="20"/>
                <w:color w:val="auto"/>
              </w:rPr>
            </w:pPr>
            <w:r>
              <w:rPr>
                <w:rFonts w:ascii="Arial" w:cs="Arial" w:eastAsia="Arial" w:hAnsi="Arial"/>
                <w:sz w:val="14"/>
                <w:szCs w:val="14"/>
                <w:color w:val="auto"/>
              </w:rPr>
              <w:t>Parent</w:t>
            </w:r>
          </w:p>
        </w:tc>
        <w:tc>
          <w:tcPr>
            <w:tcW w:w="1000" w:type="dxa"/>
            <w:vAlign w:val="bottom"/>
            <w:gridSpan w:val="2"/>
          </w:tcPr>
          <w:p>
            <w:pPr>
              <w:ind w:left="360"/>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000" w:type="dxa"/>
            <w:vAlign w:val="bottom"/>
            <w:tcBorders>
              <w:top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auto"/>
            </w:tcBorders>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1,206</w:t>
            </w:r>
          </w:p>
        </w:tc>
        <w:tc>
          <w:tcPr>
            <w:tcW w:w="42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1,206</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and Expenses:</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1,106</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1,171</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65</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1,133</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1,198</w:t>
            </w:r>
          </w:p>
        </w:tc>
      </w:tr>
      <w:tr>
        <w:trPr>
          <w:trHeight w:val="210"/>
        </w:trPr>
        <w:tc>
          <w:tcPr>
            <w:tcW w:w="20" w:type="dxa"/>
            <w:vAlign w:val="bottom"/>
          </w:tcPr>
          <w:p>
            <w:pPr>
              <w:spacing w:after="0"/>
              <w:rPr>
                <w:sz w:val="18"/>
                <w:szCs w:val="18"/>
                <w:color w:val="auto"/>
              </w:rPr>
            </w:pPr>
          </w:p>
        </w:tc>
        <w:tc>
          <w:tcPr>
            <w:tcW w:w="44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 (loss)</w:t>
            </w:r>
          </w:p>
        </w:tc>
        <w:tc>
          <w:tcPr>
            <w:tcW w:w="10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73</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of investees, net</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44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23</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(37)</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19</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r>
      <w:tr>
        <w:trPr>
          <w:trHeight w:val="210"/>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900" w:type="dxa"/>
            <w:vAlign w:val="bottom"/>
          </w:tcPr>
          <w:p>
            <w:pPr>
              <w:jc w:val="right"/>
              <w:ind w:right="173"/>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9"/>
              </w:rPr>
              <w:t>Net (income) loss attributable to noncontrolling interests</w:t>
            </w:r>
          </w:p>
        </w:tc>
        <w:tc>
          <w:tcPr>
            <w:tcW w:w="10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7"/>
        </w:trPr>
        <w:tc>
          <w:tcPr>
            <w:tcW w:w="20" w:type="dxa"/>
            <w:vAlign w:val="bottom"/>
          </w:tcPr>
          <w:p>
            <w:pPr>
              <w:spacing w:after="0"/>
              <w:rPr>
                <w:sz w:val="18"/>
                <w:szCs w:val="18"/>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 (23)</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rPr>
              <w:t>54</w:t>
            </w: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(54)</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7"/>
              </w:rPr>
              <w:t>Comprehensive income attributable to NBCUniversal</w:t>
            </w:r>
          </w:p>
        </w:tc>
        <w:tc>
          <w:tcPr>
            <w:tcW w:w="100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rPr>
              <w:t>$ (20)</w:t>
            </w:r>
          </w:p>
        </w:tc>
        <w:tc>
          <w:tcPr>
            <w:tcW w:w="500" w:type="dxa"/>
            <w:vAlign w:val="bottom"/>
            <w:tcBorders>
              <w:bottom w:val="single" w:sz="8" w:color="auto"/>
            </w:tcBorders>
            <w:shd w:val="clear" w:color="auto" w:fill="E5E5E5"/>
          </w:tcPr>
          <w:p>
            <w:pPr>
              <w:ind w:left="340"/>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ind w:left="6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rPr>
              <w:t>61</w:t>
            </w:r>
          </w:p>
        </w:tc>
        <w:tc>
          <w:tcPr>
            <w:tcW w:w="42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(61)</w:t>
            </w:r>
          </w:p>
        </w:tc>
        <w:tc>
          <w:tcPr>
            <w:tcW w:w="50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r>
      <w:tr>
        <w:trPr>
          <w:trHeight w:val="36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25</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1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8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900" w:type="dxa"/>
            <w:vAlign w:val="bottom"/>
            <w:gridSpan w:val="2"/>
          </w:tcPr>
          <w:p>
            <w:pPr>
              <w:jc w:val="right"/>
              <w:ind w:right="152"/>
              <w:spacing w:after="0"/>
              <w:rPr>
                <w:sz w:val="20"/>
                <w:szCs w:val="20"/>
                <w:color w:val="auto"/>
              </w:rPr>
            </w:pPr>
            <w:r>
              <w:rPr>
                <w:rFonts w:ascii="Arial" w:cs="Arial" w:eastAsia="Arial" w:hAnsi="Arial"/>
                <w:sz w:val="14"/>
                <w:szCs w:val="14"/>
                <w:color w:val="auto"/>
              </w:rPr>
              <w:t>Parent</w:t>
            </w:r>
          </w:p>
        </w:tc>
        <w:tc>
          <w:tcPr>
            <w:tcW w:w="1040" w:type="dxa"/>
            <w:vAlign w:val="bottom"/>
          </w:tcPr>
          <w:p>
            <w:pPr>
              <w:jc w:val="right"/>
              <w:ind w:right="213"/>
              <w:spacing w:after="0"/>
              <w:rPr>
                <w:sz w:val="20"/>
                <w:szCs w:val="20"/>
                <w:color w:val="auto"/>
              </w:rPr>
            </w:pPr>
            <w:r>
              <w:rPr>
                <w:rFonts w:ascii="Arial" w:cs="Arial" w:eastAsia="Arial" w:hAnsi="Arial"/>
                <w:sz w:val="14"/>
                <w:szCs w:val="14"/>
                <w:color w:val="auto"/>
              </w:rPr>
              <w:t>Issuers</w:t>
            </w:r>
          </w:p>
        </w:tc>
        <w:tc>
          <w:tcPr>
            <w:tcW w:w="1180" w:type="dxa"/>
            <w:vAlign w:val="bottom"/>
            <w:gridSpan w:val="2"/>
          </w:tcPr>
          <w:p>
            <w:pPr>
              <w:jc w:val="right"/>
              <w:ind w:right="192"/>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(713)</w:t>
            </w:r>
          </w:p>
        </w:tc>
        <w:tc>
          <w:tcPr>
            <w:tcW w:w="104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$ 258</w:t>
            </w:r>
          </w:p>
        </w:tc>
        <w:tc>
          <w:tcPr>
            <w:tcW w:w="54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14</w:t>
            </w:r>
          </w:p>
        </w:tc>
        <w:tc>
          <w:tcPr>
            <w:tcW w:w="40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2,171</w:t>
            </w:r>
          </w:p>
        </w:tc>
        <w:tc>
          <w:tcPr>
            <w:tcW w:w="4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1,730</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1,830</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w w:val="98"/>
              </w:rPr>
              <w:t>(1,830)</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(62)</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(35)</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(12)</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4"/>
              </w:rPr>
              <w:t>1,815</w:t>
            </w: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(65)</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8"/>
              </w:rPr>
              <w:t>(2,104)</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w w:val="95"/>
              </w:rPr>
              <w:t>Proceeds from (repayments of) short-term borrowings,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64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(550)</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17"/>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4"/>
              </w:rPr>
              <w:t>Repurchases and repayments of third-party borrowings</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32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08"/>
        </w:trPr>
        <w:tc>
          <w:tcPr>
            <w:tcW w:w="20" w:type="dxa"/>
            <w:vAlign w:val="bottom"/>
          </w:tcPr>
          <w:p>
            <w:pPr>
              <w:spacing w:after="0"/>
              <w:rPr>
                <w:sz w:val="18"/>
                <w:szCs w:val="18"/>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3"/>
              </w:rPr>
              <w:t>Repayments of borrowings from subsidiaries eliminated</w:t>
            </w:r>
          </w:p>
        </w:tc>
        <w:tc>
          <w:tcPr>
            <w:tcW w:w="32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04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5E5E5"/>
          </w:tcPr>
          <w:p>
            <w:pPr>
              <w:ind w:left="640"/>
              <w:spacing w:after="0"/>
              <w:rPr>
                <w:sz w:val="20"/>
                <w:szCs w:val="20"/>
                <w:color w:val="auto"/>
              </w:rPr>
            </w:pPr>
            <w:r>
              <w:rPr>
                <w:rFonts w:ascii="Arial" w:cs="Arial" w:eastAsia="Arial" w:hAnsi="Arial"/>
                <w:sz w:val="18"/>
                <w:szCs w:val="18"/>
                <w:color w:val="auto"/>
              </w:rPr>
              <w:t>upon consolidation</w:t>
            </w:r>
          </w:p>
        </w:tc>
        <w:tc>
          <w:tcPr>
            <w:tcW w:w="32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95</w:t>
            </w:r>
          </w:p>
        </w:tc>
        <w:tc>
          <w:tcPr>
            <w:tcW w:w="104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5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(149)</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(698)</w:t>
            </w:r>
          </w:p>
        </w:tc>
        <w:tc>
          <w:tcPr>
            <w:tcW w:w="104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(151)</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(944)</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404</w:t>
            </w: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98</w:t>
            </w:r>
          </w:p>
        </w:tc>
        <w:tc>
          <w:tcPr>
            <w:tcW w:w="540" w:type="dxa"/>
            <w:vAlign w:val="bottom"/>
          </w:tcPr>
          <w:p>
            <w:pPr>
              <w:spacing w:after="0"/>
              <w:rPr>
                <w:sz w:val="18"/>
                <w:szCs w:val="18"/>
                <w:color w:val="auto"/>
              </w:rPr>
            </w:pPr>
          </w:p>
        </w:tc>
        <w:tc>
          <w:tcPr>
            <w:tcW w:w="64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(84)</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432</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238</w:t>
            </w:r>
          </w:p>
        </w:tc>
        <w:tc>
          <w:tcPr>
            <w:tcW w:w="10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24</w:t>
            </w:r>
          </w:p>
        </w:tc>
        <w:tc>
          <w:tcPr>
            <w:tcW w:w="4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513</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808</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642</w:t>
            </w: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$ 131</w:t>
            </w: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38</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429</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1,240</w:t>
            </w: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jc w:val="right"/>
              <w:ind w:right="633"/>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January 29, 2011 to June 30,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right"/>
              <w:ind w:right="413"/>
              <w:spacing w:after="0" w:line="149" w:lineRule="exact"/>
              <w:rPr>
                <w:sz w:val="20"/>
                <w:szCs w:val="20"/>
                <w:color w:val="auto"/>
              </w:rPr>
            </w:pPr>
            <w:r>
              <w:rPr>
                <w:rFonts w:ascii="Arial" w:cs="Arial" w:eastAsia="Arial" w:hAnsi="Arial"/>
                <w:sz w:val="14"/>
                <w:szCs w:val="14"/>
                <w:color w:val="auto"/>
                <w:w w:val="98"/>
              </w:rPr>
              <w:t>Non-</w:t>
            </w:r>
          </w:p>
        </w:tc>
        <w:tc>
          <w:tcPr>
            <w:tcW w:w="44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4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30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Successor </w:t>
            </w:r>
            <w:r>
              <w:rPr>
                <w:rFonts w:ascii="Arial" w:cs="Arial" w:eastAsia="Arial" w:hAnsi="Arial"/>
                <w:sz w:val="14"/>
                <w:szCs w:val="14"/>
                <w:color w:val="auto"/>
              </w:rPr>
              <w:t>(in millions)</w:t>
            </w:r>
          </w:p>
        </w:tc>
        <w:tc>
          <w:tcPr>
            <w:tcW w:w="920" w:type="dxa"/>
            <w:vAlign w:val="bottom"/>
            <w:gridSpan w:val="2"/>
          </w:tcPr>
          <w:p>
            <w:pPr>
              <w:jc w:val="right"/>
              <w:ind w:right="172"/>
              <w:spacing w:after="0"/>
              <w:rPr>
                <w:sz w:val="20"/>
                <w:szCs w:val="20"/>
                <w:color w:val="auto"/>
              </w:rPr>
            </w:pPr>
            <w:r>
              <w:rPr>
                <w:rFonts w:ascii="Arial" w:cs="Arial" w:eastAsia="Arial" w:hAnsi="Arial"/>
                <w:sz w:val="14"/>
                <w:szCs w:val="14"/>
                <w:color w:val="auto"/>
              </w:rPr>
              <w:t>Parent</w:t>
            </w:r>
          </w:p>
        </w:tc>
        <w:tc>
          <w:tcPr>
            <w:tcW w:w="1000" w:type="dxa"/>
            <w:vAlign w:val="bottom"/>
            <w:gridSpan w:val="2"/>
          </w:tcPr>
          <w:p>
            <w:pPr>
              <w:jc w:val="right"/>
              <w:ind w:right="172"/>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jc w:val="right"/>
              <w:ind w:right="172"/>
              <w:spacing w:after="0"/>
              <w:rPr>
                <w:sz w:val="20"/>
                <w:szCs w:val="20"/>
                <w:color w:val="auto"/>
              </w:rPr>
            </w:pPr>
            <w:r>
              <w:rPr>
                <w:rFonts w:ascii="Arial" w:cs="Arial" w:eastAsia="Arial" w:hAnsi="Arial"/>
                <w:sz w:val="14"/>
                <w:szCs w:val="14"/>
                <w:color w:val="auto"/>
              </w:rPr>
              <w:t>Subsidiaries</w:t>
            </w:r>
          </w:p>
        </w:tc>
        <w:tc>
          <w:tcPr>
            <w:tcW w:w="1240" w:type="dxa"/>
            <w:vAlign w:val="bottom"/>
            <w:gridSpan w:val="2"/>
          </w:tcPr>
          <w:p>
            <w:pPr>
              <w:ind w:left="280"/>
              <w:spacing w:after="0"/>
              <w:rPr>
                <w:sz w:val="20"/>
                <w:szCs w:val="20"/>
                <w:color w:val="auto"/>
              </w:rPr>
            </w:pPr>
            <w:r>
              <w:rPr>
                <w:rFonts w:ascii="Arial" w:cs="Arial" w:eastAsia="Arial" w:hAnsi="Arial"/>
                <w:sz w:val="14"/>
                <w:szCs w:val="14"/>
                <w:color w:val="auto"/>
              </w:rPr>
              <w:t>Subsidiaries</w:t>
            </w:r>
          </w:p>
        </w:tc>
        <w:tc>
          <w:tcPr>
            <w:tcW w:w="13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(507)</w:t>
            </w:r>
          </w:p>
        </w:tc>
        <w:tc>
          <w:tcPr>
            <w:tcW w:w="5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1,527</w:t>
            </w:r>
          </w:p>
        </w:tc>
        <w:tc>
          <w:tcPr>
            <w:tcW w:w="44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1,020</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w w:val="84"/>
              </w:rPr>
              <w:t>1,315</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w w:val="98"/>
              </w:rPr>
              <w:t>(1,315)</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paid for intangible assets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(35)</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Proceeds from sale of businesses and investments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Purchases of investments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(6)</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w w:val="84"/>
              </w:rPr>
              <w:t>1,318</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8"/>
              </w:rPr>
              <w:t>(1,401)</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(83)</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2"/>
              </w:rPr>
              <w:t>Repurchases and repayments of third- party borrowings</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Distributions to member</w:t>
            </w:r>
          </w:p>
        </w:tc>
        <w:tc>
          <w:tcPr>
            <w:tcW w:w="340" w:type="dxa"/>
            <w:vAlign w:val="bottom"/>
          </w:tcPr>
          <w:p>
            <w:pPr>
              <w:spacing w:after="0"/>
              <w:rPr>
                <w:sz w:val="18"/>
                <w:szCs w:val="18"/>
                <w:color w:val="auto"/>
              </w:rPr>
            </w:pPr>
          </w:p>
        </w:tc>
        <w:tc>
          <w:tcPr>
            <w:tcW w:w="58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45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Dividends paid</w:t>
            </w:r>
          </w:p>
        </w:tc>
        <w:tc>
          <w:tcPr>
            <w:tcW w:w="3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(78)</w:t>
            </w:r>
          </w:p>
        </w:tc>
        <w:tc>
          <w:tcPr>
            <w:tcW w:w="50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spacing w:after="0"/>
              <w:rPr>
                <w:sz w:val="18"/>
                <w:szCs w:val="18"/>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(93)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32"/>
              <w:spacing w:after="0"/>
              <w:rPr>
                <w:sz w:val="20"/>
                <w:szCs w:val="20"/>
                <w:color w:val="auto"/>
              </w:rPr>
            </w:pPr>
            <w:r>
              <w:rPr>
                <w:rFonts w:ascii="Arial" w:cs="Arial" w:eastAsia="Arial" w:hAnsi="Arial"/>
                <w:sz w:val="18"/>
                <w:szCs w:val="18"/>
                <w:color w:val="auto"/>
              </w:rPr>
              <w:t>(229)</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(95)</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(324)</w:t>
            </w:r>
          </w:p>
        </w:tc>
      </w:tr>
      <w:tr>
        <w:trPr>
          <w:trHeight w:val="210"/>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Pr>
          <w:p>
            <w:pPr>
              <w:spacing w:after="0"/>
              <w:rPr>
                <w:sz w:val="18"/>
                <w:szCs w:val="18"/>
                <w:color w:val="auto"/>
              </w:rPr>
            </w:pPr>
          </w:p>
        </w:tc>
        <w:tc>
          <w:tcPr>
            <w:tcW w:w="580" w:type="dxa"/>
            <w:vAlign w:val="bottom"/>
          </w:tcPr>
          <w:p>
            <w:pPr>
              <w:jc w:val="right"/>
              <w:ind w:right="92"/>
              <w:spacing w:after="0"/>
              <w:rPr>
                <w:sz w:val="20"/>
                <w:szCs w:val="20"/>
                <w:color w:val="auto"/>
              </w:rPr>
            </w:pPr>
            <w:r>
              <w:rPr>
                <w:rFonts w:ascii="Arial" w:cs="Arial" w:eastAsia="Arial" w:hAnsi="Arial"/>
                <w:sz w:val="18"/>
                <w:szCs w:val="18"/>
                <w:color w:val="auto"/>
              </w:rPr>
              <w:t>582</w:t>
            </w:r>
          </w:p>
        </w:tc>
        <w:tc>
          <w:tcPr>
            <w:tcW w:w="50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613</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color w:val="auto"/>
              </w:rPr>
              <w:t>295</w:t>
            </w:r>
          </w:p>
        </w:tc>
        <w:tc>
          <w:tcPr>
            <w:tcW w:w="50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213</w:t>
            </w:r>
          </w:p>
        </w:tc>
        <w:tc>
          <w:tcPr>
            <w:tcW w:w="44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508</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877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244</w:t>
            </w:r>
          </w:p>
        </w:tc>
        <w:tc>
          <w:tcPr>
            <w:tcW w:w="44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1,121</w:t>
            </w:r>
          </w:p>
        </w:tc>
      </w:tr>
      <w:tr>
        <w:trPr>
          <w:trHeight w:val="36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jc w:val="right"/>
              <w:ind w:right="97"/>
              <w:spacing w:after="0"/>
              <w:rPr>
                <w:sz w:val="20"/>
                <w:szCs w:val="20"/>
                <w:color w:val="auto"/>
              </w:rPr>
            </w:pPr>
            <w:r>
              <w:rPr>
                <w:rFonts w:ascii="Arial" w:cs="Arial" w:eastAsia="Arial" w:hAnsi="Arial"/>
                <w:sz w:val="18"/>
                <w:szCs w:val="18"/>
                <w:color w:val="auto"/>
              </w:rPr>
              <w:t>27</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Period January 1, 2011 to January 28,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Elimination</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ind w:right="414"/>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4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76"/>
              </w:rPr>
              <w:t>and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Guarantor</w:t>
            </w:r>
          </w:p>
        </w:tc>
        <w:tc>
          <w:tcPr>
            <w:tcW w:w="1220" w:type="dxa"/>
            <w:vAlign w:val="bottom"/>
            <w:gridSpan w:val="2"/>
          </w:tcPr>
          <w:p>
            <w:pPr>
              <w:jc w:val="right"/>
              <w:ind w:right="274"/>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94"/>
              <w:spacing w:after="0" w:line="149" w:lineRule="exact"/>
              <w:rPr>
                <w:sz w:val="20"/>
                <w:szCs w:val="20"/>
                <w:color w:val="auto"/>
              </w:rPr>
            </w:pPr>
            <w:r>
              <w:rPr>
                <w:rFonts w:ascii="Arial" w:cs="Arial" w:eastAsia="Arial" w:hAnsi="Arial"/>
                <w:sz w:val="14"/>
                <w:szCs w:val="14"/>
                <w:color w:val="auto"/>
              </w:rPr>
              <w:t>Consolidation</w:t>
            </w: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Consolidated</w:t>
            </w:r>
          </w:p>
        </w:tc>
      </w:tr>
      <w:tr>
        <w:trPr>
          <w:trHeight w:val="173"/>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Predecessor </w:t>
            </w:r>
            <w:r>
              <w:rPr>
                <w:rFonts w:ascii="Arial" w:cs="Arial" w:eastAsia="Arial" w:hAnsi="Arial"/>
                <w:sz w:val="14"/>
                <w:szCs w:val="14"/>
                <w:color w:val="auto"/>
              </w:rPr>
              <w:t>(in millions)</w:t>
            </w:r>
          </w:p>
        </w:tc>
        <w:tc>
          <w:tcPr>
            <w:tcW w:w="560" w:type="dxa"/>
            <w:vAlign w:val="bottom"/>
          </w:tcPr>
          <w:p>
            <w:pPr>
              <w:spacing w:after="0"/>
              <w:rPr>
                <w:sz w:val="15"/>
                <w:szCs w:val="15"/>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color w:val="auto"/>
                <w:w w:val="82"/>
              </w:rPr>
              <w:t>Parent</w:t>
            </w:r>
          </w:p>
        </w:tc>
        <w:tc>
          <w:tcPr>
            <w:tcW w:w="1020" w:type="dxa"/>
            <w:vAlign w:val="bottom"/>
            <w:gridSpan w:val="2"/>
          </w:tcPr>
          <w:p>
            <w:pPr>
              <w:jc w:val="right"/>
              <w:ind w:right="172"/>
              <w:spacing w:after="0"/>
              <w:rPr>
                <w:sz w:val="20"/>
                <w:szCs w:val="20"/>
                <w:color w:val="auto"/>
              </w:rPr>
            </w:pPr>
            <w:r>
              <w:rPr>
                <w:rFonts w:ascii="Arial" w:cs="Arial" w:eastAsia="Arial" w:hAnsi="Arial"/>
                <w:sz w:val="14"/>
                <w:szCs w:val="14"/>
                <w:color w:val="auto"/>
              </w:rPr>
              <w:t>Issuers</w:t>
            </w:r>
          </w:p>
        </w:tc>
        <w:tc>
          <w:tcPr>
            <w:tcW w:w="1200" w:type="dxa"/>
            <w:vAlign w:val="bottom"/>
            <w:gridSpan w:val="2"/>
          </w:tcPr>
          <w:p>
            <w:pPr>
              <w:jc w:val="right"/>
              <w:ind w:right="192"/>
              <w:spacing w:after="0"/>
              <w:rPr>
                <w:sz w:val="20"/>
                <w:szCs w:val="20"/>
                <w:color w:val="auto"/>
              </w:rPr>
            </w:pPr>
            <w:r>
              <w:rPr>
                <w:rFonts w:ascii="Arial" w:cs="Arial" w:eastAsia="Arial" w:hAnsi="Arial"/>
                <w:sz w:val="14"/>
                <w:szCs w:val="14"/>
                <w:color w:val="auto"/>
              </w:rPr>
              <w:t>Subsidiaries</w:t>
            </w:r>
          </w:p>
        </w:tc>
        <w:tc>
          <w:tcPr>
            <w:tcW w:w="1220" w:type="dxa"/>
            <w:vAlign w:val="bottom"/>
            <w:gridSpan w:val="2"/>
          </w:tcPr>
          <w:p>
            <w:pPr>
              <w:ind w:left="26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0"/>
              </w:rPr>
              <w:t>Adjustments</w:t>
            </w:r>
          </w:p>
        </w:tc>
        <w:tc>
          <w:tcPr>
            <w:tcW w:w="1180" w:type="dxa"/>
            <w:vAlign w:val="bottom"/>
            <w:gridSpan w:val="2"/>
          </w:tcPr>
          <w:p>
            <w:pPr>
              <w:ind w:left="260"/>
              <w:spacing w:after="0"/>
              <w:rPr>
                <w:sz w:val="20"/>
                <w:szCs w:val="20"/>
                <w:color w:val="auto"/>
              </w:rPr>
            </w:pPr>
            <w:r>
              <w:rPr>
                <w:rFonts w:ascii="Arial" w:cs="Arial" w:eastAsia="Arial" w:hAnsi="Arial"/>
                <w:sz w:val="14"/>
                <w:szCs w:val="14"/>
                <w:color w:val="auto"/>
              </w:rPr>
              <w:t>NBCUniversal</w:t>
            </w: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provided by (used in) operating activities</w:t>
            </w:r>
          </w:p>
        </w:tc>
        <w:tc>
          <w:tcPr>
            <w:tcW w:w="56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(337)</w:t>
            </w:r>
          </w:p>
        </w:tc>
        <w:tc>
          <w:tcPr>
            <w:tcW w:w="52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(292)</w:t>
            </w:r>
          </w:p>
        </w:tc>
        <w:tc>
          <w:tcPr>
            <w:tcW w:w="420" w:type="dxa"/>
            <w:vAlign w:val="bottom"/>
            <w:tcBorders>
              <w:top w:val="single" w:sz="8" w:color="auto"/>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(629)</w:t>
            </w: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Net transactions with affiliates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(365)</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w w:val="96"/>
              </w:rPr>
              <w:t>Proceeds from sale of businesses and investments</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331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investing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365</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7"/>
              </w:rPr>
              <w:t>(8,041)</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(8,041)</w:t>
            </w:r>
          </w:p>
        </w:tc>
      </w:tr>
      <w:tr>
        <w:trPr>
          <w:trHeight w:val="216"/>
        </w:trPr>
        <w:tc>
          <w:tcPr>
            <w:tcW w:w="20" w:type="dxa"/>
            <w:vAlign w:val="bottom"/>
          </w:tcPr>
          <w:p>
            <w:pPr>
              <w:spacing w:after="0"/>
              <w:rPr>
                <w:sz w:val="18"/>
                <w:szCs w:val="18"/>
                <w:color w:val="auto"/>
              </w:rPr>
            </w:pPr>
          </w:p>
        </w:tc>
        <w:tc>
          <w:tcPr>
            <w:tcW w:w="436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7"/>
              </w:rPr>
              <w:t>(Increase) decrease in short-term loans to GE, net</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97"/>
              </w:rPr>
              <w:t>8,072</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8,072</w:t>
            </w:r>
          </w:p>
        </w:tc>
      </w:tr>
      <w:tr>
        <w:trPr>
          <w:trHeight w:val="216"/>
        </w:trPr>
        <w:tc>
          <w:tcPr>
            <w:tcW w:w="20" w:type="dxa"/>
            <w:vAlign w:val="bottom"/>
          </w:tcPr>
          <w:p>
            <w:pPr>
              <w:spacing w:after="0"/>
              <w:rPr>
                <w:sz w:val="18"/>
                <w:szCs w:val="18"/>
                <w:color w:val="auto"/>
              </w:rPr>
            </w:pPr>
          </w:p>
        </w:tc>
        <w:tc>
          <w:tcPr>
            <w:tcW w:w="4360" w:type="dxa"/>
            <w:vAlign w:val="bottom"/>
          </w:tcPr>
          <w:p>
            <w:pPr>
              <w:ind w:left="420"/>
              <w:spacing w:after="0"/>
              <w:rPr>
                <w:sz w:val="20"/>
                <w:szCs w:val="20"/>
                <w:color w:val="auto"/>
              </w:rPr>
            </w:pPr>
            <w:r>
              <w:rPr>
                <w:rFonts w:ascii="Arial" w:cs="Arial" w:eastAsia="Arial" w:hAnsi="Arial"/>
                <w:sz w:val="18"/>
                <w:szCs w:val="18"/>
                <w:color w:val="auto"/>
              </w:rPr>
              <w:t>Repurchase of preferred stock interest</w:t>
            </w:r>
          </w:p>
        </w:tc>
        <w:tc>
          <w:tcPr>
            <w:tcW w:w="560" w:type="dxa"/>
            <w:vAlign w:val="bottom"/>
          </w:tcPr>
          <w:p>
            <w:pPr>
              <w:spacing w:after="0"/>
              <w:rPr>
                <w:sz w:val="18"/>
                <w:szCs w:val="18"/>
                <w:color w:val="auto"/>
              </w:rPr>
            </w:pPr>
          </w:p>
        </w:tc>
        <w:tc>
          <w:tcPr>
            <w:tcW w:w="6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(332)</w:t>
            </w:r>
          </w:p>
        </w:tc>
        <w:tc>
          <w:tcPr>
            <w:tcW w:w="420" w:type="dxa"/>
            <w:vAlign w:val="bottom"/>
          </w:tcPr>
          <w:p>
            <w:pPr>
              <w:spacing w:after="0"/>
              <w:rPr>
                <w:sz w:val="18"/>
                <w:szCs w:val="18"/>
                <w:color w:val="auto"/>
              </w:rPr>
            </w:pP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56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(331)</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20" w:type="dxa"/>
            <w:vAlign w:val="bottom"/>
          </w:tcPr>
          <w:p>
            <w:pPr>
              <w:spacing w:after="0"/>
              <w:rPr>
                <w:sz w:val="18"/>
                <w:szCs w:val="18"/>
                <w:color w:val="auto"/>
              </w:rPr>
            </w:pPr>
          </w:p>
        </w:tc>
        <w:tc>
          <w:tcPr>
            <w:tcW w:w="436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59</w:t>
            </w:r>
          </w:p>
        </w:tc>
        <w:tc>
          <w:tcPr>
            <w:tcW w:w="5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4"/>
              <w:spacing w:after="0"/>
              <w:rPr>
                <w:sz w:val="20"/>
                <w:szCs w:val="20"/>
                <w:color w:val="auto"/>
              </w:rPr>
            </w:pPr>
            <w:r>
              <w:rPr>
                <w:rFonts w:ascii="Arial" w:cs="Arial" w:eastAsia="Arial" w:hAnsi="Arial"/>
                <w:sz w:val="18"/>
                <w:szCs w:val="18"/>
                <w:color w:val="auto"/>
              </w:rPr>
              <w:t>(673)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5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236</w:t>
            </w:r>
          </w:p>
        </w:tc>
        <w:tc>
          <w:tcPr>
            <w:tcW w:w="5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848</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1,084</w:t>
            </w:r>
          </w:p>
        </w:tc>
      </w:tr>
      <w:tr>
        <w:trPr>
          <w:trHeight w:val="217"/>
        </w:trPr>
        <w:tc>
          <w:tcPr>
            <w:tcW w:w="20" w:type="dxa"/>
            <w:vAlign w:val="bottom"/>
          </w:tcPr>
          <w:p>
            <w:pPr>
              <w:spacing w:after="0"/>
              <w:rPr>
                <w:sz w:val="18"/>
                <w:szCs w:val="18"/>
                <w:color w:val="auto"/>
              </w:rPr>
            </w:pPr>
          </w:p>
        </w:tc>
        <w:tc>
          <w:tcPr>
            <w:tcW w:w="43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rPr>
              <w:t>295</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ind w:right="122"/>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b w:val="1"/>
                <w:bCs w:val="1"/>
                <w:color w:val="auto"/>
              </w:rPr>
              <w:t>175</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470</w:t>
            </w:r>
          </w:p>
        </w:tc>
      </w:tr>
      <w:tr>
        <w:trPr>
          <w:trHeight w:val="3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ind w:right="157"/>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are a leading media and entertainment company that develops, produces and distributes entertainment, news and information, sports and other content for global audiences.</w:t>
      </w:r>
    </w:p>
    <w:p>
      <w:pPr>
        <w:spacing w:after="0" w:line="3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On January 28, 2011, Comcast closed the Joint Venture transaction in which it acquired control of the businesses of NBC Universal, Inc. and on July 1, 2011, we closed the Universal Orlando transaction in which we acquired the remaining 50% equity interest in Universal Orlando that we did not already own. For a more complete discussion of these transactions, refer to our consolidated financial statements included in our 2011 Annual Report on Form 10-K.</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report our operations as the following four reportable business segments.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other business interests primarily include equity method investments, such as A&amp;E Television Networks, which owns and operates, among other channels, A&amp;E, The History Channel, The Biography Channel and Lifetime, The Weather Channel Holding Corp. (“The Weather Channel”) and MSNBC.com. On July 9, 2012, we entered into an agreement to sell our equity method investment in A&amp;E Television Networks and on July 13, 2012 we acquired the remaining 50% equity interest in MSNBC.com that we did not already own. See Note 4 to our condensed consolidated financial statements. For information on the performance of our equity method investments, see “Consolidated Other Income (Expense) Items” below and refer to the “Equity in Net Income of Investees, Net” heading within that section.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Headquarters and Other includes operating costs and expenses associated with corporate overhead, employee benefits and corporate initiatives.</w:t>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following tables set forth our results of operations as reported in our condensed consolidated financial statements in accordance with GAAP. GAAP requires that we separately present our results for the periods from January 1, 2011 to January 28, 2011 (the “Predecessor period”) and from January 29, 2011 to June 30, 2011 (the “Successor period”). Management believes reviewing our operating results for the six months ended June 30, 2011 by combining the results of the Predecessor and Successor periods is more useful in identifying trends in, or reaching conclusions regarding, our overall operating performance and performs reviews at that level. Accordingly, in addition to presenting our results of operations as reported in our condensed consolidated financial statements in accordance with GAAP, the table below presents the non-GAAP combined results for the six months ended June 30, 2011, which we also use to compute the percentage change to the current year, as we believe this presentation provides the most meaningful basis for comparison of our results. The combined operating results may not reflect the actual results we would have achieved had the Joint Venture transaction closed prior to January 28, 2011 and may not be predictive of our future results of operations.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left="198"/>
              <w:spacing w:after="0"/>
              <w:rPr>
                <w:sz w:val="20"/>
                <w:szCs w:val="20"/>
                <w:color w:val="auto"/>
              </w:rPr>
            </w:pPr>
            <w:r>
              <w:rPr>
                <w:rFonts w:ascii="Arial" w:cs="Arial" w:eastAsia="Arial" w:hAnsi="Arial"/>
                <w:sz w:val="14"/>
                <w:szCs w:val="14"/>
                <w:color w:val="auto"/>
                <w:w w:val="82"/>
              </w:rPr>
              <w:t>Successor</w:t>
            </w:r>
          </w:p>
        </w:tc>
        <w:tc>
          <w:tcPr>
            <w:tcW w:w="5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20" w:type="dxa"/>
            <w:vAlign w:val="bottom"/>
            <w:gridSpan w:val="3"/>
          </w:tcPr>
          <w:p>
            <w:pPr>
              <w:jc w:val="center"/>
              <w:ind w:right="114"/>
              <w:spacing w:after="0" w:line="131" w:lineRule="exact"/>
              <w:rPr>
                <w:sz w:val="20"/>
                <w:szCs w:val="20"/>
                <w:color w:val="auto"/>
              </w:rPr>
            </w:pPr>
            <w:r>
              <w:rPr>
                <w:rFonts w:ascii="Arial" w:cs="Arial" w:eastAsia="Arial" w:hAnsi="Arial"/>
                <w:sz w:val="14"/>
                <w:szCs w:val="14"/>
                <w:color w:val="auto"/>
                <w:w w:val="87"/>
              </w:rPr>
              <w:t>Three Months</w:t>
            </w:r>
          </w:p>
        </w:tc>
        <w:tc>
          <w:tcPr>
            <w:tcW w:w="12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8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114"/>
              <w:spacing w:after="0" w:line="159" w:lineRule="exact"/>
              <w:rPr>
                <w:sz w:val="20"/>
                <w:szCs w:val="20"/>
                <w:color w:val="auto"/>
              </w:rPr>
            </w:pPr>
            <w:r>
              <w:rPr>
                <w:rFonts w:ascii="Arial" w:cs="Arial" w:eastAsia="Arial" w:hAnsi="Arial"/>
                <w:sz w:val="14"/>
                <w:szCs w:val="14"/>
                <w:color w:val="auto"/>
                <w:w w:val="84"/>
              </w:rPr>
              <w:t>Ended June 30</w:t>
            </w:r>
          </w:p>
        </w:tc>
        <w:tc>
          <w:tcPr>
            <w:tcW w:w="1260" w:type="dxa"/>
            <w:vAlign w:val="bottom"/>
            <w:tcBorders>
              <w:bottom w:val="single" w:sz="8" w:color="auto"/>
            </w:tcBorders>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jc w:val="center"/>
              <w:ind w:left="57"/>
              <w:spacing w:after="0" w:line="131" w:lineRule="exact"/>
              <w:rPr>
                <w:sz w:val="20"/>
                <w:szCs w:val="20"/>
                <w:color w:val="auto"/>
              </w:rPr>
            </w:pPr>
            <w:r>
              <w:rPr>
                <w:rFonts w:ascii="Arial" w:cs="Arial" w:eastAsia="Arial" w:hAnsi="Arial"/>
                <w:sz w:val="14"/>
                <w:szCs w:val="14"/>
                <w:color w:val="auto"/>
                <w:w w:val="85"/>
              </w:rPr>
              <w:t>% Change</w:t>
            </w: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tcPr>
          <w:p>
            <w:pPr>
              <w:jc w:val="center"/>
              <w:ind w:left="57"/>
              <w:spacing w:after="0" w:line="149" w:lineRule="exact"/>
              <w:rPr>
                <w:sz w:val="20"/>
                <w:szCs w:val="20"/>
                <w:color w:val="auto"/>
              </w:rPr>
            </w:pPr>
            <w:r>
              <w:rPr>
                <w:rFonts w:ascii="Arial" w:cs="Arial" w:eastAsia="Arial" w:hAnsi="Arial"/>
                <w:sz w:val="14"/>
                <w:szCs w:val="14"/>
                <w:color w:val="auto"/>
                <w:w w:val="85"/>
              </w:rPr>
              <w:t>2011 to</w:t>
            </w:r>
          </w:p>
        </w:tc>
      </w:tr>
      <w:tr>
        <w:trPr>
          <w:trHeight w:val="159"/>
        </w:trPr>
        <w:tc>
          <w:tcPr>
            <w:tcW w:w="814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3"/>
                <w:szCs w:val="13"/>
                <w:color w:val="auto"/>
              </w:rPr>
            </w:pPr>
          </w:p>
        </w:tc>
        <w:tc>
          <w:tcPr>
            <w:tcW w:w="680" w:type="dxa"/>
            <w:vAlign w:val="bottom"/>
          </w:tcPr>
          <w:p>
            <w:pPr>
              <w:jc w:val="right"/>
              <w:ind w:right="318"/>
              <w:spacing w:after="0" w:line="159" w:lineRule="exact"/>
              <w:rPr>
                <w:sz w:val="20"/>
                <w:szCs w:val="20"/>
                <w:color w:val="auto"/>
              </w:rPr>
            </w:pPr>
            <w:r>
              <w:rPr>
                <w:rFonts w:ascii="Arial" w:cs="Arial" w:eastAsia="Arial" w:hAnsi="Arial"/>
                <w:sz w:val="14"/>
                <w:szCs w:val="14"/>
                <w:color w:val="auto"/>
                <w:w w:val="83"/>
              </w:rPr>
              <w:t>2012</w:t>
            </w:r>
          </w:p>
        </w:tc>
        <w:tc>
          <w:tcPr>
            <w:tcW w:w="340" w:type="dxa"/>
            <w:vAlign w:val="bottom"/>
          </w:tcPr>
          <w:p>
            <w:pPr>
              <w:spacing w:after="0"/>
              <w:rPr>
                <w:sz w:val="13"/>
                <w:szCs w:val="13"/>
                <w:color w:val="auto"/>
              </w:rPr>
            </w:pPr>
          </w:p>
        </w:tc>
        <w:tc>
          <w:tcPr>
            <w:tcW w:w="500" w:type="dxa"/>
            <w:vAlign w:val="bottom"/>
          </w:tcPr>
          <w:p>
            <w:pPr>
              <w:jc w:val="right"/>
              <w:ind w:right="134"/>
              <w:spacing w:after="0" w:line="159" w:lineRule="exact"/>
              <w:rPr>
                <w:sz w:val="20"/>
                <w:szCs w:val="20"/>
                <w:color w:val="auto"/>
              </w:rPr>
            </w:pPr>
            <w:r>
              <w:rPr>
                <w:rFonts w:ascii="Arial" w:cs="Arial" w:eastAsia="Arial" w:hAnsi="Arial"/>
                <w:sz w:val="14"/>
                <w:szCs w:val="14"/>
                <w:color w:val="auto"/>
                <w:w w:val="83"/>
              </w:rPr>
              <w:t>2011</w:t>
            </w:r>
          </w:p>
        </w:tc>
        <w:tc>
          <w:tcPr>
            <w:tcW w:w="1260" w:type="dxa"/>
            <w:vAlign w:val="bottom"/>
          </w:tcPr>
          <w:p>
            <w:pPr>
              <w:jc w:val="center"/>
              <w:ind w:left="37"/>
              <w:spacing w:after="0" w:line="159" w:lineRule="exact"/>
              <w:rPr>
                <w:sz w:val="20"/>
                <w:szCs w:val="20"/>
                <w:color w:val="auto"/>
              </w:rPr>
            </w:pPr>
            <w:r>
              <w:rPr>
                <w:rFonts w:ascii="Arial" w:cs="Arial" w:eastAsia="Arial" w:hAnsi="Arial"/>
                <w:sz w:val="14"/>
                <w:szCs w:val="14"/>
                <w:color w:val="auto"/>
                <w:w w:val="83"/>
              </w:rPr>
              <w:t>2012</w:t>
            </w:r>
          </w:p>
        </w:tc>
      </w:tr>
      <w:tr>
        <w:trPr>
          <w:trHeight w:val="210"/>
        </w:trPr>
        <w:tc>
          <w:tcPr>
            <w:tcW w:w="20" w:type="dxa"/>
            <w:vAlign w:val="bottom"/>
          </w:tcPr>
          <w:p>
            <w:pPr>
              <w:spacing w:after="0"/>
              <w:rPr>
                <w:sz w:val="18"/>
                <w:szCs w:val="18"/>
                <w:color w:val="auto"/>
              </w:rPr>
            </w:pPr>
          </w:p>
        </w:tc>
        <w:tc>
          <w:tcPr>
            <w:tcW w:w="81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w w:val="84"/>
              </w:rPr>
              <w:t>5,504</w:t>
            </w:r>
          </w:p>
        </w:tc>
        <w:tc>
          <w:tcPr>
            <w:tcW w:w="3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w w:val="84"/>
              </w:rPr>
              <w:t>5,179</w:t>
            </w:r>
          </w:p>
        </w:tc>
        <w:tc>
          <w:tcPr>
            <w:tcW w:w="1260" w:type="dxa"/>
            <w:vAlign w:val="bottom"/>
            <w:tcBorders>
              <w:top w:val="single" w:sz="8" w:color="auto"/>
            </w:tcBorders>
            <w:shd w:val="clear" w:color="auto" w:fill="E5E5E5"/>
          </w:tcPr>
          <w:p>
            <w:pPr>
              <w:jc w:val="right"/>
              <w:ind w:right="57"/>
              <w:spacing w:after="0"/>
              <w:rPr>
                <w:sz w:val="20"/>
                <w:szCs w:val="20"/>
                <w:color w:val="auto"/>
              </w:rPr>
            </w:pPr>
            <w:r>
              <w:rPr>
                <w:rFonts w:ascii="Arial" w:cs="Arial" w:eastAsia="Arial" w:hAnsi="Arial"/>
                <w:sz w:val="18"/>
                <w:szCs w:val="18"/>
                <w:color w:val="auto"/>
              </w:rPr>
              <w:t>6.3 %</w:t>
            </w: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Costs and Expenses: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8"/>
              <w:spacing w:after="0"/>
              <w:rPr>
                <w:sz w:val="20"/>
                <w:szCs w:val="20"/>
                <w:color w:val="auto"/>
              </w:rPr>
            </w:pPr>
            <w:r>
              <w:rPr>
                <w:rFonts w:ascii="Arial" w:cs="Arial" w:eastAsia="Arial" w:hAnsi="Arial"/>
                <w:sz w:val="18"/>
                <w:szCs w:val="18"/>
                <w:color w:val="auto"/>
                <w:w w:val="84"/>
              </w:rPr>
              <w:t>4,522</w:t>
            </w: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4,178</w:t>
            </w:r>
          </w:p>
        </w:tc>
        <w:tc>
          <w:tcPr>
            <w:tcW w:w="12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60" w:type="dxa"/>
            <w:vAlign w:val="bottom"/>
          </w:tcPr>
          <w:p>
            <w:pPr>
              <w:jc w:val="right"/>
              <w:ind w:right="197"/>
              <w:spacing w:after="0"/>
              <w:rPr>
                <w:sz w:val="20"/>
                <w:szCs w:val="20"/>
                <w:color w:val="auto"/>
              </w:rPr>
            </w:pPr>
            <w:r>
              <w:rPr>
                <w:rFonts w:ascii="Arial" w:cs="Arial" w:eastAsia="Arial" w:hAnsi="Arial"/>
                <w:sz w:val="18"/>
                <w:szCs w:val="18"/>
                <w:color w:val="auto"/>
              </w:rPr>
              <w:t>84.1</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8"/>
              <w:spacing w:after="0"/>
              <w:rPr>
                <w:sz w:val="20"/>
                <w:szCs w:val="20"/>
                <w:color w:val="auto"/>
              </w:rPr>
            </w:pPr>
            <w:r>
              <w:rPr>
                <w:rFonts w:ascii="Arial" w:cs="Arial" w:eastAsia="Arial" w:hAnsi="Arial"/>
                <w:sz w:val="18"/>
                <w:szCs w:val="18"/>
                <w:color w:val="auto"/>
              </w:rPr>
              <w:t>189</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183</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(71)</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shd w:val="clear" w:color="auto" w:fill="E5E5E5"/>
          </w:tcPr>
          <w:p>
            <w:pPr>
              <w:jc w:val="right"/>
              <w:ind w:right="197"/>
              <w:spacing w:after="0"/>
              <w:rPr>
                <w:sz w:val="20"/>
                <w:szCs w:val="20"/>
                <w:color w:val="auto"/>
              </w:rPr>
            </w:pPr>
            <w:r>
              <w:rPr>
                <w:rFonts w:ascii="Arial" w:cs="Arial" w:eastAsia="Arial" w:hAnsi="Arial"/>
                <w:sz w:val="18"/>
                <w:szCs w:val="18"/>
                <w:color w:val="auto"/>
              </w:rPr>
              <w:t>NM</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738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5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(39.4)</w:t>
            </w: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680" w:type="dxa"/>
            <w:vAlign w:val="bottom"/>
          </w:tcPr>
          <w:p>
            <w:pPr>
              <w:jc w:val="right"/>
              <w:ind w:right="198"/>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260" w:type="dxa"/>
            <w:vAlign w:val="bottom"/>
          </w:tcPr>
          <w:p>
            <w:pPr>
              <w:jc w:val="right"/>
              <w:ind w:right="137"/>
              <w:spacing w:after="0"/>
              <w:rPr>
                <w:sz w:val="20"/>
                <w:szCs w:val="20"/>
                <w:color w:val="auto"/>
              </w:rPr>
            </w:pPr>
            <w:r>
              <w:rPr>
                <w:rFonts w:ascii="Arial" w:cs="Arial" w:eastAsia="Arial" w:hAnsi="Arial"/>
                <w:sz w:val="18"/>
                <w:szCs w:val="18"/>
                <w:color w:val="auto"/>
              </w:rPr>
              <w:t>(17.8)</w:t>
            </w:r>
          </w:p>
        </w:tc>
      </w:tr>
      <w:tr>
        <w:trPr>
          <w:trHeight w:val="208"/>
        </w:trPr>
        <w:tc>
          <w:tcPr>
            <w:tcW w:w="20" w:type="dxa"/>
            <w:vAlign w:val="bottom"/>
          </w:tcPr>
          <w:p>
            <w:pPr>
              <w:spacing w:after="0"/>
              <w:rPr>
                <w:sz w:val="18"/>
                <w:szCs w:val="18"/>
                <w:color w:val="auto"/>
              </w:rPr>
            </w:pPr>
          </w:p>
        </w:tc>
        <w:tc>
          <w:tcPr>
            <w:tcW w:w="812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5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81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interests</w:t>
            </w:r>
          </w:p>
        </w:tc>
        <w:tc>
          <w:tcPr>
            <w:tcW w:w="500" w:type="dxa"/>
            <w:vAlign w:val="bottom"/>
            <w:tcBorders>
              <w:bottom w:val="single" w:sz="8" w:color="auto"/>
            </w:tcBorders>
            <w:shd w:val="clear" w:color="auto" w:fill="E5E5E5"/>
          </w:tcPr>
          <w:p>
            <w:pPr>
              <w:spacing w:after="0"/>
              <w:rPr>
                <w:sz w:val="20"/>
                <w:szCs w:val="20"/>
                <w:color w:val="auto"/>
              </w:rPr>
            </w:pPr>
          </w:p>
        </w:tc>
        <w:tc>
          <w:tcPr>
            <w:tcW w:w="680" w:type="dxa"/>
            <w:vAlign w:val="bottom"/>
            <w:tcBorders>
              <w:bottom w:val="single" w:sz="8" w:color="auto"/>
            </w:tcBorders>
            <w:shd w:val="clear" w:color="auto" w:fill="E5E5E5"/>
          </w:tcPr>
          <w:p>
            <w:pPr>
              <w:jc w:val="right"/>
              <w:ind w:right="138"/>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shd w:val="clear" w:color="auto" w:fill="E5E5E5"/>
          </w:tcPr>
          <w:p>
            <w:pPr>
              <w:spacing w:after="0"/>
              <w:rPr>
                <w:sz w:val="20"/>
                <w:szCs w:val="20"/>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(14.2)</w:t>
            </w:r>
          </w:p>
        </w:tc>
      </w:tr>
      <w:tr>
        <w:trPr>
          <w:trHeight w:val="219"/>
        </w:trPr>
        <w:tc>
          <w:tcPr>
            <w:tcW w:w="20" w:type="dxa"/>
            <w:vAlign w:val="bottom"/>
            <w:tcBorders>
              <w:bottom w:val="single" w:sz="8" w:color="auto"/>
            </w:tcBorders>
          </w:tcPr>
          <w:p>
            <w:pPr>
              <w:spacing w:after="0"/>
              <w:rPr>
                <w:sz w:val="19"/>
                <w:szCs w:val="19"/>
                <w:color w:val="auto"/>
              </w:rPr>
            </w:pPr>
          </w:p>
        </w:tc>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(loss) attributable to NBCUniversal</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8"/>
                <w:szCs w:val="18"/>
                <w:b w:val="1"/>
                <w:bCs w:val="1"/>
                <w:color w:val="auto"/>
              </w:rPr>
              <w:t>513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r>
    </w:tbl>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Successor</w:t>
            </w:r>
          </w:p>
        </w:tc>
        <w:tc>
          <w:tcPr>
            <w:tcW w:w="7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color w:val="auto"/>
                <w:w w:val="81"/>
              </w:rPr>
              <w:t>Predecessor</w:t>
            </w: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7"/>
              </w:rPr>
              <w:t>Combined</w:t>
            </w:r>
          </w:p>
        </w:tc>
        <w:tc>
          <w:tcPr>
            <w:tcW w:w="1140" w:type="dxa"/>
            <w:vAlign w:val="bottom"/>
            <w:vMerge w:val="restart"/>
          </w:tcPr>
          <w:p>
            <w:pPr>
              <w:jc w:val="center"/>
              <w:ind w:left="17"/>
              <w:spacing w:after="0"/>
              <w:rPr>
                <w:sz w:val="20"/>
                <w:szCs w:val="20"/>
                <w:color w:val="auto"/>
              </w:rPr>
            </w:pPr>
            <w:r>
              <w:rPr>
                <w:rFonts w:ascii="Arial" w:cs="Arial" w:eastAsia="Arial" w:hAnsi="Arial"/>
                <w:sz w:val="14"/>
                <w:szCs w:val="14"/>
                <w:color w:val="auto"/>
                <w:w w:val="85"/>
              </w:rPr>
              <w:t>% Change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520" w:type="dxa"/>
            <w:vAlign w:val="bottom"/>
            <w:gridSpan w:val="2"/>
          </w:tcPr>
          <w:p>
            <w:pPr>
              <w:jc w:val="right"/>
              <w:ind w:right="235"/>
              <w:spacing w:after="0" w:line="131" w:lineRule="exact"/>
              <w:rPr>
                <w:sz w:val="20"/>
                <w:szCs w:val="20"/>
                <w:color w:val="auto"/>
              </w:rPr>
            </w:pPr>
            <w:r>
              <w:rPr>
                <w:rFonts w:ascii="Arial" w:cs="Arial" w:eastAsia="Arial" w:hAnsi="Arial"/>
                <w:sz w:val="14"/>
                <w:szCs w:val="14"/>
                <w:color w:val="auto"/>
              </w:rPr>
              <w:t>Six Months</w:t>
            </w:r>
          </w:p>
        </w:tc>
        <w:tc>
          <w:tcPr>
            <w:tcW w:w="122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460" w:type="dxa"/>
            <w:vAlign w:val="bottom"/>
            <w:tcBorders>
              <w:right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257"/>
              <w:spacing w:after="0" w:line="131" w:lineRule="exact"/>
              <w:rPr>
                <w:sz w:val="20"/>
                <w:szCs w:val="20"/>
                <w:color w:val="auto"/>
              </w:rPr>
            </w:pPr>
            <w:r>
              <w:rPr>
                <w:rFonts w:ascii="Arial" w:cs="Arial" w:eastAsia="Arial" w:hAnsi="Arial"/>
                <w:sz w:val="14"/>
                <w:szCs w:val="14"/>
                <w:color w:val="auto"/>
                <w:w w:val="85"/>
              </w:rPr>
              <w:t>For the Period</w:t>
            </w:r>
          </w:p>
        </w:tc>
        <w:tc>
          <w:tcPr>
            <w:tcW w:w="1060" w:type="dxa"/>
            <w:vAlign w:val="bottom"/>
            <w:gridSpan w:val="2"/>
          </w:tcPr>
          <w:p>
            <w:pPr>
              <w:jc w:val="center"/>
              <w:ind w:left="22"/>
              <w:spacing w:after="0" w:line="131" w:lineRule="exact"/>
              <w:rPr>
                <w:sz w:val="20"/>
                <w:szCs w:val="20"/>
                <w:color w:val="auto"/>
              </w:rPr>
            </w:pPr>
            <w:r>
              <w:rPr>
                <w:rFonts w:ascii="Arial" w:cs="Arial" w:eastAsia="Arial" w:hAnsi="Arial"/>
                <w:sz w:val="14"/>
                <w:szCs w:val="14"/>
                <w:color w:val="auto"/>
                <w:w w:val="92"/>
              </w:rPr>
              <w:t>Six Months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ind w:right="375"/>
              <w:spacing w:after="0" w:line="149" w:lineRule="exact"/>
              <w:rPr>
                <w:sz w:val="20"/>
                <w:szCs w:val="20"/>
                <w:color w:val="auto"/>
              </w:rPr>
            </w:pPr>
            <w:r>
              <w:rPr>
                <w:rFonts w:ascii="Arial" w:cs="Arial" w:eastAsia="Arial" w:hAnsi="Arial"/>
                <w:sz w:val="14"/>
                <w:szCs w:val="14"/>
                <w:color w:val="auto"/>
                <w:w w:val="93"/>
              </w:rPr>
              <w:t>Ended</w:t>
            </w:r>
          </w:p>
        </w:tc>
        <w:tc>
          <w:tcPr>
            <w:tcW w:w="168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Pr>
          <w:p>
            <w:pPr>
              <w:jc w:val="center"/>
              <w:ind w:right="257"/>
              <w:spacing w:after="0" w:line="149" w:lineRule="exact"/>
              <w:rPr>
                <w:sz w:val="20"/>
                <w:szCs w:val="20"/>
                <w:color w:val="auto"/>
              </w:rPr>
            </w:pPr>
            <w:r>
              <w:rPr>
                <w:rFonts w:ascii="Arial" w:cs="Arial" w:eastAsia="Arial" w:hAnsi="Arial"/>
                <w:sz w:val="14"/>
                <w:szCs w:val="14"/>
                <w:color w:val="auto"/>
                <w:w w:val="83"/>
              </w:rPr>
              <w:t>January 1, 2011</w:t>
            </w:r>
          </w:p>
        </w:tc>
        <w:tc>
          <w:tcPr>
            <w:tcW w:w="300" w:type="dxa"/>
            <w:vAlign w:val="bottom"/>
          </w:tcPr>
          <w:p>
            <w:pPr>
              <w:spacing w:after="0"/>
              <w:rPr>
                <w:sz w:val="12"/>
                <w:szCs w:val="12"/>
                <w:color w:val="auto"/>
              </w:rPr>
            </w:pPr>
          </w:p>
        </w:tc>
        <w:tc>
          <w:tcPr>
            <w:tcW w:w="760" w:type="dxa"/>
            <w:vAlign w:val="bottom"/>
          </w:tcPr>
          <w:p>
            <w:pPr>
              <w:jc w:val="center"/>
              <w:ind w:right="115"/>
              <w:spacing w:after="0" w:line="149" w:lineRule="exact"/>
              <w:rPr>
                <w:sz w:val="20"/>
                <w:szCs w:val="20"/>
                <w:color w:val="auto"/>
              </w:rPr>
            </w:pPr>
            <w:r>
              <w:rPr>
                <w:rFonts w:ascii="Arial" w:cs="Arial" w:eastAsia="Arial" w:hAnsi="Arial"/>
                <w:sz w:val="14"/>
                <w:szCs w:val="14"/>
                <w:color w:val="auto"/>
                <w:w w:val="88"/>
              </w:rPr>
              <w:t>Ended</w:t>
            </w:r>
          </w:p>
        </w:tc>
        <w:tc>
          <w:tcPr>
            <w:tcW w:w="1140" w:type="dxa"/>
            <w:vAlign w:val="bottom"/>
          </w:tcPr>
          <w:p>
            <w:pPr>
              <w:jc w:val="center"/>
              <w:ind w:left="17"/>
              <w:spacing w:after="0" w:line="149" w:lineRule="exact"/>
              <w:rPr>
                <w:sz w:val="20"/>
                <w:szCs w:val="20"/>
                <w:color w:val="auto"/>
              </w:rPr>
            </w:pPr>
            <w:r>
              <w:rPr>
                <w:rFonts w:ascii="Arial" w:cs="Arial" w:eastAsia="Arial" w:hAnsi="Arial"/>
                <w:sz w:val="14"/>
                <w:szCs w:val="14"/>
                <w:color w:val="auto"/>
                <w:w w:val="85"/>
              </w:rPr>
              <w:t>2011 to</w:t>
            </w:r>
          </w:p>
        </w:tc>
        <w:tc>
          <w:tcPr>
            <w:tcW w:w="0" w:type="dxa"/>
            <w:vAlign w:val="bottom"/>
          </w:tcPr>
          <w:p>
            <w:pPr>
              <w:spacing w:after="0"/>
              <w:rPr>
                <w:sz w:val="1"/>
                <w:szCs w:val="1"/>
                <w:color w:val="auto"/>
              </w:rPr>
            </w:pPr>
          </w:p>
        </w:tc>
      </w:tr>
      <w:tr>
        <w:trPr>
          <w:trHeight w:val="159"/>
        </w:trPr>
        <w:tc>
          <w:tcPr>
            <w:tcW w:w="392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152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June 30, 2012</w:t>
            </w:r>
          </w:p>
        </w:tc>
        <w:tc>
          <w:tcPr>
            <w:tcW w:w="1680" w:type="dxa"/>
            <w:vAlign w:val="bottom"/>
            <w:tcBorders>
              <w:right w:val="single" w:sz="8" w:color="auto"/>
            </w:tcBorders>
            <w:gridSpan w:val="3"/>
          </w:tcPr>
          <w:p>
            <w:pPr>
              <w:ind w:left="200"/>
              <w:spacing w:after="0" w:line="159" w:lineRule="exact"/>
              <w:rPr>
                <w:sz w:val="20"/>
                <w:szCs w:val="20"/>
                <w:color w:val="auto"/>
              </w:rPr>
            </w:pPr>
            <w:r>
              <w:rPr>
                <w:rFonts w:ascii="Arial" w:cs="Arial" w:eastAsia="Arial" w:hAnsi="Arial"/>
                <w:sz w:val="14"/>
                <w:szCs w:val="14"/>
                <w:color w:val="auto"/>
              </w:rPr>
              <w:t>to June 30, 2011</w:t>
            </w:r>
          </w:p>
        </w:tc>
        <w:tc>
          <w:tcPr>
            <w:tcW w:w="440" w:type="dxa"/>
            <w:vAlign w:val="bottom"/>
          </w:tcPr>
          <w:p>
            <w:pPr>
              <w:spacing w:after="0"/>
              <w:rPr>
                <w:sz w:val="13"/>
                <w:szCs w:val="13"/>
                <w:color w:val="auto"/>
              </w:rPr>
            </w:pPr>
          </w:p>
        </w:tc>
        <w:tc>
          <w:tcPr>
            <w:tcW w:w="1660" w:type="dxa"/>
            <w:vAlign w:val="bottom"/>
            <w:gridSpan w:val="2"/>
          </w:tcPr>
          <w:p>
            <w:pPr>
              <w:jc w:val="center"/>
              <w:ind w:left="52"/>
              <w:spacing w:after="0" w:line="159" w:lineRule="exact"/>
              <w:rPr>
                <w:sz w:val="20"/>
                <w:szCs w:val="20"/>
                <w:color w:val="auto"/>
              </w:rPr>
            </w:pPr>
            <w:r>
              <w:rPr>
                <w:rFonts w:ascii="Arial" w:cs="Arial" w:eastAsia="Arial" w:hAnsi="Arial"/>
                <w:sz w:val="14"/>
                <w:szCs w:val="14"/>
                <w:color w:val="auto"/>
                <w:w w:val="85"/>
              </w:rPr>
              <w:t>to January 28, 2011</w:t>
            </w:r>
          </w:p>
        </w:tc>
        <w:tc>
          <w:tcPr>
            <w:tcW w:w="1060" w:type="dxa"/>
            <w:vAlign w:val="bottom"/>
            <w:gridSpan w:val="2"/>
          </w:tcPr>
          <w:p>
            <w:pPr>
              <w:jc w:val="center"/>
              <w:ind w:left="22"/>
              <w:spacing w:after="0" w:line="159" w:lineRule="exact"/>
              <w:rPr>
                <w:sz w:val="20"/>
                <w:szCs w:val="20"/>
                <w:color w:val="auto"/>
              </w:rPr>
            </w:pPr>
            <w:r>
              <w:rPr>
                <w:rFonts w:ascii="Arial" w:cs="Arial" w:eastAsia="Arial" w:hAnsi="Arial"/>
                <w:sz w:val="14"/>
                <w:szCs w:val="14"/>
                <w:color w:val="auto"/>
                <w:w w:val="85"/>
              </w:rPr>
              <w:t>June 30, 2011</w:t>
            </w:r>
          </w:p>
        </w:tc>
        <w:tc>
          <w:tcPr>
            <w:tcW w:w="1140" w:type="dxa"/>
            <w:vAlign w:val="bottom"/>
          </w:tcPr>
          <w:p>
            <w:pPr>
              <w:jc w:val="center"/>
              <w:ind w:left="37"/>
              <w:spacing w:after="0" w:line="159" w:lineRule="exact"/>
              <w:rPr>
                <w:sz w:val="20"/>
                <w:szCs w:val="20"/>
                <w:color w:val="auto"/>
              </w:rPr>
            </w:pPr>
            <w:r>
              <w:rPr>
                <w:rFonts w:ascii="Arial" w:cs="Arial" w:eastAsia="Arial" w:hAnsi="Arial"/>
                <w:sz w:val="14"/>
                <w:szCs w:val="14"/>
                <w:color w:val="auto"/>
                <w:w w:val="83"/>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tcBorders>
              <w:top w:val="single" w:sz="8" w:color="auto"/>
            </w:tcBorders>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10,976</w:t>
            </w:r>
          </w:p>
        </w:tc>
        <w:tc>
          <w:tcPr>
            <w:tcW w:w="520" w:type="dxa"/>
            <w:vAlign w:val="bottom"/>
            <w:tcBorders>
              <w:top w:val="single" w:sz="8" w:color="auto"/>
            </w:tcBorders>
            <w:shd w:val="clear" w:color="auto" w:fill="E5E5E5"/>
          </w:tcPr>
          <w:p>
            <w:pPr>
              <w:ind w:left="18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8,090</w:t>
            </w:r>
          </w:p>
        </w:tc>
        <w:tc>
          <w:tcPr>
            <w:tcW w:w="460" w:type="dxa"/>
            <w:vAlign w:val="bottom"/>
            <w:tcBorders>
              <w:top w:val="single" w:sz="8" w:color="auto"/>
              <w:right w:val="single" w:sz="8" w:color="auto"/>
            </w:tcBorders>
            <w:shd w:val="clear" w:color="auto" w:fill="E5E5E5"/>
          </w:tcPr>
          <w:p>
            <w:pPr>
              <w:spacing w:after="0"/>
              <w:rPr>
                <w:sz w:val="18"/>
                <w:szCs w:val="18"/>
                <w:color w:val="auto"/>
              </w:rPr>
            </w:pPr>
          </w:p>
        </w:tc>
        <w:tc>
          <w:tcPr>
            <w:tcW w:w="880" w:type="dxa"/>
            <w:vAlign w:val="bottom"/>
            <w:tcBorders>
              <w:top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1,206</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9,296</w:t>
            </w:r>
          </w:p>
        </w:tc>
        <w:tc>
          <w:tcPr>
            <w:tcW w:w="1140" w:type="dxa"/>
            <w:vAlign w:val="bottom"/>
            <w:tcBorders>
              <w:top w:val="single" w:sz="8" w:color="auto"/>
            </w:tcBorders>
            <w:shd w:val="clear" w:color="auto" w:fill="E5E5E5"/>
          </w:tcPr>
          <w:p>
            <w:pPr>
              <w:ind w:left="560"/>
              <w:spacing w:after="0"/>
              <w:rPr>
                <w:sz w:val="20"/>
                <w:szCs w:val="20"/>
                <w:color w:val="auto"/>
              </w:rPr>
            </w:pPr>
            <w:r>
              <w:rPr>
                <w:rFonts w:ascii="Arial" w:cs="Arial" w:eastAsia="Arial" w:hAnsi="Arial"/>
                <w:sz w:val="18"/>
                <w:szCs w:val="18"/>
                <w:color w:val="auto"/>
                <w:w w:val="99"/>
              </w:rPr>
              <w:t>18.1 %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Costs and Expenses:</w:t>
            </w: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66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9,181</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6,697</w:t>
            </w:r>
          </w:p>
        </w:tc>
        <w:tc>
          <w:tcPr>
            <w:tcW w:w="46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22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1,171</w:t>
            </w: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7,868</w:t>
            </w:r>
          </w:p>
        </w:tc>
        <w:tc>
          <w:tcPr>
            <w:tcW w:w="11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137</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371</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323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331</w:t>
            </w:r>
          </w:p>
        </w:tc>
        <w:tc>
          <w:tcPr>
            <w:tcW w:w="11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1,163</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952</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960</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(115)</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114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1,048</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899</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870</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 benefit</w:t>
            </w:r>
          </w:p>
        </w:tc>
        <w:tc>
          <w:tcPr>
            <w:tcW w:w="66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(82)</w:t>
            </w:r>
          </w:p>
        </w:tc>
        <w:tc>
          <w:tcPr>
            <w:tcW w:w="52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(93)</w:t>
            </w:r>
          </w:p>
        </w:tc>
        <w:tc>
          <w:tcPr>
            <w:tcW w:w="460" w:type="dxa"/>
            <w:vAlign w:val="bottom"/>
            <w:tcBorders>
              <w:bottom w:val="single" w:sz="8" w:color="auto"/>
              <w:right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(89)</w:t>
            </w:r>
          </w:p>
        </w:tc>
        <w:tc>
          <w:tcPr>
            <w:tcW w:w="11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966</w:t>
            </w:r>
          </w:p>
        </w:tc>
        <w:tc>
          <w:tcPr>
            <w:tcW w:w="52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46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97"/>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781</w:t>
            </w:r>
          </w:p>
        </w:tc>
        <w:tc>
          <w:tcPr>
            <w:tcW w:w="1140" w:type="dxa"/>
            <w:vAlign w:val="bottom"/>
          </w:tcPr>
          <w:p>
            <w:pPr>
              <w:jc w:val="right"/>
              <w:ind w:right="137"/>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w:t>
            </w:r>
          </w:p>
        </w:tc>
        <w:tc>
          <w:tcPr>
            <w:tcW w:w="66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60" w:type="dxa"/>
            <w:vAlign w:val="bottom"/>
            <w:tcBorders>
              <w:right w:val="single" w:sz="8" w:color="auto"/>
            </w:tcBorders>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interests</w:t>
            </w:r>
          </w:p>
        </w:tc>
        <w:tc>
          <w:tcPr>
            <w:tcW w:w="660" w:type="dxa"/>
            <w:vAlign w:val="bottom"/>
            <w:tcBorders>
              <w:bottom w:val="single" w:sz="8" w:color="auto"/>
            </w:tcBorders>
            <w:shd w:val="clear" w:color="auto" w:fill="E5E5E5"/>
          </w:tcPr>
          <w:p>
            <w:pPr>
              <w:spacing w:after="0"/>
              <w:rPr>
                <w:sz w:val="20"/>
                <w:szCs w:val="20"/>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(68)</w:t>
            </w:r>
          </w:p>
        </w:tc>
        <w:tc>
          <w:tcPr>
            <w:tcW w:w="520" w:type="dxa"/>
            <w:vAlign w:val="bottom"/>
            <w:tcBorders>
              <w:bottom w:val="single" w:sz="8" w:color="auto"/>
            </w:tcBorders>
            <w:shd w:val="clear" w:color="auto" w:fill="E5E5E5"/>
          </w:tcPr>
          <w:p>
            <w:pPr>
              <w:spacing w:after="0"/>
              <w:rPr>
                <w:sz w:val="20"/>
                <w:szCs w:val="20"/>
                <w:color w:val="auto"/>
              </w:rPr>
            </w:pP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(86)</w:t>
            </w:r>
          </w:p>
        </w:tc>
        <w:tc>
          <w:tcPr>
            <w:tcW w:w="460" w:type="dxa"/>
            <w:vAlign w:val="bottom"/>
            <w:tcBorders>
              <w:bottom w:val="single" w:sz="8" w:color="auto"/>
              <w:right w:val="single" w:sz="8" w:color="auto"/>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spacing w:after="0"/>
              <w:rPr>
                <w:sz w:val="20"/>
                <w:szCs w:val="20"/>
                <w:color w:val="auto"/>
              </w:rPr>
            </w:pPr>
          </w:p>
        </w:tc>
        <w:tc>
          <w:tcPr>
            <w:tcW w:w="122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auto"/>
            </w:tcBorders>
            <w:shd w:val="clear" w:color="auto" w:fill="E5E5E5"/>
          </w:tcPr>
          <w:p>
            <w:pPr>
              <w:spacing w:after="0"/>
              <w:rPr>
                <w:sz w:val="20"/>
                <w:szCs w:val="20"/>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(84)</w:t>
            </w:r>
          </w:p>
        </w:tc>
        <w:tc>
          <w:tcPr>
            <w:tcW w:w="11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8"/>
        </w:trPr>
        <w:tc>
          <w:tcPr>
            <w:tcW w:w="2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Net income (loss) attributable to NBCUniversal</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898</w:t>
            </w: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720</w:t>
            </w:r>
          </w:p>
        </w:tc>
        <w:tc>
          <w:tcPr>
            <w:tcW w:w="4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697</w:t>
            </w: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w w:val="99"/>
              </w:rPr>
              <w:t>28.9 %</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Percentage changes that are considered not meaningful are denoted with NM.</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comparability of our consolidated results of operations was impacted by the Joint Venture transaction, which closed on January 28, 2011, and the Universal Orlando transaction, which closed on July 1, 2011. The results of operations of the Comcast Content Business and Universal Orlando are included in our consolidated financial statements following their respective transaction dates.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Because we broadcasted the 2012 Super Bowl in February 2012, during the six months ended June 30, 2012, our advertising revenue increased as a result of increased demand for advertising time and our operating costs and expenses also increased as a result of our production costs and amortization of the related rights fees. We also expect our advertising revenue and our programming and production costs to increase in the third quarter of 2012 due to our broadcast of the 2012 London Olympic Games, and we expect to pay substantially all of the related rights fees in the third quarter of 2012.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increased for the three months ended June 30, 2012 compared to the same period in 2011 primarily due to increases in revenue in our Theme Parks segment resulting from the impact of the Universal Orlando transaction and our Cable Networks segment, which were partially offset by decreases in our Broadcast Television and Filmed Entertainment segments.</w:t>
      </w:r>
    </w:p>
    <w:p>
      <w:pPr>
        <w:spacing w:after="0" w:line="46"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Consolidated revenue increased for the six months ended June 30, 2012 compared to the same period in 2011 primarily due to increases in revenue in our Theme Parks and Cable Networks segments resulting from the impact of the Universal Orlando and Joint Venture transactions, respectively, as well as due to increases in our Broadcast Television and Filmed Entertainment segments. Revenue for our segments is discussed separately under the heading “Segment Operating Results.”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Consolidated operating costs and expenses increased for the three months ended June 30, 2012 compared to the same period in 2011 primarily due to increases in operating costs and expenses in our Theme Parks segment resulting from the impact of the Universal Orlando transaction as well as increases in our Cable Networks and Filmed Entertainment segments, which were partially offset by a decrease in our Broadcast Television segment.</w:t>
      </w:r>
    </w:p>
    <w:p>
      <w:pPr>
        <w:spacing w:after="0" w:line="1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Consolidated operating costs and expenses increased for the six months ended June 30, 2012 compared to the same period in 2011 primarily due to increases in operating costs and expenses in our Theme Parks and Cable Networks segments resulting from the impact of the Universal Orlando and Joint Venture transactions, respectively, as well as increases in our Broadcast Television and Filmed Entertainment segments. Operating costs and expenses for our segments are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Depreciation expense for the three and six months ended June 30, 2012 increased compared with the same periods in 2011 primarily due to the impact of consolidating Universal Orlando in the current year periods. Amortization expense for the three and six months ended June 30, 2012 increased compared with the same periods in 2011 primarily due to the amortization of the intangible assets recorded as a result of the Joint Venture and Universal Orlando transactions.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amortization expense that results from intangible assets recognized in connection with the Joint Venture transaction and other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GAAP, in Note 14 to our condensed consolidated financial statements. This measure should not be considered a substitute for operating income (loss), net income (loss) attributable to NBCUniversal, net cash provided by operating activities, or other measures of performance or liquidity we have reported in accordance with GAAP.</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color w:val="auto"/>
                <w:w w:val="82"/>
              </w:rPr>
              <w:t>Successor</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3"/>
          </w:tcPr>
          <w:p>
            <w:pPr>
              <w:jc w:val="center"/>
              <w:ind w:right="114"/>
              <w:spacing w:after="0" w:line="131" w:lineRule="exact"/>
              <w:rPr>
                <w:sz w:val="20"/>
                <w:szCs w:val="20"/>
                <w:color w:val="auto"/>
              </w:rPr>
            </w:pPr>
            <w:r>
              <w:rPr>
                <w:rFonts w:ascii="Arial" w:cs="Arial" w:eastAsia="Arial" w:hAnsi="Arial"/>
                <w:sz w:val="14"/>
                <w:szCs w:val="14"/>
                <w:color w:val="auto"/>
                <w:w w:val="87"/>
              </w:rPr>
              <w:t>Three Months Ended</w:t>
            </w: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20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37"/>
              <w:spacing w:after="0" w:line="159" w:lineRule="exact"/>
              <w:rPr>
                <w:sz w:val="20"/>
                <w:szCs w:val="20"/>
                <w:color w:val="auto"/>
              </w:rPr>
            </w:pPr>
            <w:r>
              <w:rPr>
                <w:rFonts w:ascii="Arial" w:cs="Arial" w:eastAsia="Arial" w:hAnsi="Arial"/>
                <w:sz w:val="14"/>
                <w:szCs w:val="14"/>
                <w:color w:val="auto"/>
                <w:w w:val="84"/>
              </w:rPr>
              <w:t>June 30</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vMerge w:val="restart"/>
          </w:tcPr>
          <w:p>
            <w:pPr>
              <w:jc w:val="right"/>
              <w:ind w:right="275"/>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52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52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24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7"/>
              <w:spacing w:after="0" w:line="159" w:lineRule="exact"/>
              <w:rPr>
                <w:sz w:val="20"/>
                <w:szCs w:val="20"/>
                <w:color w:val="auto"/>
              </w:rPr>
            </w:pPr>
            <w:r>
              <w:rPr>
                <w:rFonts w:ascii="Arial" w:cs="Arial" w:eastAsia="Arial" w:hAnsi="Arial"/>
                <w:sz w:val="14"/>
                <w:szCs w:val="14"/>
                <w:color w:val="auto"/>
                <w:w w:val="83"/>
              </w:rPr>
              <w:t>2012</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4"/>
              <w:spacing w:after="0" w:line="159" w:lineRule="exact"/>
              <w:rPr>
                <w:sz w:val="20"/>
                <w:szCs w:val="20"/>
                <w:color w:val="auto"/>
              </w:rPr>
            </w:pPr>
            <w:r>
              <w:rPr>
                <w:rFonts w:ascii="Arial" w:cs="Arial" w:eastAsia="Arial" w:hAnsi="Arial"/>
                <w:sz w:val="14"/>
                <w:szCs w:val="14"/>
                <w:color w:val="auto"/>
                <w:w w:val="83"/>
              </w:rPr>
              <w:t>2011</w:t>
            </w:r>
          </w:p>
        </w:tc>
        <w:tc>
          <w:tcPr>
            <w:tcW w:w="1520" w:type="dxa"/>
            <w:vAlign w:val="bottom"/>
            <w:tcBorders>
              <w:bottom w:val="single" w:sz="8" w:color="auto"/>
            </w:tcBorders>
          </w:tcPr>
          <w:p>
            <w:pPr>
              <w:jc w:val="right"/>
              <w:ind w:right="195"/>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7"/>
              <w:spacing w:after="0"/>
              <w:rPr>
                <w:sz w:val="20"/>
                <w:szCs w:val="20"/>
                <w:color w:val="auto"/>
              </w:rPr>
            </w:pPr>
            <w:r>
              <w:rPr>
                <w:rFonts w:ascii="Arial" w:cs="Arial" w:eastAsia="Arial" w:hAnsi="Arial"/>
                <w:sz w:val="18"/>
                <w:szCs w:val="18"/>
                <w:color w:val="auto"/>
                <w:w w:val="84"/>
              </w:rPr>
              <w:t>2,252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2,173</w:t>
            </w:r>
          </w:p>
        </w:tc>
        <w:tc>
          <w:tcPr>
            <w:tcW w:w="1520" w:type="dxa"/>
            <w:vAlign w:val="bottom"/>
          </w:tcPr>
          <w:p>
            <w:pPr>
              <w:ind w:left="98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w w:val="84"/>
              </w:rPr>
              <w:t>1,540</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4"/>
              </w:rPr>
              <w:t>1,695</w:t>
            </w:r>
          </w:p>
        </w:tc>
        <w:tc>
          <w:tcPr>
            <w:tcW w:w="152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8"/>
                <w:szCs w:val="18"/>
                <w:color w:val="auto"/>
                <w:w w:val="84"/>
              </w:rPr>
              <w:t>1,231</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w w:val="84"/>
              </w:rPr>
              <w:t>1,254</w:t>
            </w: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521</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Headquarters and Other</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5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520" w:type="dxa"/>
            <w:vAlign w:val="bottom"/>
          </w:tcPr>
          <w:p>
            <w:pPr>
              <w:jc w:val="right"/>
              <w:ind w:right="13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Eliminations</w:t>
            </w:r>
          </w:p>
        </w:tc>
        <w:tc>
          <w:tcPr>
            <w:tcW w:w="246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(478)</w:t>
            </w:r>
          </w:p>
        </w:tc>
        <w:tc>
          <w:tcPr>
            <w:tcW w:w="1520" w:type="dxa"/>
            <w:vAlign w:val="bottom"/>
            <w:tcBorders>
              <w:bottom w:val="single" w:sz="8" w:color="auto"/>
            </w:tcBorders>
            <w:shd w:val="clear" w:color="auto" w:fill="E5E5E5"/>
          </w:tcPr>
          <w:p>
            <w:pPr>
              <w:jc w:val="right"/>
              <w:ind w:right="195"/>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b w:val="1"/>
                <w:bCs w:val="1"/>
                <w:color w:val="auto"/>
                <w:w w:val="84"/>
              </w:rPr>
              <w:t>5,504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4"/>
              </w:rPr>
              <w:t>5,179</w:t>
            </w:r>
          </w:p>
        </w:tc>
        <w:tc>
          <w:tcPr>
            <w:tcW w:w="15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6.3 %</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w w:val="95"/>
              </w:rPr>
              <w:t>Operating Income (Loss) Before Depreciation and Amortization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5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3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7"/>
              <w:spacing w:after="0"/>
              <w:rPr>
                <w:sz w:val="20"/>
                <w:szCs w:val="20"/>
                <w:color w:val="auto"/>
              </w:rPr>
            </w:pPr>
            <w:r>
              <w:rPr>
                <w:rFonts w:ascii="Arial" w:cs="Arial" w:eastAsia="Arial" w:hAnsi="Arial"/>
                <w:sz w:val="18"/>
                <w:szCs w:val="18"/>
                <w:color w:val="auto"/>
              </w:rPr>
              <w:t>788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846</w:t>
            </w:r>
          </w:p>
        </w:tc>
        <w:tc>
          <w:tcPr>
            <w:tcW w:w="15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190</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2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1520" w:type="dxa"/>
            <w:vAlign w:val="bottom"/>
          </w:tcPr>
          <w:p>
            <w:pPr>
              <w:ind w:left="9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2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46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E5E5E5"/>
          </w:tcPr>
          <w:p>
            <w:pPr>
              <w:spacing w:after="0"/>
              <w:rPr>
                <w:sz w:val="18"/>
                <w:szCs w:val="18"/>
                <w:color w:val="auto"/>
              </w:rPr>
            </w:pPr>
          </w:p>
        </w:tc>
        <w:tc>
          <w:tcPr>
            <w:tcW w:w="5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225</w:t>
            </w:r>
          </w:p>
        </w:tc>
        <w:tc>
          <w:tcPr>
            <w:tcW w:w="15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Headquarters, other and eliminations</w:t>
            </w:r>
          </w:p>
        </w:tc>
        <w:tc>
          <w:tcPr>
            <w:tcW w:w="2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5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auto"/>
            </w:tcBorders>
            <w:gridSpan w:val="2"/>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E5E5E5"/>
          </w:tcPr>
          <w:p>
            <w:pPr>
              <w:jc w:val="right"/>
              <w:ind w:right="517"/>
              <w:spacing w:after="0"/>
              <w:rPr>
                <w:sz w:val="20"/>
                <w:szCs w:val="20"/>
                <w:color w:val="auto"/>
              </w:rPr>
            </w:pPr>
            <w:r>
              <w:rPr>
                <w:rFonts w:ascii="Arial" w:cs="Arial" w:eastAsia="Arial" w:hAnsi="Arial"/>
                <w:sz w:val="18"/>
                <w:szCs w:val="18"/>
                <w:b w:val="1"/>
                <w:bCs w:val="1"/>
                <w:color w:val="auto"/>
              </w:rPr>
              <w:t>982</w:t>
            </w:r>
          </w:p>
        </w:tc>
        <w:tc>
          <w:tcPr>
            <w:tcW w:w="1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w w:val="84"/>
              </w:rPr>
              <w:t>1,001</w:t>
            </w:r>
          </w:p>
        </w:tc>
        <w:tc>
          <w:tcPr>
            <w:tcW w:w="1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363"/>
        </w:trPr>
        <w:tc>
          <w:tcPr>
            <w:tcW w:w="5200" w:type="dxa"/>
            <w:vAlign w:val="bottom"/>
          </w:tcPr>
          <w:p>
            <w:pPr>
              <w:spacing w:after="0"/>
              <w:rPr>
                <w:sz w:val="24"/>
                <w:szCs w:val="24"/>
                <w:color w:val="auto"/>
              </w:rPr>
            </w:pPr>
          </w:p>
        </w:tc>
        <w:tc>
          <w:tcPr>
            <w:tcW w:w="2460" w:type="dxa"/>
            <w:vAlign w:val="bottom"/>
          </w:tcPr>
          <w:p>
            <w:pPr>
              <w:jc w:val="right"/>
              <w:ind w:right="1752"/>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Successor</w:t>
            </w:r>
          </w:p>
        </w:tc>
        <w:tc>
          <w:tcPr>
            <w:tcW w:w="7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color w:val="auto"/>
                <w:w w:val="81"/>
              </w:rPr>
              <w:t>Predecessor</w:t>
            </w: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color w:val="auto"/>
                <w:w w:val="87"/>
              </w:rPr>
              <w:t>Combined</w:t>
            </w:r>
          </w:p>
        </w:tc>
        <w:tc>
          <w:tcPr>
            <w:tcW w:w="1360" w:type="dxa"/>
            <w:vAlign w:val="bottom"/>
          </w:tcPr>
          <w:p>
            <w:pPr>
              <w:spacing w:after="0"/>
              <w:rPr>
                <w:sz w:val="14"/>
                <w:szCs w:val="14"/>
                <w:color w:val="auto"/>
              </w:rPr>
            </w:pPr>
          </w:p>
        </w:tc>
      </w:tr>
      <w:tr>
        <w:trPr>
          <w:trHeight w:val="131"/>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tcPr>
          <w:p>
            <w:pPr>
              <w:jc w:val="right"/>
              <w:ind w:right="235"/>
              <w:spacing w:after="0" w:line="131" w:lineRule="exact"/>
              <w:rPr>
                <w:sz w:val="20"/>
                <w:szCs w:val="20"/>
                <w:color w:val="auto"/>
              </w:rPr>
            </w:pPr>
            <w:r>
              <w:rPr>
                <w:rFonts w:ascii="Arial" w:cs="Arial" w:eastAsia="Arial" w:hAnsi="Arial"/>
                <w:sz w:val="14"/>
                <w:szCs w:val="14"/>
                <w:color w:val="auto"/>
              </w:rPr>
              <w:t>Six Months</w:t>
            </w:r>
          </w:p>
        </w:tc>
        <w:tc>
          <w:tcPr>
            <w:tcW w:w="1840" w:type="dxa"/>
            <w:vAlign w:val="bottom"/>
            <w:tcBorders>
              <w:right w:val="single" w:sz="8" w:color="auto"/>
            </w:tcBorders>
            <w:gridSpan w:val="3"/>
          </w:tcPr>
          <w:p>
            <w:pPr>
              <w:ind w:left="280"/>
              <w:spacing w:after="0" w:line="131"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jc w:val="center"/>
              <w:ind w:right="296"/>
              <w:spacing w:after="0" w:line="131" w:lineRule="exact"/>
              <w:rPr>
                <w:sz w:val="20"/>
                <w:szCs w:val="20"/>
                <w:color w:val="auto"/>
              </w:rPr>
            </w:pPr>
            <w:r>
              <w:rPr>
                <w:rFonts w:ascii="Arial" w:cs="Arial" w:eastAsia="Arial" w:hAnsi="Arial"/>
                <w:sz w:val="14"/>
                <w:szCs w:val="14"/>
                <w:color w:val="auto"/>
                <w:w w:val="85"/>
              </w:rPr>
              <w:t>For the Period</w:t>
            </w:r>
          </w:p>
        </w:tc>
        <w:tc>
          <w:tcPr>
            <w:tcW w:w="1080" w:type="dxa"/>
            <w:vAlign w:val="bottom"/>
            <w:gridSpan w:val="2"/>
          </w:tcPr>
          <w:p>
            <w:pPr>
              <w:jc w:val="center"/>
              <w:ind w:left="39"/>
              <w:spacing w:after="0" w:line="131" w:lineRule="exact"/>
              <w:rPr>
                <w:sz w:val="20"/>
                <w:szCs w:val="20"/>
                <w:color w:val="auto"/>
              </w:rPr>
            </w:pPr>
            <w:r>
              <w:rPr>
                <w:rFonts w:ascii="Arial" w:cs="Arial" w:eastAsia="Arial" w:hAnsi="Arial"/>
                <w:sz w:val="14"/>
                <w:szCs w:val="14"/>
                <w:color w:val="auto"/>
                <w:w w:val="92"/>
              </w:rPr>
              <w:t>Six Months</w:t>
            </w:r>
          </w:p>
        </w:tc>
        <w:tc>
          <w:tcPr>
            <w:tcW w:w="1360" w:type="dxa"/>
            <w:vAlign w:val="bottom"/>
          </w:tcPr>
          <w:p>
            <w:pPr>
              <w:spacing w:after="0"/>
              <w:rPr>
                <w:sz w:val="11"/>
                <w:szCs w:val="11"/>
                <w:color w:val="auto"/>
              </w:rPr>
            </w:pPr>
          </w:p>
        </w:tc>
      </w:tr>
      <w:tr>
        <w:trPr>
          <w:trHeight w:val="149"/>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375"/>
              <w:spacing w:after="0" w:line="149" w:lineRule="exact"/>
              <w:rPr>
                <w:sz w:val="20"/>
                <w:szCs w:val="20"/>
                <w:color w:val="auto"/>
              </w:rPr>
            </w:pPr>
            <w:r>
              <w:rPr>
                <w:rFonts w:ascii="Arial" w:cs="Arial" w:eastAsia="Arial" w:hAnsi="Arial"/>
                <w:sz w:val="14"/>
                <w:szCs w:val="14"/>
                <w:color w:val="auto"/>
                <w:w w:val="93"/>
              </w:rPr>
              <w:t>Ended</w:t>
            </w:r>
          </w:p>
        </w:tc>
        <w:tc>
          <w:tcPr>
            <w:tcW w:w="1840" w:type="dxa"/>
            <w:vAlign w:val="bottom"/>
            <w:tcBorders>
              <w:right w:val="single" w:sz="8" w:color="auto"/>
            </w:tcBorders>
            <w:gridSpan w:val="3"/>
          </w:tcPr>
          <w:p>
            <w:pPr>
              <w:ind w:left="200"/>
              <w:spacing w:after="0" w:line="149" w:lineRule="exact"/>
              <w:rPr>
                <w:sz w:val="20"/>
                <w:szCs w:val="20"/>
                <w:color w:val="auto"/>
              </w:rPr>
            </w:pPr>
            <w:r>
              <w:rPr>
                <w:rFonts w:ascii="Arial" w:cs="Arial" w:eastAsia="Arial" w:hAnsi="Arial"/>
                <w:sz w:val="14"/>
                <w:szCs w:val="14"/>
                <w:color w:val="auto"/>
              </w:rPr>
              <w:t>January 29, 2011</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jc w:val="center"/>
              <w:ind w:right="296"/>
              <w:spacing w:after="0" w:line="149" w:lineRule="exact"/>
              <w:rPr>
                <w:sz w:val="20"/>
                <w:szCs w:val="20"/>
                <w:color w:val="auto"/>
              </w:rPr>
            </w:pPr>
            <w:r>
              <w:rPr>
                <w:rFonts w:ascii="Arial" w:cs="Arial" w:eastAsia="Arial" w:hAnsi="Arial"/>
                <w:sz w:val="14"/>
                <w:szCs w:val="14"/>
                <w:color w:val="auto"/>
                <w:w w:val="83"/>
              </w:rPr>
              <w:t>January 1, 2011</w:t>
            </w:r>
          </w:p>
        </w:tc>
        <w:tc>
          <w:tcPr>
            <w:tcW w:w="320" w:type="dxa"/>
            <w:vAlign w:val="bottom"/>
          </w:tcPr>
          <w:p>
            <w:pPr>
              <w:spacing w:after="0"/>
              <w:rPr>
                <w:sz w:val="12"/>
                <w:szCs w:val="12"/>
                <w:color w:val="auto"/>
              </w:rPr>
            </w:pPr>
          </w:p>
        </w:tc>
        <w:tc>
          <w:tcPr>
            <w:tcW w:w="760" w:type="dxa"/>
            <w:vAlign w:val="bottom"/>
          </w:tcPr>
          <w:p>
            <w:pPr>
              <w:jc w:val="center"/>
              <w:ind w:right="95"/>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tcPr>
          <w:p>
            <w:pPr>
              <w:jc w:val="right"/>
              <w:ind w:right="215"/>
              <w:spacing w:after="0" w:line="149" w:lineRule="exact"/>
              <w:rPr>
                <w:sz w:val="20"/>
                <w:szCs w:val="20"/>
                <w:color w:val="auto"/>
              </w:rPr>
            </w:pPr>
            <w:r>
              <w:rPr>
                <w:rFonts w:ascii="Arial" w:cs="Arial" w:eastAsia="Arial" w:hAnsi="Arial"/>
                <w:sz w:val="14"/>
                <w:szCs w:val="14"/>
                <w:color w:val="auto"/>
              </w:rPr>
              <w:t>% Change</w:t>
            </w:r>
          </w:p>
        </w:tc>
      </w:tr>
      <w:tr>
        <w:trPr>
          <w:trHeight w:val="173"/>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June 30, 2012</w:t>
            </w:r>
          </w:p>
        </w:tc>
        <w:tc>
          <w:tcPr>
            <w:tcW w:w="1840" w:type="dxa"/>
            <w:vAlign w:val="bottom"/>
            <w:tcBorders>
              <w:bottom w:val="single" w:sz="8" w:color="auto"/>
              <w:right w:val="single" w:sz="8" w:color="auto"/>
            </w:tcBorders>
            <w:gridSpan w:val="3"/>
          </w:tcPr>
          <w:p>
            <w:pPr>
              <w:ind w:left="220"/>
              <w:spacing w:after="0"/>
              <w:rPr>
                <w:sz w:val="20"/>
                <w:szCs w:val="20"/>
                <w:color w:val="auto"/>
              </w:rPr>
            </w:pPr>
            <w:r>
              <w:rPr>
                <w:rFonts w:ascii="Arial" w:cs="Arial" w:eastAsia="Arial" w:hAnsi="Arial"/>
                <w:sz w:val="14"/>
                <w:szCs w:val="14"/>
                <w:color w:val="auto"/>
              </w:rPr>
              <w:t>to June 30, 2011</w:t>
            </w:r>
          </w:p>
        </w:tc>
        <w:tc>
          <w:tcPr>
            <w:tcW w:w="5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to January 28, 2011</w:t>
            </w: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w w:val="94"/>
              </w:rPr>
              <w:t>June 30, 2011</w:t>
            </w: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2011 to 2012</w:t>
            </w:r>
          </w:p>
        </w:tc>
      </w:tr>
      <w:tr>
        <w:trPr>
          <w:trHeight w:val="210"/>
        </w:trPr>
        <w:tc>
          <w:tcPr>
            <w:tcW w:w="38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4,390</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3,573</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389</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3,962</w:t>
            </w:r>
          </w:p>
        </w:tc>
        <w:tc>
          <w:tcPr>
            <w:tcW w:w="13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3,391</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2,583</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3,047</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11.3</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2,423</w:t>
            </w:r>
          </w:p>
        </w:tc>
        <w:tc>
          <w:tcPr>
            <w:tcW w:w="5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1,876</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2,229</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8.7</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951</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796</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911</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4.4</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Headquarters and Other</w:t>
            </w:r>
          </w:p>
        </w:tc>
        <w:tc>
          <w:tcPr>
            <w:tcW w:w="200" w:type="dxa"/>
            <w:vAlign w:val="bottom"/>
          </w:tcPr>
          <w:p>
            <w:pPr>
              <w:spacing w:after="0"/>
              <w:rPr>
                <w:sz w:val="18"/>
                <w:szCs w:val="18"/>
                <w:color w:val="auto"/>
              </w:rPr>
            </w:pP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18"/>
                <w:szCs w:val="18"/>
                <w:color w:val="auto"/>
              </w:rPr>
            </w:pP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25</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360" w:type="dxa"/>
            <w:vAlign w:val="bottom"/>
          </w:tcPr>
          <w:p>
            <w:pPr>
              <w:jc w:val="right"/>
              <w:ind w:right="95"/>
              <w:spacing w:after="0"/>
              <w:rPr>
                <w:sz w:val="20"/>
                <w:szCs w:val="20"/>
                <w:color w:val="auto"/>
              </w:rPr>
            </w:pPr>
            <w:r>
              <w:rPr>
                <w:rFonts w:ascii="Arial" w:cs="Arial" w:eastAsia="Arial" w:hAnsi="Arial"/>
                <w:sz w:val="18"/>
                <w:szCs w:val="18"/>
                <w:color w:val="auto"/>
              </w:rPr>
              <w:t>(23.7)</w:t>
            </w:r>
          </w:p>
        </w:tc>
      </w:tr>
      <w:tr>
        <w:trPr>
          <w:trHeight w:val="216"/>
        </w:trPr>
        <w:tc>
          <w:tcPr>
            <w:tcW w:w="380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Eliminations</w:t>
            </w:r>
          </w:p>
        </w:tc>
        <w:tc>
          <w:tcPr>
            <w:tcW w:w="2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(202)</w:t>
            </w:r>
          </w:p>
        </w:tc>
        <w:tc>
          <w:tcPr>
            <w:tcW w:w="54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(763)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1260" w:type="dxa"/>
            <w:vAlign w:val="bottom"/>
            <w:tcBorders>
              <w:bottom w:val="single" w:sz="8" w:color="auto"/>
            </w:tcBorders>
            <w:shd w:val="clear" w:color="auto" w:fill="E5E5E5"/>
          </w:tcPr>
          <w:p>
            <w:pPr>
              <w:jc w:val="right"/>
              <w:ind w:right="136"/>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(883)</w:t>
            </w:r>
          </w:p>
        </w:tc>
        <w:tc>
          <w:tcPr>
            <w:tcW w:w="13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77.1</w:t>
            </w:r>
          </w:p>
        </w:tc>
      </w:tr>
      <w:tr>
        <w:trPr>
          <w:trHeight w:val="217"/>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10,976</w:t>
            </w: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8,090</w:t>
            </w:r>
          </w:p>
        </w:tc>
        <w:tc>
          <w:tcPr>
            <w:tcW w:w="52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b w:val="1"/>
                <w:bCs w:val="1"/>
                <w:color w:val="auto"/>
              </w:rPr>
              <w:t>1,206</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9,296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18.1 %</w:t>
            </w:r>
          </w:p>
        </w:tc>
      </w:tr>
      <w:tr>
        <w:trPr>
          <w:trHeight w:val="202"/>
        </w:trPr>
        <w:tc>
          <w:tcPr>
            <w:tcW w:w="3800" w:type="dxa"/>
            <w:vAlign w:val="bottom"/>
            <w:gridSpan w:val="2"/>
            <w:shd w:val="clear" w:color="auto" w:fill="E5E5E5"/>
          </w:tcPr>
          <w:p>
            <w:pPr>
              <w:spacing w:after="0" w:line="201" w:lineRule="exact"/>
              <w:rPr>
                <w:sz w:val="20"/>
                <w:szCs w:val="20"/>
                <w:color w:val="auto"/>
              </w:rPr>
            </w:pPr>
            <w:r>
              <w:rPr>
                <w:rFonts w:ascii="Arial" w:cs="Arial" w:eastAsia="Arial" w:hAnsi="Arial"/>
                <w:sz w:val="18"/>
                <w:szCs w:val="18"/>
                <w:b w:val="1"/>
                <w:bCs w:val="1"/>
                <w:color w:val="auto"/>
                <w:w w:val="88"/>
              </w:rPr>
              <w:t>Operating Income (Loss) Before Depreciation and</w:t>
            </w:r>
          </w:p>
        </w:tc>
        <w:tc>
          <w:tcPr>
            <w:tcW w:w="2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520" w:type="dxa"/>
            <w:vAlign w:val="bottom"/>
            <w:tcBorders>
              <w:right w:val="single" w:sz="8" w:color="auto"/>
            </w:tcBorders>
            <w:shd w:val="clear" w:color="auto" w:fill="E5E5E5"/>
          </w:tcPr>
          <w:p>
            <w:pPr>
              <w:spacing w:after="0"/>
              <w:rPr>
                <w:sz w:val="17"/>
                <w:szCs w:val="17"/>
                <w:color w:val="auto"/>
              </w:rPr>
            </w:pPr>
          </w:p>
        </w:tc>
        <w:tc>
          <w:tcPr>
            <w:tcW w:w="5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12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1360" w:type="dxa"/>
            <w:vAlign w:val="bottom"/>
            <w:shd w:val="clear" w:color="auto" w:fill="E5E5E5"/>
          </w:tcPr>
          <w:p>
            <w:pPr>
              <w:spacing w:after="0"/>
              <w:rPr>
                <w:sz w:val="17"/>
                <w:szCs w:val="17"/>
                <w:color w:val="auto"/>
              </w:rPr>
            </w:pPr>
          </w:p>
        </w:tc>
      </w:tr>
      <w:tr>
        <w:trPr>
          <w:trHeight w:val="230"/>
        </w:trPr>
        <w:tc>
          <w:tcPr>
            <w:tcW w:w="3800" w:type="dxa"/>
            <w:vAlign w:val="bottom"/>
            <w:gridSpan w:val="2"/>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shd w:val="clear" w:color="auto" w:fill="E5E5E5"/>
          </w:tcPr>
          <w:p>
            <w:pPr>
              <w:spacing w:after="0"/>
              <w:rPr>
                <w:sz w:val="20"/>
                <w:szCs w:val="20"/>
                <w:color w:val="auto"/>
              </w:rPr>
            </w:pPr>
          </w:p>
        </w:tc>
        <w:tc>
          <w:tcPr>
            <w:tcW w:w="860" w:type="dxa"/>
            <w:vAlign w:val="bottom"/>
            <w:shd w:val="clear" w:color="auto" w:fill="E5E5E5"/>
          </w:tcPr>
          <w:p>
            <w:pPr>
              <w:spacing w:after="0"/>
              <w:rPr>
                <w:sz w:val="20"/>
                <w:szCs w:val="20"/>
                <w:color w:val="auto"/>
              </w:rPr>
            </w:pPr>
          </w:p>
        </w:tc>
        <w:tc>
          <w:tcPr>
            <w:tcW w:w="540" w:type="dxa"/>
            <w:vAlign w:val="bottom"/>
            <w:shd w:val="clear" w:color="auto" w:fill="E5E5E5"/>
          </w:tcPr>
          <w:p>
            <w:pPr>
              <w:spacing w:after="0"/>
              <w:rPr>
                <w:sz w:val="20"/>
                <w:szCs w:val="20"/>
                <w:color w:val="auto"/>
              </w:rPr>
            </w:pPr>
          </w:p>
        </w:tc>
        <w:tc>
          <w:tcPr>
            <w:tcW w:w="780" w:type="dxa"/>
            <w:vAlign w:val="bottom"/>
            <w:shd w:val="clear" w:color="auto" w:fill="E5E5E5"/>
          </w:tcPr>
          <w:p>
            <w:pPr>
              <w:spacing w:after="0"/>
              <w:rPr>
                <w:sz w:val="20"/>
                <w:szCs w:val="20"/>
                <w:color w:val="auto"/>
              </w:rPr>
            </w:pPr>
          </w:p>
        </w:tc>
        <w:tc>
          <w:tcPr>
            <w:tcW w:w="520" w:type="dxa"/>
            <w:vAlign w:val="bottom"/>
            <w:tcBorders>
              <w:right w:val="single" w:sz="8" w:color="auto"/>
            </w:tcBorders>
            <w:shd w:val="clear" w:color="auto" w:fill="E5E5E5"/>
          </w:tcPr>
          <w:p>
            <w:pPr>
              <w:spacing w:after="0"/>
              <w:rPr>
                <w:sz w:val="20"/>
                <w:szCs w:val="20"/>
                <w:color w:val="auto"/>
              </w:rPr>
            </w:pPr>
          </w:p>
        </w:tc>
        <w:tc>
          <w:tcPr>
            <w:tcW w:w="500" w:type="dxa"/>
            <w:vAlign w:val="bottom"/>
            <w:shd w:val="clear" w:color="auto" w:fill="E5E5E5"/>
          </w:tcPr>
          <w:p>
            <w:pPr>
              <w:spacing w:after="0"/>
              <w:rPr>
                <w:sz w:val="20"/>
                <w:szCs w:val="20"/>
                <w:color w:val="auto"/>
              </w:rPr>
            </w:pPr>
          </w:p>
        </w:tc>
        <w:tc>
          <w:tcPr>
            <w:tcW w:w="520" w:type="dxa"/>
            <w:vAlign w:val="bottom"/>
            <w:shd w:val="clear" w:color="auto" w:fill="E5E5E5"/>
          </w:tcPr>
          <w:p>
            <w:pPr>
              <w:spacing w:after="0"/>
              <w:rPr>
                <w:sz w:val="20"/>
                <w:szCs w:val="20"/>
                <w:color w:val="auto"/>
              </w:rPr>
            </w:pPr>
          </w:p>
        </w:tc>
        <w:tc>
          <w:tcPr>
            <w:tcW w:w="1260" w:type="dxa"/>
            <w:vAlign w:val="bottom"/>
            <w:shd w:val="clear" w:color="auto" w:fill="E5E5E5"/>
          </w:tcPr>
          <w:p>
            <w:pPr>
              <w:spacing w:after="0"/>
              <w:rPr>
                <w:sz w:val="20"/>
                <w:szCs w:val="20"/>
                <w:color w:val="auto"/>
              </w:rPr>
            </w:pPr>
          </w:p>
        </w:tc>
        <w:tc>
          <w:tcPr>
            <w:tcW w:w="320" w:type="dxa"/>
            <w:vAlign w:val="bottom"/>
            <w:shd w:val="clear" w:color="auto" w:fill="E5E5E5"/>
          </w:tcPr>
          <w:p>
            <w:pPr>
              <w:spacing w:after="0"/>
              <w:rPr>
                <w:sz w:val="20"/>
                <w:szCs w:val="20"/>
                <w:color w:val="auto"/>
              </w:rPr>
            </w:pPr>
          </w:p>
        </w:tc>
        <w:tc>
          <w:tcPr>
            <w:tcW w:w="760" w:type="dxa"/>
            <w:vAlign w:val="bottom"/>
            <w:shd w:val="clear" w:color="auto" w:fill="E5E5E5"/>
          </w:tcPr>
          <w:p>
            <w:pPr>
              <w:spacing w:after="0"/>
              <w:rPr>
                <w:sz w:val="20"/>
                <w:szCs w:val="20"/>
                <w:color w:val="auto"/>
              </w:rPr>
            </w:pPr>
          </w:p>
        </w:tc>
        <w:tc>
          <w:tcPr>
            <w:tcW w:w="1360" w:type="dxa"/>
            <w:vAlign w:val="bottom"/>
            <w:shd w:val="clear" w:color="auto" w:fill="E5E5E5"/>
          </w:tcPr>
          <w:p>
            <w:pPr>
              <w:spacing w:after="0"/>
              <w:rPr>
                <w:sz w:val="20"/>
                <w:szCs w:val="20"/>
                <w:color w:val="auto"/>
              </w:rPr>
            </w:pP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Cable Networks</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color w:val="auto"/>
              </w:rPr>
              <w:t>1,593</w:t>
            </w:r>
          </w:p>
        </w:tc>
        <w:tc>
          <w:tcPr>
            <w:tcW w:w="540" w:type="dxa"/>
            <w:vAlign w:val="bottom"/>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2"/>
              <w:spacing w:after="0"/>
              <w:rPr>
                <w:sz w:val="20"/>
                <w:szCs w:val="20"/>
                <w:color w:val="auto"/>
              </w:rPr>
            </w:pPr>
            <w:r>
              <w:rPr>
                <w:rFonts w:ascii="Arial" w:cs="Arial" w:eastAsia="Arial" w:hAnsi="Arial"/>
                <w:sz w:val="18"/>
                <w:szCs w:val="18"/>
                <w:color w:val="auto"/>
              </w:rPr>
              <w:t>1,445</w:t>
            </w:r>
          </w:p>
        </w:tc>
        <w:tc>
          <w:tcPr>
            <w:tcW w:w="520" w:type="dxa"/>
            <w:vAlign w:val="bottom"/>
            <w:tcBorders>
              <w:right w:val="single" w:sz="8" w:color="auto"/>
            </w:tcBorders>
          </w:tcPr>
          <w:p>
            <w:pPr>
              <w:spacing w:after="0"/>
              <w:rPr>
                <w:sz w:val="18"/>
                <w:szCs w:val="18"/>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143</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1,588</w:t>
            </w:r>
          </w:p>
        </w:tc>
        <w:tc>
          <w:tcPr>
            <w:tcW w:w="136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186</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225</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36"/>
              <w:spacing w:after="0"/>
              <w:rPr>
                <w:sz w:val="20"/>
                <w:szCs w:val="20"/>
                <w:color w:val="auto"/>
              </w:rPr>
            </w:pPr>
            <w:r>
              <w:rPr>
                <w:rFonts w:ascii="Arial" w:cs="Arial" w:eastAsia="Arial" w:hAnsi="Arial"/>
                <w:sz w:val="18"/>
                <w:szCs w:val="18"/>
                <w:color w:val="auto"/>
              </w:rPr>
              <w:t>(16)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209</w:t>
            </w:r>
          </w:p>
        </w:tc>
        <w:tc>
          <w:tcPr>
            <w:tcW w:w="1360" w:type="dxa"/>
            <w:vAlign w:val="bottom"/>
            <w:shd w:val="clear" w:color="auto" w:fill="E5E5E5"/>
          </w:tcPr>
          <w:p>
            <w:pPr>
              <w:jc w:val="right"/>
              <w:ind w:right="95"/>
              <w:spacing w:after="0"/>
              <w:rPr>
                <w:sz w:val="20"/>
                <w:szCs w:val="20"/>
                <w:color w:val="auto"/>
              </w:rPr>
            </w:pPr>
            <w:r>
              <w:rPr>
                <w:rFonts w:ascii="Arial" w:cs="Arial" w:eastAsia="Arial" w:hAnsi="Arial"/>
                <w:sz w:val="18"/>
                <w:szCs w:val="18"/>
                <w:color w:val="auto"/>
              </w:rPr>
              <w:t>(11.1)</w:t>
            </w:r>
          </w:p>
        </w:tc>
      </w:tr>
      <w:tr>
        <w:trPr>
          <w:trHeight w:val="216"/>
        </w:trPr>
        <w:tc>
          <w:tcPr>
            <w:tcW w:w="3800" w:type="dxa"/>
            <w:vAlign w:val="bottom"/>
            <w:gridSpan w:val="2"/>
          </w:tcPr>
          <w:p>
            <w:pPr>
              <w:ind w:left="440"/>
              <w:spacing w:after="0"/>
              <w:rPr>
                <w:sz w:val="20"/>
                <w:szCs w:val="20"/>
                <w:color w:val="auto"/>
              </w:rPr>
            </w:pPr>
            <w:r>
              <w:rPr>
                <w:rFonts w:ascii="Arial" w:cs="Arial" w:eastAsia="Arial" w:hAnsi="Arial"/>
                <w:sz w:val="18"/>
                <w:szCs w:val="18"/>
                <w:color w:val="auto"/>
              </w:rPr>
              <w:t>Filmed Entertainment</w:t>
            </w:r>
          </w:p>
        </w:tc>
        <w:tc>
          <w:tcPr>
            <w:tcW w:w="200" w:type="dxa"/>
            <w:vAlign w:val="bottom"/>
          </w:tcPr>
          <w:p>
            <w:pPr>
              <w:spacing w:after="0"/>
              <w:rPr>
                <w:sz w:val="18"/>
                <w:szCs w:val="18"/>
                <w:color w:val="auto"/>
              </w:rPr>
            </w:pPr>
          </w:p>
        </w:tc>
        <w:tc>
          <w:tcPr>
            <w:tcW w:w="860" w:type="dxa"/>
            <w:vAlign w:val="bottom"/>
          </w:tcPr>
          <w:p>
            <w:pPr>
              <w:jc w:val="right"/>
              <w:ind w:right="115"/>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(116)</w:t>
            </w:r>
          </w:p>
        </w:tc>
        <w:tc>
          <w:tcPr>
            <w:tcW w:w="52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ind w:right="196"/>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w:t>
            </w: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33.3</w:t>
            </w:r>
          </w:p>
        </w:tc>
      </w:tr>
      <w:tr>
        <w:trPr>
          <w:trHeight w:val="216"/>
        </w:trPr>
        <w:tc>
          <w:tcPr>
            <w:tcW w:w="380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2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392</w:t>
            </w:r>
          </w:p>
        </w:tc>
        <w:tc>
          <w:tcPr>
            <w:tcW w:w="5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322</w:t>
            </w:r>
          </w:p>
        </w:tc>
        <w:tc>
          <w:tcPr>
            <w:tcW w:w="52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126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37</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359</w:t>
            </w:r>
          </w:p>
        </w:tc>
        <w:tc>
          <w:tcPr>
            <w:tcW w:w="13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9.0</w:t>
            </w:r>
          </w:p>
        </w:tc>
      </w:tr>
      <w:tr>
        <w:trPr>
          <w:trHeight w:val="216"/>
        </w:trPr>
        <w:tc>
          <w:tcPr>
            <w:tcW w:w="38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Headquarters, other and eliminations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(299)</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w:t>
            </w:r>
          </w:p>
        </w:tc>
        <w:tc>
          <w:tcPr>
            <w:tcW w:w="52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(130)</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51.2</w:t>
            </w:r>
          </w:p>
        </w:tc>
      </w:tr>
      <w:tr>
        <w:trPr>
          <w:trHeight w:val="217"/>
        </w:trPr>
        <w:tc>
          <w:tcPr>
            <w:tcW w:w="38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1,795</w:t>
            </w:r>
          </w:p>
        </w:tc>
        <w:tc>
          <w:tcPr>
            <w:tcW w:w="5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1,393</w:t>
            </w:r>
          </w:p>
        </w:tc>
        <w:tc>
          <w:tcPr>
            <w:tcW w:w="520" w:type="dxa"/>
            <w:vAlign w:val="bottom"/>
            <w:tcBorders>
              <w:bottom w:val="single" w:sz="8" w:color="auto"/>
              <w:right w:val="single" w:sz="8" w:color="auto"/>
            </w:tcBorders>
            <w:shd w:val="clear" w:color="auto" w:fill="E5E5E5"/>
          </w:tcPr>
          <w:p>
            <w:pPr>
              <w:spacing w:after="0"/>
              <w:rPr>
                <w:sz w:val="18"/>
                <w:szCs w:val="18"/>
                <w:color w:val="auto"/>
              </w:rPr>
            </w:pPr>
          </w:p>
        </w:tc>
        <w:tc>
          <w:tcPr>
            <w:tcW w:w="102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b w:val="1"/>
                <w:bCs w:val="1"/>
                <w:color w:val="auto"/>
              </w:rPr>
              <w:t>35</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1,428</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25.7 %</w:t>
            </w:r>
          </w:p>
        </w:tc>
      </w:tr>
      <w:tr>
        <w:trPr>
          <w:trHeight w:val="363"/>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jc w:val="right"/>
              <w:ind w:right="272"/>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w w:val="79"/>
              </w:rPr>
              <w:t>Successor</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Three Months</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gridSpan w:val="4"/>
          </w:tcPr>
          <w:p>
            <w:pPr>
              <w:jc w:val="right"/>
              <w:ind w:right="600"/>
              <w:spacing w:after="0" w:line="159" w:lineRule="exact"/>
              <w:rPr>
                <w:sz w:val="20"/>
                <w:szCs w:val="20"/>
                <w:color w:val="auto"/>
              </w:rPr>
            </w:pPr>
            <w:r>
              <w:rPr>
                <w:rFonts w:ascii="Arial" w:cs="Arial" w:eastAsia="Arial" w:hAnsi="Arial"/>
                <w:sz w:val="14"/>
                <w:szCs w:val="14"/>
                <w:color w:val="auto"/>
              </w:rPr>
              <w:t>Ended June 30</w:t>
            </w:r>
          </w:p>
        </w:tc>
        <w:tc>
          <w:tcPr>
            <w:tcW w:w="1360" w:type="dxa"/>
            <w:vAlign w:val="bottom"/>
            <w:vMerge w:val="restart"/>
          </w:tcPr>
          <w:p>
            <w:pPr>
              <w:jc w:val="right"/>
              <w:ind w:right="27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3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6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9"/>
              </w:rPr>
              <w:t>2012</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w w:val="83"/>
              </w:rPr>
              <w:t>2011</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97"/>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0" w:type="dxa"/>
            <w:vAlign w:val="bottom"/>
            <w:gridSpan w:val="4"/>
          </w:tcPr>
          <w:p>
            <w:pPr>
              <w:jc w:val="right"/>
              <w:spacing w:after="0"/>
              <w:rPr>
                <w:sz w:val="20"/>
                <w:szCs w:val="20"/>
                <w:color w:val="auto"/>
              </w:rPr>
            </w:pPr>
            <w:r>
              <w:rPr>
                <w:rFonts w:ascii="Arial" w:cs="Arial" w:eastAsia="Arial" w:hAnsi="Arial"/>
                <w:sz w:val="18"/>
                <w:szCs w:val="18"/>
                <w:color w:val="auto"/>
              </w:rPr>
              <w:t>$1,167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160" w:type="dxa"/>
            <w:vAlign w:val="bottom"/>
          </w:tcPr>
          <w:p>
            <w:pPr>
              <w:spacing w:after="0"/>
              <w:rPr>
                <w:sz w:val="18"/>
                <w:szCs w:val="18"/>
                <w:color w:val="auto"/>
              </w:rPr>
            </w:pP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924</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E5E5E5"/>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2,252</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2,173</w:t>
            </w: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1,464</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1,327</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7"/>
        </w:trPr>
        <w:tc>
          <w:tcPr>
            <w:tcW w:w="424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right w:val="single" w:sz="8" w:color="E5E5E5"/>
            </w:tcBorders>
            <w:shd w:val="clear" w:color="auto" w:fill="E5E5E5"/>
          </w:tcPr>
          <w:p>
            <w:pPr>
              <w:spacing w:after="0"/>
              <w:rPr>
                <w:sz w:val="18"/>
                <w:szCs w:val="18"/>
                <w:color w:val="auto"/>
              </w:rPr>
            </w:pPr>
          </w:p>
        </w:tc>
        <w:tc>
          <w:tcPr>
            <w:tcW w:w="158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788</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846</w:t>
            </w:r>
          </w:p>
        </w:tc>
        <w:tc>
          <w:tcPr>
            <w:tcW w:w="16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351"/>
        </w:trPr>
        <w:tc>
          <w:tcPr>
            <w:tcW w:w="36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1"/>
              </w:rPr>
              <w:t>Predecessor</w:t>
            </w:r>
          </w:p>
        </w:tc>
        <w:tc>
          <w:tcPr>
            <w:tcW w:w="128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color w:val="auto"/>
                <w:w w:val="87"/>
              </w:rPr>
              <w:t>Combined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320" w:type="dxa"/>
            <w:vAlign w:val="bottom"/>
            <w:gridSpan w:val="2"/>
          </w:tcPr>
          <w:p>
            <w:pPr>
              <w:jc w:val="right"/>
              <w:ind w:right="137"/>
              <w:spacing w:after="0" w:line="131" w:lineRule="exact"/>
              <w:rPr>
                <w:sz w:val="20"/>
                <w:szCs w:val="20"/>
                <w:color w:val="auto"/>
              </w:rPr>
            </w:pPr>
            <w:r>
              <w:rPr>
                <w:rFonts w:ascii="Arial" w:cs="Arial" w:eastAsia="Arial" w:hAnsi="Arial"/>
                <w:sz w:val="14"/>
                <w:szCs w:val="14"/>
                <w:color w:val="auto"/>
              </w:rPr>
              <w:t>Six Months</w:t>
            </w:r>
          </w:p>
        </w:tc>
        <w:tc>
          <w:tcPr>
            <w:tcW w:w="1800" w:type="dxa"/>
            <w:vAlign w:val="bottom"/>
            <w:tcBorders>
              <w:right w:val="single" w:sz="8" w:color="auto"/>
            </w:tcBorders>
            <w:gridSpan w:val="3"/>
          </w:tcPr>
          <w:p>
            <w:pPr>
              <w:ind w:left="240"/>
              <w:spacing w:after="0" w:line="131" w:lineRule="exact"/>
              <w:rPr>
                <w:sz w:val="20"/>
                <w:szCs w:val="20"/>
                <w:color w:val="auto"/>
              </w:rPr>
            </w:pPr>
            <w:r>
              <w:rPr>
                <w:rFonts w:ascii="Arial" w:cs="Arial" w:eastAsia="Arial" w:hAnsi="Arial"/>
                <w:sz w:val="14"/>
                <w:szCs w:val="14"/>
                <w:color w:val="auto"/>
              </w:rPr>
              <w:t>For the Period</w:t>
            </w: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5"/>
              </w:rPr>
              <w:t>For the Period</w:t>
            </w:r>
          </w:p>
        </w:tc>
        <w:tc>
          <w:tcPr>
            <w:tcW w:w="1280" w:type="dxa"/>
            <w:vAlign w:val="bottom"/>
            <w:gridSpan w:val="3"/>
          </w:tcPr>
          <w:p>
            <w:pPr>
              <w:jc w:val="center"/>
              <w:ind w:left="342"/>
              <w:spacing w:after="0" w:line="131" w:lineRule="exact"/>
              <w:rPr>
                <w:sz w:val="20"/>
                <w:szCs w:val="20"/>
                <w:color w:val="auto"/>
              </w:rPr>
            </w:pPr>
            <w:r>
              <w:rPr>
                <w:rFonts w:ascii="Arial" w:cs="Arial" w:eastAsia="Arial" w:hAnsi="Arial"/>
                <w:sz w:val="14"/>
                <w:szCs w:val="14"/>
                <w:color w:val="auto"/>
                <w:w w:val="89"/>
              </w:rPr>
              <w:t>Six Months</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277"/>
              <w:spacing w:after="0" w:line="149" w:lineRule="exact"/>
              <w:rPr>
                <w:sz w:val="20"/>
                <w:szCs w:val="20"/>
                <w:color w:val="auto"/>
              </w:rPr>
            </w:pPr>
            <w:r>
              <w:rPr>
                <w:rFonts w:ascii="Arial" w:cs="Arial" w:eastAsia="Arial" w:hAnsi="Arial"/>
                <w:sz w:val="14"/>
                <w:szCs w:val="14"/>
                <w:color w:val="auto"/>
                <w:w w:val="88"/>
              </w:rPr>
              <w:t>Ended</w:t>
            </w:r>
          </w:p>
        </w:tc>
        <w:tc>
          <w:tcPr>
            <w:tcW w:w="1800" w:type="dxa"/>
            <w:vAlign w:val="bottom"/>
            <w:tcBorders>
              <w:right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January 29, 2011</w:t>
            </w: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January 1, 2011</w:t>
            </w:r>
          </w:p>
        </w:tc>
        <w:tc>
          <w:tcPr>
            <w:tcW w:w="66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tcPr>
          <w:p>
            <w:pPr>
              <w:jc w:val="right"/>
              <w:ind w:right="217"/>
              <w:spacing w:after="0" w:line="14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w w:val="99"/>
              </w:rPr>
              <w:t>June 30, 2012</w:t>
            </w:r>
          </w:p>
        </w:tc>
        <w:tc>
          <w:tcPr>
            <w:tcW w:w="1800" w:type="dxa"/>
            <w:vAlign w:val="bottom"/>
            <w:tcBorders>
              <w:bottom w:val="single" w:sz="8" w:color="auto"/>
              <w:right w:val="single" w:sz="8" w:color="auto"/>
            </w:tcBorders>
            <w:gridSpan w:val="3"/>
          </w:tcPr>
          <w:p>
            <w:pPr>
              <w:ind w:left="180"/>
              <w:spacing w:after="0"/>
              <w:rPr>
                <w:sz w:val="20"/>
                <w:szCs w:val="20"/>
                <w:color w:val="auto"/>
              </w:rPr>
            </w:pPr>
            <w:r>
              <w:rPr>
                <w:rFonts w:ascii="Arial" w:cs="Arial" w:eastAsia="Arial" w:hAnsi="Arial"/>
                <w:sz w:val="14"/>
                <w:szCs w:val="14"/>
                <w:color w:val="auto"/>
              </w:rPr>
              <w:t>to June 30, 2011</w:t>
            </w:r>
          </w:p>
        </w:tc>
        <w:tc>
          <w:tcPr>
            <w:tcW w:w="5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332"/>
              <w:spacing w:after="0"/>
              <w:rPr>
                <w:sz w:val="20"/>
                <w:szCs w:val="20"/>
                <w:color w:val="auto"/>
              </w:rPr>
            </w:pPr>
            <w:r>
              <w:rPr>
                <w:rFonts w:ascii="Arial" w:cs="Arial" w:eastAsia="Arial" w:hAnsi="Arial"/>
                <w:sz w:val="14"/>
                <w:szCs w:val="14"/>
                <w:color w:val="auto"/>
                <w:w w:val="85"/>
              </w:rPr>
              <w:t>to January 28, 2011</w:t>
            </w:r>
          </w:p>
        </w:tc>
        <w:tc>
          <w:tcPr>
            <w:tcW w:w="1280" w:type="dxa"/>
            <w:vAlign w:val="bottom"/>
            <w:tcBorders>
              <w:bottom w:val="single" w:sz="8" w:color="auto"/>
            </w:tcBorders>
            <w:gridSpan w:val="3"/>
          </w:tcPr>
          <w:p>
            <w:pPr>
              <w:jc w:val="center"/>
              <w:ind w:left="322"/>
              <w:spacing w:after="0"/>
              <w:rPr>
                <w:sz w:val="20"/>
                <w:szCs w:val="20"/>
                <w:color w:val="auto"/>
              </w:rPr>
            </w:pPr>
            <w:r>
              <w:rPr>
                <w:rFonts w:ascii="Arial" w:cs="Arial" w:eastAsia="Arial" w:hAnsi="Arial"/>
                <w:sz w:val="14"/>
                <w:szCs w:val="14"/>
                <w:color w:val="auto"/>
                <w:w w:val="85"/>
              </w:rPr>
              <w:t>June 30, 2011</w:t>
            </w:r>
          </w:p>
        </w:tc>
        <w:tc>
          <w:tcPr>
            <w:tcW w:w="13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60" w:type="dxa"/>
            <w:vAlign w:val="bottom"/>
            <w:shd w:val="clear" w:color="auto" w:fill="E5E5E5"/>
          </w:tcPr>
          <w:p>
            <w:pPr>
              <w:spacing w:after="0"/>
              <w:rPr>
                <w:sz w:val="18"/>
                <w:szCs w:val="18"/>
                <w:color w:val="auto"/>
              </w:rPr>
            </w:pPr>
          </w:p>
        </w:tc>
        <w:tc>
          <w:tcPr>
            <w:tcW w:w="13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80" w:type="dxa"/>
            <w:vAlign w:val="bottom"/>
          </w:tcPr>
          <w:p>
            <w:pPr>
              <w:ind w:left="4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2,310</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1,859</w:t>
            </w:r>
          </w:p>
        </w:tc>
        <w:tc>
          <w:tcPr>
            <w:tcW w:w="540" w:type="dxa"/>
            <w:vAlign w:val="bottom"/>
            <w:tcBorders>
              <w:right w:val="single" w:sz="8" w:color="auto"/>
            </w:tcBorders>
          </w:tcPr>
          <w:p>
            <w:pPr>
              <w:spacing w:after="0"/>
              <w:rPr>
                <w:sz w:val="18"/>
                <w:szCs w:val="18"/>
                <w:color w:val="auto"/>
              </w:rPr>
            </w:pPr>
          </w:p>
        </w:tc>
        <w:tc>
          <w:tcPr>
            <w:tcW w:w="1580" w:type="dxa"/>
            <w:vAlign w:val="bottom"/>
            <w:gridSpan w:val="3"/>
          </w:tcPr>
          <w:p>
            <w:pPr>
              <w:jc w:val="right"/>
              <w:ind w:right="49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66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2,047</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6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1,738</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1,425</w:t>
            </w: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162</w:t>
            </w:r>
          </w:p>
        </w:tc>
        <w:tc>
          <w:tcPr>
            <w:tcW w:w="660" w:type="dxa"/>
            <w:vAlign w:val="bottom"/>
            <w:shd w:val="clear" w:color="auto" w:fill="E5E5E5"/>
          </w:tcPr>
          <w:p>
            <w:pPr>
              <w:spacing w:after="0"/>
              <w:rPr>
                <w:sz w:val="18"/>
                <w:szCs w:val="18"/>
                <w:color w:val="auto"/>
              </w:rPr>
            </w:pPr>
          </w:p>
        </w:tc>
        <w:tc>
          <w:tcPr>
            <w:tcW w:w="6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1,587</w:t>
            </w:r>
          </w:p>
        </w:tc>
        <w:tc>
          <w:tcPr>
            <w:tcW w:w="13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Content licensing and 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342</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289</w:t>
            </w:r>
          </w:p>
        </w:tc>
        <w:tc>
          <w:tcPr>
            <w:tcW w:w="5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328</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0"/>
        </w:trPr>
        <w:tc>
          <w:tcPr>
            <w:tcW w:w="36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4,390</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3,573</w:t>
            </w:r>
          </w:p>
        </w:tc>
        <w:tc>
          <w:tcPr>
            <w:tcW w:w="540" w:type="dxa"/>
            <w:vAlign w:val="bottom"/>
            <w:tcBorders>
              <w:right w:val="single" w:sz="8" w:color="auto"/>
            </w:tcBorders>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389</w:t>
            </w:r>
          </w:p>
        </w:tc>
        <w:tc>
          <w:tcPr>
            <w:tcW w:w="660" w:type="dxa"/>
            <w:vAlign w:val="bottom"/>
            <w:shd w:val="clear" w:color="auto" w:fill="E5E5E5"/>
          </w:tcPr>
          <w:p>
            <w:pPr>
              <w:spacing w:after="0"/>
              <w:rPr>
                <w:sz w:val="18"/>
                <w:szCs w:val="18"/>
                <w:color w:val="auto"/>
              </w:rPr>
            </w:pPr>
          </w:p>
        </w:tc>
        <w:tc>
          <w:tcPr>
            <w:tcW w:w="62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3,962</w:t>
            </w:r>
          </w:p>
        </w:tc>
        <w:tc>
          <w:tcPr>
            <w:tcW w:w="136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2,797</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2,128</w:t>
            </w:r>
          </w:p>
        </w:tc>
        <w:tc>
          <w:tcPr>
            <w:tcW w:w="540" w:type="dxa"/>
            <w:vAlign w:val="bottom"/>
            <w:tcBorders>
              <w:bottom w:val="single" w:sz="8" w:color="auto"/>
              <w:right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2,374</w:t>
            </w:r>
          </w:p>
        </w:tc>
        <w:tc>
          <w:tcPr>
            <w:tcW w:w="136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5"/>
        </w:trPr>
        <w:tc>
          <w:tcPr>
            <w:tcW w:w="366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5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40" w:type="dxa"/>
            <w:vAlign w:val="bottom"/>
            <w:tcBorders>
              <w:right w:val="single" w:sz="8" w:color="auto"/>
            </w:tcBorders>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13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5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1,593</w:t>
            </w:r>
          </w:p>
        </w:tc>
        <w:tc>
          <w:tcPr>
            <w:tcW w:w="52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1,445</w:t>
            </w:r>
          </w:p>
        </w:tc>
        <w:tc>
          <w:tcPr>
            <w:tcW w:w="540" w:type="dxa"/>
            <w:vAlign w:val="bottom"/>
            <w:tcBorders>
              <w:bottom w:val="single" w:sz="8" w:color="auto"/>
              <w:right w:val="single" w:sz="8" w:color="auto"/>
            </w:tcBorders>
            <w:shd w:val="clear" w:color="auto" w:fill="E5E5E5"/>
          </w:tcPr>
          <w:p>
            <w:pPr>
              <w:spacing w:after="0"/>
              <w:rPr>
                <w:sz w:val="20"/>
                <w:szCs w:val="20"/>
                <w:color w:val="auto"/>
              </w:rPr>
            </w:pPr>
          </w:p>
        </w:tc>
        <w:tc>
          <w:tcPr>
            <w:tcW w:w="1580" w:type="dxa"/>
            <w:vAlign w:val="bottom"/>
            <w:tcBorders>
              <w:bottom w:val="single" w:sz="8" w:color="auto"/>
            </w:tcBorders>
            <w:gridSpan w:val="3"/>
            <w:shd w:val="clear" w:color="auto" w:fill="E5E5E5"/>
          </w:tcPr>
          <w:p>
            <w:pPr>
              <w:jc w:val="right"/>
              <w:ind w:right="492"/>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143</w:t>
            </w:r>
          </w:p>
        </w:tc>
        <w:tc>
          <w:tcPr>
            <w:tcW w:w="660" w:type="dxa"/>
            <w:vAlign w:val="bottom"/>
            <w:tcBorders>
              <w:bottom w:val="single" w:sz="8" w:color="auto"/>
            </w:tcBorders>
            <w:shd w:val="clear" w:color="auto" w:fill="E5E5E5"/>
          </w:tcPr>
          <w:p>
            <w:pPr>
              <w:jc w:val="right"/>
              <w:ind w:right="22"/>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1,588</w:t>
            </w:r>
          </w:p>
        </w:tc>
        <w:tc>
          <w:tcPr>
            <w:tcW w:w="1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Revenue</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Cable Networks revenue increased for the three months ended June 30, 2012 compared to the same period in 2011 primarily due to increases in distribution and advertising revenue partially offset by a decrease in content licensing revenue. The increase in distribution revenue was primarily due to rate increases, and the increase in advertising revenue was primarily due to increases in the price and volume of advertising units sold, which were partially offset by the impact of audience ratings declines. The decrease in content licensing revenue was primarily due to the impact of licensing arrangements that were entered into in the prior year.</w:t>
      </w:r>
    </w:p>
    <w:p>
      <w:pPr>
        <w:spacing w:after="0" w:line="4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Cable Networks revenue for the six months ended June 30, 2012 included six months of operating results of the Comcast Content Business, compared to five months of operating results for the same period in 2011, which accounted for $231 million of the increase in revenue. The remaining increase was due to increases in distribution and advertising revenue. The increase in distribution revenue was primarily due to rate increases, and the increase in advertising revenue was primarily due to increases in the price and volume of advertising units sold.</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both the three and six months ended June 30, 2012, 13% of our total Cable Networks segment revenue was generated from transactions with Comcast. For the three and six months ended June 30, 2011, 12% and 13%, respectively, of our total Cable Networks segment revenue was generated from transactions with Comcast.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 — Operating Costs and Expenses</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operating costs and expenses increased for the three months ended June 30, 2012 compared to the same period in 2011 primarily due to higher programming and production expenses resulting from our continuing investment in original programming and an increase in sports rights costs.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operating costs and expenses for the six months ended June 30, 2012 included six months of operating expenses of the Comcast Content Business, compared to five months of operating expenses for the same period in 2011, which accounted for $168 million of the increase in operating expenses. The remaining increase is primarily due to higher programming and production expenses resulting from our continuing investment in original programming and an increase in sports rights costs.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Broadcast Television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color w:val="auto"/>
                <w:w w:val="82"/>
              </w:rPr>
              <w:t>Successor</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jc w:val="center"/>
              <w:ind w:left="237"/>
              <w:spacing w:after="0" w:line="131" w:lineRule="exact"/>
              <w:rPr>
                <w:sz w:val="20"/>
                <w:szCs w:val="20"/>
                <w:color w:val="auto"/>
              </w:rPr>
            </w:pPr>
            <w:r>
              <w:rPr>
                <w:rFonts w:ascii="Arial" w:cs="Arial" w:eastAsia="Arial" w:hAnsi="Arial"/>
                <w:sz w:val="14"/>
                <w:szCs w:val="14"/>
                <w:color w:val="auto"/>
                <w:w w:val="87"/>
              </w:rPr>
              <w:t>Three Months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gridSpan w:val="4"/>
          </w:tcPr>
          <w:p>
            <w:pPr>
              <w:jc w:val="center"/>
              <w:ind w:right="220"/>
              <w:spacing w:after="0" w:line="159" w:lineRule="exact"/>
              <w:rPr>
                <w:sz w:val="20"/>
                <w:szCs w:val="20"/>
                <w:color w:val="auto"/>
              </w:rPr>
            </w:pPr>
            <w:r>
              <w:rPr>
                <w:rFonts w:ascii="Arial" w:cs="Arial" w:eastAsia="Arial" w:hAnsi="Arial"/>
                <w:sz w:val="14"/>
                <w:szCs w:val="14"/>
                <w:color w:val="auto"/>
                <w:w w:val="84"/>
              </w:rPr>
              <w:t>Ended June 30</w:t>
            </w:r>
          </w:p>
        </w:tc>
        <w:tc>
          <w:tcPr>
            <w:tcW w:w="1420" w:type="dxa"/>
            <w:vAlign w:val="bottom"/>
            <w:vMerge w:val="restart"/>
          </w:tcPr>
          <w:p>
            <w:pPr>
              <w:jc w:val="right"/>
              <w:ind w:right="257"/>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6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5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37"/>
              <w:spacing w:after="0" w:line="159" w:lineRule="exact"/>
              <w:rPr>
                <w:sz w:val="20"/>
                <w:szCs w:val="20"/>
                <w:color w:val="auto"/>
              </w:rPr>
            </w:pPr>
            <w:r>
              <w:rPr>
                <w:rFonts w:ascii="Arial" w:cs="Arial" w:eastAsia="Arial" w:hAnsi="Arial"/>
                <w:sz w:val="14"/>
                <w:szCs w:val="14"/>
                <w:color w:val="auto"/>
                <w:w w:val="89"/>
              </w:rPr>
              <w:t>2012</w:t>
            </w:r>
          </w:p>
        </w:tc>
        <w:tc>
          <w:tcPr>
            <w:tcW w:w="6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w w:val="83"/>
              </w:rPr>
              <w:t>2011</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77"/>
              <w:spacing w:after="0" w:line="159" w:lineRule="exact"/>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$ 1,113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$ 1,114</w:t>
            </w: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331</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1,540</w:t>
            </w: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4"/>
              </w:rPr>
              <w:t>1,695</w:t>
            </w: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1,344</w:t>
            </w:r>
          </w:p>
        </w:tc>
        <w:tc>
          <w:tcPr>
            <w:tcW w:w="6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1,505</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7"/>
        </w:trPr>
        <w:tc>
          <w:tcPr>
            <w:tcW w:w="42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right w:val="single" w:sz="8" w:color="E5E5E5"/>
            </w:tcBorders>
            <w:shd w:val="clear" w:color="auto" w:fill="E5E5E5"/>
          </w:tcPr>
          <w:p>
            <w:pPr>
              <w:spacing w:after="0"/>
              <w:rPr>
                <w:sz w:val="18"/>
                <w:szCs w:val="18"/>
                <w:color w:val="auto"/>
              </w:rPr>
            </w:pPr>
          </w:p>
        </w:tc>
        <w:tc>
          <w:tcPr>
            <w:tcW w:w="1660" w:type="dxa"/>
            <w:vAlign w:val="bottom"/>
            <w:tcBorders>
              <w:bottom w:val="single" w:sz="8" w:color="auto"/>
            </w:tcBorders>
            <w:gridSpan w:val="3"/>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196</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190</w:t>
            </w:r>
          </w:p>
        </w:tc>
        <w:tc>
          <w:tcPr>
            <w:tcW w:w="80" w:type="dxa"/>
            <w:vAlign w:val="bottom"/>
            <w:tcBorders>
              <w:bottom w:val="single" w:sz="8" w:color="auto"/>
            </w:tcBorders>
            <w:shd w:val="clear" w:color="auto" w:fill="E5E5E5"/>
          </w:tcPr>
          <w:p>
            <w:pPr>
              <w:spacing w:after="0"/>
              <w:rPr>
                <w:sz w:val="18"/>
                <w:szCs w:val="18"/>
                <w:color w:val="auto"/>
              </w:rPr>
            </w:pP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2.7 %</w:t>
            </w:r>
          </w:p>
        </w:tc>
        <w:tc>
          <w:tcPr>
            <w:tcW w:w="0" w:type="dxa"/>
            <w:vAlign w:val="bottom"/>
          </w:tcPr>
          <w:p>
            <w:pPr>
              <w:spacing w:after="0"/>
              <w:rPr>
                <w:sz w:val="1"/>
                <w:szCs w:val="1"/>
                <w:color w:val="auto"/>
              </w:rPr>
            </w:pPr>
          </w:p>
        </w:tc>
      </w:tr>
      <w:tr>
        <w:trPr>
          <w:trHeight w:val="351"/>
        </w:trPr>
        <w:tc>
          <w:tcPr>
            <w:tcW w:w="36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color w:val="auto"/>
              </w:rPr>
              <w:t>Successor</w:t>
            </w:r>
          </w:p>
        </w:tc>
        <w:tc>
          <w:tcPr>
            <w:tcW w:w="74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4"/>
                <w:szCs w:val="14"/>
                <w:color w:val="auto"/>
                <w:w w:val="81"/>
              </w:rPr>
              <w:t>Predecessor</w:t>
            </w:r>
          </w:p>
        </w:tc>
        <w:tc>
          <w:tcPr>
            <w:tcW w:w="120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color w:val="auto"/>
                <w:w w:val="90"/>
              </w:rPr>
              <w:t>Combined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1320" w:type="dxa"/>
            <w:vAlign w:val="bottom"/>
            <w:gridSpan w:val="2"/>
          </w:tcPr>
          <w:p>
            <w:pPr>
              <w:jc w:val="right"/>
              <w:ind w:right="137"/>
              <w:spacing w:after="0" w:line="131" w:lineRule="exact"/>
              <w:rPr>
                <w:sz w:val="20"/>
                <w:szCs w:val="20"/>
                <w:color w:val="auto"/>
              </w:rPr>
            </w:pPr>
            <w:r>
              <w:rPr>
                <w:rFonts w:ascii="Arial" w:cs="Arial" w:eastAsia="Arial" w:hAnsi="Arial"/>
                <w:sz w:val="14"/>
                <w:szCs w:val="14"/>
                <w:color w:val="auto"/>
              </w:rPr>
              <w:t>Six Months</w:t>
            </w:r>
          </w:p>
        </w:tc>
        <w:tc>
          <w:tcPr>
            <w:tcW w:w="178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1600" w:type="dxa"/>
            <w:vAlign w:val="bottom"/>
            <w:gridSpan w:val="3"/>
          </w:tcPr>
          <w:p>
            <w:pPr>
              <w:jc w:val="center"/>
              <w:ind w:left="232"/>
              <w:spacing w:after="0" w:line="131" w:lineRule="exact"/>
              <w:rPr>
                <w:sz w:val="20"/>
                <w:szCs w:val="20"/>
                <w:color w:val="auto"/>
              </w:rPr>
            </w:pPr>
            <w:r>
              <w:rPr>
                <w:rFonts w:ascii="Arial" w:cs="Arial" w:eastAsia="Arial" w:hAnsi="Arial"/>
                <w:sz w:val="14"/>
                <w:szCs w:val="14"/>
                <w:color w:val="auto"/>
                <w:w w:val="87"/>
              </w:rPr>
              <w:t>For the Period</w:t>
            </w:r>
          </w:p>
        </w:tc>
        <w:tc>
          <w:tcPr>
            <w:tcW w:w="1200" w:type="dxa"/>
            <w:vAlign w:val="bottom"/>
            <w:gridSpan w:val="3"/>
          </w:tcPr>
          <w:p>
            <w:pPr>
              <w:jc w:val="center"/>
              <w:ind w:left="263"/>
              <w:spacing w:after="0" w:line="131" w:lineRule="exact"/>
              <w:rPr>
                <w:sz w:val="20"/>
                <w:szCs w:val="20"/>
                <w:color w:val="auto"/>
              </w:rPr>
            </w:pPr>
            <w:r>
              <w:rPr>
                <w:rFonts w:ascii="Arial" w:cs="Arial" w:eastAsia="Arial" w:hAnsi="Arial"/>
                <w:sz w:val="14"/>
                <w:szCs w:val="14"/>
                <w:color w:val="auto"/>
                <w:w w:val="89"/>
              </w:rPr>
              <w:t>Six Months</w:t>
            </w: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jc w:val="right"/>
              <w:ind w:right="297"/>
              <w:spacing w:after="0" w:line="149" w:lineRule="exact"/>
              <w:rPr>
                <w:sz w:val="20"/>
                <w:szCs w:val="20"/>
                <w:color w:val="auto"/>
              </w:rPr>
            </w:pPr>
            <w:r>
              <w:rPr>
                <w:rFonts w:ascii="Arial" w:cs="Arial" w:eastAsia="Arial" w:hAnsi="Arial"/>
                <w:sz w:val="14"/>
                <w:szCs w:val="14"/>
                <w:color w:val="auto"/>
                <w:w w:val="83"/>
              </w:rPr>
              <w:t>Ended</w:t>
            </w:r>
          </w:p>
        </w:tc>
        <w:tc>
          <w:tcPr>
            <w:tcW w:w="1780" w:type="dxa"/>
            <w:vAlign w:val="bottom"/>
            <w:tcBorders>
              <w:right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January 29, 2011</w:t>
            </w:r>
          </w:p>
        </w:tc>
        <w:tc>
          <w:tcPr>
            <w:tcW w:w="480" w:type="dxa"/>
            <w:vAlign w:val="bottom"/>
          </w:tcPr>
          <w:p>
            <w:pPr>
              <w:spacing w:after="0"/>
              <w:rPr>
                <w:sz w:val="12"/>
                <w:szCs w:val="12"/>
                <w:color w:val="auto"/>
              </w:rPr>
            </w:pPr>
          </w:p>
        </w:tc>
        <w:tc>
          <w:tcPr>
            <w:tcW w:w="1600" w:type="dxa"/>
            <w:vAlign w:val="bottom"/>
            <w:gridSpan w:val="3"/>
          </w:tcPr>
          <w:p>
            <w:pPr>
              <w:jc w:val="center"/>
              <w:ind w:left="232"/>
              <w:spacing w:after="0" w:line="149" w:lineRule="exact"/>
              <w:rPr>
                <w:sz w:val="20"/>
                <w:szCs w:val="20"/>
                <w:color w:val="auto"/>
              </w:rPr>
            </w:pPr>
            <w:r>
              <w:rPr>
                <w:rFonts w:ascii="Arial" w:cs="Arial" w:eastAsia="Arial" w:hAnsi="Arial"/>
                <w:sz w:val="14"/>
                <w:szCs w:val="14"/>
                <w:color w:val="auto"/>
                <w:w w:val="85"/>
              </w:rPr>
              <w:t>January 1, 2011</w:t>
            </w:r>
          </w:p>
        </w:tc>
        <w:tc>
          <w:tcPr>
            <w:tcW w:w="1200" w:type="dxa"/>
            <w:vAlign w:val="bottom"/>
            <w:gridSpan w:val="3"/>
          </w:tcPr>
          <w:p>
            <w:pPr>
              <w:jc w:val="center"/>
              <w:ind w:left="263"/>
              <w:spacing w:after="0" w:line="149" w:lineRule="exact"/>
              <w:rPr>
                <w:sz w:val="20"/>
                <w:szCs w:val="20"/>
                <w:color w:val="auto"/>
              </w:rPr>
            </w:pPr>
            <w:r>
              <w:rPr>
                <w:rFonts w:ascii="Arial" w:cs="Arial" w:eastAsia="Arial" w:hAnsi="Arial"/>
                <w:sz w:val="14"/>
                <w:szCs w:val="14"/>
                <w:color w:val="auto"/>
                <w:w w:val="83"/>
              </w:rPr>
              <w:t>Ended</w:t>
            </w:r>
          </w:p>
        </w:tc>
        <w:tc>
          <w:tcPr>
            <w:tcW w:w="1420" w:type="dxa"/>
            <w:vAlign w:val="bottom"/>
          </w:tcPr>
          <w:p>
            <w:pPr>
              <w:jc w:val="right"/>
              <w:ind w:right="277"/>
              <w:spacing w:after="0" w:line="149"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73"/>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June 30, 2012</w:t>
            </w:r>
          </w:p>
        </w:tc>
        <w:tc>
          <w:tcPr>
            <w:tcW w:w="17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4"/>
                <w:szCs w:val="14"/>
                <w:color w:val="auto"/>
              </w:rPr>
              <w:t>to June 30, 2011</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color w:val="auto"/>
                <w:w w:val="85"/>
              </w:rPr>
              <w:t>to January 28, 2011</w:t>
            </w:r>
          </w:p>
        </w:tc>
        <w:tc>
          <w:tcPr>
            <w:tcW w:w="120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4"/>
                <w:szCs w:val="14"/>
                <w:color w:val="auto"/>
                <w:w w:val="83"/>
              </w:rPr>
              <w:t>June 30, 2011</w:t>
            </w: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2011 to 2012</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0" w:type="dxa"/>
            <w:vAlign w:val="bottom"/>
            <w:shd w:val="clear" w:color="auto" w:fill="E5E5E5"/>
          </w:tcPr>
          <w:p>
            <w:pPr>
              <w:spacing w:after="0"/>
              <w:rPr>
                <w:sz w:val="18"/>
                <w:szCs w:val="18"/>
                <w:color w:val="auto"/>
              </w:rPr>
            </w:pPr>
          </w:p>
        </w:tc>
        <w:tc>
          <w:tcPr>
            <w:tcW w:w="142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580" w:type="dxa"/>
            <w:vAlign w:val="bottom"/>
          </w:tcPr>
          <w:p>
            <w:pPr>
              <w:ind w:left="4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7"/>
              <w:spacing w:after="0"/>
              <w:rPr>
                <w:sz w:val="20"/>
                <w:szCs w:val="20"/>
                <w:color w:val="auto"/>
              </w:rPr>
            </w:pPr>
            <w:r>
              <w:rPr>
                <w:rFonts w:ascii="Arial" w:cs="Arial" w:eastAsia="Arial" w:hAnsi="Arial"/>
                <w:sz w:val="18"/>
                <w:szCs w:val="18"/>
                <w:color w:val="auto"/>
              </w:rPr>
              <w:t>2,379</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1,709</w:t>
            </w:r>
          </w:p>
        </w:tc>
        <w:tc>
          <w:tcPr>
            <w:tcW w:w="520" w:type="dxa"/>
            <w:vAlign w:val="bottom"/>
            <w:tcBorders>
              <w:right w:val="single" w:sz="8" w:color="auto"/>
            </w:tcBorders>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20" w:type="dxa"/>
            <w:vAlign w:val="bottom"/>
          </w:tcPr>
          <w:p>
            <w:pPr>
              <w:jc w:val="right"/>
              <w:ind w:right="37"/>
              <w:spacing w:after="0"/>
              <w:rPr>
                <w:sz w:val="20"/>
                <w:szCs w:val="20"/>
                <w:color w:val="auto"/>
              </w:rPr>
            </w:pPr>
            <w:r>
              <w:rPr>
                <w:rFonts w:ascii="Arial" w:cs="Arial" w:eastAsia="Arial" w:hAnsi="Arial"/>
                <w:sz w:val="18"/>
                <w:szCs w:val="18"/>
                <w:color w:val="auto"/>
                <w:w w:val="93"/>
              </w:rPr>
              <w:t>315</w:t>
            </w:r>
          </w:p>
        </w:tc>
        <w:tc>
          <w:tcPr>
            <w:tcW w:w="660" w:type="dxa"/>
            <w:vAlign w:val="bottom"/>
          </w:tcPr>
          <w:p>
            <w:pPr>
              <w:jc w:val="right"/>
              <w:ind w:right="103"/>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2,024</w:t>
            </w:r>
          </w:p>
        </w:tc>
        <w:tc>
          <w:tcPr>
            <w:tcW w:w="1420" w:type="dxa"/>
            <w:vAlign w:val="bottom"/>
          </w:tcPr>
          <w:p>
            <w:pPr>
              <w:jc w:val="right"/>
              <w:ind w:right="57"/>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6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788</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681</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w w:val="93"/>
              </w:rPr>
              <w:t>111</w:t>
            </w:r>
          </w:p>
        </w:tc>
        <w:tc>
          <w:tcPr>
            <w:tcW w:w="66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792</w:t>
            </w:r>
          </w:p>
        </w:tc>
        <w:tc>
          <w:tcPr>
            <w:tcW w:w="14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224</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193</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38</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231</w:t>
            </w:r>
          </w:p>
        </w:tc>
        <w:tc>
          <w:tcPr>
            <w:tcW w:w="142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3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77"/>
              <w:spacing w:after="0"/>
              <w:rPr>
                <w:sz w:val="20"/>
                <w:szCs w:val="20"/>
                <w:color w:val="auto"/>
              </w:rPr>
            </w:pPr>
            <w:r>
              <w:rPr>
                <w:rFonts w:ascii="Arial" w:cs="Arial" w:eastAsia="Arial" w:hAnsi="Arial"/>
                <w:sz w:val="18"/>
                <w:szCs w:val="18"/>
                <w:color w:val="auto"/>
              </w:rPr>
              <w:t>3,391</w:t>
            </w:r>
          </w:p>
        </w:tc>
        <w:tc>
          <w:tcPr>
            <w:tcW w:w="52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92"/>
              <w:spacing w:after="0"/>
              <w:rPr>
                <w:sz w:val="20"/>
                <w:szCs w:val="20"/>
                <w:color w:val="auto"/>
              </w:rPr>
            </w:pPr>
            <w:r>
              <w:rPr>
                <w:rFonts w:ascii="Arial" w:cs="Arial" w:eastAsia="Arial" w:hAnsi="Arial"/>
                <w:sz w:val="18"/>
                <w:szCs w:val="18"/>
                <w:color w:val="auto"/>
              </w:rPr>
              <w:t>2,583</w:t>
            </w:r>
          </w:p>
        </w:tc>
        <w:tc>
          <w:tcPr>
            <w:tcW w:w="520" w:type="dxa"/>
            <w:vAlign w:val="bottom"/>
            <w:tcBorders>
              <w:right w:val="single" w:sz="8" w:color="auto"/>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37"/>
              <w:spacing w:after="0"/>
              <w:rPr>
                <w:sz w:val="20"/>
                <w:szCs w:val="20"/>
                <w:color w:val="auto"/>
              </w:rPr>
            </w:pPr>
            <w:r>
              <w:rPr>
                <w:rFonts w:ascii="Arial" w:cs="Arial" w:eastAsia="Arial" w:hAnsi="Arial"/>
                <w:sz w:val="18"/>
                <w:szCs w:val="18"/>
                <w:color w:val="auto"/>
                <w:w w:val="93"/>
              </w:rPr>
              <w:t>464</w:t>
            </w:r>
          </w:p>
        </w:tc>
        <w:tc>
          <w:tcPr>
            <w:tcW w:w="660" w:type="dxa"/>
            <w:vAlign w:val="bottom"/>
            <w:shd w:val="clear" w:color="auto" w:fill="E5E5E5"/>
          </w:tcPr>
          <w:p>
            <w:pPr>
              <w:spacing w:after="0"/>
              <w:rPr>
                <w:sz w:val="18"/>
                <w:szCs w:val="18"/>
                <w:color w:val="auto"/>
              </w:rPr>
            </w:pPr>
          </w:p>
        </w:tc>
        <w:tc>
          <w:tcPr>
            <w:tcW w:w="54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3,047</w:t>
            </w:r>
          </w:p>
        </w:tc>
        <w:tc>
          <w:tcPr>
            <w:tcW w:w="142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3,205</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2,358</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93"/>
              </w:rPr>
              <w:t>480</w:t>
            </w:r>
          </w:p>
        </w:tc>
        <w:tc>
          <w:tcPr>
            <w:tcW w:w="6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2,838</w:t>
            </w:r>
          </w:p>
        </w:tc>
        <w:tc>
          <w:tcPr>
            <w:tcW w:w="14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5"/>
        </w:trPr>
        <w:tc>
          <w:tcPr>
            <w:tcW w:w="36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5"/>
              </w:rPr>
              <w:t>Operating income (loss) before depreciation</w:t>
            </w:r>
          </w:p>
        </w:tc>
        <w:tc>
          <w:tcPr>
            <w:tcW w:w="58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74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42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460" w:type="dxa"/>
            <w:vAlign w:val="bottom"/>
            <w:shd w:val="clear" w:color="auto" w:fill="E5E5E5"/>
          </w:tcPr>
          <w:p>
            <w:pPr>
              <w:spacing w:after="0"/>
              <w:rPr>
                <w:sz w:val="16"/>
                <w:szCs w:val="16"/>
                <w:color w:val="auto"/>
              </w:rPr>
            </w:pPr>
          </w:p>
        </w:tc>
        <w:tc>
          <w:tcPr>
            <w:tcW w:w="80" w:type="dxa"/>
            <w:vAlign w:val="bottom"/>
            <w:shd w:val="clear" w:color="auto" w:fill="E5E5E5"/>
          </w:tcPr>
          <w:p>
            <w:pPr>
              <w:spacing w:after="0"/>
              <w:rPr>
                <w:sz w:val="16"/>
                <w:szCs w:val="16"/>
                <w:color w:val="auto"/>
              </w:rPr>
            </w:pPr>
          </w:p>
        </w:tc>
        <w:tc>
          <w:tcPr>
            <w:tcW w:w="14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and amortization</w:t>
            </w:r>
          </w:p>
        </w:tc>
        <w:tc>
          <w:tcPr>
            <w:tcW w:w="580" w:type="dxa"/>
            <w:vAlign w:val="bottom"/>
            <w:tcBorders>
              <w:bottom w:val="single" w:sz="8" w:color="auto"/>
            </w:tcBorders>
            <w:shd w:val="clear" w:color="auto" w:fill="E5E5E5"/>
          </w:tcPr>
          <w:p>
            <w:pPr>
              <w:ind w:left="4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186</w:t>
            </w:r>
          </w:p>
        </w:tc>
        <w:tc>
          <w:tcPr>
            <w:tcW w:w="52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225</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1060" w:type="dxa"/>
            <w:vAlign w:val="bottom"/>
            <w:tcBorders>
              <w:bottom w:val="single" w:sz="8" w:color="auto"/>
            </w:tcBorders>
            <w:gridSpan w:val="2"/>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spacing w:after="0"/>
              <w:rPr>
                <w:sz w:val="20"/>
                <w:szCs w:val="20"/>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(16)</w:t>
            </w:r>
          </w:p>
        </w:tc>
        <w:tc>
          <w:tcPr>
            <w:tcW w:w="660" w:type="dxa"/>
            <w:vAlign w:val="bottom"/>
            <w:tcBorders>
              <w:bottom w:val="single" w:sz="8" w:color="auto"/>
            </w:tcBorders>
            <w:shd w:val="clear" w:color="auto" w:fill="E5E5E5"/>
          </w:tcPr>
          <w:p>
            <w:pPr>
              <w:jc w:val="right"/>
              <w:ind w:right="103"/>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gridSpan w:val="2"/>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209</w:t>
            </w:r>
          </w:p>
        </w:tc>
        <w:tc>
          <w:tcPr>
            <w:tcW w:w="1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Revenue</w:t>
      </w:r>
    </w:p>
    <w:p>
      <w:pPr>
        <w:spacing w:after="0" w:line="74"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Our Broadcast Television revenue decreased for the three months ended June 30, 2012 compared to the same period in 2011 primarily due to a decrease in content licensing revenue resulting from the impact of licensing agreements for our prior season and library content that were entered into in the prior year period.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revenue increased for the six months ended June 30, 2012 compared to the same period in 2011 primarily due to an increase in advertising revenue. The increase in advertising revenue was primarily due to $259 million associated with the broadcast of the 2012 Super Bowl, as well as increases in the price of advertising units sold.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 — 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decreased for the three months ended June 30, 2012 compared to the same period in 2011 primarily due to a decrease in the amortization of television costs associated with the corresponding decrease in content licensing revenue.</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increased for the six months ended June 30, 2012 compared to the same period in 2011 primarily due to higher programming and production expenses associated with our broadcast of the 2012 Super Bowl.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Filmed Entertainment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left="397"/>
              <w:spacing w:after="0"/>
              <w:rPr>
                <w:sz w:val="20"/>
                <w:szCs w:val="20"/>
                <w:color w:val="auto"/>
              </w:rPr>
            </w:pPr>
            <w:r>
              <w:rPr>
                <w:rFonts w:ascii="Arial" w:cs="Arial" w:eastAsia="Arial" w:hAnsi="Arial"/>
                <w:sz w:val="14"/>
                <w:szCs w:val="14"/>
                <w:color w:val="auto"/>
                <w:w w:val="82"/>
              </w:rPr>
              <w:t>Successor</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31"/>
        </w:trPr>
        <w:tc>
          <w:tcPr>
            <w:tcW w:w="3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jc w:val="center"/>
              <w:ind w:left="197"/>
              <w:spacing w:after="0" w:line="131" w:lineRule="exact"/>
              <w:rPr>
                <w:sz w:val="20"/>
                <w:szCs w:val="20"/>
                <w:color w:val="auto"/>
              </w:rPr>
            </w:pPr>
            <w:r>
              <w:rPr>
                <w:rFonts w:ascii="Arial" w:cs="Arial" w:eastAsia="Arial" w:hAnsi="Arial"/>
                <w:sz w:val="14"/>
                <w:szCs w:val="14"/>
                <w:color w:val="auto"/>
                <w:w w:val="87"/>
              </w:rPr>
              <w:t>Three Months</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9"/>
        </w:trPr>
        <w:tc>
          <w:tcPr>
            <w:tcW w:w="3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217"/>
              <w:spacing w:after="0" w:line="159" w:lineRule="exact"/>
              <w:rPr>
                <w:sz w:val="20"/>
                <w:szCs w:val="20"/>
                <w:color w:val="auto"/>
              </w:rPr>
            </w:pPr>
            <w:r>
              <w:rPr>
                <w:rFonts w:ascii="Arial" w:cs="Arial" w:eastAsia="Arial" w:hAnsi="Arial"/>
                <w:sz w:val="14"/>
                <w:szCs w:val="14"/>
                <w:color w:val="auto"/>
                <w:w w:val="82"/>
              </w:rPr>
              <w:t>Ended June 30</w:t>
            </w:r>
          </w:p>
        </w:tc>
        <w:tc>
          <w:tcPr>
            <w:tcW w:w="4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 Change</w:t>
            </w:r>
          </w:p>
        </w:tc>
      </w:tr>
      <w:tr>
        <w:trPr>
          <w:trHeight w:val="142"/>
        </w:trPr>
        <w:tc>
          <w:tcPr>
            <w:tcW w:w="3780" w:type="dxa"/>
            <w:vAlign w:val="bottom"/>
          </w:tcPr>
          <w:p>
            <w:pPr>
              <w:spacing w:after="0" w:line="142" w:lineRule="exact"/>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jc w:val="right"/>
              <w:ind w:right="657"/>
              <w:spacing w:after="0" w:line="142" w:lineRule="exact"/>
              <w:rPr>
                <w:sz w:val="20"/>
                <w:szCs w:val="20"/>
                <w:color w:val="auto"/>
              </w:rPr>
            </w:pPr>
            <w:r>
              <w:rPr>
                <w:rFonts w:ascii="Arial" w:cs="Arial" w:eastAsia="Arial" w:hAnsi="Arial"/>
                <w:sz w:val="14"/>
                <w:szCs w:val="14"/>
                <w:color w:val="auto"/>
                <w:w w:val="83"/>
              </w:rPr>
              <w:t>2012</w:t>
            </w:r>
          </w:p>
        </w:tc>
        <w:tc>
          <w:tcPr>
            <w:tcW w:w="180" w:type="dxa"/>
            <w:vAlign w:val="bottom"/>
          </w:tcPr>
          <w:p>
            <w:pPr>
              <w:spacing w:after="0"/>
              <w:rPr>
                <w:sz w:val="12"/>
                <w:szCs w:val="12"/>
                <w:color w:val="auto"/>
              </w:rPr>
            </w:pPr>
          </w:p>
        </w:tc>
        <w:tc>
          <w:tcPr>
            <w:tcW w:w="460" w:type="dxa"/>
            <w:vAlign w:val="bottom"/>
          </w:tcPr>
          <w:p>
            <w:pPr>
              <w:jc w:val="right"/>
              <w:ind w:right="95"/>
              <w:spacing w:after="0" w:line="142" w:lineRule="exact"/>
              <w:rPr>
                <w:sz w:val="20"/>
                <w:szCs w:val="20"/>
                <w:color w:val="auto"/>
              </w:rPr>
            </w:pPr>
            <w:r>
              <w:rPr>
                <w:rFonts w:ascii="Arial" w:cs="Arial" w:eastAsia="Arial" w:hAnsi="Arial"/>
                <w:sz w:val="14"/>
                <w:szCs w:val="14"/>
                <w:color w:val="auto"/>
                <w:w w:val="83"/>
              </w:rPr>
              <w:t>2011</w:t>
            </w:r>
          </w:p>
        </w:tc>
        <w:tc>
          <w:tcPr>
            <w:tcW w:w="240" w:type="dxa"/>
            <w:vAlign w:val="bottom"/>
          </w:tcPr>
          <w:p>
            <w:pPr>
              <w:spacing w:after="0"/>
              <w:rPr>
                <w:sz w:val="12"/>
                <w:szCs w:val="12"/>
                <w:color w:val="auto"/>
              </w:rPr>
            </w:pPr>
          </w:p>
        </w:tc>
        <w:tc>
          <w:tcPr>
            <w:tcW w:w="1320" w:type="dxa"/>
            <w:vAlign w:val="bottom"/>
            <w:gridSpan w:val="2"/>
          </w:tcPr>
          <w:p>
            <w:pPr>
              <w:jc w:val="right"/>
              <w:ind w:right="260"/>
              <w:spacing w:after="0" w:line="142" w:lineRule="exact"/>
              <w:rPr>
                <w:sz w:val="20"/>
                <w:szCs w:val="20"/>
                <w:color w:val="auto"/>
              </w:rPr>
            </w:pPr>
            <w:r>
              <w:rPr>
                <w:rFonts w:ascii="Arial" w:cs="Arial" w:eastAsia="Arial" w:hAnsi="Arial"/>
                <w:sz w:val="14"/>
                <w:szCs w:val="14"/>
                <w:color w:val="auto"/>
              </w:rPr>
              <w:t>2011 to 2012</w:t>
            </w:r>
          </w:p>
        </w:tc>
      </w:tr>
      <w:tr>
        <w:trPr>
          <w:trHeight w:val="210"/>
        </w:trPr>
        <w:tc>
          <w:tcPr>
            <w:tcW w:w="37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500" w:type="dxa"/>
            <w:vAlign w:val="bottom"/>
            <w:tcBorders>
              <w:top w:val="single" w:sz="8" w:color="auto"/>
              <w:right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2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1020" w:type="dxa"/>
            <w:vAlign w:val="bottom"/>
            <w:tcBorders>
              <w:top w:val="single" w:sz="8" w:color="auto"/>
            </w:tcBorders>
            <w:shd w:val="clear" w:color="auto" w:fill="E5E5E5"/>
          </w:tcPr>
          <w:p>
            <w:pPr>
              <w:spacing w:after="0"/>
              <w:rPr>
                <w:sz w:val="18"/>
                <w:szCs w:val="18"/>
                <w:color w:val="auto"/>
              </w:rPr>
            </w:pPr>
          </w:p>
        </w:tc>
        <w:tc>
          <w:tcPr>
            <w:tcW w:w="180" w:type="dxa"/>
            <w:vAlign w:val="bottom"/>
            <w:tcBorders>
              <w:top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E5E5E5"/>
            </w:tcBorders>
            <w:shd w:val="clear" w:color="auto" w:fill="E5E5E5"/>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7"/>
              <w:spacing w:after="0"/>
              <w:rPr>
                <w:sz w:val="20"/>
                <w:szCs w:val="20"/>
                <w:color w:val="auto"/>
              </w:rPr>
            </w:pPr>
            <w:r>
              <w:rPr>
                <w:rFonts w:ascii="Arial" w:cs="Arial" w:eastAsia="Arial" w:hAnsi="Arial"/>
                <w:sz w:val="18"/>
                <w:szCs w:val="18"/>
                <w:color w:val="auto"/>
              </w:rPr>
              <w:t>465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3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00" w:type="dxa"/>
            <w:vAlign w:val="bottom"/>
            <w:tcBorders>
              <w:right w:val="single" w:sz="8" w:color="E5E5E5"/>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537"/>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312</w:t>
            </w:r>
          </w:p>
        </w:tc>
        <w:tc>
          <w:tcPr>
            <w:tcW w:w="240" w:type="dxa"/>
            <w:vAlign w:val="bottom"/>
            <w:shd w:val="clear" w:color="auto" w:fill="E5E5E5"/>
          </w:tcPr>
          <w:p>
            <w:pPr>
              <w:spacing w:after="0"/>
              <w:rPr>
                <w:sz w:val="18"/>
                <w:szCs w:val="18"/>
                <w:color w:val="auto"/>
              </w:rPr>
            </w:pPr>
          </w:p>
        </w:tc>
        <w:tc>
          <w:tcPr>
            <w:tcW w:w="132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14.6</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537"/>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r>
      <w:tr>
        <w:trPr>
          <w:trHeight w:val="216"/>
        </w:trPr>
        <w:tc>
          <w:tcPr>
            <w:tcW w:w="3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(28.7)</w:t>
            </w: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537"/>
              <w:spacing w:after="0"/>
              <w:rPr>
                <w:sz w:val="20"/>
                <w:szCs w:val="20"/>
                <w:color w:val="auto"/>
              </w:rPr>
            </w:pPr>
            <w:r>
              <w:rPr>
                <w:rFonts w:ascii="Arial" w:cs="Arial" w:eastAsia="Arial" w:hAnsi="Arial"/>
                <w:sz w:val="18"/>
                <w:szCs w:val="18"/>
                <w:color w:val="auto"/>
                <w:w w:val="84"/>
              </w:rPr>
              <w:t>1,231</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1,254</w:t>
            </w:r>
          </w:p>
        </w:tc>
        <w:tc>
          <w:tcPr>
            <w:tcW w:w="2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r>
      <w:tr>
        <w:trPr>
          <w:trHeight w:val="216"/>
        </w:trPr>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right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537"/>
              <w:spacing w:after="0"/>
              <w:rPr>
                <w:sz w:val="20"/>
                <w:szCs w:val="20"/>
                <w:color w:val="auto"/>
              </w:rPr>
            </w:pPr>
            <w:r>
              <w:rPr>
                <w:rFonts w:ascii="Arial" w:cs="Arial" w:eastAsia="Arial" w:hAnsi="Arial"/>
                <w:sz w:val="18"/>
                <w:szCs w:val="18"/>
                <w:color w:val="auto"/>
                <w:w w:val="84"/>
              </w:rPr>
              <w:t>1,314</w:t>
            </w:r>
          </w:p>
        </w:tc>
        <w:tc>
          <w:tcPr>
            <w:tcW w:w="18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4"/>
              </w:rPr>
              <w:t>1,227</w:t>
            </w:r>
          </w:p>
        </w:tc>
        <w:tc>
          <w:tcPr>
            <w:tcW w:w="240" w:type="dxa"/>
            <w:vAlign w:val="bottom"/>
            <w:tcBorders>
              <w:bottom w:val="single" w:sz="8" w:color="auto"/>
            </w:tcBorders>
            <w:shd w:val="clear" w:color="auto" w:fill="E5E5E5"/>
          </w:tcPr>
          <w:p>
            <w:pPr>
              <w:spacing w:after="0"/>
              <w:rPr>
                <w:sz w:val="18"/>
                <w:szCs w:val="18"/>
                <w:color w:val="auto"/>
              </w:rPr>
            </w:pPr>
          </w:p>
        </w:tc>
        <w:tc>
          <w:tcPr>
            <w:tcW w:w="1320" w:type="dxa"/>
            <w:vAlign w:val="bottom"/>
            <w:tcBorders>
              <w:bottom w:val="single" w:sz="8" w:color="auto"/>
            </w:tcBorders>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7.1</w:t>
            </w:r>
          </w:p>
        </w:tc>
      </w:tr>
      <w:tr>
        <w:trPr>
          <w:trHeight w:val="217"/>
        </w:trPr>
        <w:tc>
          <w:tcPr>
            <w:tcW w:w="5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Operating income (loss) before depreciation and amortization</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b w:val="1"/>
                <w:bCs w:val="1"/>
                <w:color w:val="auto"/>
              </w:rPr>
              <w:t>(83)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NM</w:t>
            </w:r>
          </w:p>
        </w:tc>
      </w:tr>
      <w:tr>
        <w:trPr>
          <w:trHeight w:val="446"/>
        </w:trPr>
        <w:tc>
          <w:tcPr>
            <w:tcW w:w="37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2"/>
              </w:rPr>
              <w:t>Successor</w:t>
            </w: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center"/>
              <w:ind w:right="137"/>
              <w:spacing w:after="0"/>
              <w:rPr>
                <w:sz w:val="20"/>
                <w:szCs w:val="20"/>
                <w:color w:val="auto"/>
              </w:rPr>
            </w:pPr>
            <w:r>
              <w:rPr>
                <w:rFonts w:ascii="Arial" w:cs="Arial" w:eastAsia="Arial" w:hAnsi="Arial"/>
                <w:sz w:val="14"/>
                <w:szCs w:val="14"/>
                <w:color w:val="auto"/>
                <w:w w:val="81"/>
              </w:rPr>
              <w:t>Predecessor</w:t>
            </w: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0"/>
              </w:rPr>
              <w:t>Combined</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1"/>
        </w:trPr>
        <w:tc>
          <w:tcPr>
            <w:tcW w:w="3780" w:type="dxa"/>
            <w:vAlign w:val="bottom"/>
          </w:tcPr>
          <w:p>
            <w:pPr>
              <w:spacing w:after="0"/>
              <w:rPr>
                <w:sz w:val="11"/>
                <w:szCs w:val="11"/>
                <w:color w:val="auto"/>
              </w:rPr>
            </w:pPr>
          </w:p>
        </w:tc>
        <w:tc>
          <w:tcPr>
            <w:tcW w:w="1340" w:type="dxa"/>
            <w:vAlign w:val="bottom"/>
            <w:gridSpan w:val="2"/>
          </w:tcPr>
          <w:p>
            <w:pPr>
              <w:jc w:val="center"/>
              <w:ind w:left="122"/>
              <w:spacing w:after="0" w:line="131" w:lineRule="exact"/>
              <w:rPr>
                <w:sz w:val="20"/>
                <w:szCs w:val="20"/>
                <w:color w:val="auto"/>
              </w:rPr>
            </w:pPr>
            <w:r>
              <w:rPr>
                <w:rFonts w:ascii="Arial" w:cs="Arial" w:eastAsia="Arial" w:hAnsi="Arial"/>
                <w:sz w:val="14"/>
                <w:szCs w:val="14"/>
                <w:color w:val="auto"/>
                <w:w w:val="89"/>
              </w:rPr>
              <w:t>Six Months</w:t>
            </w:r>
          </w:p>
        </w:tc>
        <w:tc>
          <w:tcPr>
            <w:tcW w:w="174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center"/>
              <w:ind w:right="157"/>
              <w:spacing w:after="0" w:line="131" w:lineRule="exact"/>
              <w:rPr>
                <w:sz w:val="20"/>
                <w:szCs w:val="20"/>
                <w:color w:val="auto"/>
              </w:rPr>
            </w:pPr>
            <w:r>
              <w:rPr>
                <w:rFonts w:ascii="Arial" w:cs="Arial" w:eastAsia="Arial" w:hAnsi="Arial"/>
                <w:sz w:val="14"/>
                <w:szCs w:val="14"/>
                <w:color w:val="auto"/>
                <w:w w:val="87"/>
              </w:rPr>
              <w:t>For the Period</w:t>
            </w:r>
          </w:p>
        </w:tc>
        <w:tc>
          <w:tcPr>
            <w:tcW w:w="880" w:type="dxa"/>
            <w:vAlign w:val="bottom"/>
            <w:gridSpan w:val="3"/>
          </w:tcPr>
          <w:p>
            <w:pPr>
              <w:jc w:val="center"/>
              <w:ind w:right="100"/>
              <w:spacing w:after="0" w:line="131" w:lineRule="exact"/>
              <w:rPr>
                <w:sz w:val="20"/>
                <w:szCs w:val="20"/>
                <w:color w:val="auto"/>
              </w:rPr>
            </w:pPr>
            <w:r>
              <w:rPr>
                <w:rFonts w:ascii="Arial" w:cs="Arial" w:eastAsia="Arial" w:hAnsi="Arial"/>
                <w:sz w:val="14"/>
                <w:szCs w:val="14"/>
                <w:color w:val="auto"/>
                <w:w w:val="89"/>
              </w:rPr>
              <w:t>Six Months</w:t>
            </w: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49"/>
        </w:trPr>
        <w:tc>
          <w:tcPr>
            <w:tcW w:w="3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jc w:val="center"/>
              <w:ind w:right="197"/>
              <w:spacing w:after="0" w:line="149" w:lineRule="exact"/>
              <w:rPr>
                <w:sz w:val="20"/>
                <w:szCs w:val="20"/>
                <w:color w:val="auto"/>
              </w:rPr>
            </w:pPr>
            <w:r>
              <w:rPr>
                <w:rFonts w:ascii="Arial" w:cs="Arial" w:eastAsia="Arial" w:hAnsi="Arial"/>
                <w:sz w:val="14"/>
                <w:szCs w:val="14"/>
                <w:color w:val="auto"/>
                <w:w w:val="83"/>
              </w:rPr>
              <w:t>Ended</w:t>
            </w:r>
          </w:p>
        </w:tc>
        <w:tc>
          <w:tcPr>
            <w:tcW w:w="1740" w:type="dxa"/>
            <w:vAlign w:val="bottom"/>
            <w:tcBorders>
              <w:right w:val="single" w:sz="8" w:color="auto"/>
            </w:tcBorders>
            <w:gridSpan w:val="3"/>
          </w:tcPr>
          <w:p>
            <w:pPr>
              <w:ind w:left="140"/>
              <w:spacing w:after="0" w:line="149" w:lineRule="exact"/>
              <w:rPr>
                <w:sz w:val="20"/>
                <w:szCs w:val="20"/>
                <w:color w:val="auto"/>
              </w:rPr>
            </w:pPr>
            <w:r>
              <w:rPr>
                <w:rFonts w:ascii="Arial" w:cs="Arial" w:eastAsia="Arial" w:hAnsi="Arial"/>
                <w:sz w:val="14"/>
                <w:szCs w:val="14"/>
                <w:color w:val="auto"/>
              </w:rPr>
              <w:t>January 29, 2011</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2"/>
          </w:tcPr>
          <w:p>
            <w:pPr>
              <w:jc w:val="center"/>
              <w:ind w:right="157"/>
              <w:spacing w:after="0" w:line="149" w:lineRule="exact"/>
              <w:rPr>
                <w:sz w:val="20"/>
                <w:szCs w:val="20"/>
                <w:color w:val="auto"/>
              </w:rPr>
            </w:pPr>
            <w:r>
              <w:rPr>
                <w:rFonts w:ascii="Arial" w:cs="Arial" w:eastAsia="Arial" w:hAnsi="Arial"/>
                <w:sz w:val="14"/>
                <w:szCs w:val="14"/>
                <w:color w:val="auto"/>
                <w:w w:val="85"/>
              </w:rPr>
              <w:t>January 1, 2011</w:t>
            </w:r>
          </w:p>
        </w:tc>
        <w:tc>
          <w:tcPr>
            <w:tcW w:w="180" w:type="dxa"/>
            <w:vAlign w:val="bottom"/>
          </w:tcPr>
          <w:p>
            <w:pPr>
              <w:spacing w:after="0"/>
              <w:rPr>
                <w:sz w:val="12"/>
                <w:szCs w:val="12"/>
                <w:color w:val="auto"/>
              </w:rPr>
            </w:pPr>
          </w:p>
        </w:tc>
        <w:tc>
          <w:tcPr>
            <w:tcW w:w="7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3"/>
              </w:rPr>
              <w:t>Ended</w:t>
            </w:r>
          </w:p>
        </w:tc>
        <w:tc>
          <w:tcPr>
            <w:tcW w:w="13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 Change</w:t>
            </w:r>
          </w:p>
        </w:tc>
      </w:tr>
      <w:tr>
        <w:trPr>
          <w:trHeight w:val="173"/>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jc w:val="center"/>
              <w:ind w:left="102"/>
              <w:spacing w:after="0"/>
              <w:rPr>
                <w:sz w:val="20"/>
                <w:szCs w:val="20"/>
                <w:color w:val="auto"/>
              </w:rPr>
            </w:pPr>
            <w:r>
              <w:rPr>
                <w:rFonts w:ascii="Arial" w:cs="Arial" w:eastAsia="Arial" w:hAnsi="Arial"/>
                <w:sz w:val="14"/>
                <w:szCs w:val="14"/>
                <w:color w:val="auto"/>
                <w:w w:val="85"/>
              </w:rPr>
              <w:t>June 30, 2012</w:t>
            </w:r>
          </w:p>
        </w:tc>
        <w:tc>
          <w:tcPr>
            <w:tcW w:w="174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4"/>
                <w:szCs w:val="14"/>
                <w:color w:val="auto"/>
              </w:rPr>
              <w:t>to June 30, 2011</w:t>
            </w:r>
          </w:p>
        </w:tc>
        <w:tc>
          <w:tcPr>
            <w:tcW w:w="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jc w:val="center"/>
              <w:ind w:right="157"/>
              <w:spacing w:after="0"/>
              <w:rPr>
                <w:sz w:val="20"/>
                <w:szCs w:val="20"/>
                <w:color w:val="auto"/>
              </w:rPr>
            </w:pPr>
            <w:r>
              <w:rPr>
                <w:rFonts w:ascii="Arial" w:cs="Arial" w:eastAsia="Arial" w:hAnsi="Arial"/>
                <w:sz w:val="14"/>
                <w:szCs w:val="14"/>
                <w:color w:val="auto"/>
                <w:w w:val="85"/>
              </w:rPr>
              <w:t>to January 28, 2011</w:t>
            </w:r>
          </w:p>
        </w:tc>
        <w:tc>
          <w:tcPr>
            <w:tcW w:w="8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83"/>
              </w:rPr>
              <w:t>June 30, 2011</w:t>
            </w: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2011 to 2012</w:t>
            </w:r>
          </w:p>
        </w:tc>
      </w:tr>
      <w:tr>
        <w:trPr>
          <w:trHeight w:val="210"/>
        </w:trPr>
        <w:tc>
          <w:tcPr>
            <w:tcW w:w="378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106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766</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620</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32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58</w:t>
            </w:r>
          </w:p>
        </w:tc>
        <w:tc>
          <w:tcPr>
            <w:tcW w:w="180" w:type="dxa"/>
            <w:vAlign w:val="bottom"/>
          </w:tcPr>
          <w:p>
            <w:pPr>
              <w:jc w:val="right"/>
              <w:ind w:right="1"/>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678</w:t>
            </w: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w w:val="99"/>
              </w:rPr>
              <w:t>13.0 %</w:t>
            </w:r>
          </w:p>
        </w:tc>
      </w:tr>
      <w:tr>
        <w:trPr>
          <w:trHeight w:val="216"/>
        </w:trPr>
        <w:tc>
          <w:tcPr>
            <w:tcW w:w="37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7"/>
              <w:spacing w:after="0"/>
              <w:rPr>
                <w:sz w:val="20"/>
                <w:szCs w:val="20"/>
                <w:color w:val="auto"/>
              </w:rPr>
            </w:pPr>
            <w:r>
              <w:rPr>
                <w:rFonts w:ascii="Arial" w:cs="Arial" w:eastAsia="Arial" w:hAnsi="Arial"/>
                <w:sz w:val="18"/>
                <w:szCs w:val="18"/>
                <w:color w:val="auto"/>
              </w:rPr>
              <w:t>759</w:t>
            </w:r>
          </w:p>
        </w:tc>
        <w:tc>
          <w:tcPr>
            <w:tcW w:w="4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530</w:t>
            </w:r>
          </w:p>
        </w:tc>
        <w:tc>
          <w:tcPr>
            <w:tcW w:w="50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20" w:type="dxa"/>
            <w:vAlign w:val="bottom"/>
            <w:shd w:val="clear" w:color="auto" w:fill="E5E5E5"/>
          </w:tcPr>
          <w:p>
            <w:pPr>
              <w:jc w:val="right"/>
              <w:ind w:right="357"/>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701</w:t>
            </w:r>
          </w:p>
        </w:tc>
        <w:tc>
          <w:tcPr>
            <w:tcW w:w="1320" w:type="dxa"/>
            <w:vAlign w:val="bottom"/>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8.2</w:t>
            </w:r>
          </w:p>
        </w:tc>
      </w:tr>
      <w:tr>
        <w:trPr>
          <w:trHeight w:val="216"/>
        </w:trPr>
        <w:tc>
          <w:tcPr>
            <w:tcW w:w="378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8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697</w:t>
            </w:r>
          </w:p>
        </w:tc>
        <w:tc>
          <w:tcPr>
            <w:tcW w:w="4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520</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r>
      <w:tr>
        <w:trPr>
          <w:trHeight w:val="216"/>
        </w:trPr>
        <w:tc>
          <w:tcPr>
            <w:tcW w:w="378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201</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206</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234</w:t>
            </w:r>
          </w:p>
        </w:tc>
        <w:tc>
          <w:tcPr>
            <w:tcW w:w="1320" w:type="dxa"/>
            <w:vAlign w:val="bottom"/>
            <w:tcBorders>
              <w:bottom w:val="single" w:sz="8" w:color="auto"/>
            </w:tcBorders>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(13.7)</w:t>
            </w: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80" w:type="dxa"/>
            <w:vAlign w:val="bottom"/>
          </w:tcPr>
          <w:p>
            <w:pPr>
              <w:spacing w:after="0"/>
              <w:rPr>
                <w:sz w:val="18"/>
                <w:szCs w:val="18"/>
                <w:color w:val="auto"/>
              </w:rPr>
            </w:pPr>
          </w:p>
        </w:tc>
        <w:tc>
          <w:tcPr>
            <w:tcW w:w="860" w:type="dxa"/>
            <w:vAlign w:val="bottom"/>
          </w:tcPr>
          <w:p>
            <w:pPr>
              <w:jc w:val="right"/>
              <w:ind w:right="117"/>
              <w:spacing w:after="0"/>
              <w:rPr>
                <w:sz w:val="20"/>
                <w:szCs w:val="20"/>
                <w:color w:val="auto"/>
              </w:rPr>
            </w:pPr>
            <w:r>
              <w:rPr>
                <w:rFonts w:ascii="Arial" w:cs="Arial" w:eastAsia="Arial" w:hAnsi="Arial"/>
                <w:sz w:val="18"/>
                <w:szCs w:val="18"/>
                <w:color w:val="auto"/>
              </w:rPr>
              <w:t>2,423</w:t>
            </w:r>
          </w:p>
        </w:tc>
        <w:tc>
          <w:tcPr>
            <w:tcW w:w="46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1,876</w:t>
            </w:r>
          </w:p>
        </w:tc>
        <w:tc>
          <w:tcPr>
            <w:tcW w:w="50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8"/>
                <w:szCs w:val="18"/>
                <w:color w:val="auto"/>
              </w:rPr>
              <w:t>353</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2,229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r>
      <w:tr>
        <w:trPr>
          <w:trHeight w:val="216"/>
        </w:trPr>
        <w:tc>
          <w:tcPr>
            <w:tcW w:w="37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7"/>
              <w:spacing w:after="0"/>
              <w:rPr>
                <w:sz w:val="20"/>
                <w:szCs w:val="20"/>
                <w:color w:val="auto"/>
              </w:rPr>
            </w:pPr>
            <w:r>
              <w:rPr>
                <w:rFonts w:ascii="Arial" w:cs="Arial" w:eastAsia="Arial" w:hAnsi="Arial"/>
                <w:sz w:val="18"/>
                <w:szCs w:val="18"/>
                <w:color w:val="auto"/>
              </w:rPr>
              <w:t>2,500</w:t>
            </w:r>
          </w:p>
        </w:tc>
        <w:tc>
          <w:tcPr>
            <w:tcW w:w="4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color w:val="auto"/>
              </w:rPr>
              <w:t>1,992</w:t>
            </w:r>
          </w:p>
        </w:tc>
        <w:tc>
          <w:tcPr>
            <w:tcW w:w="50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2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20" w:type="dxa"/>
            <w:vAlign w:val="bottom"/>
            <w:tcBorders>
              <w:bottom w:val="single" w:sz="8" w:color="auto"/>
            </w:tcBorders>
            <w:shd w:val="clear" w:color="auto" w:fill="E5E5E5"/>
          </w:tcPr>
          <w:p>
            <w:pPr>
              <w:jc w:val="right"/>
              <w:ind w:right="357"/>
              <w:spacing w:after="0"/>
              <w:rPr>
                <w:sz w:val="20"/>
                <w:szCs w:val="20"/>
                <w:color w:val="auto"/>
              </w:rPr>
            </w:pPr>
            <w:r>
              <w:rPr>
                <w:rFonts w:ascii="Arial" w:cs="Arial" w:eastAsia="Arial" w:hAnsi="Arial"/>
                <w:sz w:val="18"/>
                <w:szCs w:val="18"/>
                <w:color w:val="auto"/>
              </w:rPr>
              <w:t>352</w:t>
            </w:r>
          </w:p>
        </w:tc>
        <w:tc>
          <w:tcPr>
            <w:tcW w:w="1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2,344</w:t>
            </w:r>
          </w:p>
        </w:tc>
        <w:tc>
          <w:tcPr>
            <w:tcW w:w="1320" w:type="dxa"/>
            <w:vAlign w:val="bottom"/>
            <w:tcBorders>
              <w:bottom w:val="single" w:sz="8" w:color="auto"/>
            </w:tcBorders>
            <w:gridSpan w:val="2"/>
            <w:shd w:val="clear" w:color="auto" w:fill="E5E5E5"/>
          </w:tcPr>
          <w:p>
            <w:pPr>
              <w:jc w:val="right"/>
              <w:ind w:right="220"/>
              <w:spacing w:after="0"/>
              <w:rPr>
                <w:sz w:val="20"/>
                <w:szCs w:val="20"/>
                <w:color w:val="auto"/>
              </w:rPr>
            </w:pPr>
            <w:r>
              <w:rPr>
                <w:rFonts w:ascii="Arial" w:cs="Arial" w:eastAsia="Arial" w:hAnsi="Arial"/>
                <w:sz w:val="18"/>
                <w:szCs w:val="18"/>
                <w:color w:val="auto"/>
              </w:rPr>
              <w:t>6.7</w:t>
            </w:r>
          </w:p>
        </w:tc>
      </w:tr>
      <w:tr>
        <w:trPr>
          <w:trHeight w:val="195"/>
        </w:trPr>
        <w:tc>
          <w:tcPr>
            <w:tcW w:w="3780" w:type="dxa"/>
            <w:vAlign w:val="bottom"/>
          </w:tcPr>
          <w:p>
            <w:pPr>
              <w:spacing w:after="0" w:line="195" w:lineRule="exact"/>
              <w:rPr>
                <w:sz w:val="20"/>
                <w:szCs w:val="20"/>
                <w:color w:val="auto"/>
              </w:rPr>
            </w:pPr>
            <w:r>
              <w:rPr>
                <w:rFonts w:ascii="Arial" w:cs="Arial" w:eastAsia="Arial" w:hAnsi="Arial"/>
                <w:sz w:val="18"/>
                <w:szCs w:val="18"/>
                <w:b w:val="1"/>
                <w:bCs w:val="1"/>
                <w:color w:val="auto"/>
                <w:w w:val="90"/>
              </w:rPr>
              <w:t>Operating income (loss) before depreciation and</w:t>
            </w: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37"/>
        </w:trPr>
        <w:tc>
          <w:tcPr>
            <w:tcW w:w="37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(77)</w:t>
            </w: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(116)</w:t>
            </w:r>
          </w:p>
        </w:tc>
        <w:tc>
          <w:tcPr>
            <w:tcW w:w="5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2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(115)</w:t>
            </w:r>
          </w:p>
        </w:tc>
        <w:tc>
          <w:tcPr>
            <w:tcW w:w="132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w w:val="99"/>
              </w:rPr>
              <w:t>33.3 %</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Our Filmed Entertainment revenue decreased for the three months ended June 30, 2012 compared to the same period in 2011 primarily due to a decrease in theatrical revenue resulting from the performance of our 2012 releases, including </w:t>
      </w:r>
      <w:r>
        <w:rPr>
          <w:rFonts w:ascii="Arial" w:cs="Arial" w:eastAsia="Arial" w:hAnsi="Arial"/>
          <w:sz w:val="16"/>
          <w:szCs w:val="16"/>
          <w:i w:val="1"/>
          <w:iCs w:val="1"/>
          <w:color w:val="auto"/>
        </w:rPr>
        <w:t>Battleship,</w:t>
      </w:r>
      <w:r>
        <w:rPr>
          <w:rFonts w:ascii="Arial" w:cs="Arial" w:eastAsia="Arial" w:hAnsi="Arial"/>
          <w:sz w:val="16"/>
          <w:szCs w:val="16"/>
          <w:color w:val="auto"/>
        </w:rPr>
        <w:t xml:space="preserve"> compared to the prior year, which included </w:t>
      </w:r>
      <w:r>
        <w:rPr>
          <w:rFonts w:ascii="Arial" w:cs="Arial" w:eastAsia="Arial" w:hAnsi="Arial"/>
          <w:sz w:val="16"/>
          <w:szCs w:val="16"/>
          <w:i w:val="1"/>
          <w:iCs w:val="1"/>
          <w:color w:val="auto"/>
        </w:rPr>
        <w:t>Fast Five</w:t>
      </w:r>
      <w:r>
        <w:rPr>
          <w:rFonts w:ascii="Arial" w:cs="Arial" w:eastAsia="Arial" w:hAnsi="Arial"/>
          <w:sz w:val="16"/>
          <w:szCs w:val="16"/>
          <w:color w:val="auto"/>
        </w:rPr>
        <w:t xml:space="preserve"> and </w:t>
      </w:r>
      <w:r>
        <w:rPr>
          <w:rFonts w:ascii="Arial" w:cs="Arial" w:eastAsia="Arial" w:hAnsi="Arial"/>
          <w:sz w:val="16"/>
          <w:szCs w:val="16"/>
          <w:i w:val="1"/>
          <w:iCs w:val="1"/>
          <w:color w:val="auto"/>
        </w:rPr>
        <w:t>Bridesmaids</w:t>
      </w:r>
      <w:r>
        <w:rPr>
          <w:rFonts w:ascii="Arial" w:cs="Arial" w:eastAsia="Arial" w:hAnsi="Arial"/>
          <w:sz w:val="16"/>
          <w:szCs w:val="16"/>
          <w:color w:val="auto"/>
        </w:rPr>
        <w:t>, and lower revenue from our stage plays business, which were partially offset by an increase in content licensing revenue.</w:t>
      </w:r>
    </w:p>
    <w:p>
      <w:pPr>
        <w:spacing w:after="0" w:line="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Filmed Entertainment revenue increased for the six months ended June 30, 2012 compared to the same period in 2011 primarily due to increases in theatrical and home entertainment revenue. The increase in theatrical revenue was primarily due to the performance of </w:t>
      </w:r>
      <w:r>
        <w:rPr>
          <w:rFonts w:ascii="Arial" w:cs="Arial" w:eastAsia="Arial" w:hAnsi="Arial"/>
          <w:sz w:val="18"/>
          <w:szCs w:val="18"/>
          <w:i w:val="1"/>
          <w:iCs w:val="1"/>
          <w:color w:val="auto"/>
        </w:rPr>
        <w:t>Dr. Seuss’ The Lorax</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 xml:space="preserve"> which were released in the first quarter of 2012. The increase in home entertainment revenue was primarily due to an increase in the number of titles released in 2012, which included </w:t>
      </w:r>
      <w:r>
        <w:rPr>
          <w:rFonts w:ascii="Arial" w:cs="Arial" w:eastAsia="Arial" w:hAnsi="Arial"/>
          <w:sz w:val="18"/>
          <w:szCs w:val="18"/>
          <w:i w:val="1"/>
          <w:iCs w:val="1"/>
          <w:color w:val="auto"/>
        </w:rPr>
        <w:t>Hop</w:t>
      </w:r>
      <w:r>
        <w:rPr>
          <w:rFonts w:ascii="Arial" w:cs="Arial" w:eastAsia="Arial" w:hAnsi="Arial"/>
          <w:sz w:val="18"/>
          <w:szCs w:val="18"/>
          <w:color w:val="auto"/>
        </w:rPr>
        <w:t xml:space="preserve">, </w:t>
      </w:r>
      <w:r>
        <w:rPr>
          <w:rFonts w:ascii="Arial" w:cs="Arial" w:eastAsia="Arial" w:hAnsi="Arial"/>
          <w:sz w:val="18"/>
          <w:szCs w:val="18"/>
          <w:i w:val="1"/>
          <w:iCs w:val="1"/>
          <w:color w:val="auto"/>
        </w:rPr>
        <w:t>Tower Heist</w:t>
      </w:r>
      <w:r>
        <w:rPr>
          <w:rFonts w:ascii="Arial" w:cs="Arial" w:eastAsia="Arial" w:hAnsi="Arial"/>
          <w:sz w:val="18"/>
          <w:szCs w:val="18"/>
          <w:color w:val="auto"/>
        </w:rPr>
        <w:t xml:space="preserve"> and </w:t>
      </w:r>
      <w:r>
        <w:rPr>
          <w:rFonts w:ascii="Arial" w:cs="Arial" w:eastAsia="Arial" w:hAnsi="Arial"/>
          <w:sz w:val="18"/>
          <w:szCs w:val="18"/>
          <w:i w:val="1"/>
          <w:iCs w:val="1"/>
          <w:color w:val="auto"/>
        </w:rPr>
        <w:t>Safe House</w:t>
      </w:r>
      <w:r>
        <w:rPr>
          <w:rFonts w:ascii="Arial" w:cs="Arial" w:eastAsia="Arial" w:hAnsi="Arial"/>
          <w:sz w:val="18"/>
          <w:szCs w:val="18"/>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 — Operating Costs and Expenses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operating costs and expenses increased for the three months ended June 30, 2012 compared to the same period in 2011 primarily due to higher marketing costs associated with promoting our theatrical releases in the second quarter of 2012 and increases in the amortization of film costs associated with our 2012 slate, including the impact from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operating costs and expenses increased for the six months ended June 30, 2012 compared to the same period in 2011 primarily due to higher amortization of film costs resulting from the corresponding increase in theatrical revenue and the underperformance of </w:t>
      </w:r>
      <w:r>
        <w:rPr>
          <w:rFonts w:ascii="Arial" w:cs="Arial" w:eastAsia="Arial" w:hAnsi="Arial"/>
          <w:sz w:val="18"/>
          <w:szCs w:val="18"/>
          <w:i w:val="1"/>
          <w:iCs w:val="1"/>
          <w:color w:val="auto"/>
        </w:rPr>
        <w:t>Battleship</w:t>
      </w:r>
      <w:r>
        <w:rPr>
          <w:rFonts w:ascii="Arial" w:cs="Arial" w:eastAsia="Arial" w:hAnsi="Arial"/>
          <w:sz w:val="18"/>
          <w:szCs w:val="18"/>
          <w:color w:val="auto"/>
        </w:rPr>
        <w:t>, as well as an increase in marketing costs associated with our 2012 theatrical and home entertainment releases.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Theme Parks Segment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Results of Operations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tables below includes 100% of the results of operations for Universal Orlando for all amounts presented in order to reflect our measure of operating income (loss) before depreciation and amortization for our Theme Parks segment.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3"/>
          </w:tcPr>
          <w:p>
            <w:pPr>
              <w:jc w:val="center"/>
              <w:ind w:right="560"/>
              <w:spacing w:after="0"/>
              <w:rPr>
                <w:sz w:val="20"/>
                <w:szCs w:val="20"/>
                <w:color w:val="auto"/>
              </w:rPr>
            </w:pPr>
            <w:r>
              <w:rPr>
                <w:rFonts w:ascii="Arial" w:cs="Arial" w:eastAsia="Arial" w:hAnsi="Arial"/>
                <w:sz w:val="14"/>
                <w:szCs w:val="14"/>
                <w:color w:val="auto"/>
                <w:w w:val="82"/>
              </w:rPr>
              <w:t>Successor</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31"/>
        </w:trPr>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tcBorders>
              <w:top w:val="single" w:sz="8" w:color="auto"/>
            </w:tcBorders>
            <w:gridSpan w:val="3"/>
          </w:tcPr>
          <w:p>
            <w:pPr>
              <w:jc w:val="center"/>
              <w:ind w:left="392"/>
              <w:spacing w:after="0" w:line="131" w:lineRule="exact"/>
              <w:rPr>
                <w:sz w:val="20"/>
                <w:szCs w:val="20"/>
                <w:color w:val="auto"/>
              </w:rPr>
            </w:pPr>
            <w:r>
              <w:rPr>
                <w:rFonts w:ascii="Arial" w:cs="Arial" w:eastAsia="Arial" w:hAnsi="Arial"/>
                <w:sz w:val="14"/>
                <w:szCs w:val="14"/>
                <w:color w:val="auto"/>
                <w:w w:val="87"/>
              </w:rPr>
              <w:t>Three Months</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9"/>
        </w:trPr>
        <w:tc>
          <w:tcPr>
            <w:tcW w:w="3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80" w:type="dxa"/>
            <w:vAlign w:val="bottom"/>
            <w:gridSpan w:val="4"/>
          </w:tcPr>
          <w:p>
            <w:pPr>
              <w:jc w:val="center"/>
              <w:ind w:left="272"/>
              <w:spacing w:after="0" w:line="159" w:lineRule="exact"/>
              <w:rPr>
                <w:sz w:val="20"/>
                <w:szCs w:val="20"/>
                <w:color w:val="auto"/>
              </w:rPr>
            </w:pPr>
            <w:r>
              <w:rPr>
                <w:rFonts w:ascii="Arial" w:cs="Arial" w:eastAsia="Arial" w:hAnsi="Arial"/>
                <w:sz w:val="14"/>
                <w:szCs w:val="14"/>
                <w:color w:val="auto"/>
                <w:w w:val="84"/>
              </w:rPr>
              <w:t>Ended June 30</w:t>
            </w:r>
          </w:p>
        </w:tc>
        <w:tc>
          <w:tcPr>
            <w:tcW w:w="1360" w:type="dxa"/>
            <w:vAlign w:val="bottom"/>
            <w:gridSpan w:val="2"/>
          </w:tcPr>
          <w:p>
            <w:pPr>
              <w:jc w:val="center"/>
              <w:ind w:left="120"/>
              <w:spacing w:after="0" w:line="159" w:lineRule="exact"/>
              <w:rPr>
                <w:sz w:val="20"/>
                <w:szCs w:val="20"/>
                <w:color w:val="auto"/>
              </w:rPr>
            </w:pPr>
            <w:r>
              <w:rPr>
                <w:rFonts w:ascii="Arial" w:cs="Arial" w:eastAsia="Arial" w:hAnsi="Arial"/>
                <w:sz w:val="14"/>
                <w:szCs w:val="14"/>
                <w:color w:val="auto"/>
                <w:w w:val="85"/>
              </w:rPr>
              <w:t>% Change</w:t>
            </w:r>
          </w:p>
        </w:tc>
      </w:tr>
      <w:tr>
        <w:trPr>
          <w:trHeight w:val="142"/>
        </w:trPr>
        <w:tc>
          <w:tcPr>
            <w:tcW w:w="42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4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left="320"/>
              <w:spacing w:after="0" w:line="142" w:lineRule="exact"/>
              <w:rPr>
                <w:sz w:val="20"/>
                <w:szCs w:val="20"/>
                <w:color w:val="auto"/>
              </w:rPr>
            </w:pPr>
            <w:r>
              <w:rPr>
                <w:rFonts w:ascii="Arial" w:cs="Arial" w:eastAsia="Arial" w:hAnsi="Arial"/>
                <w:sz w:val="14"/>
                <w:szCs w:val="14"/>
                <w:color w:val="auto"/>
                <w:w w:val="85"/>
              </w:rPr>
              <w:t>2011 to 2012</w:t>
            </w:r>
          </w:p>
        </w:tc>
        <w:tc>
          <w:tcPr>
            <w:tcW w:w="220" w:type="dxa"/>
            <w:vAlign w:val="bottom"/>
            <w:tcBorders>
              <w:bottom w:val="single" w:sz="8" w:color="E5E5E5"/>
            </w:tcBorders>
          </w:tcPr>
          <w:p>
            <w:pPr>
              <w:spacing w:after="0"/>
              <w:rPr>
                <w:sz w:val="12"/>
                <w:szCs w:val="12"/>
                <w:color w:val="auto"/>
              </w:rPr>
            </w:pPr>
          </w:p>
        </w:tc>
      </w:tr>
      <w:tr>
        <w:trPr>
          <w:trHeight w:val="210"/>
        </w:trPr>
        <w:tc>
          <w:tcPr>
            <w:tcW w:w="42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520" w:type="dxa"/>
            <w:vAlign w:val="bottom"/>
            <w:tcBorders>
              <w:right w:val="single" w:sz="8" w:color="E5E5E5"/>
            </w:tcBorders>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11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$539</w:t>
            </w:r>
          </w:p>
        </w:tc>
        <w:tc>
          <w:tcPr>
            <w:tcW w:w="400" w:type="dxa"/>
            <w:vAlign w:val="bottom"/>
            <w:shd w:val="clear" w:color="auto" w:fill="E5E5E5"/>
          </w:tcPr>
          <w:p>
            <w:pPr>
              <w:spacing w:after="0"/>
              <w:rPr>
                <w:sz w:val="18"/>
                <w:szCs w:val="18"/>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E5E5E5"/>
          </w:tcPr>
          <w:p>
            <w:pPr>
              <w:spacing w:after="0"/>
              <w:rPr>
                <w:sz w:val="18"/>
                <w:szCs w:val="18"/>
                <w:color w:val="auto"/>
              </w:rPr>
            </w:pPr>
          </w:p>
        </w:tc>
        <w:tc>
          <w:tcPr>
            <w:tcW w:w="1360" w:type="dxa"/>
            <w:vAlign w:val="bottom"/>
            <w:gridSpan w:val="2"/>
            <w:shd w:val="clear" w:color="auto" w:fill="E5E5E5"/>
          </w:tcPr>
          <w:p>
            <w:pPr>
              <w:ind w:left="920"/>
              <w:spacing w:after="0"/>
              <w:rPr>
                <w:sz w:val="20"/>
                <w:szCs w:val="20"/>
                <w:color w:val="auto"/>
              </w:rPr>
            </w:pPr>
            <w:r>
              <w:rPr>
                <w:rFonts w:ascii="Arial" w:cs="Arial" w:eastAsia="Arial" w:hAnsi="Arial"/>
                <w:sz w:val="18"/>
                <w:szCs w:val="18"/>
                <w:color w:val="auto"/>
              </w:rPr>
              <w:t>3.4%</w:t>
            </w: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304</w:t>
            </w:r>
          </w:p>
        </w:tc>
        <w:tc>
          <w:tcPr>
            <w:tcW w:w="4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2.7</w:t>
            </w:r>
          </w:p>
        </w:tc>
      </w:tr>
      <w:tr>
        <w:trPr>
          <w:trHeight w:val="217"/>
        </w:trPr>
        <w:tc>
          <w:tcPr>
            <w:tcW w:w="4200" w:type="dxa"/>
            <w:vAlign w:val="bottom"/>
            <w:tcBorders>
              <w:bottom w:val="single" w:sz="8" w:color="auto"/>
            </w:tcBorders>
            <w:gridSpan w:val="2"/>
            <w:shd w:val="clear" w:color="auto" w:fill="E5E5E5"/>
          </w:tcPr>
          <w:p>
            <w:pPr>
              <w:spacing w:after="0"/>
              <w:rPr>
                <w:sz w:val="20"/>
                <w:szCs w:val="20"/>
                <w:color w:val="auto"/>
              </w:rPr>
            </w:pPr>
            <w:r>
              <w:rPr>
                <w:rFonts w:ascii="Arial" w:cs="Arial" w:eastAsia="Arial" w:hAnsi="Arial"/>
                <w:sz w:val="18"/>
                <w:szCs w:val="18"/>
                <w:b w:val="1"/>
                <w:bCs w:val="1"/>
                <w:color w:val="auto"/>
                <w:w w:val="88"/>
              </w:rPr>
              <w:t>Operating income before depreciation and amortization</w:t>
            </w:r>
          </w:p>
        </w:tc>
        <w:tc>
          <w:tcPr>
            <w:tcW w:w="1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right w:val="single" w:sz="8" w:color="E5E5E5"/>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spacing w:after="0"/>
              <w:rPr>
                <w:sz w:val="18"/>
                <w:szCs w:val="18"/>
                <w:color w:val="auto"/>
              </w:rPr>
            </w:pPr>
          </w:p>
        </w:tc>
        <w:tc>
          <w:tcPr>
            <w:tcW w:w="500" w:type="dxa"/>
            <w:vAlign w:val="bottom"/>
            <w:tcBorders>
              <w:bottom w:val="single" w:sz="8" w:color="auto"/>
            </w:tcBorders>
            <w:shd w:val="clear" w:color="auto" w:fill="E5E5E5"/>
          </w:tcPr>
          <w:p>
            <w:pPr>
              <w:spacing w:after="0"/>
              <w:rPr>
                <w:sz w:val="18"/>
                <w:szCs w:val="18"/>
                <w:color w:val="auto"/>
              </w:rPr>
            </w:pPr>
          </w:p>
        </w:tc>
        <w:tc>
          <w:tcPr>
            <w:tcW w:w="11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$235</w:t>
            </w:r>
          </w:p>
        </w:tc>
        <w:tc>
          <w:tcPr>
            <w:tcW w:w="4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auto"/>
            </w:tcBorders>
            <w:shd w:val="clear" w:color="auto" w:fill="E5E5E5"/>
          </w:tcPr>
          <w:p>
            <w:pPr>
              <w:spacing w:after="0"/>
              <w:rPr>
                <w:sz w:val="18"/>
                <w:szCs w:val="18"/>
                <w:color w:val="auto"/>
              </w:rPr>
            </w:pPr>
          </w:p>
        </w:tc>
        <w:tc>
          <w:tcPr>
            <w:tcW w:w="136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rPr>
              <w:t>4.2%</w:t>
            </w:r>
          </w:p>
        </w:tc>
      </w:tr>
      <w:tr>
        <w:trPr>
          <w:trHeight w:val="351"/>
        </w:trPr>
        <w:tc>
          <w:tcPr>
            <w:tcW w:w="3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44"/>
              <w:spacing w:after="0"/>
              <w:rPr>
                <w:sz w:val="20"/>
                <w:szCs w:val="20"/>
                <w:color w:val="auto"/>
              </w:rPr>
            </w:pPr>
            <w:r>
              <w:rPr>
                <w:rFonts w:ascii="Arial" w:cs="Arial" w:eastAsia="Arial" w:hAnsi="Arial"/>
                <w:sz w:val="14"/>
                <w:szCs w:val="14"/>
                <w:color w:val="auto"/>
              </w:rPr>
              <w:t>Successor</w:t>
            </w:r>
          </w:p>
        </w:tc>
        <w:tc>
          <w:tcPr>
            <w:tcW w:w="66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12"/>
              <w:spacing w:after="0"/>
              <w:rPr>
                <w:sz w:val="20"/>
                <w:szCs w:val="20"/>
                <w:color w:val="auto"/>
              </w:rPr>
            </w:pPr>
            <w:r>
              <w:rPr>
                <w:rFonts w:ascii="Arial" w:cs="Arial" w:eastAsia="Arial" w:hAnsi="Arial"/>
                <w:sz w:val="14"/>
                <w:szCs w:val="14"/>
                <w:color w:val="auto"/>
                <w:w w:val="81"/>
              </w:rPr>
              <w:t>Predecessor</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87"/>
              </w:rPr>
              <w:t>Combined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31"/>
        </w:trPr>
        <w:tc>
          <w:tcPr>
            <w:tcW w:w="3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w w:val="95"/>
              </w:rPr>
              <w:t>Six Months</w:t>
            </w:r>
          </w:p>
        </w:tc>
        <w:tc>
          <w:tcPr>
            <w:tcW w:w="1760" w:type="dxa"/>
            <w:vAlign w:val="bottom"/>
            <w:tcBorders>
              <w:right w:val="single" w:sz="8" w:color="auto"/>
            </w:tcBorders>
            <w:gridSpan w:val="3"/>
          </w:tcPr>
          <w:p>
            <w:pPr>
              <w:ind w:left="220"/>
              <w:spacing w:after="0" w:line="131" w:lineRule="exact"/>
              <w:rPr>
                <w:sz w:val="20"/>
                <w:szCs w:val="20"/>
                <w:color w:val="auto"/>
              </w:rPr>
            </w:pPr>
            <w:r>
              <w:rPr>
                <w:rFonts w:ascii="Arial" w:cs="Arial" w:eastAsia="Arial" w:hAnsi="Arial"/>
                <w:sz w:val="14"/>
                <w:szCs w:val="14"/>
                <w:color w:val="auto"/>
              </w:rPr>
              <w:t>For the Period</w:t>
            </w: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jc w:val="center"/>
              <w:ind w:right="192"/>
              <w:spacing w:after="0" w:line="131" w:lineRule="exact"/>
              <w:rPr>
                <w:sz w:val="20"/>
                <w:szCs w:val="20"/>
                <w:color w:val="auto"/>
              </w:rPr>
            </w:pPr>
            <w:r>
              <w:rPr>
                <w:rFonts w:ascii="Arial" w:cs="Arial" w:eastAsia="Arial" w:hAnsi="Arial"/>
                <w:sz w:val="14"/>
                <w:szCs w:val="14"/>
                <w:color w:val="auto"/>
                <w:w w:val="87"/>
              </w:rPr>
              <w:t>For the Period</w:t>
            </w:r>
          </w:p>
        </w:tc>
        <w:tc>
          <w:tcPr>
            <w:tcW w:w="1100" w:type="dxa"/>
            <w:vAlign w:val="bottom"/>
            <w:gridSpan w:val="3"/>
          </w:tcPr>
          <w:p>
            <w:pPr>
              <w:jc w:val="center"/>
              <w:ind w:left="184"/>
              <w:spacing w:after="0" w:line="131" w:lineRule="exact"/>
              <w:rPr>
                <w:sz w:val="20"/>
                <w:szCs w:val="20"/>
                <w:color w:val="auto"/>
              </w:rPr>
            </w:pPr>
            <w:r>
              <w:rPr>
                <w:rFonts w:ascii="Arial" w:cs="Arial" w:eastAsia="Arial" w:hAnsi="Arial"/>
                <w:sz w:val="14"/>
                <w:szCs w:val="14"/>
                <w:color w:val="auto"/>
                <w:w w:val="92"/>
              </w:rPr>
              <w:t>Six Months</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80"/>
              <w:spacing w:after="0" w:line="149" w:lineRule="exact"/>
              <w:rPr>
                <w:sz w:val="20"/>
                <w:szCs w:val="20"/>
                <w:color w:val="auto"/>
              </w:rPr>
            </w:pPr>
            <w:r>
              <w:rPr>
                <w:rFonts w:ascii="Arial" w:cs="Arial" w:eastAsia="Arial" w:hAnsi="Arial"/>
                <w:sz w:val="14"/>
                <w:szCs w:val="14"/>
                <w:color w:val="auto"/>
                <w:w w:val="93"/>
              </w:rPr>
              <w:t>Ended</w:t>
            </w:r>
          </w:p>
        </w:tc>
        <w:tc>
          <w:tcPr>
            <w:tcW w:w="1760" w:type="dxa"/>
            <w:vAlign w:val="bottom"/>
            <w:tcBorders>
              <w:right w:val="single" w:sz="8" w:color="auto"/>
            </w:tcBorders>
            <w:gridSpan w:val="3"/>
          </w:tcPr>
          <w:p>
            <w:pPr>
              <w:jc w:val="right"/>
              <w:ind w:right="680"/>
              <w:spacing w:after="0" w:line="149" w:lineRule="exact"/>
              <w:rPr>
                <w:sz w:val="20"/>
                <w:szCs w:val="20"/>
                <w:color w:val="auto"/>
              </w:rPr>
            </w:pPr>
            <w:r>
              <w:rPr>
                <w:rFonts w:ascii="Arial" w:cs="Arial" w:eastAsia="Arial" w:hAnsi="Arial"/>
                <w:sz w:val="14"/>
                <w:szCs w:val="14"/>
                <w:color w:val="auto"/>
                <w:w w:val="97"/>
              </w:rPr>
              <w:t>January 29, 2011</w:t>
            </w: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2"/>
          </w:tcPr>
          <w:p>
            <w:pPr>
              <w:jc w:val="center"/>
              <w:ind w:right="192"/>
              <w:spacing w:after="0" w:line="149" w:lineRule="exact"/>
              <w:rPr>
                <w:sz w:val="20"/>
                <w:szCs w:val="20"/>
                <w:color w:val="auto"/>
              </w:rPr>
            </w:pPr>
            <w:r>
              <w:rPr>
                <w:rFonts w:ascii="Arial" w:cs="Arial" w:eastAsia="Arial" w:hAnsi="Arial"/>
                <w:sz w:val="14"/>
                <w:szCs w:val="14"/>
                <w:color w:val="auto"/>
                <w:w w:val="85"/>
              </w:rPr>
              <w:t>January 1, 2011</w:t>
            </w:r>
          </w:p>
        </w:tc>
        <w:tc>
          <w:tcPr>
            <w:tcW w:w="40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3"/>
              </w:rPr>
              <w:t>Ended</w:t>
            </w:r>
          </w:p>
        </w:tc>
        <w:tc>
          <w:tcPr>
            <w:tcW w:w="1360" w:type="dxa"/>
            <w:vAlign w:val="bottom"/>
            <w:gridSpan w:val="2"/>
          </w:tcPr>
          <w:p>
            <w:pPr>
              <w:jc w:val="center"/>
              <w:ind w:left="120"/>
              <w:spacing w:after="0" w:line="149" w:lineRule="exact"/>
              <w:rPr>
                <w:sz w:val="20"/>
                <w:szCs w:val="20"/>
                <w:color w:val="auto"/>
              </w:rPr>
            </w:pPr>
            <w:r>
              <w:rPr>
                <w:rFonts w:ascii="Arial" w:cs="Arial" w:eastAsia="Arial" w:hAnsi="Arial"/>
                <w:sz w:val="14"/>
                <w:szCs w:val="14"/>
                <w:color w:val="auto"/>
                <w:w w:val="85"/>
              </w:rPr>
              <w:t>% Change</w:t>
            </w:r>
          </w:p>
        </w:tc>
      </w:tr>
      <w:tr>
        <w:trPr>
          <w:trHeight w:val="173"/>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81"/>
              </w:rPr>
              <w:t>June 30, 2012</w:t>
            </w:r>
          </w:p>
        </w:tc>
        <w:tc>
          <w:tcPr>
            <w:tcW w:w="1760" w:type="dxa"/>
            <w:vAlign w:val="bottom"/>
            <w:tcBorders>
              <w:bottom w:val="single" w:sz="8" w:color="auto"/>
              <w:right w:val="single" w:sz="8" w:color="auto"/>
            </w:tcBorders>
            <w:gridSpan w:val="3"/>
          </w:tcPr>
          <w:p>
            <w:pPr>
              <w:jc w:val="right"/>
              <w:ind w:right="700"/>
              <w:spacing w:after="0"/>
              <w:rPr>
                <w:sz w:val="20"/>
                <w:szCs w:val="20"/>
                <w:color w:val="auto"/>
              </w:rPr>
            </w:pPr>
            <w:r>
              <w:rPr>
                <w:rFonts w:ascii="Arial" w:cs="Arial" w:eastAsia="Arial" w:hAnsi="Arial"/>
                <w:sz w:val="14"/>
                <w:szCs w:val="14"/>
                <w:color w:val="auto"/>
                <w:w w:val="99"/>
              </w:rPr>
              <w:t>to June 30, 2011</w:t>
            </w: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center"/>
              <w:ind w:left="172"/>
              <w:spacing w:after="0"/>
              <w:rPr>
                <w:sz w:val="20"/>
                <w:szCs w:val="20"/>
                <w:color w:val="auto"/>
              </w:rPr>
            </w:pPr>
            <w:r>
              <w:rPr>
                <w:rFonts w:ascii="Arial" w:cs="Arial" w:eastAsia="Arial" w:hAnsi="Arial"/>
                <w:sz w:val="14"/>
                <w:szCs w:val="14"/>
                <w:color w:val="auto"/>
                <w:w w:val="85"/>
              </w:rPr>
              <w:t>to January 28, 2011</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June 30, 2011</w:t>
            </w:r>
          </w:p>
        </w:tc>
        <w:tc>
          <w:tcPr>
            <w:tcW w:w="1360" w:type="dxa"/>
            <w:vAlign w:val="bottom"/>
            <w:tcBorders>
              <w:bottom w:val="single" w:sz="8" w:color="auto"/>
            </w:tcBorders>
            <w:gridSpan w:val="2"/>
          </w:tcPr>
          <w:p>
            <w:pPr>
              <w:jc w:val="center"/>
              <w:ind w:left="100"/>
              <w:spacing w:after="0"/>
              <w:rPr>
                <w:sz w:val="20"/>
                <w:szCs w:val="20"/>
                <w:color w:val="auto"/>
              </w:rPr>
            </w:pPr>
            <w:r>
              <w:rPr>
                <w:rFonts w:ascii="Arial" w:cs="Arial" w:eastAsia="Arial" w:hAnsi="Arial"/>
                <w:sz w:val="14"/>
                <w:szCs w:val="14"/>
                <w:color w:val="auto"/>
                <w:w w:val="85"/>
              </w:rPr>
              <w:t>2011 to 2012</w:t>
            </w:r>
          </w:p>
        </w:tc>
      </w:tr>
      <w:tr>
        <w:trPr>
          <w:trHeight w:val="210"/>
        </w:trPr>
        <w:tc>
          <w:tcPr>
            <w:tcW w:w="4200" w:type="dxa"/>
            <w:vAlign w:val="bottom"/>
            <w:gridSpan w:val="2"/>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E5E5E5"/>
          </w:tcPr>
          <w:p>
            <w:pPr>
              <w:jc w:val="right"/>
              <w:ind w:right="60"/>
              <w:spacing w:after="0"/>
              <w:rPr>
                <w:sz w:val="20"/>
                <w:szCs w:val="20"/>
                <w:color w:val="auto"/>
              </w:rPr>
            </w:pPr>
            <w:r>
              <w:rPr>
                <w:rFonts w:ascii="Arial" w:cs="Arial" w:eastAsia="Arial" w:hAnsi="Arial"/>
                <w:sz w:val="18"/>
                <w:szCs w:val="18"/>
                <w:color w:val="auto"/>
              </w:rPr>
              <w:t>951</w:t>
            </w:r>
          </w:p>
        </w:tc>
        <w:tc>
          <w:tcPr>
            <w:tcW w:w="580" w:type="dxa"/>
            <w:vAlign w:val="bottom"/>
            <w:shd w:val="clear" w:color="auto" w:fill="E5E5E5"/>
          </w:tcPr>
          <w:p>
            <w:pPr>
              <w:jc w:val="right"/>
              <w:ind w:right="264"/>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796</w:t>
            </w:r>
          </w:p>
        </w:tc>
        <w:tc>
          <w:tcPr>
            <w:tcW w:w="520" w:type="dxa"/>
            <w:vAlign w:val="bottom"/>
            <w:tcBorders>
              <w:right w:val="single" w:sz="8" w:color="auto"/>
            </w:tcBorders>
            <w:shd w:val="clear" w:color="auto" w:fill="E5E5E5"/>
          </w:tcPr>
          <w:p>
            <w:pPr>
              <w:spacing w:after="0"/>
              <w:rPr>
                <w:sz w:val="18"/>
                <w:szCs w:val="18"/>
                <w:color w:val="auto"/>
              </w:rPr>
            </w:pPr>
          </w:p>
        </w:tc>
        <w:tc>
          <w:tcPr>
            <w:tcW w:w="9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115</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911</w:t>
            </w:r>
          </w:p>
        </w:tc>
        <w:tc>
          <w:tcPr>
            <w:tcW w:w="1360" w:type="dxa"/>
            <w:vAlign w:val="bottom"/>
            <w:gridSpan w:val="2"/>
            <w:shd w:val="clear" w:color="auto" w:fill="E5E5E5"/>
          </w:tcPr>
          <w:p>
            <w:pPr>
              <w:ind w:left="920"/>
              <w:spacing w:after="0"/>
              <w:rPr>
                <w:sz w:val="20"/>
                <w:szCs w:val="20"/>
                <w:color w:val="auto"/>
              </w:rPr>
            </w:pPr>
            <w:r>
              <w:rPr>
                <w:rFonts w:ascii="Arial" w:cs="Arial" w:eastAsia="Arial" w:hAnsi="Arial"/>
                <w:sz w:val="18"/>
                <w:szCs w:val="18"/>
                <w:color w:val="auto"/>
              </w:rPr>
              <w:t>4.4%</w:t>
            </w:r>
          </w:p>
        </w:tc>
      </w:tr>
      <w:tr>
        <w:trPr>
          <w:trHeight w:val="216"/>
        </w:trPr>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color w:val="auto"/>
              </w:rPr>
              <w:t>559</w:t>
            </w:r>
          </w:p>
        </w:tc>
        <w:tc>
          <w:tcPr>
            <w:tcW w:w="5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474</w:t>
            </w:r>
          </w:p>
        </w:tc>
        <w:tc>
          <w:tcPr>
            <w:tcW w:w="5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552</w:t>
            </w:r>
          </w:p>
        </w:tc>
        <w:tc>
          <w:tcPr>
            <w:tcW w:w="136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1.3</w:t>
            </w:r>
          </w:p>
        </w:tc>
      </w:tr>
      <w:tr>
        <w:trPr>
          <w:trHeight w:val="195"/>
        </w:trPr>
        <w:tc>
          <w:tcPr>
            <w:tcW w:w="4200" w:type="dxa"/>
            <w:vAlign w:val="bottom"/>
            <w:gridSpan w:val="2"/>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1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520" w:type="dxa"/>
            <w:vAlign w:val="bottom"/>
            <w:tcBorders>
              <w:right w:val="single" w:sz="8" w:color="auto"/>
            </w:tcBorders>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5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580" w:type="dxa"/>
            <w:vAlign w:val="bottom"/>
            <w:shd w:val="clear" w:color="auto" w:fill="E5E5E5"/>
          </w:tcPr>
          <w:p>
            <w:pPr>
              <w:spacing w:after="0"/>
              <w:rPr>
                <w:sz w:val="16"/>
                <w:szCs w:val="16"/>
                <w:color w:val="auto"/>
              </w:rPr>
            </w:pPr>
          </w:p>
        </w:tc>
        <w:tc>
          <w:tcPr>
            <w:tcW w:w="12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r>
      <w:tr>
        <w:trPr>
          <w:trHeight w:val="237"/>
        </w:trPr>
        <w:tc>
          <w:tcPr>
            <w:tcW w:w="4200" w:type="dxa"/>
            <w:vAlign w:val="bottom"/>
            <w:tcBorders>
              <w:bottom w:val="single" w:sz="8" w:color="auto"/>
            </w:tcBorders>
            <w:gridSpan w:val="2"/>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E5E5E5"/>
          </w:tcPr>
          <w:p>
            <w:pPr>
              <w:jc w:val="right"/>
              <w:ind w:right="60"/>
              <w:spacing w:after="0"/>
              <w:rPr>
                <w:sz w:val="20"/>
                <w:szCs w:val="20"/>
                <w:color w:val="auto"/>
              </w:rPr>
            </w:pPr>
            <w:r>
              <w:rPr>
                <w:rFonts w:ascii="Arial" w:cs="Arial" w:eastAsia="Arial" w:hAnsi="Arial"/>
                <w:sz w:val="18"/>
                <w:szCs w:val="18"/>
                <w:b w:val="1"/>
                <w:bCs w:val="1"/>
                <w:color w:val="auto"/>
              </w:rPr>
              <w:t>392</w:t>
            </w:r>
          </w:p>
        </w:tc>
        <w:tc>
          <w:tcPr>
            <w:tcW w:w="580" w:type="dxa"/>
            <w:vAlign w:val="bottom"/>
            <w:tcBorders>
              <w:bottom w:val="single" w:sz="8" w:color="auto"/>
            </w:tcBorders>
            <w:shd w:val="clear" w:color="auto" w:fill="E5E5E5"/>
          </w:tcPr>
          <w:p>
            <w:pPr>
              <w:jc w:val="right"/>
              <w:ind w:right="264"/>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72"/>
              <w:spacing w:after="0"/>
              <w:rPr>
                <w:sz w:val="20"/>
                <w:szCs w:val="20"/>
                <w:color w:val="auto"/>
              </w:rPr>
            </w:pPr>
            <w:r>
              <w:rPr>
                <w:rFonts w:ascii="Arial" w:cs="Arial" w:eastAsia="Arial" w:hAnsi="Arial"/>
                <w:sz w:val="18"/>
                <w:szCs w:val="18"/>
                <w:b w:val="1"/>
                <w:bCs w:val="1"/>
                <w:color w:val="auto"/>
              </w:rPr>
              <w:t>322</w:t>
            </w:r>
          </w:p>
        </w:tc>
        <w:tc>
          <w:tcPr>
            <w:tcW w:w="520" w:type="dxa"/>
            <w:vAlign w:val="bottom"/>
            <w:tcBorders>
              <w:bottom w:val="single" w:sz="8" w:color="auto"/>
              <w:right w:val="single" w:sz="8" w:color="auto"/>
            </w:tcBorders>
            <w:shd w:val="clear" w:color="auto" w:fill="E5E5E5"/>
          </w:tcPr>
          <w:p>
            <w:pPr>
              <w:spacing w:after="0"/>
              <w:rPr>
                <w:sz w:val="20"/>
                <w:szCs w:val="20"/>
                <w:color w:val="auto"/>
              </w:rPr>
            </w:pPr>
          </w:p>
        </w:tc>
        <w:tc>
          <w:tcPr>
            <w:tcW w:w="98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gridSpan w:val="2"/>
            <w:shd w:val="clear" w:color="auto" w:fill="E5E5E5"/>
          </w:tcPr>
          <w:p>
            <w:pPr>
              <w:jc w:val="right"/>
              <w:ind w:right="92"/>
              <w:spacing w:after="0"/>
              <w:rPr>
                <w:sz w:val="20"/>
                <w:szCs w:val="20"/>
                <w:color w:val="auto"/>
              </w:rPr>
            </w:pPr>
            <w:r>
              <w:rPr>
                <w:rFonts w:ascii="Arial" w:cs="Arial" w:eastAsia="Arial" w:hAnsi="Arial"/>
                <w:sz w:val="18"/>
                <w:szCs w:val="18"/>
                <w:b w:val="1"/>
                <w:bCs w:val="1"/>
                <w:color w:val="auto"/>
              </w:rPr>
              <w:t>37</w:t>
            </w:r>
          </w:p>
        </w:tc>
        <w:tc>
          <w:tcPr>
            <w:tcW w:w="4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359</w:t>
            </w:r>
          </w:p>
        </w:tc>
        <w:tc>
          <w:tcPr>
            <w:tcW w:w="1360" w:type="dxa"/>
            <w:vAlign w:val="bottom"/>
            <w:tcBorders>
              <w:bottom w:val="single" w:sz="8" w:color="auto"/>
            </w:tcBorders>
            <w:gridSpan w:val="2"/>
            <w:shd w:val="clear" w:color="auto" w:fill="E5E5E5"/>
          </w:tcPr>
          <w:p>
            <w:pPr>
              <w:ind w:left="920"/>
              <w:spacing w:after="0"/>
              <w:rPr>
                <w:sz w:val="20"/>
                <w:szCs w:val="20"/>
                <w:color w:val="auto"/>
              </w:rPr>
            </w:pPr>
            <w:r>
              <w:rPr>
                <w:rFonts w:ascii="Arial" w:cs="Arial" w:eastAsia="Arial" w:hAnsi="Arial"/>
                <w:sz w:val="18"/>
                <w:szCs w:val="18"/>
                <w:b w:val="1"/>
                <w:bCs w:val="1"/>
                <w:color w:val="auto"/>
              </w:rPr>
              <w:t>9.0%</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Revenue</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revenue increased for the three and six months ended June 30, 2012 compared to the same periods in 2011 primarily due to increases in per capita spending and higher guest attendance at our Universal theme parks.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 — Operating Costs and Expenses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Theme Parks segment operating costs and expenses increased for the three and six months ended June 30, 2012 compared to the same periods in 2011 primarily due to additional costs associated with higher guest attendance at our Universal theme parks.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Headquarters, Other and Eliminations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Headquarters and other operating costs and expenses increased for the three months ended June 30, 2012 compared to the same period in 2011 primarily due to increases in personnel and administrative costs.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and other operating costs and expenses decreased for the six months ended June 30, 2012 compared to the same period in 2011 primarily due to $104 million of transaction-related costs associated with the Joint Venture transaction, including severance and other compensation-related costs, included in the prior year period.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three and six months ended June 30, 2011. Our Theme Parks segment had included the results of operations of Universal Orlando for these periods because these amounts had reflected our segment performance measure. These amounts were not included when we measured our consolidated results of operations for the three and six months ended June 30, 2011 because we recorded Universal Orlando as an equity method investment.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80"/>
              <w:spacing w:after="0"/>
              <w:rPr>
                <w:sz w:val="20"/>
                <w:szCs w:val="20"/>
                <w:color w:val="auto"/>
              </w:rPr>
            </w:pPr>
            <w:r>
              <w:rPr>
                <w:rFonts w:ascii="Arial" w:cs="Arial" w:eastAsia="Arial" w:hAnsi="Arial"/>
                <w:sz w:val="14"/>
                <w:szCs w:val="14"/>
                <w:color w:val="auto"/>
                <w:w w:val="82"/>
              </w:rPr>
              <w:t>Successor</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jc w:val="center"/>
              <w:ind w:left="100"/>
              <w:spacing w:after="0" w:line="131" w:lineRule="exact"/>
              <w:rPr>
                <w:sz w:val="20"/>
                <w:szCs w:val="20"/>
                <w:color w:val="auto"/>
              </w:rPr>
            </w:pPr>
            <w:r>
              <w:rPr>
                <w:rFonts w:ascii="Arial" w:cs="Arial" w:eastAsia="Arial" w:hAnsi="Arial"/>
                <w:sz w:val="14"/>
                <w:szCs w:val="14"/>
                <w:color w:val="auto"/>
                <w:w w:val="87"/>
              </w:rPr>
              <w:t>Three Months</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0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center"/>
              <w:ind w:right="112"/>
              <w:spacing w:after="0" w:line="159" w:lineRule="exact"/>
              <w:rPr>
                <w:sz w:val="20"/>
                <w:szCs w:val="20"/>
                <w:color w:val="auto"/>
              </w:rPr>
            </w:pPr>
            <w:r>
              <w:rPr>
                <w:rFonts w:ascii="Arial" w:cs="Arial" w:eastAsia="Arial" w:hAnsi="Arial"/>
                <w:sz w:val="14"/>
                <w:szCs w:val="14"/>
                <w:color w:val="auto"/>
                <w:w w:val="84"/>
              </w:rPr>
              <w:t>Ended June 30</w:t>
            </w:r>
          </w:p>
        </w:tc>
        <w:tc>
          <w:tcPr>
            <w:tcW w:w="0" w:type="dxa"/>
            <w:vAlign w:val="bottom"/>
          </w:tcPr>
          <w:p>
            <w:pPr>
              <w:spacing w:after="0"/>
              <w:rPr>
                <w:sz w:val="1"/>
                <w:szCs w:val="1"/>
                <w:color w:val="auto"/>
              </w:rPr>
            </w:pPr>
          </w:p>
        </w:tc>
      </w:tr>
      <w:tr>
        <w:trPr>
          <w:trHeight w:val="142"/>
        </w:trPr>
        <w:tc>
          <w:tcPr>
            <w:tcW w:w="430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rPr>
              <w:t>2012</w:t>
            </w:r>
          </w:p>
        </w:tc>
        <w:tc>
          <w:tcPr>
            <w:tcW w:w="900" w:type="dxa"/>
            <w:vAlign w:val="bottom"/>
            <w:tcBorders>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20" w:type="dxa"/>
            <w:vAlign w:val="bottom"/>
            <w:tcBorders>
              <w:right w:val="single" w:sz="8" w:color="E5E5E5"/>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59</w:t>
            </w:r>
          </w:p>
        </w:tc>
        <w:tc>
          <w:tcPr>
            <w:tcW w:w="900" w:type="dxa"/>
            <w:vAlign w:val="bottom"/>
            <w:gridSpan w:val="2"/>
            <w:shd w:val="clear" w:color="auto" w:fill="E5E5E5"/>
          </w:tcPr>
          <w:p>
            <w:pPr>
              <w:jc w:val="right"/>
              <w:ind w:right="1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(116)</w:t>
            </w:r>
          </w:p>
        </w:tc>
        <w:tc>
          <w:tcPr>
            <w:tcW w:w="5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(97)</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620" w:type="dxa"/>
            <w:vAlign w:val="bottom"/>
            <w:tcBorders>
              <w:right w:val="single" w:sz="8" w:color="E5E5E5"/>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42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right w:val="single" w:sz="8" w:color="E5E5E5"/>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(71)</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84"/>
        </w:trPr>
        <w:tc>
          <w:tcPr>
            <w:tcW w:w="43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Successor</w:t>
            </w:r>
          </w:p>
        </w:tc>
        <w:tc>
          <w:tcPr>
            <w:tcW w:w="68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192"/>
              <w:spacing w:after="0"/>
              <w:rPr>
                <w:sz w:val="20"/>
                <w:szCs w:val="20"/>
                <w:color w:val="auto"/>
              </w:rPr>
            </w:pPr>
            <w:r>
              <w:rPr>
                <w:rFonts w:ascii="Arial" w:cs="Arial" w:eastAsia="Arial" w:hAnsi="Arial"/>
                <w:sz w:val="14"/>
                <w:szCs w:val="14"/>
                <w:color w:val="auto"/>
                <w:w w:val="81"/>
              </w:rPr>
              <w:t>Predecessor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7"/>
              </w:rPr>
              <w:t>Combined</w:t>
            </w:r>
          </w:p>
        </w:tc>
        <w:tc>
          <w:tcPr>
            <w:tcW w:w="0" w:type="dxa"/>
            <w:vAlign w:val="bottom"/>
          </w:tcPr>
          <w:p>
            <w:pPr>
              <w:spacing w:after="0"/>
              <w:rPr>
                <w:sz w:val="1"/>
                <w:szCs w:val="1"/>
                <w:color w:val="auto"/>
              </w:rPr>
            </w:pPr>
          </w:p>
        </w:tc>
      </w:tr>
      <w:tr>
        <w:trPr>
          <w:trHeight w:val="131"/>
        </w:trPr>
        <w:tc>
          <w:tcPr>
            <w:tcW w:w="4300" w:type="dxa"/>
            <w:vAlign w:val="bottom"/>
          </w:tcPr>
          <w:p>
            <w:pPr>
              <w:spacing w:after="0"/>
              <w:rPr>
                <w:sz w:val="11"/>
                <w:szCs w:val="11"/>
                <w:color w:val="auto"/>
              </w:rPr>
            </w:pPr>
          </w:p>
        </w:tc>
        <w:tc>
          <w:tcPr>
            <w:tcW w:w="1340" w:type="dxa"/>
            <w:vAlign w:val="bottom"/>
            <w:gridSpan w:val="2"/>
          </w:tcPr>
          <w:p>
            <w:pPr>
              <w:jc w:val="right"/>
              <w:ind w:right="56"/>
              <w:spacing w:after="0" w:line="131" w:lineRule="exact"/>
              <w:rPr>
                <w:sz w:val="20"/>
                <w:szCs w:val="20"/>
                <w:color w:val="auto"/>
              </w:rPr>
            </w:pPr>
            <w:r>
              <w:rPr>
                <w:rFonts w:ascii="Arial" w:cs="Arial" w:eastAsia="Arial" w:hAnsi="Arial"/>
                <w:sz w:val="14"/>
                <w:szCs w:val="14"/>
                <w:color w:val="auto"/>
              </w:rPr>
              <w:t>Six Months</w:t>
            </w:r>
          </w:p>
        </w:tc>
        <w:tc>
          <w:tcPr>
            <w:tcW w:w="156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620" w:type="dxa"/>
            <w:vAlign w:val="bottom"/>
            <w:tcBorders>
              <w:right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jc w:val="center"/>
              <w:ind w:right="212"/>
              <w:spacing w:after="0" w:line="131" w:lineRule="exact"/>
              <w:rPr>
                <w:sz w:val="20"/>
                <w:szCs w:val="20"/>
                <w:color w:val="auto"/>
              </w:rPr>
            </w:pPr>
            <w:r>
              <w:rPr>
                <w:rFonts w:ascii="Arial" w:cs="Arial" w:eastAsia="Arial" w:hAnsi="Arial"/>
                <w:sz w:val="14"/>
                <w:szCs w:val="14"/>
                <w:color w:val="auto"/>
                <w:w w:val="87"/>
              </w:rPr>
              <w:t>For the Period</w:t>
            </w:r>
          </w:p>
        </w:tc>
        <w:tc>
          <w:tcPr>
            <w:tcW w:w="42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9"/>
              </w:rPr>
              <w:t>Six Months</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jc w:val="right"/>
              <w:ind w:right="196"/>
              <w:spacing w:after="0" w:line="149" w:lineRule="exact"/>
              <w:rPr>
                <w:sz w:val="20"/>
                <w:szCs w:val="20"/>
                <w:color w:val="auto"/>
              </w:rPr>
            </w:pPr>
            <w:r>
              <w:rPr>
                <w:rFonts w:ascii="Arial" w:cs="Arial" w:eastAsia="Arial" w:hAnsi="Arial"/>
                <w:sz w:val="14"/>
                <w:szCs w:val="14"/>
                <w:color w:val="auto"/>
                <w:w w:val="98"/>
              </w:rPr>
              <w:t>Ended</w:t>
            </w:r>
          </w:p>
        </w:tc>
        <w:tc>
          <w:tcPr>
            <w:tcW w:w="2180" w:type="dxa"/>
            <w:vAlign w:val="bottom"/>
            <w:tcBorders>
              <w:right w:val="single" w:sz="8" w:color="auto"/>
            </w:tcBorders>
            <w:gridSpan w:val="3"/>
          </w:tcPr>
          <w:p>
            <w:pPr>
              <w:ind w:left="540"/>
              <w:spacing w:after="0" w:line="149" w:lineRule="exact"/>
              <w:rPr>
                <w:sz w:val="20"/>
                <w:szCs w:val="20"/>
                <w:color w:val="auto"/>
              </w:rPr>
            </w:pPr>
            <w:r>
              <w:rPr>
                <w:rFonts w:ascii="Arial" w:cs="Arial" w:eastAsia="Arial" w:hAnsi="Arial"/>
                <w:sz w:val="14"/>
                <w:szCs w:val="14"/>
                <w:color w:val="auto"/>
              </w:rPr>
              <w:t>January 29, 2011</w:t>
            </w:r>
          </w:p>
        </w:tc>
        <w:tc>
          <w:tcPr>
            <w:tcW w:w="600" w:type="dxa"/>
            <w:vAlign w:val="bottom"/>
          </w:tcPr>
          <w:p>
            <w:pPr>
              <w:spacing w:after="0"/>
              <w:rPr>
                <w:sz w:val="12"/>
                <w:szCs w:val="12"/>
                <w:color w:val="auto"/>
              </w:rPr>
            </w:pPr>
          </w:p>
        </w:tc>
        <w:tc>
          <w:tcPr>
            <w:tcW w:w="1680" w:type="dxa"/>
            <w:vAlign w:val="bottom"/>
            <w:gridSpan w:val="3"/>
          </w:tcPr>
          <w:p>
            <w:pPr>
              <w:jc w:val="center"/>
              <w:ind w:left="292"/>
              <w:spacing w:after="0" w:line="149" w:lineRule="exact"/>
              <w:rPr>
                <w:sz w:val="20"/>
                <w:szCs w:val="20"/>
                <w:color w:val="auto"/>
              </w:rPr>
            </w:pPr>
            <w:r>
              <w:rPr>
                <w:rFonts w:ascii="Arial" w:cs="Arial" w:eastAsia="Arial" w:hAnsi="Arial"/>
                <w:sz w:val="14"/>
                <w:szCs w:val="14"/>
                <w:color w:val="auto"/>
                <w:w w:val="86"/>
              </w:rPr>
              <w:t>January 1, 2011 to</w:t>
            </w:r>
          </w:p>
        </w:tc>
        <w:tc>
          <w:tcPr>
            <w:tcW w:w="4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Ended</w:t>
            </w:r>
          </w:p>
        </w:tc>
        <w:tc>
          <w:tcPr>
            <w:tcW w:w="0" w:type="dxa"/>
            <w:vAlign w:val="bottom"/>
          </w:tcPr>
          <w:p>
            <w:pPr>
              <w:spacing w:after="0"/>
              <w:rPr>
                <w:sz w:val="1"/>
                <w:szCs w:val="1"/>
                <w:color w:val="auto"/>
              </w:rPr>
            </w:pPr>
          </w:p>
        </w:tc>
      </w:tr>
      <w:tr>
        <w:trPr>
          <w:trHeight w:val="159"/>
        </w:trPr>
        <w:tc>
          <w:tcPr>
            <w:tcW w:w="43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ind w:left="500"/>
              <w:spacing w:after="0" w:line="159" w:lineRule="exact"/>
              <w:rPr>
                <w:sz w:val="20"/>
                <w:szCs w:val="20"/>
                <w:color w:val="auto"/>
              </w:rPr>
            </w:pPr>
            <w:r>
              <w:rPr>
                <w:rFonts w:ascii="Arial" w:cs="Arial" w:eastAsia="Arial" w:hAnsi="Arial"/>
                <w:sz w:val="14"/>
                <w:szCs w:val="14"/>
                <w:color w:val="auto"/>
                <w:w w:val="92"/>
              </w:rPr>
              <w:t>June 30, 2012</w:t>
            </w:r>
          </w:p>
        </w:tc>
        <w:tc>
          <w:tcPr>
            <w:tcW w:w="2180" w:type="dxa"/>
            <w:vAlign w:val="bottom"/>
            <w:tcBorders>
              <w:bottom w:val="single" w:sz="8" w:color="auto"/>
              <w:right w:val="single" w:sz="8" w:color="auto"/>
            </w:tcBorders>
            <w:gridSpan w:val="3"/>
          </w:tcPr>
          <w:p>
            <w:pPr>
              <w:ind w:left="540"/>
              <w:spacing w:after="0" w:line="159" w:lineRule="exact"/>
              <w:rPr>
                <w:sz w:val="20"/>
                <w:szCs w:val="20"/>
                <w:color w:val="auto"/>
              </w:rPr>
            </w:pPr>
            <w:r>
              <w:rPr>
                <w:rFonts w:ascii="Arial" w:cs="Arial" w:eastAsia="Arial" w:hAnsi="Arial"/>
                <w:sz w:val="14"/>
                <w:szCs w:val="14"/>
                <w:color w:val="auto"/>
              </w:rPr>
              <w:t>to June 30, 2011</w:t>
            </w:r>
          </w:p>
        </w:tc>
        <w:tc>
          <w:tcPr>
            <w:tcW w:w="6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left="292"/>
              <w:spacing w:after="0" w:line="159" w:lineRule="exact"/>
              <w:rPr>
                <w:sz w:val="20"/>
                <w:szCs w:val="20"/>
                <w:color w:val="auto"/>
              </w:rPr>
            </w:pPr>
            <w:r>
              <w:rPr>
                <w:rFonts w:ascii="Arial" w:cs="Arial" w:eastAsia="Arial" w:hAnsi="Arial"/>
                <w:sz w:val="14"/>
                <w:szCs w:val="14"/>
                <w:color w:val="auto"/>
                <w:w w:val="85"/>
              </w:rPr>
              <w:t>January 28, 2011</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June 30, 2011</w:t>
            </w:r>
          </w:p>
        </w:tc>
        <w:tc>
          <w:tcPr>
            <w:tcW w:w="0" w:type="dxa"/>
            <w:vAlign w:val="bottom"/>
          </w:tcPr>
          <w:p>
            <w:pPr>
              <w:spacing w:after="0"/>
              <w:rPr>
                <w:sz w:val="1"/>
                <w:szCs w:val="1"/>
                <w:color w:val="auto"/>
              </w:rPr>
            </w:pPr>
          </w:p>
        </w:tc>
      </w:tr>
      <w:tr>
        <w:trPr>
          <w:trHeight w:val="210"/>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of investees, net</w:t>
            </w:r>
          </w:p>
        </w:tc>
        <w:tc>
          <w:tcPr>
            <w:tcW w:w="64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147</w:t>
            </w:r>
          </w:p>
        </w:tc>
        <w:tc>
          <w:tcPr>
            <w:tcW w:w="620" w:type="dxa"/>
            <w:vAlign w:val="bottom"/>
            <w:tcBorders>
              <w:right w:val="single" w:sz="8" w:color="auto"/>
            </w:tcBorders>
            <w:shd w:val="clear" w:color="auto" w:fill="E5E5E5"/>
          </w:tcPr>
          <w:p>
            <w:pPr>
              <w:spacing w:after="0"/>
              <w:rPr>
                <w:sz w:val="18"/>
                <w:szCs w:val="18"/>
                <w:color w:val="auto"/>
              </w:rPr>
            </w:pPr>
          </w:p>
        </w:tc>
        <w:tc>
          <w:tcPr>
            <w:tcW w:w="122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25</w:t>
            </w: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322"/>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86"/>
              </w:rPr>
              <w:t>172</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w:t>
            </w:r>
          </w:p>
        </w:tc>
        <w:tc>
          <w:tcPr>
            <w:tcW w:w="8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620" w:type="dxa"/>
            <w:vAlign w:val="bottom"/>
            <w:tcBorders>
              <w:righ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gridSpan w:val="2"/>
          </w:tcPr>
          <w:p>
            <w:pPr>
              <w:jc w:val="right"/>
              <w:ind w:right="32"/>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300" w:type="dxa"/>
            <w:vAlign w:val="bottom"/>
            <w:shd w:val="clear" w:color="auto" w:fill="E5E5E5"/>
          </w:tcPr>
          <w:p>
            <w:pPr>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w:t>
            </w:r>
          </w:p>
        </w:tc>
        <w:tc>
          <w:tcPr>
            <w:tcW w:w="88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w:t>
            </w:r>
          </w:p>
        </w:tc>
        <w:tc>
          <w:tcPr>
            <w:tcW w:w="620" w:type="dxa"/>
            <w:vAlign w:val="bottom"/>
            <w:tcBorders>
              <w:right w:val="single" w:sz="8" w:color="auto"/>
            </w:tcBorders>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1060" w:type="dxa"/>
            <w:vAlign w:val="bottom"/>
            <w:gridSpan w:val="2"/>
            <w:shd w:val="clear" w:color="auto" w:fill="E5E5E5"/>
          </w:tcPr>
          <w:p>
            <w:pPr>
              <w:jc w:val="right"/>
              <w:ind w:right="92"/>
              <w:spacing w:after="0"/>
              <w:rPr>
                <w:sz w:val="20"/>
                <w:szCs w:val="20"/>
                <w:color w:val="auto"/>
              </w:rPr>
            </w:pPr>
            <w:r>
              <w:rPr>
                <w:rFonts w:ascii="Arial" w:cs="Arial" w:eastAsia="Arial" w:hAnsi="Arial"/>
                <w:sz w:val="18"/>
                <w:szCs w:val="18"/>
                <w:color w:val="auto"/>
              </w:rPr>
              <w:t>4</w:t>
            </w: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3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2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color w:val="auto"/>
              </w:rPr>
              <w:t>(29)</w:t>
            </w: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7"/>
        </w:trPr>
        <w:tc>
          <w:tcPr>
            <w:tcW w:w="43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shd w:val="clear" w:color="auto" w:fill="E5E5E5"/>
          </w:tcPr>
          <w:p>
            <w:pPr>
              <w:ind w:left="5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(115)</w:t>
            </w:r>
          </w:p>
        </w:tc>
        <w:tc>
          <w:tcPr>
            <w:tcW w:w="880" w:type="dxa"/>
            <w:vAlign w:val="bottom"/>
            <w:tcBorders>
              <w:bottom w:val="single" w:sz="8" w:color="auto"/>
            </w:tcBorders>
            <w:shd w:val="clear" w:color="auto" w:fill="E5E5E5"/>
          </w:tcPr>
          <w:p>
            <w:pPr>
              <w:ind w:left="5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(53)</w:t>
            </w:r>
          </w:p>
        </w:tc>
        <w:tc>
          <w:tcPr>
            <w:tcW w:w="620" w:type="dxa"/>
            <w:vAlign w:val="bottom"/>
            <w:tcBorders>
              <w:bottom w:val="single" w:sz="8" w:color="auto"/>
              <w:right w:val="single" w:sz="8" w:color="auto"/>
            </w:tcBorders>
            <w:shd w:val="clear" w:color="auto" w:fill="E5E5E5"/>
          </w:tcPr>
          <w:p>
            <w:pPr>
              <w:spacing w:after="0"/>
              <w:rPr>
                <w:sz w:val="18"/>
                <w:szCs w:val="18"/>
                <w:color w:val="auto"/>
              </w:rPr>
            </w:pPr>
          </w:p>
        </w:tc>
        <w:tc>
          <w:tcPr>
            <w:tcW w:w="1220" w:type="dxa"/>
            <w:vAlign w:val="bottom"/>
            <w:tcBorders>
              <w:bottom w:val="single" w:sz="8" w:color="auto"/>
            </w:tcBorders>
            <w:gridSpan w:val="2"/>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gridSpan w:val="2"/>
            <w:shd w:val="clear" w:color="auto" w:fill="E5E5E5"/>
          </w:tcPr>
          <w:p>
            <w:pPr>
              <w:jc w:val="right"/>
              <w:ind w:right="32"/>
              <w:spacing w:after="0"/>
              <w:rPr>
                <w:sz w:val="20"/>
                <w:szCs w:val="20"/>
                <w:color w:val="auto"/>
              </w:rPr>
            </w:pPr>
            <w:r>
              <w:rPr>
                <w:rFonts w:ascii="Arial" w:cs="Arial" w:eastAsia="Arial" w:hAnsi="Arial"/>
                <w:sz w:val="18"/>
                <w:szCs w:val="18"/>
                <w:b w:val="1"/>
                <w:bCs w:val="1"/>
                <w:color w:val="auto"/>
              </w:rPr>
              <w:t>(37)</w:t>
            </w: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32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9"/>
              </w:rPr>
              <w:t>(90)</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Investees, Net</w:t>
      </w:r>
    </w:p>
    <w:p>
      <w:pPr>
        <w:spacing w:after="0" w:line="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decreases in equity in net income of investees, net for the three and six months ended June 30, 2012 compared to the same periods in 2011 were primarily due to the impact of the consolidation of Universal Orlando, which was accounted for as an equity method investment in the same periods in 2011.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expense increased for the three and six months ended June 30, 2012 compared to the same periods in 2011 primarily due to the impact of consolidating Universal Orlando’s debt following the close of the Universal Orlando transaction.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debt repayment obligations and distributions to NBCUniversal Holdings, through our cash flows from operating activities, existing cash, cash equivalents and investments, available borrowings under our existing credit facilities, and our ability to obtain future external financing.</w:t>
      </w:r>
    </w:p>
    <w:p>
      <w:pPr>
        <w:spacing w:after="0" w:line="10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maintain significant availability under our lines of credit and our commercial paper program to meet our short-term liquidity requirements. As of June 30, 2012, $1.4 billion was available under our revolving credit facility.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Successor</w:t>
            </w:r>
          </w:p>
        </w:tc>
        <w:tc>
          <w:tcPr>
            <w:tcW w:w="7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17"/>
              <w:spacing w:after="0"/>
              <w:rPr>
                <w:sz w:val="20"/>
                <w:szCs w:val="20"/>
                <w:color w:val="auto"/>
              </w:rPr>
            </w:pPr>
            <w:r>
              <w:rPr>
                <w:rFonts w:ascii="Arial" w:cs="Arial" w:eastAsia="Arial" w:hAnsi="Arial"/>
                <w:sz w:val="14"/>
                <w:szCs w:val="14"/>
                <w:color w:val="auto"/>
                <w:w w:val="81"/>
              </w:rPr>
              <w:t>Predecessor</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w w:val="87"/>
              </w:rPr>
              <w:t>Combined</w:t>
            </w:r>
          </w:p>
        </w:tc>
      </w:tr>
      <w:tr>
        <w:trPr>
          <w:trHeight w:val="131"/>
        </w:trPr>
        <w:tc>
          <w:tcPr>
            <w:tcW w:w="4580" w:type="dxa"/>
            <w:vAlign w:val="bottom"/>
          </w:tcPr>
          <w:p>
            <w:pPr>
              <w:spacing w:after="0"/>
              <w:rPr>
                <w:sz w:val="11"/>
                <w:szCs w:val="11"/>
                <w:color w:val="auto"/>
              </w:rPr>
            </w:pPr>
          </w:p>
        </w:tc>
        <w:tc>
          <w:tcPr>
            <w:tcW w:w="1340" w:type="dxa"/>
            <w:vAlign w:val="bottom"/>
            <w:gridSpan w:val="2"/>
          </w:tcPr>
          <w:p>
            <w:pPr>
              <w:jc w:val="right"/>
              <w:ind w:right="54"/>
              <w:spacing w:after="0" w:line="131" w:lineRule="exact"/>
              <w:rPr>
                <w:sz w:val="20"/>
                <w:szCs w:val="20"/>
                <w:color w:val="auto"/>
              </w:rPr>
            </w:pPr>
            <w:r>
              <w:rPr>
                <w:rFonts w:ascii="Arial" w:cs="Arial" w:eastAsia="Arial" w:hAnsi="Arial"/>
                <w:sz w:val="14"/>
                <w:szCs w:val="14"/>
                <w:color w:val="auto"/>
              </w:rPr>
              <w:t>Six Months</w:t>
            </w:r>
          </w:p>
        </w:tc>
        <w:tc>
          <w:tcPr>
            <w:tcW w:w="1500" w:type="dxa"/>
            <w:vAlign w:val="bottom"/>
            <w:gridSpan w:val="2"/>
          </w:tcPr>
          <w:p>
            <w:pPr>
              <w:jc w:val="right"/>
              <w:ind w:right="92"/>
              <w:spacing w:after="0" w:line="131" w:lineRule="exact"/>
              <w:rPr>
                <w:sz w:val="20"/>
                <w:szCs w:val="20"/>
                <w:color w:val="auto"/>
              </w:rPr>
            </w:pPr>
            <w:r>
              <w:rPr>
                <w:rFonts w:ascii="Arial" w:cs="Arial" w:eastAsia="Arial" w:hAnsi="Arial"/>
                <w:sz w:val="14"/>
                <w:szCs w:val="14"/>
                <w:color w:val="auto"/>
              </w:rPr>
              <w:t>For the Period</w:t>
            </w:r>
          </w:p>
        </w:tc>
        <w:tc>
          <w:tcPr>
            <w:tcW w:w="560" w:type="dxa"/>
            <w:vAlign w:val="bottom"/>
            <w:tcBorders>
              <w:righ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tcPr>
          <w:p>
            <w:pPr>
              <w:jc w:val="center"/>
              <w:ind w:right="317"/>
              <w:spacing w:after="0" w:line="131" w:lineRule="exact"/>
              <w:rPr>
                <w:sz w:val="20"/>
                <w:szCs w:val="20"/>
                <w:color w:val="auto"/>
              </w:rPr>
            </w:pPr>
            <w:r>
              <w:rPr>
                <w:rFonts w:ascii="Arial" w:cs="Arial" w:eastAsia="Arial" w:hAnsi="Arial"/>
                <w:sz w:val="14"/>
                <w:szCs w:val="14"/>
                <w:color w:val="auto"/>
                <w:w w:val="85"/>
              </w:rPr>
              <w:t>For the Period</w:t>
            </w:r>
          </w:p>
        </w:tc>
        <w:tc>
          <w:tcPr>
            <w:tcW w:w="1100" w:type="dxa"/>
            <w:vAlign w:val="bottom"/>
            <w:gridSpan w:val="2"/>
          </w:tcPr>
          <w:p>
            <w:pPr>
              <w:jc w:val="center"/>
              <w:ind w:left="42"/>
              <w:spacing w:after="0" w:line="131" w:lineRule="exact"/>
              <w:rPr>
                <w:sz w:val="20"/>
                <w:szCs w:val="20"/>
                <w:color w:val="auto"/>
              </w:rPr>
            </w:pPr>
            <w:r>
              <w:rPr>
                <w:rFonts w:ascii="Arial" w:cs="Arial" w:eastAsia="Arial" w:hAnsi="Arial"/>
                <w:sz w:val="14"/>
                <w:szCs w:val="14"/>
                <w:color w:val="auto"/>
                <w:w w:val="89"/>
              </w:rPr>
              <w:t>Six Months</w:t>
            </w:r>
          </w:p>
        </w:tc>
      </w:tr>
      <w:tr>
        <w:trPr>
          <w:trHeight w:val="149"/>
        </w:trPr>
        <w:tc>
          <w:tcPr>
            <w:tcW w:w="4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jc w:val="right"/>
              <w:ind w:right="194"/>
              <w:spacing w:after="0" w:line="149" w:lineRule="exact"/>
              <w:rPr>
                <w:sz w:val="20"/>
                <w:szCs w:val="20"/>
                <w:color w:val="auto"/>
              </w:rPr>
            </w:pPr>
            <w:r>
              <w:rPr>
                <w:rFonts w:ascii="Arial" w:cs="Arial" w:eastAsia="Arial" w:hAnsi="Arial"/>
                <w:sz w:val="14"/>
                <w:szCs w:val="14"/>
                <w:color w:val="auto"/>
                <w:w w:val="93"/>
              </w:rPr>
              <w:t>Ended</w:t>
            </w:r>
          </w:p>
        </w:tc>
        <w:tc>
          <w:tcPr>
            <w:tcW w:w="2060" w:type="dxa"/>
            <w:vAlign w:val="bottom"/>
            <w:tcBorders>
              <w:right w:val="single" w:sz="8" w:color="auto"/>
            </w:tcBorders>
            <w:gridSpan w:val="3"/>
          </w:tcPr>
          <w:p>
            <w:pPr>
              <w:ind w:left="460"/>
              <w:spacing w:after="0" w:line="149" w:lineRule="exact"/>
              <w:rPr>
                <w:sz w:val="20"/>
                <w:szCs w:val="20"/>
                <w:color w:val="auto"/>
              </w:rPr>
            </w:pPr>
            <w:r>
              <w:rPr>
                <w:rFonts w:ascii="Arial" w:cs="Arial" w:eastAsia="Arial" w:hAnsi="Arial"/>
                <w:sz w:val="14"/>
                <w:szCs w:val="14"/>
                <w:color w:val="auto"/>
              </w:rPr>
              <w:t>January 29, 2011</w:t>
            </w: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80" w:type="dxa"/>
            <w:vAlign w:val="bottom"/>
          </w:tcPr>
          <w:p>
            <w:pPr>
              <w:jc w:val="center"/>
              <w:ind w:right="317"/>
              <w:spacing w:after="0" w:line="149" w:lineRule="exact"/>
              <w:rPr>
                <w:sz w:val="20"/>
                <w:szCs w:val="20"/>
                <w:color w:val="auto"/>
              </w:rPr>
            </w:pPr>
            <w:r>
              <w:rPr>
                <w:rFonts w:ascii="Arial" w:cs="Arial" w:eastAsia="Arial" w:hAnsi="Arial"/>
                <w:sz w:val="14"/>
                <w:szCs w:val="14"/>
                <w:color w:val="auto"/>
                <w:w w:val="83"/>
              </w:rPr>
              <w:t>January 1, 2011</w:t>
            </w:r>
          </w:p>
        </w:tc>
        <w:tc>
          <w:tcPr>
            <w:tcW w:w="320" w:type="dxa"/>
            <w:vAlign w:val="bottom"/>
          </w:tcPr>
          <w:p>
            <w:pPr>
              <w:spacing w:after="0"/>
              <w:rPr>
                <w:sz w:val="12"/>
                <w:szCs w:val="12"/>
                <w:color w:val="auto"/>
              </w:rPr>
            </w:pPr>
          </w:p>
        </w:tc>
        <w:tc>
          <w:tcPr>
            <w:tcW w:w="780" w:type="dxa"/>
            <w:vAlign w:val="bottom"/>
          </w:tcPr>
          <w:p>
            <w:pPr>
              <w:jc w:val="center"/>
              <w:ind w:right="116"/>
              <w:spacing w:after="0" w:line="149" w:lineRule="exact"/>
              <w:rPr>
                <w:sz w:val="20"/>
                <w:szCs w:val="20"/>
                <w:color w:val="auto"/>
              </w:rPr>
            </w:pPr>
            <w:r>
              <w:rPr>
                <w:rFonts w:ascii="Arial" w:cs="Arial" w:eastAsia="Arial" w:hAnsi="Arial"/>
                <w:sz w:val="14"/>
                <w:szCs w:val="14"/>
                <w:color w:val="auto"/>
                <w:w w:val="83"/>
              </w:rPr>
              <w:t>Ended</w:t>
            </w:r>
          </w:p>
        </w:tc>
      </w:tr>
      <w:tr>
        <w:trPr>
          <w:trHeight w:val="173"/>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13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color w:val="auto"/>
                <w:w w:val="92"/>
              </w:rPr>
              <w:t>June 30, 2012</w:t>
            </w:r>
          </w:p>
        </w:tc>
        <w:tc>
          <w:tcPr>
            <w:tcW w:w="2060" w:type="dxa"/>
            <w:vAlign w:val="bottom"/>
            <w:tcBorders>
              <w:bottom w:val="single" w:sz="8" w:color="auto"/>
              <w:right w:val="single" w:sz="8" w:color="auto"/>
            </w:tcBorders>
            <w:gridSpan w:val="3"/>
          </w:tcPr>
          <w:p>
            <w:pPr>
              <w:ind w:left="480"/>
              <w:spacing w:after="0"/>
              <w:rPr>
                <w:sz w:val="20"/>
                <w:szCs w:val="20"/>
                <w:color w:val="auto"/>
              </w:rPr>
            </w:pPr>
            <w:r>
              <w:rPr>
                <w:rFonts w:ascii="Arial" w:cs="Arial" w:eastAsia="Arial" w:hAnsi="Arial"/>
                <w:sz w:val="14"/>
                <w:szCs w:val="14"/>
                <w:color w:val="auto"/>
              </w:rPr>
              <w:t>to June 30, 2011</w:t>
            </w:r>
          </w:p>
        </w:tc>
        <w:tc>
          <w:tcPr>
            <w:tcW w:w="5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left="92"/>
              <w:spacing w:after="0"/>
              <w:rPr>
                <w:sz w:val="20"/>
                <w:szCs w:val="20"/>
                <w:color w:val="auto"/>
              </w:rPr>
            </w:pPr>
            <w:r>
              <w:rPr>
                <w:rFonts w:ascii="Arial" w:cs="Arial" w:eastAsia="Arial" w:hAnsi="Arial"/>
                <w:sz w:val="14"/>
                <w:szCs w:val="14"/>
                <w:color w:val="auto"/>
                <w:w w:val="85"/>
              </w:rPr>
              <w:t>to January 28, 2011</w:t>
            </w:r>
          </w:p>
        </w:tc>
        <w:tc>
          <w:tcPr>
            <w:tcW w:w="110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4"/>
                <w:szCs w:val="14"/>
                <w:color w:val="auto"/>
                <w:w w:val="83"/>
              </w:rPr>
              <w:t>June 30, 2011</w:t>
            </w:r>
          </w:p>
        </w:tc>
      </w:tr>
      <w:tr>
        <w:trPr>
          <w:trHeight w:val="210"/>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660" w:type="dxa"/>
            <w:vAlign w:val="bottom"/>
            <w:shd w:val="clear" w:color="auto" w:fill="E5E5E5"/>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1,163</w:t>
            </w:r>
          </w:p>
        </w:tc>
        <w:tc>
          <w:tcPr>
            <w:tcW w:w="780" w:type="dxa"/>
            <w:vAlign w:val="bottom"/>
            <w:shd w:val="clear" w:color="auto" w:fill="E5E5E5"/>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952</w:t>
            </w:r>
          </w:p>
        </w:tc>
        <w:tc>
          <w:tcPr>
            <w:tcW w:w="560" w:type="dxa"/>
            <w:vAlign w:val="bottom"/>
            <w:tcBorders>
              <w:right w:val="single" w:sz="8" w:color="auto"/>
            </w:tcBorders>
            <w:shd w:val="clear" w:color="auto" w:fill="E5E5E5"/>
          </w:tcPr>
          <w:p>
            <w:pPr>
              <w:spacing w:after="0"/>
              <w:rPr>
                <w:sz w:val="18"/>
                <w:szCs w:val="18"/>
                <w:color w:val="auto"/>
              </w:rPr>
            </w:pPr>
          </w:p>
        </w:tc>
        <w:tc>
          <w:tcPr>
            <w:tcW w:w="10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8</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960</w:t>
            </w:r>
          </w:p>
        </w:tc>
      </w:tr>
      <w:tr>
        <w:trPr>
          <w:trHeight w:val="21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7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441</w:t>
            </w:r>
          </w:p>
        </w:tc>
        <w:tc>
          <w:tcPr>
            <w:tcW w:w="56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468</w:t>
            </w:r>
          </w:p>
        </w:tc>
      </w:tr>
      <w:tr>
        <w:trPr>
          <w:trHeight w:val="210"/>
        </w:trPr>
        <w:tc>
          <w:tcPr>
            <w:tcW w:w="4580" w:type="dxa"/>
            <w:vAlign w:val="bottom"/>
            <w:shd w:val="clear" w:color="auto" w:fill="E5E5E5"/>
          </w:tcPr>
          <w:p>
            <w:pPr>
              <w:ind w:left="220"/>
              <w:spacing w:after="0"/>
              <w:rPr>
                <w:sz w:val="20"/>
                <w:szCs w:val="20"/>
                <w:color w:val="auto"/>
              </w:rPr>
            </w:pPr>
            <w:r>
              <w:rPr>
                <w:rFonts w:ascii="Arial" w:cs="Arial" w:eastAsia="Arial" w:hAnsi="Arial"/>
                <w:sz w:val="18"/>
                <w:szCs w:val="18"/>
                <w:color w:val="auto"/>
                <w:w w:val="98"/>
              </w:rPr>
              <w:t>Operating income before depreciation and amortization</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1,795</w:t>
            </w:r>
          </w:p>
        </w:tc>
        <w:tc>
          <w:tcPr>
            <w:tcW w:w="7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1,393</w:t>
            </w:r>
          </w:p>
        </w:tc>
        <w:tc>
          <w:tcPr>
            <w:tcW w:w="5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217"/>
              <w:spacing w:after="0"/>
              <w:rPr>
                <w:sz w:val="20"/>
                <w:szCs w:val="20"/>
                <w:color w:val="auto"/>
              </w:rPr>
            </w:pPr>
            <w:r>
              <w:rPr>
                <w:rFonts w:ascii="Arial" w:cs="Arial" w:eastAsia="Arial" w:hAnsi="Arial"/>
                <w:sz w:val="18"/>
                <w:szCs w:val="18"/>
                <w:color w:val="auto"/>
              </w:rPr>
              <w:t>35</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1,428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Noncash compensation</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217"/>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61</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7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(245)</w:t>
            </w:r>
          </w:p>
        </w:tc>
        <w:tc>
          <w:tcPr>
            <w:tcW w:w="560" w:type="dxa"/>
            <w:vAlign w:val="bottom"/>
            <w:tcBorders>
              <w:bottom w:val="single" w:sz="8" w:color="auto"/>
              <w:right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157"/>
              <w:spacing w:after="0"/>
              <w:rPr>
                <w:sz w:val="20"/>
                <w:szCs w:val="20"/>
                <w:color w:val="auto"/>
              </w:rPr>
            </w:pPr>
            <w:r>
              <w:rPr>
                <w:rFonts w:ascii="Arial" w:cs="Arial" w:eastAsia="Arial" w:hAnsi="Arial"/>
                <w:sz w:val="18"/>
                <w:szCs w:val="18"/>
                <w:color w:val="auto"/>
              </w:rPr>
              <w:t>(220)</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(465)</w:t>
            </w:r>
          </w:p>
        </w:tc>
      </w:tr>
      <w:tr>
        <w:trPr>
          <w:trHeight w:val="210"/>
        </w:trPr>
        <w:tc>
          <w:tcPr>
            <w:tcW w:w="4580" w:type="dxa"/>
            <w:vAlign w:val="bottom"/>
          </w:tcPr>
          <w:p>
            <w:pPr>
              <w:ind w:left="220"/>
              <w:spacing w:after="0"/>
              <w:rPr>
                <w:sz w:val="20"/>
                <w:szCs w:val="20"/>
                <w:color w:val="auto"/>
              </w:rPr>
            </w:pPr>
            <w:r>
              <w:rPr>
                <w:rFonts w:ascii="Arial" w:cs="Arial" w:eastAsia="Arial" w:hAnsi="Arial"/>
                <w:sz w:val="18"/>
                <w:szCs w:val="18"/>
                <w:color w:val="auto"/>
              </w:rPr>
              <w:t>Cash basis operating income</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1,944</w:t>
            </w:r>
          </w:p>
        </w:tc>
        <w:tc>
          <w:tcPr>
            <w:tcW w:w="7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1,161</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1,024</w:t>
            </w:r>
          </w:p>
        </w:tc>
      </w:tr>
      <w:tr>
        <w:trPr>
          <w:trHeight w:val="216"/>
        </w:trPr>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6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(230)</w:t>
            </w:r>
          </w:p>
        </w:tc>
        <w:tc>
          <w:tcPr>
            <w:tcW w:w="7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(207)</w:t>
            </w:r>
          </w:p>
        </w:tc>
        <w:tc>
          <w:tcPr>
            <w:tcW w:w="560" w:type="dxa"/>
            <w:vAlign w:val="bottom"/>
            <w:tcBorders>
              <w:right w:val="single" w:sz="8" w:color="auto"/>
            </w:tcBorders>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1280" w:type="dxa"/>
            <w:vAlign w:val="bottom"/>
            <w:shd w:val="clear" w:color="auto" w:fill="E5E5E5"/>
          </w:tcPr>
          <w:p>
            <w:pPr>
              <w:jc w:val="right"/>
              <w:ind w:right="157"/>
              <w:spacing w:after="0"/>
              <w:rPr>
                <w:sz w:val="20"/>
                <w:szCs w:val="20"/>
                <w:color w:val="auto"/>
              </w:rPr>
            </w:pPr>
            <w:r>
              <w:rPr>
                <w:rFonts w:ascii="Arial" w:cs="Arial" w:eastAsia="Arial" w:hAnsi="Arial"/>
                <w:sz w:val="18"/>
                <w:szCs w:val="18"/>
                <w:color w:val="auto"/>
              </w:rPr>
              <w:t>(1)</w:t>
            </w:r>
          </w:p>
        </w:tc>
        <w:tc>
          <w:tcPr>
            <w:tcW w:w="32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7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56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investments and other</w:t>
            </w:r>
          </w:p>
        </w:tc>
        <w:tc>
          <w:tcPr>
            <w:tcW w:w="66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100</w:t>
            </w:r>
          </w:p>
        </w:tc>
        <w:tc>
          <w:tcPr>
            <w:tcW w:w="7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142</w:t>
            </w:r>
          </w:p>
        </w:tc>
        <w:tc>
          <w:tcPr>
            <w:tcW w:w="560" w:type="dxa"/>
            <w:vAlign w:val="bottom"/>
            <w:tcBorders>
              <w:bottom w:val="single" w:sz="8" w:color="auto"/>
              <w:right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spacing w:after="0"/>
              <w:rPr>
                <w:sz w:val="18"/>
                <w:szCs w:val="18"/>
                <w:color w:val="auto"/>
              </w:rPr>
            </w:pPr>
          </w:p>
        </w:tc>
        <w:tc>
          <w:tcPr>
            <w:tcW w:w="1280" w:type="dxa"/>
            <w:vAlign w:val="bottom"/>
            <w:tcBorders>
              <w:bottom w:val="single" w:sz="8" w:color="auto"/>
            </w:tcBorders>
            <w:shd w:val="clear" w:color="auto" w:fill="E5E5E5"/>
          </w:tcPr>
          <w:p>
            <w:pPr>
              <w:jc w:val="right"/>
              <w:ind w:right="217"/>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144</w:t>
            </w:r>
          </w:p>
        </w:tc>
      </w:tr>
      <w:tr>
        <w:trPr>
          <w:trHeight w:val="217"/>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1,730</w:t>
            </w: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1,020</w:t>
            </w:r>
          </w:p>
        </w:tc>
        <w:tc>
          <w:tcPr>
            <w:tcW w:w="56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b w:val="1"/>
                <w:bCs w:val="1"/>
                <w:color w:val="auto"/>
              </w:rPr>
              <w:t>(629)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391</w:t>
            </w:r>
          </w:p>
        </w:tc>
      </w:tr>
    </w:tbl>
    <w:p>
      <w:pPr>
        <w:spacing w:after="0" w:line="11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changes in operating assets and liabilities for the six months ended June 30, 2012 compared to the same period in 2011 primarily relate to a decrease in film and television costs and the timing of payments of operating items, including deferred revenue and participations and residuals.</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income tax payments for the six months ended June 30, 2012 is primarily due to amounts paid in the prior year in preparation for the closing of the Joint Venture transaction.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six months ended June 30, 2012 consisted primarily of capital expenditures and purchases of investments.</w:t>
      </w:r>
    </w:p>
    <w:p>
      <w:pPr>
        <w:spacing w:after="0" w:line="1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the second half of 2012, we expect to receive $3 billion in cash proceeds related to the redemption of our 15.8% equity interest in A&amp;E Television Networks. Under certain limited circumstances, the proceeds would be paid in cash and in the form of a senior note issued by A&amp;E Television Networks. A portion of the proceeds will be used to meet Comcast’s and GE’s obligation to pay taxes associated with the transaction. We will not receive dividends from A&amp;E Television Networks following the close of the transaction. During the six months ended June 30, 2012 and 2011, we received $102 million and $90 million, respectively, in dividends from A&amp;E Television Networks, which were included in net cash provided by operating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2012 consisted primarily of $550 million of net repayments of our outstanding commercial paper and tax distributions to NBCUniversal Holdings of $243 million, of which $124 million was attributable to Comcast and $119 million was attributable to GE.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expect the final disposition of these matters to have a material adverse effect on our results of operations, cash flows or financial condition, although any such matters could be time consuming and costly and could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8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40" w:hanging="832"/>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302 of the Sarbanes-Oxley Act of 2002.</w:t>
      </w:r>
    </w:p>
    <w:p>
      <w:pPr>
        <w:spacing w:after="0" w:line="7" w:lineRule="exact"/>
        <w:rPr>
          <w:rFonts w:ascii="Arial" w:cs="Arial" w:eastAsia="Arial" w:hAnsi="Arial"/>
          <w:sz w:val="18"/>
          <w:szCs w:val="18"/>
          <w:color w:val="auto"/>
        </w:rPr>
      </w:pPr>
    </w:p>
    <w:p>
      <w:pPr>
        <w:ind w:left="840" w:hanging="832"/>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 of Principal Executive Officer and Principal Financial Officer pursuant to Section 906 of the Sarbanes-Oxley Act of 2002.</w:t>
      </w:r>
    </w:p>
    <w:p>
      <w:pPr>
        <w:spacing w:after="0" w:line="9" w:lineRule="exact"/>
        <w:rPr>
          <w:sz w:val="20"/>
          <w:szCs w:val="20"/>
          <w:color w:val="auto"/>
        </w:rPr>
      </w:pPr>
    </w:p>
    <w:p>
      <w:pPr>
        <w:jc w:val="both"/>
        <w:ind w:left="840" w:hanging="832"/>
        <w:spacing w:after="0" w:line="253"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financial statements from NBCUniversal Media, LLC’s Quarterly Report on Form 10-Q for the quarter ended June 30, 2012, filed with the Securities and Exchange Commission on August 1,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1, 2012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7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420"/>
          </w:cols>
          <w:pgMar w:left="240" w:top="2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82" w:lineRule="exact"/>
        <w:rPr>
          <w:sz w:val="20"/>
          <w:szCs w:val="20"/>
          <w:color w:val="auto"/>
        </w:rPr>
      </w:pPr>
    </w:p>
    <w:p>
      <w:pPr>
        <w:ind w:left="10340"/>
        <w:spacing w:after="0"/>
        <w:rPr>
          <w:sz w:val="20"/>
          <w:szCs w:val="20"/>
          <w:color w:val="auto"/>
        </w:rPr>
      </w:pPr>
      <w:r>
        <w:rPr>
          <w:rFonts w:ascii="Arial" w:cs="Arial" w:eastAsia="Arial" w:hAnsi="Arial"/>
          <w:sz w:val="16"/>
          <w:szCs w:val="16"/>
          <w:color w:val="auto"/>
        </w:rPr>
        <w:t>August 1, 2012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Principal Executive Officer, and Michael J. Angelakis, the Principal Financial Officer, of NBCUniversal Media, LLC,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w:t>
      </w:r>
    </w:p>
    <w:p>
      <w:pPr>
        <w:spacing w:after="0" w:line="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decimal"/>
      <w:start w:val="31"/>
    </w:lvl>
  </w:abstractNum>
  <w:abstractNum w:abstractNumId="8">
    <w:nsid w:val="216231B"/>
    <w:multiLevelType w:val="hybridMultilevel"/>
    <w:lvl w:ilvl="0">
      <w:lvlJc w:val="left"/>
      <w:lvlText w:val="%1"/>
      <w:numFmt w:val="decimal"/>
      <w:start w:val="10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2019-12-11T04:10:48Z</dcterms:created>
  <dcterms:modified xsi:type="dcterms:W3CDTF">2019-12-11T04:10:48Z</dcterms:modified>
</cp:coreProperties>
</file>